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b/>
          <w:bCs/>
          <w:sz w:val="32"/>
          <w:szCs w:val="32"/>
        </w:rPr>
        <w:t xml:space="preserve">Week 9 — statistics and the exploratory sweep</w:t>
      </w:r>
    </w:p>
    <w:p>
      <w:pPr>
        <w:spacing w:after="140"/>
        <w:jc w:val="left"/>
      </w:pPr>
      <w:r>
        <w:rPr>
          <w:b/>
          <w:bCs/>
        </w:rPr>
        <w:t xml:space="preserve">Registered scope</w:t>
      </w:r>
      <w:r>
        <w:t xml:space="preserve">, section 13: </w:t>
      </w:r>
      <w:r>
        <w:rPr>
          <w:i/>
          <w:iCs/>
        </w:rPr>
        <w:t xml:space="preserve">"Week 9: statistics and the exploratory sweep."</w:t>
      </w:r>
    </w:p>
    <w:p>
      <w:pPr>
        <w:spacing w:after="140"/>
        <w:jc w:val="left"/>
      </w:pPr>
      <w:r>
        <w:rPr>
          <w:b/>
          <w:bCs/>
        </w:rPr>
        <w:t xml:space="preserve">Status.</w:t>
      </w:r>
      <w:r>
        <w:t xml:space="preserve"> The exploratory sweep is complete on both datasets. Section 8's result statements are written below with the figures D6 corrected, not the ones section 8 registered. The confirmatory verdicts are unchanged: H1 rejects on churn against the quantum kernel, H1 does not reject on fraud, H2 and H3 return NOT ESTABLISHED. No number in this report is new evidence about any of them.</w:t>
      </w:r>
    </w:p>
    <w:p>
      <w:pPr>
        <w:spacing w:after="120" w:before="120"/>
      </w:pPr>
    </w:p>
    <w:p>
      <w:pPr>
        <w:pStyle w:val="Heading1"/>
        <w:spacing w:after="140" w:before="280"/>
      </w:pPr>
      <w:r>
        <w:rPr>
          <w:b/>
          <w:bCs/>
          <w:color w:val="000000"/>
          <w:sz w:val="24"/>
          <w:szCs w:val="24"/>
        </w:rPr>
        <w:t xml:space="preserve">1. What was already done, and what week 9 added</w:t>
      </w:r>
    </w:p>
    <w:p>
      <w:pPr>
        <w:spacing w:after="140"/>
        <w:jc w:val="left"/>
      </w:pPr>
      <w:r>
        <w:t xml:space="preserve">No quantum compute was required. The raw records were complete before week 9 began: 15 cells x 20 seeds x 4 settings at every training size, both datasets, 7,200 quantum and 5,400 classical records.</w:t>
      </w:r>
    </w:p>
    <w:p>
      <w:pPr>
        <w:spacing w:after="140"/>
        <w:jc w:val="left"/>
      </w:pPr>
      <w:r>
        <w:t xml:space="preserve">Section 9 names five exploratory families. Two were already computed and Holm-corrected inside </w:t>
      </w:r>
      <w:r>
        <w:rPr>
          <w:rFonts w:ascii="Consolas" w:cs="Consolas" w:eastAsia="Consolas" w:hAnsi="Consolas"/>
          <w:sz w:val="19"/>
          <w:szCs w:val="19"/>
        </w:rPr>
        <w:t xml:space="preserve">scripts/primary_tests.py</w:t>
      </w:r>
      <w:r>
        <w:t xml:space="preserve"> and are in </w:t>
      </w:r>
      <w:r>
        <w:rPr>
          <w:rFonts w:ascii="Consolas" w:cs="Consolas" w:eastAsia="Consolas" w:hAnsi="Consolas"/>
          <w:sz w:val="19"/>
          <w:szCs w:val="19"/>
        </w:rPr>
        <w:t xml:space="preserve">results/analysis/primary_tests.log</w:t>
      </w:r>
      <w:r>
        <w:t xml:space="preserve">, printed but never persisted as structured output: the 15-cell sweep (</w:t>
      </w:r>
      <w:r>
        <w:rPr>
          <w:rFonts w:ascii="Consolas" w:cs="Consolas" w:eastAsia="Consolas" w:hAnsi="Consolas"/>
          <w:sz w:val="19"/>
          <w:szCs w:val="19"/>
        </w:rPr>
        <w:t xml:space="preserve">report_sweep</w:t>
      </w:r>
      <w:r>
        <w:t xml:space="preserve">) and the per-setting comparison (</w:t>
      </w:r>
      <w:r>
        <w:rPr>
          <w:rFonts w:ascii="Consolas" w:cs="Consolas" w:eastAsia="Consolas" w:hAnsi="Consolas"/>
          <w:sz w:val="19"/>
          <w:szCs w:val="19"/>
        </w:rPr>
        <w:t xml:space="preserve">report_per_setting</w:t>
      </w:r>
      <w:r>
        <w:t xml:space="preserve">). The other four had no output in any form.</w:t>
      </w:r>
    </w:p>
    <w:p>
      <w:pPr>
        <w:spacing w:after="140"/>
        <w:jc w:val="left"/>
      </w:pPr>
      <w:r>
        <w:t xml:space="preserve">Week 9 added </w:t>
      </w:r>
      <w:r>
        <w:rPr>
          <w:rFonts w:ascii="Consolas" w:cs="Consolas" w:eastAsia="Consolas" w:hAnsi="Consolas"/>
          <w:sz w:val="19"/>
          <w:szCs w:val="19"/>
        </w:rPr>
        <w:t xml:space="preserve">scripts/exploratory_sweep.py</w:t>
      </w:r>
      <w:r>
        <w:t xml:space="preserve"> and </w:t>
      </w:r>
      <w:r>
        <w:rPr>
          <w:rFonts w:ascii="Consolas" w:cs="Consolas" w:eastAsia="Consolas" w:hAnsi="Consolas"/>
          <w:sz w:val="19"/>
          <w:szCs w:val="19"/>
        </w:rPr>
        <w:t xml:space="preserve">results/analysis/exploratory_sweep.json</w:t>
      </w:r>
      <w:r>
        <w:t xml:space="preserve">, covering the qubit-count trend, per-mapping breakdowns, the training-size comparison and the learning curve.</w:t>
      </w:r>
    </w:p>
    <w:p>
      <w:pPr>
        <w:spacing w:after="120" w:before="120"/>
      </w:pPr>
    </w:p>
    <w:p>
      <w:pPr>
        <w:pStyle w:val="Heading1"/>
        <w:spacing w:after="140" w:before="280"/>
      </w:pPr>
      <w:r>
        <w:rPr>
          <w:b/>
          <w:bCs/>
          <w:color w:val="000000"/>
          <w:sz w:val="24"/>
          <w:szCs w:val="24"/>
        </w:rPr>
        <w:t xml:space="preserve">2. Section 8's result statements, with D6's figures</w:t>
      </w:r>
    </w:p>
    <w:p>
      <w:pPr>
        <w:pStyle w:val="Heading2"/>
        <w:spacing w:after="100" w:before="200"/>
      </w:pPr>
      <w:r>
        <w:rPr>
          <w:b/>
          <w:bCs/>
          <w:color w:val="000000"/>
          <w:sz w:val="22"/>
          <w:szCs w:val="22"/>
        </w:rPr>
        <w:t xml:space="preserve">Churn: no quantum advantage, and a measured classical advantage</w:t>
      </w:r>
    </w:p>
    <w:p>
      <w:pPr>
        <w:spacing w:after="140"/>
        <w:jc w:val="left"/>
      </w:pPr>
      <w:r>
        <w:t xml:space="preserve">H1 rejects at the pre-registered primary cell, PCA at 12 qubits, 250 per class, 20 paired seeds, intersection-union across both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endpoint</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median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872"/>
            <w:shd w:fill="EDEDED" w:val="clear"/>
            <w:tcMar>
              <w:top w:type="dxa" w:w="60"/>
              <w:left w:type="dxa" w:w="100"/>
              <w:bottom w:type="dxa" w:w="60"/>
              <w:right w:type="dxa" w:w="100"/>
            </w:tcMar>
          </w:tcPr>
          <w:p>
            <w:pPr>
              <w:spacing w:after="0" w:before="0"/>
            </w:pPr>
            <w:r>
              <w:rPr>
                <w:b/>
                <w:bCs/>
                <w:sz w:val="19"/>
                <w:szCs w:val="19"/>
              </w:rPr>
              <w:t xml:space="preserve">Wilcoxon p</w:t>
            </w:r>
          </w:p>
        </w:tc>
      </w:tr>
      <w:tr>
        <w:tc>
          <w:tcPr>
            <w:tcW w:type="dxa" w:w="1872"/>
            <w:tcMar>
              <w:top w:type="dxa" w:w="60"/>
              <w:left w:type="dxa" w:w="100"/>
              <w:bottom w:type="dxa" w:w="60"/>
              <w:right w:type="dxa" w:w="100"/>
            </w:tcMar>
          </w:tcPr>
          <w:p>
            <w:pPr>
              <w:spacing w:after="0" w:before="0"/>
            </w:pPr>
            <w:r>
              <w:rPr>
                <w:b w:val="false"/>
                <w:bCs w:val="false"/>
                <w:sz w:val="19"/>
                <w:szCs w:val="19"/>
              </w:rPr>
              <w:t xml:space="preserve">normAP</w:t>
            </w:r>
          </w:p>
        </w:tc>
        <w:tc>
          <w:tcPr>
            <w:tcW w:type="dxa" w:w="1872"/>
            <w:tcMar>
              <w:top w:type="dxa" w:w="60"/>
              <w:left w:type="dxa" w:w="100"/>
              <w:bottom w:type="dxa" w:w="60"/>
              <w:right w:type="dxa" w:w="100"/>
            </w:tcMar>
          </w:tcPr>
          <w:p>
            <w:pPr>
              <w:spacing w:after="0" w:before="0"/>
            </w:pPr>
            <w:r>
              <w:rPr>
                <w:b w:val="false"/>
                <w:bCs w:val="false"/>
                <w:sz w:val="19"/>
                <w:szCs w:val="19"/>
              </w:rPr>
              <w:t xml:space="preserve">−0.0798</w:t>
            </w:r>
          </w:p>
        </w:tc>
        <w:tc>
          <w:tcPr>
            <w:tcW w:type="dxa" w:w="1872"/>
            <w:tcMar>
              <w:top w:type="dxa" w:w="60"/>
              <w:left w:type="dxa" w:w="100"/>
              <w:bottom w:type="dxa" w:w="60"/>
              <w:right w:type="dxa" w:w="100"/>
            </w:tcMar>
          </w:tcPr>
          <w:p>
            <w:pPr>
              <w:spacing w:after="0" w:before="0"/>
            </w:pPr>
            <w:r>
              <w:rPr>
                <w:b w:val="false"/>
                <w:bCs w:val="false"/>
                <w:sz w:val="19"/>
                <w:szCs w:val="19"/>
              </w:rPr>
              <w:t xml:space="preserve">−0.0659</w:t>
            </w:r>
          </w:p>
        </w:tc>
        <w:tc>
          <w:tcPr>
            <w:tcW w:type="dxa" w:w="1872"/>
            <w:tcMar>
              <w:top w:type="dxa" w:w="60"/>
              <w:left w:type="dxa" w:w="100"/>
              <w:bottom w:type="dxa" w:w="60"/>
              <w:right w:type="dxa" w:w="100"/>
            </w:tcMar>
          </w:tcPr>
          <w:p>
            <w:pPr>
              <w:spacing w:after="0" w:before="0"/>
            </w:pPr>
            <w:r>
              <w:rPr>
                <w:b w:val="false"/>
                <w:bCs w:val="false"/>
                <w:sz w:val="19"/>
                <w:szCs w:val="19"/>
              </w:rPr>
              <w:t xml:space="preserve">[−0.1229, −0.0367]</w:t>
            </w:r>
          </w:p>
        </w:tc>
        <w:tc>
          <w:tcPr>
            <w:tcW w:type="dxa" w:w="1872"/>
            <w:tcMar>
              <w:top w:type="dxa" w:w="60"/>
              <w:left w:type="dxa" w:w="100"/>
              <w:bottom w:type="dxa" w:w="60"/>
              <w:right w:type="dxa" w:w="100"/>
            </w:tcMar>
          </w:tcPr>
          <w:p>
            <w:pPr>
              <w:spacing w:after="0" w:before="0"/>
            </w:pPr>
            <w:r>
              <w:rPr>
                <w:b w:val="false"/>
                <w:bCs w:val="false"/>
                <w:sz w:val="19"/>
                <w:szCs w:val="19"/>
              </w:rPr>
              <w:t xml:space="preserve">8.20e-05</w:t>
            </w:r>
          </w:p>
        </w:tc>
      </w:tr>
      <w:tr>
        <w:tc>
          <w:tcPr>
            <w:tcW w:type="dxa" w:w="1872"/>
            <w:tcMar>
              <w:top w:type="dxa" w:w="60"/>
              <w:left w:type="dxa" w:w="100"/>
              <w:bottom w:type="dxa" w:w="60"/>
              <w:right w:type="dxa" w:w="100"/>
            </w:tcMar>
          </w:tcPr>
          <w:p>
            <w:pPr>
              <w:spacing w:after="0" w:before="0"/>
            </w:pPr>
            <w:r>
              <w:rPr>
                <w:b w:val="false"/>
                <w:bCs w:val="false"/>
                <w:sz w:val="19"/>
                <w:szCs w:val="19"/>
              </w:rPr>
              <w:t xml:space="preserve">ROC-AUC</w:t>
            </w:r>
          </w:p>
        </w:tc>
        <w:tc>
          <w:tcPr>
            <w:tcW w:type="dxa" w:w="1872"/>
            <w:tcMar>
              <w:top w:type="dxa" w:w="60"/>
              <w:left w:type="dxa" w:w="100"/>
              <w:bottom w:type="dxa" w:w="60"/>
              <w:right w:type="dxa" w:w="100"/>
            </w:tcMar>
          </w:tcPr>
          <w:p>
            <w:pPr>
              <w:spacing w:after="0" w:before="0"/>
            </w:pPr>
            <w:r>
              <w:rPr>
                <w:b w:val="false"/>
                <w:bCs w:val="false"/>
                <w:sz w:val="19"/>
                <w:szCs w:val="19"/>
              </w:rPr>
              <w:t xml:space="preserve">−0.0292</w:t>
            </w:r>
          </w:p>
        </w:tc>
        <w:tc>
          <w:tcPr>
            <w:tcW w:type="dxa" w:w="1872"/>
            <w:tcMar>
              <w:top w:type="dxa" w:w="60"/>
              <w:left w:type="dxa" w:w="100"/>
              <w:bottom w:type="dxa" w:w="60"/>
              <w:right w:type="dxa" w:w="100"/>
            </w:tcMar>
          </w:tcPr>
          <w:p>
            <w:pPr>
              <w:spacing w:after="0" w:before="0"/>
            </w:pPr>
            <w:r>
              <w:rPr>
                <w:b w:val="false"/>
                <w:bCs w:val="false"/>
                <w:sz w:val="19"/>
                <w:szCs w:val="19"/>
              </w:rPr>
              <w:t xml:space="preserve">−0.0171</w:t>
            </w:r>
          </w:p>
        </w:tc>
        <w:tc>
          <w:tcPr>
            <w:tcW w:type="dxa" w:w="1872"/>
            <w:tcMar>
              <w:top w:type="dxa" w:w="60"/>
              <w:left w:type="dxa" w:w="100"/>
              <w:bottom w:type="dxa" w:w="60"/>
              <w:right w:type="dxa" w:w="100"/>
            </w:tcMar>
          </w:tcPr>
          <w:p>
            <w:pPr>
              <w:spacing w:after="0" w:before="0"/>
            </w:pPr>
            <w:r>
              <w:rPr>
                <w:b w:val="false"/>
                <w:bCs w:val="false"/>
                <w:sz w:val="19"/>
                <w:szCs w:val="19"/>
              </w:rPr>
              <w:t xml:space="preserve">[−0.0457, −0.0128]</w:t>
            </w:r>
          </w:p>
        </w:tc>
        <w:tc>
          <w:tcPr>
            <w:tcW w:type="dxa" w:w="1872"/>
            <w:tcMar>
              <w:top w:type="dxa" w:w="60"/>
              <w:left w:type="dxa" w:w="100"/>
              <w:bottom w:type="dxa" w:w="60"/>
              <w:right w:type="dxa" w:w="100"/>
            </w:tcMar>
          </w:tcPr>
          <w:p>
            <w:pPr>
              <w:spacing w:after="0" w:before="0"/>
            </w:pPr>
            <w:r>
              <w:rPr>
                <w:b w:val="false"/>
                <w:bCs w:val="false"/>
                <w:sz w:val="19"/>
                <w:szCs w:val="19"/>
              </w:rPr>
              <w:t xml:space="preserve">3.38e-04</w:t>
            </w:r>
          </w:p>
        </w:tc>
      </w:tr>
    </w:tbl>
    <w:p>
      <w:pPr>
        <w:spacing w:after="160"/>
      </w:pPr>
    </w:p>
    <w:p>
      <w:pPr>
        <w:spacing w:after="140"/>
        <w:jc w:val="left"/>
      </w:pPr>
      <w:r>
        <w:t xml:space="preserve">Both endpoints reject and both favour the </w:t>
      </w:r>
      <w:r>
        <w:rPr>
          <w:b/>
          <w:bCs/>
        </w:rPr>
        <w:t xml:space="preserve">classical</w:t>
      </w:r>
      <w:r>
        <w:t xml:space="preserve"> kernel. Per section 8 this is "no advantage found" in its strongest form: not a failure to detect, but a detected deficit.</w:t>
      </w:r>
    </w:p>
    <w:p>
      <w:pPr>
        <w:spacing w:after="140"/>
        <w:jc w:val="left"/>
      </w:pPr>
      <w:r>
        <w:rPr>
          <w:b/>
          <w:bCs/>
        </w:rPr>
        <w:t xml:space="preserve">The margin, stated as D6 requires.</w:t>
      </w:r>
      <w:r>
        <w:t xml:space="preserve"> The effect clears the registered MDE of 0.0171 by 4.7x and its </w:t>
      </w:r>
      <w:r>
        <w:rPr>
          <w:b/>
          <w:bCs/>
        </w:rPr>
        <w:t xml:space="preserve">true</w:t>
      </w:r>
      <w:r>
        <w:t xml:space="preserve"> primary-cell MDE of 0.0608 by </w:t>
      </w:r>
      <w:r>
        <w:rPr>
          <w:b/>
          <w:bCs/>
        </w:rPr>
        <w:t xml:space="preserve">1.31x</w:t>
      </w:r>
      <w:r>
        <w:t xml:space="preserve">. D6: </w:t>
      </w:r>
      <w:r>
        <w:rPr>
          <w:i/>
          <w:iCs/>
        </w:rPr>
        <w:t xml:space="preserve">"Any phrasing along the lines of 'well clear of what the arm was powered for' is withdrawn."</w:t>
      </w:r>
      <w:r>
        <w:t xml:space="preserve"> That withdrawal is honoured here. The rejection does not depend on the prior MDE, because the observed interval excludes zero on the observed data; what the correction removes is any claim of comfortable margin.</w:t>
      </w:r>
    </w:p>
    <w:p>
      <w:pPr>
        <w:pStyle w:val="Heading2"/>
        <w:spacing w:after="100" w:before="200"/>
      </w:pPr>
      <w:r>
        <w:rPr>
          <w:b/>
          <w:bCs/>
          <w:color w:val="000000"/>
          <w:sz w:val="22"/>
          <w:szCs w:val="22"/>
        </w:rPr>
        <w:t xml:space="preserve">Fraud: no advantage found, reported as an exclusion bound</w:t>
      </w:r>
    </w:p>
    <w:p>
      <w:pPr>
        <w:spacing w:after="140"/>
        <w:jc w:val="left"/>
      </w:pPr>
      <w:r>
        <w:t xml:space="preserve">H1 does not reject: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endpoint</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median</w:t>
            </w:r>
          </w:p>
        </w:tc>
        <w:tc>
          <w:tcPr>
            <w:tcW w:type="dxa" w:w="1872"/>
            <w:shd w:fill="EDEDED" w:val="clear"/>
            <w:tcMar>
              <w:top w:type="dxa" w:w="60"/>
              <w:left w:type="dxa" w:w="100"/>
              <w:bottom w:type="dxa" w:w="60"/>
              <w:right w:type="dxa" w:w="100"/>
            </w:tcMar>
          </w:tcPr>
          <w:p>
            <w:pPr>
              <w:spacing w:after="0" w:before="0"/>
            </w:pPr>
            <w:r>
              <w:rPr>
                <w:b/>
                <w:bCs/>
                <w:sz w:val="19"/>
                <w:szCs w:val="19"/>
              </w:rPr>
              <w:t xml:space="preserve">95% CI</w:t>
            </w:r>
          </w:p>
        </w:tc>
        <w:tc>
          <w:tcPr>
            <w:tcW w:type="dxa" w:w="1872"/>
            <w:shd w:fill="EDEDED" w:val="clear"/>
            <w:tcMar>
              <w:top w:type="dxa" w:w="60"/>
              <w:left w:type="dxa" w:w="100"/>
              <w:bottom w:type="dxa" w:w="60"/>
              <w:right w:type="dxa" w:w="100"/>
            </w:tcMar>
          </w:tcPr>
          <w:p>
            <w:pPr>
              <w:spacing w:after="0" w:before="0"/>
            </w:pPr>
            <w:r>
              <w:rPr>
                <w:b/>
                <w:bCs/>
                <w:sz w:val="19"/>
                <w:szCs w:val="19"/>
              </w:rPr>
              <w:t xml:space="preserve">Wilcoxon p</w:t>
            </w:r>
          </w:p>
        </w:tc>
      </w:tr>
      <w:tr>
        <w:tc>
          <w:tcPr>
            <w:tcW w:type="dxa" w:w="1872"/>
            <w:tcMar>
              <w:top w:type="dxa" w:w="60"/>
              <w:left w:type="dxa" w:w="100"/>
              <w:bottom w:type="dxa" w:w="60"/>
              <w:right w:type="dxa" w:w="100"/>
            </w:tcMar>
          </w:tcPr>
          <w:p>
            <w:pPr>
              <w:spacing w:after="0" w:before="0"/>
            </w:pPr>
            <w:r>
              <w:rPr>
                <w:b w:val="false"/>
                <w:bCs w:val="false"/>
                <w:sz w:val="19"/>
                <w:szCs w:val="19"/>
              </w:rPr>
              <w:t xml:space="preserve">normAP</w:t>
            </w:r>
          </w:p>
        </w:tc>
        <w:tc>
          <w:tcPr>
            <w:tcW w:type="dxa" w:w="1872"/>
            <w:tcMar>
              <w:top w:type="dxa" w:w="60"/>
              <w:left w:type="dxa" w:w="100"/>
              <w:bottom w:type="dxa" w:w="60"/>
              <w:right w:type="dxa" w:w="100"/>
            </w:tcMar>
          </w:tcPr>
          <w:p>
            <w:pPr>
              <w:spacing w:after="0" w:before="0"/>
            </w:pPr>
            <w:r>
              <w:rPr>
                <w:b w:val="false"/>
                <w:bCs w:val="false"/>
                <w:sz w:val="19"/>
                <w:szCs w:val="19"/>
              </w:rPr>
              <w:t xml:space="preserve">−0.0028</w:t>
            </w:r>
          </w:p>
        </w:tc>
        <w:tc>
          <w:tcPr>
            <w:tcW w:type="dxa" w:w="1872"/>
            <w:tcMar>
              <w:top w:type="dxa" w:w="60"/>
              <w:left w:type="dxa" w:w="100"/>
              <w:bottom w:type="dxa" w:w="60"/>
              <w:right w:type="dxa" w:w="100"/>
            </w:tcMar>
          </w:tcPr>
          <w:p>
            <w:pPr>
              <w:spacing w:after="0" w:before="0"/>
            </w:pPr>
            <w:r>
              <w:rPr>
                <w:b w:val="false"/>
                <w:bCs w:val="false"/>
                <w:sz w:val="19"/>
                <w:szCs w:val="19"/>
              </w:rPr>
              <w:t xml:space="preserve">−0.0014</w:t>
            </w:r>
          </w:p>
        </w:tc>
        <w:tc>
          <w:tcPr>
            <w:tcW w:type="dxa" w:w="1872"/>
            <w:tcMar>
              <w:top w:type="dxa" w:w="60"/>
              <w:left w:type="dxa" w:w="100"/>
              <w:bottom w:type="dxa" w:w="60"/>
              <w:right w:type="dxa" w:w="100"/>
            </w:tcMar>
          </w:tcPr>
          <w:p>
            <w:pPr>
              <w:spacing w:after="0" w:before="0"/>
            </w:pPr>
            <w:r>
              <w:rPr>
                <w:b w:val="false"/>
                <w:bCs w:val="false"/>
                <w:sz w:val="19"/>
                <w:szCs w:val="19"/>
              </w:rPr>
              <w:t xml:space="preserve">[−0.0072, +0.0017]</w:t>
            </w:r>
          </w:p>
        </w:tc>
        <w:tc>
          <w:tcPr>
            <w:tcW w:type="dxa" w:w="1872"/>
            <w:tcMar>
              <w:top w:type="dxa" w:w="60"/>
              <w:left w:type="dxa" w:w="100"/>
              <w:bottom w:type="dxa" w:w="60"/>
              <w:right w:type="dxa" w:w="100"/>
            </w:tcMar>
          </w:tcPr>
          <w:p>
            <w:pPr>
              <w:spacing w:after="0" w:before="0"/>
            </w:pPr>
            <w:r>
              <w:rPr>
                <w:b w:val="false"/>
                <w:bCs w:val="false"/>
                <w:sz w:val="19"/>
                <w:szCs w:val="19"/>
              </w:rPr>
              <w:t xml:space="preserve">0.245</w:t>
            </w:r>
          </w:p>
        </w:tc>
      </w:tr>
      <w:tr>
        <w:tc>
          <w:tcPr>
            <w:tcW w:type="dxa" w:w="1872"/>
            <w:tcMar>
              <w:top w:type="dxa" w:w="60"/>
              <w:left w:type="dxa" w:w="100"/>
              <w:bottom w:type="dxa" w:w="60"/>
              <w:right w:type="dxa" w:w="100"/>
            </w:tcMar>
          </w:tcPr>
          <w:p>
            <w:pPr>
              <w:spacing w:after="0" w:before="0"/>
            </w:pPr>
            <w:r>
              <w:rPr>
                <w:b w:val="false"/>
                <w:bCs w:val="false"/>
                <w:sz w:val="19"/>
                <w:szCs w:val="19"/>
              </w:rPr>
              <w:t xml:space="preserve">ROC-AUC</w:t>
            </w:r>
          </w:p>
        </w:tc>
        <w:tc>
          <w:tcPr>
            <w:tcW w:type="dxa" w:w="1872"/>
            <w:tcMar>
              <w:top w:type="dxa" w:w="60"/>
              <w:left w:type="dxa" w:w="100"/>
              <w:bottom w:type="dxa" w:w="60"/>
              <w:right w:type="dxa" w:w="100"/>
            </w:tcMar>
          </w:tcPr>
          <w:p>
            <w:pPr>
              <w:spacing w:after="0" w:before="0"/>
            </w:pPr>
            <w:r>
              <w:rPr>
                <w:b w:val="false"/>
                <w:bCs w:val="false"/>
                <w:sz w:val="19"/>
                <w:szCs w:val="19"/>
              </w:rPr>
              <w:t xml:space="preserve">+0.0001</w:t>
            </w:r>
          </w:p>
        </w:tc>
        <w:tc>
          <w:tcPr>
            <w:tcW w:type="dxa" w:w="1872"/>
            <w:tcMar>
              <w:top w:type="dxa" w:w="60"/>
              <w:left w:type="dxa" w:w="100"/>
              <w:bottom w:type="dxa" w:w="60"/>
              <w:right w:type="dxa" w:w="100"/>
            </w:tcMar>
          </w:tcPr>
          <w:p>
            <w:pPr>
              <w:spacing w:after="0" w:before="0"/>
            </w:pPr>
            <w:r>
              <w:rPr>
                <w:b w:val="false"/>
                <w:bCs w:val="false"/>
                <w:sz w:val="19"/>
                <w:szCs w:val="19"/>
              </w:rPr>
              <w:t xml:space="preserve">+0.0005</w:t>
            </w:r>
          </w:p>
        </w:tc>
        <w:tc>
          <w:tcPr>
            <w:tcW w:type="dxa" w:w="1872"/>
            <w:tcMar>
              <w:top w:type="dxa" w:w="60"/>
              <w:left w:type="dxa" w:w="100"/>
              <w:bottom w:type="dxa" w:w="60"/>
              <w:right w:type="dxa" w:w="100"/>
            </w:tcMar>
          </w:tcPr>
          <w:p>
            <w:pPr>
              <w:spacing w:after="0" w:before="0"/>
            </w:pPr>
            <w:r>
              <w:rPr>
                <w:b w:val="false"/>
                <w:bCs w:val="false"/>
                <w:sz w:val="19"/>
                <w:szCs w:val="19"/>
              </w:rPr>
              <w:t xml:space="preserve">[−0.0017, +0.0019]</w:t>
            </w:r>
          </w:p>
        </w:tc>
        <w:tc>
          <w:tcPr>
            <w:tcW w:type="dxa" w:w="1872"/>
            <w:tcMar>
              <w:top w:type="dxa" w:w="60"/>
              <w:left w:type="dxa" w:w="100"/>
              <w:bottom w:type="dxa" w:w="60"/>
              <w:right w:type="dxa" w:w="100"/>
            </w:tcMar>
          </w:tcPr>
          <w:p>
            <w:pPr>
              <w:spacing w:after="0" w:before="0"/>
            </w:pPr>
            <w:r>
              <w:rPr>
                <w:b w:val="false"/>
                <w:bCs w:val="false"/>
                <w:sz w:val="19"/>
                <w:szCs w:val="19"/>
              </w:rPr>
              <w:t xml:space="preserve">0.823</w:t>
            </w:r>
          </w:p>
        </w:tc>
      </w:tr>
    </w:tbl>
    <w:p>
      <w:pPr>
        <w:spacing w:after="160"/>
      </w:pPr>
    </w:p>
    <w:p>
      <w:pPr>
        <w:spacing w:after="140"/>
        <w:jc w:val="left"/>
      </w:pPr>
      <w:r>
        <w:t xml:space="preserve">Per section 8 this is reported as a bound and not as "no difference":</w:t>
      </w:r>
    </w:p>
    <w:p>
      <w:pPr>
        <w:pBdr>
          <w:left w:val="single" w:color="999999" w:sz="12" w:space="8"/>
        </w:pBdr>
        <w:spacing w:after="120" w:before="120"/>
        <w:ind w:left="360"/>
      </w:pPr>
      <w:r>
        <w:rPr>
          <w:b/>
          <w:bCs/>
          <w:i/>
          <w:iCs/>
        </w:rPr>
        <w:t xml:space="preserve">A true advantage larger than 0.0063 normAP at the fraud primary cell (SelectKBest at 8 qubits, 250 per class) is excluded at 80% power.</w:t>
      </w:r>
    </w:p>
    <w:p>
      <w:pPr>
        <w:spacing w:after="140"/>
        <w:jc w:val="left"/>
      </w:pPr>
      <w:r>
        <w:rPr>
          <w:b/>
          <w:bCs/>
        </w:rPr>
        <w:t xml:space="preserve">0.0063, not the 0.0059 section 8 registered.</w:t>
      </w:r>
      <w:r>
        <w:t xml:space="preserve"> D6: </w:t>
      </w:r>
      <w:r>
        <w:rPr>
          <w:i/>
          <w:iCs/>
        </w:rPr>
        <w:t xml:space="preserve">"The fraud exclusion bound stands, corrected from 0.0059 to 0.0063"</w:t>
      </w:r>
      <w:r>
        <w:t xml:space="preserve">, that figure being the primary cell's own paired sd of 0.0095. Section 8's registered wording is wrong and is not quoted in the paper.</w:t>
      </w:r>
    </w:p>
    <w:p>
      <w:pPr>
        <w:spacing w:after="140"/>
        <w:jc w:val="left"/>
      </w:pPr>
      <w:r>
        <w:rPr>
          <w:b/>
          <w:bCs/>
        </w:rPr>
        <w:t xml:space="preserve">The arm-level figure is a different quantity and is 0.0138.</w:t>
      </w:r>
      <w:r>
        <w:t xml:space="preserve"> D6's whole lesson is that these two must never be interchanged: </w:t>
      </w:r>
      <w:r>
        <w:rPr>
          <w:i/>
          <w:iCs/>
        </w:rPr>
        <w:t xml:space="preserve">"That compared an arm-level registered number against a primary-cell observed one."</w:t>
      </w:r>
      <w:r>
        <w:t xml:space="preserve"> Any arm-level statement about fraud quotes 0.0138.</w:t>
      </w:r>
    </w:p>
    <w:p>
      <w:pPr>
        <w:pStyle w:val="Heading2"/>
        <w:spacing w:after="100" w:before="200"/>
      </w:pPr>
      <w:r>
        <w:rPr>
          <w:b/>
          <w:bCs/>
          <w:color w:val="000000"/>
          <w:sz w:val="22"/>
          <w:szCs w:val="22"/>
        </w:rPr>
        <w:t xml:space="preserve">A unit trap, named so it is not walked into</w:t>
      </w:r>
    </w:p>
    <w:p>
      <w:pPr>
        <w:spacing w:after="140"/>
        <w:jc w:val="left"/>
      </w:pPr>
      <w:r>
        <w:t xml:space="preserve">D2's floor is </w:t>
      </w:r>
      <w:r>
        <w:rPr>
          <w:i/>
          <w:iCs/>
        </w:rPr>
        <w:t xml:space="preserve">"roughly 1e-3 in average precision"</w:t>
      </w:r>
      <w:r>
        <w:t xml:space="preserve">. Fraud's ROC-AUC mean of +0.0001 is numerically below 1e-3 but is on the </w:t>
      </w:r>
      <w:r>
        <w:rPr>
          <w:b/>
          <w:bCs/>
        </w:rPr>
        <w:t xml:space="preserve">ROC scale</w:t>
      </w:r>
      <w:r>
        <w:t xml:space="preserve">, where the floor does not apply. Flagging it against an AP-scale floor would be D6's conflation in a new place. The floor is applied in this report only to normAP differences.</w:t>
      </w:r>
    </w:p>
    <w:p>
      <w:pPr>
        <w:spacing w:after="120" w:before="120"/>
      </w:pPr>
    </w:p>
    <w:p>
      <w:pPr>
        <w:pStyle w:val="Heading1"/>
        <w:spacing w:after="140" w:before="280"/>
      </w:pPr>
      <w:r>
        <w:rPr>
          <w:b/>
          <w:bCs/>
          <w:color w:val="000000"/>
          <w:sz w:val="24"/>
          <w:szCs w:val="24"/>
        </w:rPr>
        <w:t xml:space="preserve">3. The four exploratory families</w:t>
      </w:r>
    </w:p>
    <w:p>
      <w:pPr>
        <w:spacing w:after="140"/>
        <w:jc w:val="left"/>
      </w:pPr>
      <w:r>
        <w:t xml:space="preserve">Every table below is exploratory. Section 9: no exploratory finding is evidence for or against H1 or H2. Holm correction is within each family. The aggregation in every tested family averages the cells at a level </w:t>
      </w:r>
      <w:r>
        <w:rPr>
          <w:b/>
          <w:bCs/>
        </w:rPr>
        <w:t xml:space="preserve">within each seed</w:t>
      </w:r>
      <w:r>
        <w:t xml:space="preserve"> before testing, because cells at one seed share a train/test split (</w:t>
      </w:r>
      <w:r>
        <w:rPr>
          <w:rFonts w:ascii="Consolas" w:cs="Consolas" w:eastAsia="Consolas" w:hAnsi="Consolas"/>
          <w:sz w:val="19"/>
          <w:szCs w:val="19"/>
        </w:rPr>
        <w:t xml:space="preserve">make_split</w:t>
      </w:r>
      <w:r>
        <w:t xml:space="preserve"> keys on the seed alone), so each level carries 20 paired observations and not 60 pooled rows. Week 4 item 10 is the reason that is stated rather than assumed.</w:t>
      </w:r>
    </w:p>
    <w:p>
      <w:pPr>
        <w:pStyle w:val="Heading2"/>
        <w:spacing w:after="100" w:before="200"/>
      </w:pPr>
      <w:r>
        <w:rPr>
          <w:b/>
          <w:bCs/>
          <w:color w:val="000000"/>
          <w:sz w:val="22"/>
          <w:szCs w:val="22"/>
        </w:rPr>
        <w:t xml:space="preserve">Churn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shd w:fill="EDEDED" w:val="clear"/>
            <w:tcMar>
              <w:top w:type="dxa" w:w="60"/>
              <w:left w:type="dxa" w:w="100"/>
              <w:bottom w:type="dxa" w:w="60"/>
              <w:right w:type="dxa" w:w="100"/>
            </w:tcMar>
          </w:tcPr>
          <w:p>
            <w:pPr>
              <w:spacing w:after="0" w:before="0"/>
            </w:pPr>
            <w:r>
              <w:rPr>
                <w:b/>
                <w:bCs/>
                <w:sz w:val="19"/>
                <w:szCs w:val="19"/>
              </w:rPr>
              <w:t xml:space="preserve">family</w:t>
            </w:r>
          </w:p>
        </w:tc>
        <w:tc>
          <w:tcPr>
            <w:tcW w:type="dxa" w:w="1872"/>
            <w:shd w:fill="EDEDED" w:val="clear"/>
            <w:tcMar>
              <w:top w:type="dxa" w:w="60"/>
              <w:left w:type="dxa" w:w="100"/>
              <w:bottom w:type="dxa" w:w="60"/>
              <w:right w:type="dxa" w:w="100"/>
            </w:tcMar>
          </w:tcPr>
          <w:p>
            <w:pPr>
              <w:spacing w:after="0" w:before="0"/>
            </w:pPr>
            <w:r>
              <w:rPr>
                <w:b/>
                <w:bCs/>
                <w:sz w:val="19"/>
                <w:szCs w:val="19"/>
              </w:rPr>
              <w:t xml:space="preserve">level</w:t>
            </w:r>
          </w:p>
        </w:tc>
        <w:tc>
          <w:tcPr>
            <w:tcW w:type="dxa" w:w="1872"/>
            <w:shd w:fill="EDEDED" w:val="clear"/>
            <w:tcMar>
              <w:top w:type="dxa" w:w="60"/>
              <w:left w:type="dxa" w:w="100"/>
              <w:bottom w:type="dxa" w:w="60"/>
              <w:right w:type="dxa" w:w="100"/>
            </w:tcMar>
          </w:tcPr>
          <w:p>
            <w:pPr>
              <w:spacing w:after="0" w:before="0"/>
            </w:pPr>
            <w:r>
              <w:rPr>
                <w:b/>
                <w:bCs/>
                <w:sz w:val="19"/>
                <w:szCs w:val="19"/>
              </w:rPr>
              <w:t xml:space="preserve">mean dNormAP</w:t>
            </w:r>
          </w:p>
        </w:tc>
        <w:tc>
          <w:tcPr>
            <w:tcW w:type="dxa" w:w="1872"/>
            <w:shd w:fill="EDEDED" w:val="clear"/>
            <w:tcMar>
              <w:top w:type="dxa" w:w="60"/>
              <w:left w:type="dxa" w:w="100"/>
              <w:bottom w:type="dxa" w:w="60"/>
              <w:right w:type="dxa" w:w="100"/>
            </w:tcMar>
          </w:tcPr>
          <w:p>
            <w:pPr>
              <w:spacing w:after="0" w:before="0"/>
            </w:pPr>
            <w:r>
              <w:rPr>
                <w:b/>
                <w:bCs/>
                <w:sz w:val="19"/>
                <w:szCs w:val="19"/>
              </w:rPr>
              <w:t xml:space="preserve">p</w:t>
            </w:r>
          </w:p>
        </w:tc>
        <w:tc>
          <w:tcPr>
            <w:tcW w:type="dxa" w:w="1872"/>
            <w:shd w:fill="EDEDED" w:val="clear"/>
            <w:tcMar>
              <w:top w:type="dxa" w:w="60"/>
              <w:left w:type="dxa" w:w="100"/>
              <w:bottom w:type="dxa" w:w="60"/>
              <w:right w:type="dxa" w:w="100"/>
            </w:tcMar>
          </w:tcPr>
          <w:p>
            <w:pPr>
              <w:spacing w:after="0" w:before="0"/>
            </w:pPr>
            <w:r>
              <w:rPr>
                <w:b/>
                <w:bCs/>
                <w:sz w:val="19"/>
                <w:szCs w:val="19"/>
              </w:rPr>
              <w:t xml:space="preserve">Holm</w:t>
            </w:r>
          </w:p>
        </w:tc>
      </w:tr>
      <w:tr>
        <w:tc>
          <w:tcPr>
            <w:tcW w:type="dxa" w:w="1872"/>
            <w:tcMar>
              <w:top w:type="dxa" w:w="60"/>
              <w:left w:type="dxa" w:w="100"/>
              <w:bottom w:type="dxa" w:w="60"/>
              <w:right w:type="dxa" w:w="100"/>
            </w:tcMar>
          </w:tcPr>
          <w:p>
            <w:pPr>
              <w:spacing w:after="0" w:before="0"/>
            </w:pPr>
            <w:r>
              <w:rPr>
                <w:b w:val="false"/>
                <w:bCs w:val="false"/>
                <w:sz w:val="19"/>
                <w:szCs w:val="19"/>
              </w:rPr>
              <w:t xml:space="preserve">qubit count</w:t>
            </w:r>
          </w:p>
        </w:tc>
        <w:tc>
          <w:tcPr>
            <w:tcW w:type="dxa" w:w="1872"/>
            <w:tcMar>
              <w:top w:type="dxa" w:w="60"/>
              <w:left w:type="dxa" w:w="100"/>
              <w:bottom w:type="dxa" w:w="60"/>
              <w:right w:type="dxa" w:w="100"/>
            </w:tcMar>
          </w:tcPr>
          <w:p>
            <w:pPr>
              <w:spacing w:after="0" w:before="0"/>
            </w:pPr>
            <w:r>
              <w:rPr>
                <w:b w:val="false"/>
                <w:bCs w:val="false"/>
                <w:sz w:val="19"/>
                <w:szCs w:val="19"/>
              </w:rPr>
              <w:t xml:space="preserve">4</w:t>
            </w:r>
          </w:p>
        </w:tc>
        <w:tc>
          <w:tcPr>
            <w:tcW w:type="dxa" w:w="1872"/>
            <w:tcMar>
              <w:top w:type="dxa" w:w="60"/>
              <w:left w:type="dxa" w:w="100"/>
              <w:bottom w:type="dxa" w:w="60"/>
              <w:right w:type="dxa" w:w="100"/>
            </w:tcMar>
          </w:tcPr>
          <w:p>
            <w:pPr>
              <w:spacing w:after="0" w:before="0"/>
            </w:pPr>
            <w:r>
              <w:rPr>
                <w:b w:val="false"/>
                <w:bCs w:val="false"/>
                <w:sz w:val="19"/>
                <w:szCs w:val="19"/>
              </w:rPr>
              <w:t xml:space="preserve">−0.0203</w:t>
            </w:r>
          </w:p>
        </w:tc>
        <w:tc>
          <w:tcPr>
            <w:tcW w:type="dxa" w:w="1872"/>
            <w:tcMar>
              <w:top w:type="dxa" w:w="60"/>
              <w:left w:type="dxa" w:w="100"/>
              <w:bottom w:type="dxa" w:w="60"/>
              <w:right w:type="dxa" w:w="100"/>
            </w:tcMar>
          </w:tcPr>
          <w:p>
            <w:pPr>
              <w:spacing w:after="0" w:before="0"/>
            </w:pPr>
            <w:r>
              <w:rPr>
                <w:b w:val="false"/>
                <w:bCs w:val="false"/>
                <w:sz w:val="19"/>
                <w:szCs w:val="19"/>
              </w:rPr>
              <w:t xml:space="preserve">0.0400</w:t>
            </w:r>
          </w:p>
        </w:tc>
        <w:tc>
          <w:tcPr>
            <w:tcW w:type="dxa" w:w="1872"/>
            <w:tcMar>
              <w:top w:type="dxa" w:w="60"/>
              <w:left w:type="dxa" w:w="100"/>
              <w:bottom w:type="dxa" w:w="60"/>
              <w:right w:type="dxa" w:w="100"/>
            </w:tcMar>
          </w:tcPr>
          <w:p>
            <w:pPr>
              <w:spacing w:after="0" w:before="0"/>
            </w:pPr>
            <w:r>
              <w:rPr>
                <w:b w:val="false"/>
                <w:bCs w:val="false"/>
                <w:sz w:val="19"/>
                <w:szCs w:val="19"/>
              </w:rPr>
              <w:t xml:space="preserve">0.1200</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val="false"/>
                <w:bCs w:val="false"/>
                <w:sz w:val="19"/>
                <w:szCs w:val="19"/>
              </w:rPr>
              <w:t xml:space="preserve">6</w:t>
            </w:r>
          </w:p>
        </w:tc>
        <w:tc>
          <w:tcPr>
            <w:tcW w:type="dxa" w:w="1872"/>
            <w:tcMar>
              <w:top w:type="dxa" w:w="60"/>
              <w:left w:type="dxa" w:w="100"/>
              <w:bottom w:type="dxa" w:w="60"/>
              <w:right w:type="dxa" w:w="100"/>
            </w:tcMar>
          </w:tcPr>
          <w:p>
            <w:pPr>
              <w:spacing w:after="0" w:before="0"/>
            </w:pPr>
            <w:r>
              <w:rPr>
                <w:b w:val="false"/>
                <w:bCs w:val="false"/>
                <w:sz w:val="19"/>
                <w:szCs w:val="19"/>
              </w:rPr>
              <w:t xml:space="preserve">−0.0180</w:t>
            </w:r>
          </w:p>
        </w:tc>
        <w:tc>
          <w:tcPr>
            <w:tcW w:type="dxa" w:w="1872"/>
            <w:tcMar>
              <w:top w:type="dxa" w:w="60"/>
              <w:left w:type="dxa" w:w="100"/>
              <w:bottom w:type="dxa" w:w="60"/>
              <w:right w:type="dxa" w:w="100"/>
            </w:tcMar>
          </w:tcPr>
          <w:p>
            <w:pPr>
              <w:spacing w:after="0" w:before="0"/>
            </w:pPr>
            <w:r>
              <w:rPr>
                <w:b w:val="false"/>
                <w:bCs w:val="false"/>
                <w:sz w:val="19"/>
                <w:szCs w:val="19"/>
              </w:rPr>
              <w:t xml:space="preserve">0.2024</w:t>
            </w:r>
          </w:p>
        </w:tc>
        <w:tc>
          <w:tcPr>
            <w:tcW w:type="dxa" w:w="1872"/>
            <w:tcMar>
              <w:top w:type="dxa" w:w="60"/>
              <w:left w:type="dxa" w:w="100"/>
              <w:bottom w:type="dxa" w:w="60"/>
              <w:right w:type="dxa" w:w="100"/>
            </w:tcMar>
          </w:tcPr>
          <w:p>
            <w:pPr>
              <w:spacing w:after="0" w:before="0"/>
            </w:pPr>
            <w:r>
              <w:rPr>
                <w:b w:val="false"/>
                <w:bCs w:val="false"/>
                <w:sz w:val="19"/>
                <w:szCs w:val="19"/>
              </w:rPr>
              <w:t xml:space="preserve">0.2024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val="false"/>
                <w:bCs w:val="false"/>
                <w:sz w:val="19"/>
                <w:szCs w:val="19"/>
              </w:rPr>
              <w:t xml:space="preserve">8</w:t>
            </w:r>
          </w:p>
        </w:tc>
        <w:tc>
          <w:tcPr>
            <w:tcW w:type="dxa" w:w="1872"/>
            <w:tcMar>
              <w:top w:type="dxa" w:w="60"/>
              <w:left w:type="dxa" w:w="100"/>
              <w:bottom w:type="dxa" w:w="60"/>
              <w:right w:type="dxa" w:w="100"/>
            </w:tcMar>
          </w:tcPr>
          <w:p>
            <w:pPr>
              <w:spacing w:after="0" w:before="0"/>
            </w:pPr>
            <w:r>
              <w:rPr>
                <w:b w:val="false"/>
                <w:bCs w:val="false"/>
                <w:sz w:val="19"/>
                <w:szCs w:val="19"/>
              </w:rPr>
              <w:t xml:space="preserve">−0.0195</w:t>
            </w:r>
          </w:p>
        </w:tc>
        <w:tc>
          <w:tcPr>
            <w:tcW w:type="dxa" w:w="1872"/>
            <w:tcMar>
              <w:top w:type="dxa" w:w="60"/>
              <w:left w:type="dxa" w:w="100"/>
              <w:bottom w:type="dxa" w:w="60"/>
              <w:right w:type="dxa" w:w="100"/>
            </w:tcMar>
          </w:tcPr>
          <w:p>
            <w:pPr>
              <w:spacing w:after="0" w:before="0"/>
            </w:pPr>
            <w:r>
              <w:rPr>
                <w:b w:val="false"/>
                <w:bCs w:val="false"/>
                <w:sz w:val="19"/>
                <w:szCs w:val="19"/>
              </w:rPr>
              <w:t xml:space="preserve">0.0897</w:t>
            </w:r>
          </w:p>
        </w:tc>
        <w:tc>
          <w:tcPr>
            <w:tcW w:type="dxa" w:w="1872"/>
            <w:tcMar>
              <w:top w:type="dxa" w:w="60"/>
              <w:left w:type="dxa" w:w="100"/>
              <w:bottom w:type="dxa" w:w="60"/>
              <w:right w:type="dxa" w:w="100"/>
            </w:tcMar>
          </w:tcPr>
          <w:p>
            <w:pPr>
              <w:spacing w:after="0" w:before="0"/>
            </w:pPr>
            <w:r>
              <w:rPr>
                <w:b w:val="false"/>
                <w:bCs w:val="false"/>
                <w:sz w:val="19"/>
                <w:szCs w:val="19"/>
              </w:rPr>
              <w:t xml:space="preserve">0.1794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val="false"/>
                <w:bCs w:val="false"/>
                <w:sz w:val="19"/>
                <w:szCs w:val="19"/>
              </w:rPr>
              <w:t xml:space="preserve">10</w:t>
            </w:r>
          </w:p>
        </w:tc>
        <w:tc>
          <w:tcPr>
            <w:tcW w:type="dxa" w:w="1872"/>
            <w:tcMar>
              <w:top w:type="dxa" w:w="60"/>
              <w:left w:type="dxa" w:w="100"/>
              <w:bottom w:type="dxa" w:w="60"/>
              <w:right w:type="dxa" w:w="100"/>
            </w:tcMar>
          </w:tcPr>
          <w:p>
            <w:pPr>
              <w:spacing w:after="0" w:before="0"/>
            </w:pPr>
            <w:r>
              <w:rPr>
                <w:b w:val="false"/>
                <w:bCs w:val="false"/>
                <w:sz w:val="19"/>
                <w:szCs w:val="19"/>
              </w:rPr>
              <w:t xml:space="preserve">−0.0342</w:t>
            </w:r>
          </w:p>
        </w:tc>
        <w:tc>
          <w:tcPr>
            <w:tcW w:type="dxa" w:w="1872"/>
            <w:tcMar>
              <w:top w:type="dxa" w:w="60"/>
              <w:left w:type="dxa" w:w="100"/>
              <w:bottom w:type="dxa" w:w="60"/>
              <w:right w:type="dxa" w:w="100"/>
            </w:tcMar>
          </w:tcPr>
          <w:p>
            <w:pPr>
              <w:spacing w:after="0" w:before="0"/>
            </w:pPr>
            <w:r>
              <w:rPr>
                <w:b w:val="false"/>
                <w:bCs w:val="false"/>
                <w:sz w:val="19"/>
                <w:szCs w:val="19"/>
              </w:rPr>
              <w:t xml:space="preserve">0.0240</w:t>
            </w:r>
          </w:p>
        </w:tc>
        <w:tc>
          <w:tcPr>
            <w:tcW w:type="dxa" w:w="1872"/>
            <w:tcMar>
              <w:top w:type="dxa" w:w="60"/>
              <w:left w:type="dxa" w:w="100"/>
              <w:bottom w:type="dxa" w:w="60"/>
              <w:right w:type="dxa" w:w="100"/>
            </w:tcMar>
          </w:tcPr>
          <w:p>
            <w:pPr>
              <w:spacing w:after="0" w:before="0"/>
            </w:pPr>
            <w:r>
              <w:rPr>
                <w:b w:val="false"/>
                <w:bCs w:val="false"/>
                <w:sz w:val="19"/>
                <w:szCs w:val="19"/>
              </w:rPr>
              <w:t xml:space="preserve">0.0958</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bCs/>
                <w:sz w:val="19"/>
                <w:szCs w:val="19"/>
              </w:rPr>
              <w:t xml:space="preserve">12</w:t>
            </w:r>
          </w:p>
        </w:tc>
        <w:tc>
          <w:tcPr>
            <w:tcW w:type="dxa" w:w="1872"/>
            <w:tcMar>
              <w:top w:type="dxa" w:w="60"/>
              <w:left w:type="dxa" w:w="100"/>
              <w:bottom w:type="dxa" w:w="60"/>
              <w:right w:type="dxa" w:w="100"/>
            </w:tcMar>
          </w:tcPr>
          <w:p>
            <w:pPr>
              <w:spacing w:after="0" w:before="0"/>
            </w:pPr>
            <w:r>
              <w:rPr>
                <w:b/>
                <w:bCs/>
                <w:sz w:val="19"/>
                <w:szCs w:val="19"/>
              </w:rPr>
              <w:t xml:space="preserve">−0.0659</w:t>
            </w:r>
          </w:p>
        </w:tc>
        <w:tc>
          <w:tcPr>
            <w:tcW w:type="dxa" w:w="1872"/>
            <w:tcMar>
              <w:top w:type="dxa" w:w="60"/>
              <w:left w:type="dxa" w:w="100"/>
              <w:bottom w:type="dxa" w:w="60"/>
              <w:right w:type="dxa" w:w="100"/>
            </w:tcMar>
          </w:tcPr>
          <w:p>
            <w:pPr>
              <w:spacing w:after="0" w:before="0"/>
            </w:pPr>
            <w:r>
              <w:rPr>
                <w:b w:val="false"/>
                <w:bCs w:val="false"/>
                <w:sz w:val="19"/>
                <w:szCs w:val="19"/>
              </w:rPr>
              <w:t xml:space="preserve">9.54e-06</w:t>
            </w:r>
          </w:p>
        </w:tc>
        <w:tc>
          <w:tcPr>
            <w:tcW w:type="dxa" w:w="1872"/>
            <w:tcMar>
              <w:top w:type="dxa" w:w="60"/>
              <w:left w:type="dxa" w:w="100"/>
              <w:bottom w:type="dxa" w:w="60"/>
              <w:right w:type="dxa" w:w="100"/>
            </w:tcMar>
          </w:tcPr>
          <w:p>
            <w:pPr>
              <w:spacing w:after="0" w:before="0"/>
            </w:pPr>
            <w:r>
              <w:rPr>
                <w:b/>
                <w:bCs/>
                <w:sz w:val="19"/>
                <w:szCs w:val="19"/>
              </w:rPr>
              <w:t xml:space="preserve">4.77e-05</w:t>
            </w:r>
          </w:p>
        </w:tc>
      </w:tr>
      <w:tr>
        <w:tc>
          <w:tcPr>
            <w:tcW w:type="dxa" w:w="1872"/>
            <w:tcMar>
              <w:top w:type="dxa" w:w="60"/>
              <w:left w:type="dxa" w:w="100"/>
              <w:bottom w:type="dxa" w:w="60"/>
              <w:right w:type="dxa" w:w="100"/>
            </w:tcMar>
          </w:tcPr>
          <w:p>
            <w:pPr>
              <w:spacing w:after="0" w:before="0"/>
            </w:pPr>
            <w:r>
              <w:rPr>
                <w:b w:val="false"/>
                <w:bCs w:val="false"/>
                <w:sz w:val="19"/>
                <w:szCs w:val="19"/>
              </w:rPr>
              <w:t xml:space="preserve">per mapping</w:t>
            </w:r>
          </w:p>
        </w:tc>
        <w:tc>
          <w:tcPr>
            <w:tcW w:type="dxa" w:w="1872"/>
            <w:tcMar>
              <w:top w:type="dxa" w:w="60"/>
              <w:left w:type="dxa" w:w="100"/>
              <w:bottom w:type="dxa" w:w="60"/>
              <w:right w:type="dxa" w:w="100"/>
            </w:tcMar>
          </w:tcPr>
          <w:p>
            <w:pPr>
              <w:spacing w:after="0" w:before="0"/>
            </w:pPr>
            <w:r>
              <w:rPr>
                <w:b/>
                <w:bCs/>
                <w:sz w:val="19"/>
                <w:szCs w:val="19"/>
              </w:rPr>
              <w:t xml:space="preserve">pca</w:t>
            </w:r>
          </w:p>
        </w:tc>
        <w:tc>
          <w:tcPr>
            <w:tcW w:type="dxa" w:w="1872"/>
            <w:tcMar>
              <w:top w:type="dxa" w:w="60"/>
              <w:left w:type="dxa" w:w="100"/>
              <w:bottom w:type="dxa" w:w="60"/>
              <w:right w:type="dxa" w:w="100"/>
            </w:tcMar>
          </w:tcPr>
          <w:p>
            <w:pPr>
              <w:spacing w:after="0" w:before="0"/>
            </w:pPr>
            <w:r>
              <w:rPr>
                <w:b/>
                <w:bCs/>
                <w:sz w:val="19"/>
                <w:szCs w:val="19"/>
              </w:rPr>
              <w:t xml:space="preserve">−0.0385</w:t>
            </w:r>
          </w:p>
        </w:tc>
        <w:tc>
          <w:tcPr>
            <w:tcW w:type="dxa" w:w="1872"/>
            <w:tcMar>
              <w:top w:type="dxa" w:w="60"/>
              <w:left w:type="dxa" w:w="100"/>
              <w:bottom w:type="dxa" w:w="60"/>
              <w:right w:type="dxa" w:w="100"/>
            </w:tcMar>
          </w:tcPr>
          <w:p>
            <w:pPr>
              <w:spacing w:after="0" w:before="0"/>
            </w:pPr>
            <w:r>
              <w:rPr>
                <w:b w:val="false"/>
                <w:bCs w:val="false"/>
                <w:sz w:val="19"/>
                <w:szCs w:val="19"/>
              </w:rPr>
              <w:t xml:space="preserve">0.0094</w:t>
            </w:r>
          </w:p>
        </w:tc>
        <w:tc>
          <w:tcPr>
            <w:tcW w:type="dxa" w:w="1872"/>
            <w:tcMar>
              <w:top w:type="dxa" w:w="60"/>
              <w:left w:type="dxa" w:w="100"/>
              <w:bottom w:type="dxa" w:w="60"/>
              <w:right w:type="dxa" w:w="100"/>
            </w:tcMar>
          </w:tcPr>
          <w:p>
            <w:pPr>
              <w:spacing w:after="0" w:before="0"/>
            </w:pPr>
            <w:r>
              <w:rPr>
                <w:b/>
                <w:bCs/>
                <w:sz w:val="19"/>
                <w:szCs w:val="19"/>
              </w:rPr>
              <w:t xml:space="preserve">0.0189</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val="false"/>
                <w:bCs w:val="false"/>
                <w:sz w:val="19"/>
                <w:szCs w:val="19"/>
              </w:rPr>
              <w:t xml:space="preserve">randproj</w:t>
            </w:r>
          </w:p>
        </w:tc>
        <w:tc>
          <w:tcPr>
            <w:tcW w:type="dxa" w:w="1872"/>
            <w:tcMar>
              <w:top w:type="dxa" w:w="60"/>
              <w:left w:type="dxa" w:w="100"/>
              <w:bottom w:type="dxa" w:w="60"/>
              <w:right w:type="dxa" w:w="100"/>
            </w:tcMar>
          </w:tcPr>
          <w:p>
            <w:pPr>
              <w:spacing w:after="0" w:before="0"/>
            </w:pPr>
            <w:r>
              <w:rPr>
                <w:b w:val="false"/>
                <w:bCs w:val="false"/>
                <w:sz w:val="19"/>
                <w:szCs w:val="19"/>
              </w:rPr>
              <w:t xml:space="preserve">−0.0084</w:t>
            </w:r>
          </w:p>
        </w:tc>
        <w:tc>
          <w:tcPr>
            <w:tcW w:type="dxa" w:w="1872"/>
            <w:tcMar>
              <w:top w:type="dxa" w:w="60"/>
              <w:left w:type="dxa" w:w="100"/>
              <w:bottom w:type="dxa" w:w="60"/>
              <w:right w:type="dxa" w:w="100"/>
            </w:tcMar>
          </w:tcPr>
          <w:p>
            <w:pPr>
              <w:spacing w:after="0" w:before="0"/>
            </w:pPr>
            <w:r>
              <w:rPr>
                <w:b w:val="false"/>
                <w:bCs w:val="false"/>
                <w:sz w:val="19"/>
                <w:szCs w:val="19"/>
              </w:rPr>
              <w:t xml:space="preserve">0.3884</w:t>
            </w:r>
          </w:p>
        </w:tc>
        <w:tc>
          <w:tcPr>
            <w:tcW w:type="dxa" w:w="1872"/>
            <w:tcMar>
              <w:top w:type="dxa" w:w="60"/>
              <w:left w:type="dxa" w:w="100"/>
              <w:bottom w:type="dxa" w:w="60"/>
              <w:right w:type="dxa" w:w="100"/>
            </w:tcMar>
          </w:tcPr>
          <w:p>
            <w:pPr>
              <w:spacing w:after="0" w:before="0"/>
            </w:pPr>
            <w:r>
              <w:rPr>
                <w:b w:val="false"/>
                <w:bCs w:val="false"/>
                <w:sz w:val="19"/>
                <w:szCs w:val="19"/>
              </w:rPr>
              <w:t xml:space="preserve">0.3884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bCs/>
                <w:sz w:val="19"/>
                <w:szCs w:val="19"/>
              </w:rPr>
              <w:t xml:space="preserve">selectk</w:t>
            </w:r>
          </w:p>
        </w:tc>
        <w:tc>
          <w:tcPr>
            <w:tcW w:type="dxa" w:w="1872"/>
            <w:tcMar>
              <w:top w:type="dxa" w:w="60"/>
              <w:left w:type="dxa" w:w="100"/>
              <w:bottom w:type="dxa" w:w="60"/>
              <w:right w:type="dxa" w:w="100"/>
            </w:tcMar>
          </w:tcPr>
          <w:p>
            <w:pPr>
              <w:spacing w:after="0" w:before="0"/>
            </w:pPr>
            <w:r>
              <w:rPr>
                <w:b/>
                <w:bCs/>
                <w:sz w:val="19"/>
                <w:szCs w:val="19"/>
              </w:rPr>
              <w:t xml:space="preserve">−0.0478</w:t>
            </w:r>
          </w:p>
        </w:tc>
        <w:tc>
          <w:tcPr>
            <w:tcW w:type="dxa" w:w="1872"/>
            <w:tcMar>
              <w:top w:type="dxa" w:w="60"/>
              <w:left w:type="dxa" w:w="100"/>
              <w:bottom w:type="dxa" w:w="60"/>
              <w:right w:type="dxa" w:w="100"/>
            </w:tcMar>
          </w:tcPr>
          <w:p>
            <w:pPr>
              <w:spacing w:after="0" w:before="0"/>
            </w:pPr>
            <w:r>
              <w:rPr>
                <w:b w:val="false"/>
                <w:bCs w:val="false"/>
                <w:sz w:val="19"/>
                <w:szCs w:val="19"/>
              </w:rPr>
              <w:t xml:space="preserve">0.0020</w:t>
            </w:r>
          </w:p>
        </w:tc>
        <w:tc>
          <w:tcPr>
            <w:tcW w:type="dxa" w:w="1872"/>
            <w:tcMar>
              <w:top w:type="dxa" w:w="60"/>
              <w:left w:type="dxa" w:w="100"/>
              <w:bottom w:type="dxa" w:w="60"/>
              <w:right w:type="dxa" w:w="100"/>
            </w:tcMar>
          </w:tcPr>
          <w:p>
            <w:pPr>
              <w:spacing w:after="0" w:before="0"/>
            </w:pPr>
            <w:r>
              <w:rPr>
                <w:b/>
                <w:bCs/>
                <w:sz w:val="19"/>
                <w:szCs w:val="19"/>
              </w:rPr>
              <w:t xml:space="preserve">0.0060</w:t>
            </w:r>
          </w:p>
        </w:tc>
      </w:tr>
      <w:tr>
        <w:tc>
          <w:tcPr>
            <w:tcW w:type="dxa" w:w="1872"/>
            <w:tcMar>
              <w:top w:type="dxa" w:w="60"/>
              <w:left w:type="dxa" w:w="100"/>
              <w:bottom w:type="dxa" w:w="60"/>
              <w:right w:type="dxa" w:w="100"/>
            </w:tcMar>
          </w:tcPr>
          <w:p>
            <w:pPr>
              <w:spacing w:after="0" w:before="0"/>
            </w:pPr>
            <w:r>
              <w:rPr>
                <w:b w:val="false"/>
                <w:bCs w:val="false"/>
                <w:sz w:val="19"/>
                <w:szCs w:val="19"/>
              </w:rPr>
              <w:t xml:space="preserve">training size</w:t>
            </w:r>
          </w:p>
        </w:tc>
        <w:tc>
          <w:tcPr>
            <w:tcW w:type="dxa" w:w="1872"/>
            <w:tcMar>
              <w:top w:type="dxa" w:w="60"/>
              <w:left w:type="dxa" w:w="100"/>
              <w:bottom w:type="dxa" w:w="60"/>
              <w:right w:type="dxa" w:w="100"/>
            </w:tcMar>
          </w:tcPr>
          <w:p>
            <w:pPr>
              <w:spacing w:after="0" w:before="0"/>
            </w:pPr>
            <w:r>
              <w:rPr>
                <w:b/>
                <w:bCs/>
                <w:sz w:val="19"/>
                <w:szCs w:val="19"/>
              </w:rPr>
              <w:t xml:space="preserve">100</w:t>
            </w:r>
          </w:p>
        </w:tc>
        <w:tc>
          <w:tcPr>
            <w:tcW w:type="dxa" w:w="1872"/>
            <w:tcMar>
              <w:top w:type="dxa" w:w="60"/>
              <w:left w:type="dxa" w:w="100"/>
              <w:bottom w:type="dxa" w:w="60"/>
              <w:right w:type="dxa" w:w="100"/>
            </w:tcMar>
          </w:tcPr>
          <w:p>
            <w:pPr>
              <w:spacing w:after="0" w:before="0"/>
            </w:pPr>
            <w:r>
              <w:rPr>
                <w:b/>
                <w:bCs/>
                <w:sz w:val="19"/>
                <w:szCs w:val="19"/>
              </w:rPr>
              <w:t xml:space="preserve">−0.0268</w:t>
            </w:r>
          </w:p>
        </w:tc>
        <w:tc>
          <w:tcPr>
            <w:tcW w:type="dxa" w:w="1872"/>
            <w:tcMar>
              <w:top w:type="dxa" w:w="60"/>
              <w:left w:type="dxa" w:w="100"/>
              <w:bottom w:type="dxa" w:w="60"/>
              <w:right w:type="dxa" w:w="100"/>
            </w:tcMar>
          </w:tcPr>
          <w:p>
            <w:pPr>
              <w:spacing w:after="0" w:before="0"/>
            </w:pPr>
            <w:r>
              <w:rPr>
                <w:b w:val="false"/>
                <w:bCs w:val="false"/>
                <w:sz w:val="19"/>
                <w:szCs w:val="19"/>
              </w:rPr>
              <w:t xml:space="preserve">0.0064</w:t>
            </w:r>
          </w:p>
        </w:tc>
        <w:tc>
          <w:tcPr>
            <w:tcW w:type="dxa" w:w="1872"/>
            <w:tcMar>
              <w:top w:type="dxa" w:w="60"/>
              <w:left w:type="dxa" w:w="100"/>
              <w:bottom w:type="dxa" w:w="60"/>
              <w:right w:type="dxa" w:w="100"/>
            </w:tcMar>
          </w:tcPr>
          <w:p>
            <w:pPr>
              <w:spacing w:after="0" w:before="0"/>
            </w:pPr>
            <w:r>
              <w:rPr>
                <w:b/>
                <w:bCs/>
                <w:sz w:val="19"/>
                <w:szCs w:val="19"/>
              </w:rPr>
              <w:t xml:space="preserve">0.0064</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bCs/>
                <w:sz w:val="19"/>
                <w:szCs w:val="19"/>
              </w:rPr>
              <w:t xml:space="preserve">250</w:t>
            </w:r>
          </w:p>
        </w:tc>
        <w:tc>
          <w:tcPr>
            <w:tcW w:type="dxa" w:w="1872"/>
            <w:tcMar>
              <w:top w:type="dxa" w:w="60"/>
              <w:left w:type="dxa" w:w="100"/>
              <w:bottom w:type="dxa" w:w="60"/>
              <w:right w:type="dxa" w:w="100"/>
            </w:tcMar>
          </w:tcPr>
          <w:p>
            <w:pPr>
              <w:spacing w:after="0" w:before="0"/>
            </w:pPr>
            <w:r>
              <w:rPr>
                <w:b/>
                <w:bCs/>
                <w:sz w:val="19"/>
                <w:szCs w:val="19"/>
              </w:rPr>
              <w:t xml:space="preserve">−0.0316</w:t>
            </w:r>
          </w:p>
        </w:tc>
        <w:tc>
          <w:tcPr>
            <w:tcW w:type="dxa" w:w="1872"/>
            <w:tcMar>
              <w:top w:type="dxa" w:w="60"/>
              <w:left w:type="dxa" w:w="100"/>
              <w:bottom w:type="dxa" w:w="60"/>
              <w:right w:type="dxa" w:w="100"/>
            </w:tcMar>
          </w:tcPr>
          <w:p>
            <w:pPr>
              <w:spacing w:after="0" w:before="0"/>
            </w:pPr>
            <w:r>
              <w:rPr>
                <w:b w:val="false"/>
                <w:bCs w:val="false"/>
                <w:sz w:val="19"/>
                <w:szCs w:val="19"/>
              </w:rPr>
              <w:t xml:space="preserve">8.51e-04</w:t>
            </w:r>
          </w:p>
        </w:tc>
        <w:tc>
          <w:tcPr>
            <w:tcW w:type="dxa" w:w="1872"/>
            <w:tcMar>
              <w:top w:type="dxa" w:w="60"/>
              <w:left w:type="dxa" w:w="100"/>
              <w:bottom w:type="dxa" w:w="60"/>
              <w:right w:type="dxa" w:w="100"/>
            </w:tcMar>
          </w:tcPr>
          <w:p>
            <w:pPr>
              <w:spacing w:after="0" w:before="0"/>
            </w:pPr>
            <w:r>
              <w:rPr>
                <w:b/>
                <w:bCs/>
                <w:sz w:val="19"/>
                <w:szCs w:val="19"/>
              </w:rPr>
              <w:t xml:space="preserve">0.0017</w:t>
            </w:r>
          </w:p>
        </w:tc>
      </w:tr>
      <w:tr>
        <w:tc>
          <w:tcPr>
            <w:tcW w:type="dxa" w:w="1872"/>
            <w:tcMar>
              <w:top w:type="dxa" w:w="60"/>
              <w:left w:type="dxa" w:w="100"/>
              <w:bottom w:type="dxa" w:w="60"/>
              <w:right w:type="dxa" w:w="100"/>
            </w:tcMar>
          </w:tcPr>
          <w:p>
            <w:pPr>
              <w:spacing w:after="0" w:before="0"/>
            </w:pPr>
            <w:r>
              <w:rPr>
                <w:b w:val="false"/>
                <w:bCs w:val="false"/>
                <w:sz w:val="19"/>
                <w:szCs w:val="19"/>
              </w:rPr>
              <w:t xml:space="preserve"/>
            </w:r>
          </w:p>
        </w:tc>
        <w:tc>
          <w:tcPr>
            <w:tcW w:type="dxa" w:w="1872"/>
            <w:tcMar>
              <w:top w:type="dxa" w:w="60"/>
              <w:left w:type="dxa" w:w="100"/>
              <w:bottom w:type="dxa" w:w="60"/>
              <w:right w:type="dxa" w:w="100"/>
            </w:tcMar>
          </w:tcPr>
          <w:p>
            <w:pPr>
              <w:spacing w:after="0" w:before="0"/>
            </w:pPr>
            <w:r>
              <w:rPr>
                <w:b w:val="false"/>
                <w:bCs w:val="false"/>
                <w:sz w:val="19"/>
                <w:szCs w:val="19"/>
              </w:rPr>
              <w:t xml:space="preserve">50</w:t>
            </w:r>
          </w:p>
        </w:tc>
        <w:tc>
          <w:tcPr>
            <w:tcW w:type="dxa" w:w="1872"/>
            <w:tcMar>
              <w:top w:type="dxa" w:w="60"/>
              <w:left w:type="dxa" w:w="100"/>
              <w:bottom w:type="dxa" w:w="60"/>
              <w:right w:type="dxa" w:w="100"/>
            </w:tcMar>
          </w:tcPr>
          <w:p>
            <w:pPr>
              <w:spacing w:after="0" w:before="0"/>
            </w:pPr>
            <w:r>
              <w:rPr>
                <w:b w:val="false"/>
                <w:bCs w:val="false"/>
                <w:sz w:val="19"/>
                <w:szCs w:val="19"/>
              </w:rPr>
              <w:t xml:space="preserve">−0.0315</w:t>
            </w:r>
          </w:p>
        </w:tc>
        <w:tc>
          <w:tcPr>
            <w:tcW w:type="dxa" w:w="1872"/>
            <w:tcMar>
              <w:top w:type="dxa" w:w="60"/>
              <w:left w:type="dxa" w:w="100"/>
              <w:bottom w:type="dxa" w:w="60"/>
              <w:right w:type="dxa" w:w="100"/>
            </w:tcMar>
          </w:tcPr>
          <w:p>
            <w:pPr>
              <w:spacing w:after="0" w:before="0"/>
            </w:pPr>
            <w:r>
              <w:rPr>
                <w:b w:val="false"/>
                <w:bCs w:val="false"/>
                <w:sz w:val="19"/>
                <w:szCs w:val="19"/>
              </w:rPr>
              <w:t xml:space="preserve">not tested</w:t>
            </w:r>
          </w:p>
        </w:tc>
        <w:tc>
          <w:tcPr>
            <w:tcW w:type="dxa" w:w="1872"/>
            <w:tcMar>
              <w:top w:type="dxa" w:w="60"/>
              <w:left w:type="dxa" w:w="100"/>
              <w:bottom w:type="dxa" w:w="60"/>
              <w:right w:type="dxa" w:w="100"/>
            </w:tcMar>
          </w:tcPr>
          <w:p>
            <w:pPr>
              <w:spacing w:after="0" w:before="0"/>
            </w:pPr>
            <w:r>
              <w:rPr>
                <w:b w:val="false"/>
                <w:bCs w:val="false"/>
                <w:sz w:val="19"/>
                <w:szCs w:val="19"/>
              </w:rPr>
              <w:t xml:space="preserve">—</w:t>
            </w:r>
          </w:p>
        </w:tc>
      </w:tr>
    </w:tbl>
    <w:p>
      <w:pPr>
        <w:spacing w:after="160"/>
      </w:pPr>
    </w:p>
    <w:p>
      <w:pPr>
        <w:spacing w:after="140"/>
        <w:jc w:val="left"/>
      </w:pPr>
      <w:r>
        <w:t xml:space="preserve">The 50-per-class arm is excluded from testing by pre-registration line 104 (</w:t>
      </w:r>
      <w:r>
        <w:rPr>
          <w:i/>
          <w:iCs/>
        </w:rPr>
        <w:t xml:space="preserve">"run for the shape of the learning curve and is not used for hypothesis testing"</w:t>
      </w:r>
      <w:r>
        <w:t xml:space="preserve">) and is enforced in code rather than remembered.</w:t>
      </w:r>
    </w:p>
    <w:p>
      <w:pPr>
        <w:spacing w:after="140"/>
        <w:jc w:val="left"/>
      </w:pPr>
      <w:r>
        <w:rPr>
          <w:b/>
          <w:bCs/>
        </w:rPr>
        <w:t xml:space="preserve">The trend that may not be claimed.</w:t>
      </w:r>
      <w:r>
        <w:t xml:space="preserve"> The cell-level trend is </w:t>
      </w:r>
      <w:r>
        <w:rPr>
          <w:b/>
          <w:bCs/>
        </w:rPr>
        <w:t xml:space="preserve">rho −0.4692, p 0.0777 on n = 15 cells — not significant.</w:t>
      </w:r>
      <w:r>
        <w:t xml:space="preserve"> The defensible statement is that the deficit is largest at 12 qubits. "The deficit deepens with qubit count" is not supported, and reaching for it would be week 4 items 7 and 10 repeated: a trend inferred from a single striking level, on a unit that was already got wrong once in this project.</w:t>
      </w:r>
    </w:p>
    <w:p>
      <w:pPr>
        <w:pStyle w:val="Heading2"/>
        <w:spacing w:after="100" w:before="200"/>
      </w:pPr>
      <w:r>
        <w:rPr>
          <w:b/>
          <w:bCs/>
          <w:color w:val="000000"/>
          <w:sz w:val="22"/>
          <w:szCs w:val="22"/>
        </w:rPr>
        <w:t xml:space="preserve">Fraud</w:t>
      </w:r>
    </w:p>
    <w:p>
      <w:pPr>
        <w:spacing w:after="140"/>
        <w:jc w:val="left"/>
      </w:pPr>
      <w:r>
        <w:t xml:space="preserve">Nothing survives anywhere. Largest magnitude +0.0045, no Holm-adjusted p below 0.19, cell-level trend rho −0.1528 p 0.5868.</w:t>
      </w:r>
    </w:p>
    <w:p>
      <w:pPr>
        <w:spacing w:after="140"/>
        <w:jc w:val="left"/>
      </w:pPr>
      <w:r>
        <w:t xml:space="preserve">Three figures are </w:t>
      </w:r>
      <w:r>
        <w:rPr>
          <w:b/>
          <w:bCs/>
        </w:rPr>
        <w:t xml:space="preserve">below D2's floor and are not measurements</w:t>
      </w:r>
      <w:r>
        <w:t xml:space="preserve">: qubit 10 at −0.0008, randproj at +0.0003, training size 250 at −0.0000. They carry </w:t>
      </w:r>
      <w:r>
        <w:rPr>
          <w:rFonts w:ascii="Consolas" w:cs="Consolas" w:eastAsia="Consolas" w:hAnsi="Consolas"/>
          <w:sz w:val="19"/>
          <w:szCs w:val="19"/>
        </w:rPr>
        <w:t xml:space="preserve">below_d2_floor</w:t>
      </w:r>
      <w:r>
        <w:t xml:space="preserve"> in the JSON and print as such.</w:t>
      </w:r>
    </w:p>
    <w:p>
      <w:pPr>
        <w:pStyle w:val="Heading2"/>
        <w:spacing w:after="100" w:before="200"/>
      </w:pPr>
      <w:r>
        <w:rPr>
          <w:b/>
          <w:bCs/>
          <w:color w:val="000000"/>
          <w:sz w:val="22"/>
          <w:szCs w:val="22"/>
        </w:rPr>
        <w:t xml:space="preserve">The learning curve, descriptive</w:t>
      </w:r>
    </w:p>
    <w:p>
      <w:pPr>
        <w:spacing w:after="140"/>
        <w:jc w:val="left"/>
      </w:pPr>
      <w:r>
        <w:t xml:space="preserve">Best cell per training size, corrected normAP, each arm selected independently by inner CV.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DEDED" w:val="clear"/>
            <w:tcMar>
              <w:top w:type="dxa" w:w="60"/>
              <w:left w:type="dxa" w:w="100"/>
              <w:bottom w:type="dxa" w:w="60"/>
              <w:right w:type="dxa" w:w="100"/>
            </w:tcMar>
          </w:tcPr>
          <w:p>
            <w:pPr>
              <w:spacing w:after="0" w:before="0"/>
            </w:pPr>
            <w:r>
              <w:rPr>
                <w:b/>
                <w:bCs/>
                <w:sz w:val="19"/>
                <w:szCs w:val="19"/>
              </w:rPr>
              <w:t xml:space="preserve">n/class</w:t>
            </w:r>
          </w:p>
        </w:tc>
        <w:tc>
          <w:tcPr>
            <w:tcW w:type="dxa" w:w="3120"/>
            <w:shd w:fill="EDEDED" w:val="clear"/>
            <w:tcMar>
              <w:top w:type="dxa" w:w="60"/>
              <w:left w:type="dxa" w:w="100"/>
              <w:bottom w:type="dxa" w:w="60"/>
              <w:right w:type="dxa" w:w="100"/>
            </w:tcMar>
          </w:tcPr>
          <w:p>
            <w:pPr>
              <w:spacing w:after="0" w:before="0"/>
            </w:pPr>
            <w:r>
              <w:rPr>
                <w:b/>
                <w:bCs/>
                <w:sz w:val="19"/>
                <w:szCs w:val="19"/>
              </w:rPr>
              <w:t xml:space="preserve">best quantum</w:t>
            </w:r>
          </w:p>
        </w:tc>
        <w:tc>
          <w:tcPr>
            <w:tcW w:type="dxa" w:w="3120"/>
            <w:shd w:fill="EDEDED" w:val="clear"/>
            <w:tcMar>
              <w:top w:type="dxa" w:w="60"/>
              <w:left w:type="dxa" w:w="100"/>
              <w:bottom w:type="dxa" w:w="60"/>
              <w:right w:type="dxa" w:w="100"/>
            </w:tcMar>
          </w:tcPr>
          <w:p>
            <w:pPr>
              <w:spacing w:after="0" w:before="0"/>
            </w:pPr>
            <w:r>
              <w:rPr>
                <w:b/>
                <w:bCs/>
                <w:sz w:val="19"/>
                <w:szCs w:val="19"/>
              </w:rPr>
              <w:t xml:space="preserve">best classical</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churn 50</w:t>
            </w:r>
          </w:p>
        </w:tc>
        <w:tc>
          <w:tcPr>
            <w:tcW w:type="dxa" w:w="3120"/>
            <w:tcMar>
              <w:top w:type="dxa" w:w="60"/>
              <w:left w:type="dxa" w:w="100"/>
              <w:bottom w:type="dxa" w:w="60"/>
              <w:right w:type="dxa" w:w="100"/>
            </w:tcMar>
          </w:tcPr>
          <w:p>
            <w:pPr>
              <w:spacing w:after="0" w:before="0"/>
            </w:pPr>
            <w:r>
              <w:rPr>
                <w:b w:val="false"/>
                <w:bCs w:val="false"/>
                <w:sz w:val="19"/>
                <w:szCs w:val="19"/>
              </w:rPr>
              <w:t xml:space="preserve">pca/4, 0.4631</w:t>
            </w:r>
          </w:p>
        </w:tc>
        <w:tc>
          <w:tcPr>
            <w:tcW w:type="dxa" w:w="3120"/>
            <w:tcMar>
              <w:top w:type="dxa" w:w="60"/>
              <w:left w:type="dxa" w:w="100"/>
              <w:bottom w:type="dxa" w:w="60"/>
              <w:right w:type="dxa" w:w="100"/>
            </w:tcMar>
          </w:tcPr>
          <w:p>
            <w:pPr>
              <w:spacing w:after="0" w:before="0"/>
            </w:pPr>
            <w:r>
              <w:rPr>
                <w:b w:val="false"/>
                <w:bCs w:val="false"/>
                <w:sz w:val="19"/>
                <w:szCs w:val="19"/>
              </w:rPr>
              <w:t xml:space="preserve">pca/6, 0.4609</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churn 100</w:t>
            </w:r>
          </w:p>
        </w:tc>
        <w:tc>
          <w:tcPr>
            <w:tcW w:type="dxa" w:w="3120"/>
            <w:tcMar>
              <w:top w:type="dxa" w:w="60"/>
              <w:left w:type="dxa" w:w="100"/>
              <w:bottom w:type="dxa" w:w="60"/>
              <w:right w:type="dxa" w:w="100"/>
            </w:tcMar>
          </w:tcPr>
          <w:p>
            <w:pPr>
              <w:spacing w:after="0" w:before="0"/>
            </w:pPr>
            <w:r>
              <w:rPr>
                <w:b w:val="false"/>
                <w:bCs w:val="false"/>
                <w:sz w:val="19"/>
                <w:szCs w:val="19"/>
              </w:rPr>
              <w:t xml:space="preserve">pca/10, 0.5534</w:t>
            </w:r>
          </w:p>
        </w:tc>
        <w:tc>
          <w:tcPr>
            <w:tcW w:type="dxa" w:w="3120"/>
            <w:tcMar>
              <w:top w:type="dxa" w:w="60"/>
              <w:left w:type="dxa" w:w="100"/>
              <w:bottom w:type="dxa" w:w="60"/>
              <w:right w:type="dxa" w:w="100"/>
            </w:tcMar>
          </w:tcPr>
          <w:p>
            <w:pPr>
              <w:spacing w:after="0" w:before="0"/>
            </w:pPr>
            <w:r>
              <w:rPr>
                <w:b w:val="false"/>
                <w:bCs w:val="false"/>
                <w:sz w:val="19"/>
                <w:szCs w:val="19"/>
              </w:rPr>
              <w:t xml:space="preserve">pca/10, 0.6044</w:t>
            </w:r>
          </w:p>
        </w:tc>
      </w:tr>
      <w:tr>
        <w:tc>
          <w:tcPr>
            <w:tcW w:type="dxa" w:w="3120"/>
            <w:tcMar>
              <w:top w:type="dxa" w:w="60"/>
              <w:left w:type="dxa" w:w="100"/>
              <w:bottom w:type="dxa" w:w="60"/>
              <w:right w:type="dxa" w:w="100"/>
            </w:tcMar>
          </w:tcPr>
          <w:p>
            <w:pPr>
              <w:spacing w:after="0" w:before="0"/>
            </w:pPr>
            <w:r>
              <w:rPr>
                <w:b w:val="false"/>
                <w:bCs w:val="false"/>
                <w:sz w:val="19"/>
                <w:szCs w:val="19"/>
              </w:rPr>
              <w:t xml:space="preserve">churn 250</w:t>
            </w:r>
          </w:p>
        </w:tc>
        <w:tc>
          <w:tcPr>
            <w:tcW w:type="dxa" w:w="3120"/>
            <w:tcMar>
              <w:top w:type="dxa" w:w="60"/>
              <w:left w:type="dxa" w:w="100"/>
              <w:bottom w:type="dxa" w:w="60"/>
              <w:right w:type="dxa" w:w="100"/>
            </w:tcMar>
          </w:tcPr>
          <w:p>
            <w:pPr>
              <w:spacing w:after="0" w:before="0"/>
            </w:pPr>
            <w:r>
              <w:rPr>
                <w:b w:val="false"/>
                <w:bCs w:val="false"/>
                <w:sz w:val="19"/>
                <w:szCs w:val="19"/>
              </w:rPr>
              <w:t xml:space="preserve">pca/4, 0.5853</w:t>
            </w:r>
          </w:p>
        </w:tc>
        <w:tc>
          <w:tcPr>
            <w:tcW w:type="dxa" w:w="3120"/>
            <w:tcMar>
              <w:top w:type="dxa" w:w="60"/>
              <w:left w:type="dxa" w:w="100"/>
              <w:bottom w:type="dxa" w:w="60"/>
              <w:right w:type="dxa" w:w="100"/>
            </w:tcMar>
          </w:tcPr>
          <w:p>
            <w:pPr>
              <w:spacing w:after="0" w:before="0"/>
            </w:pPr>
            <w:r>
              <w:rPr>
                <w:b w:val="false"/>
                <w:bCs w:val="false"/>
                <w:sz w:val="19"/>
                <w:szCs w:val="19"/>
              </w:rPr>
              <w:t xml:space="preserve">pca/12, 0.6137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fraud 50</w:t>
            </w:r>
          </w:p>
        </w:tc>
        <w:tc>
          <w:tcPr>
            <w:tcW w:type="dxa" w:w="3120"/>
            <w:tcMar>
              <w:top w:type="dxa" w:w="60"/>
              <w:left w:type="dxa" w:w="100"/>
              <w:bottom w:type="dxa" w:w="60"/>
              <w:right w:type="dxa" w:w="100"/>
            </w:tcMar>
          </w:tcPr>
          <w:p>
            <w:pPr>
              <w:spacing w:after="0" w:before="0"/>
            </w:pPr>
            <w:r>
              <w:rPr>
                <w:b w:val="false"/>
                <w:bCs w:val="false"/>
                <w:sz w:val="19"/>
                <w:szCs w:val="19"/>
              </w:rPr>
              <w:t xml:space="preserve">selectk/8, 0.9434</w:t>
            </w:r>
          </w:p>
        </w:tc>
        <w:tc>
          <w:tcPr>
            <w:tcW w:type="dxa" w:w="3120"/>
            <w:tcMar>
              <w:top w:type="dxa" w:w="60"/>
              <w:left w:type="dxa" w:w="100"/>
              <w:bottom w:type="dxa" w:w="60"/>
              <w:right w:type="dxa" w:w="100"/>
            </w:tcMar>
          </w:tcPr>
          <w:p>
            <w:pPr>
              <w:spacing w:after="0" w:before="0"/>
            </w:pPr>
            <w:r>
              <w:rPr>
                <w:b w:val="false"/>
                <w:bCs w:val="false"/>
                <w:sz w:val="19"/>
                <w:szCs w:val="19"/>
              </w:rPr>
              <w:t xml:space="preserve">selectk/8, 0.9564</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fraud 100</w:t>
            </w:r>
          </w:p>
        </w:tc>
        <w:tc>
          <w:tcPr>
            <w:tcW w:type="dxa" w:w="3120"/>
            <w:tcMar>
              <w:top w:type="dxa" w:w="60"/>
              <w:left w:type="dxa" w:w="100"/>
              <w:bottom w:type="dxa" w:w="60"/>
              <w:right w:type="dxa" w:w="100"/>
            </w:tcMar>
          </w:tcPr>
          <w:p>
            <w:pPr>
              <w:spacing w:after="0" w:before="0"/>
            </w:pPr>
            <w:r>
              <w:rPr>
                <w:b w:val="false"/>
                <w:bCs w:val="false"/>
                <w:sz w:val="19"/>
                <w:szCs w:val="19"/>
              </w:rPr>
              <w:t xml:space="preserve">selectk/10, 0.9533</w:t>
            </w:r>
          </w:p>
        </w:tc>
        <w:tc>
          <w:tcPr>
            <w:tcW w:type="dxa" w:w="3120"/>
            <w:tcMar>
              <w:top w:type="dxa" w:w="60"/>
              <w:left w:type="dxa" w:w="100"/>
              <w:bottom w:type="dxa" w:w="60"/>
              <w:right w:type="dxa" w:w="100"/>
            </w:tcMar>
          </w:tcPr>
          <w:p>
            <w:pPr>
              <w:spacing w:after="0" w:before="0"/>
            </w:pPr>
            <w:r>
              <w:rPr>
                <w:b w:val="false"/>
                <w:bCs w:val="false"/>
                <w:sz w:val="19"/>
                <w:szCs w:val="19"/>
              </w:rPr>
              <w:t xml:space="preserve">selectk/12, 0.9597</w:t>
            </w:r>
          </w:p>
        </w:tc>
      </w:tr>
      <w:tr>
        <w:tc>
          <w:tcPr>
            <w:tcW w:type="dxa" w:w="3120"/>
            <w:tcMar>
              <w:top w:type="dxa" w:w="60"/>
              <w:left w:type="dxa" w:w="100"/>
              <w:bottom w:type="dxa" w:w="60"/>
              <w:right w:type="dxa" w:w="100"/>
            </w:tcMar>
          </w:tcPr>
          <w:p>
            <w:pPr>
              <w:spacing w:after="0" w:before="0"/>
            </w:pPr>
            <w:r>
              <w:rPr>
                <w:b w:val="false"/>
                <w:bCs w:val="false"/>
                <w:sz w:val="19"/>
                <w:szCs w:val="19"/>
              </w:rPr>
              <w:t xml:space="preserve">fraud 250</w:t>
            </w:r>
          </w:p>
        </w:tc>
        <w:tc>
          <w:tcPr>
            <w:tcW w:type="dxa" w:w="3120"/>
            <w:tcMar>
              <w:top w:type="dxa" w:w="60"/>
              <w:left w:type="dxa" w:w="100"/>
              <w:bottom w:type="dxa" w:w="60"/>
              <w:right w:type="dxa" w:w="100"/>
            </w:tcMar>
          </w:tcPr>
          <w:p>
            <w:pPr>
              <w:spacing w:after="0" w:before="0"/>
            </w:pPr>
            <w:r>
              <w:rPr>
                <w:b w:val="false"/>
                <w:bCs w:val="false"/>
                <w:sz w:val="19"/>
                <w:szCs w:val="19"/>
              </w:rPr>
              <w:t xml:space="preserve">selectk/8, 0.9632</w:t>
            </w:r>
          </w:p>
        </w:tc>
        <w:tc>
          <w:tcPr>
            <w:tcW w:type="dxa" w:w="3120"/>
            <w:tcMar>
              <w:top w:type="dxa" w:w="60"/>
              <w:left w:type="dxa" w:w="100"/>
              <w:bottom w:type="dxa" w:w="60"/>
              <w:right w:type="dxa" w:w="100"/>
            </w:tcMar>
          </w:tcPr>
          <w:p>
            <w:pPr>
              <w:spacing w:after="0" w:before="0"/>
            </w:pPr>
            <w:r>
              <w:rPr>
                <w:b w:val="false"/>
                <w:bCs w:val="false"/>
                <w:sz w:val="19"/>
                <w:szCs w:val="19"/>
              </w:rPr>
              <w:t xml:space="preserve">selectk/10, 0.9676</w:t>
            </w:r>
          </w:p>
        </w:tc>
      </w:tr>
    </w:tbl>
    <w:p>
      <w:pPr>
        <w:spacing w:after="160"/>
      </w:pPr>
    </w:p>
    <w:p>
      <w:pPr>
        <w:spacing w:after="140"/>
        <w:jc w:val="left"/>
      </w:pPr>
      <w:r>
        <w:rPr>
          <w:b/>
          <w:bCs/>
        </w:rPr>
        <w:t xml:space="preserve">These figures are not comparable to week 3 section 9's table</w:t>
      </w:r>
      <w:r>
        <w:t xml:space="preserve"> and are not placed beside it. That table came from a 10-seed run whose records carry </w:t>
      </w:r>
      <w:r>
        <w:rPr>
          <w:rFonts w:ascii="Consolas" w:cs="Consolas" w:eastAsia="Consolas" w:hAnsi="Consolas"/>
          <w:sz w:val="19"/>
          <w:szCs w:val="19"/>
        </w:rPr>
        <w:t xml:space="preserve">n_per_class=None</w:t>
      </w:r>
      <w:r>
        <w:t xml:space="preserve"> (</w:t>
      </w:r>
      <w:r>
        <w:rPr>
          <w:rFonts w:ascii="Consolas" w:cs="Consolas" w:eastAsia="Consolas" w:hAnsi="Consolas"/>
          <w:sz w:val="19"/>
          <w:szCs w:val="19"/>
        </w:rPr>
        <w:t xml:space="preserve">results/runs/classical/archive-week3-10seeds</w:t>
      </w:r>
      <w:r>
        <w:t xml:space="preserve">), and it names a method per cell, implying a post-hoc best-(cell, method) choice where this uses </w:t>
      </w:r>
      <w:r>
        <w:rPr>
          <w:rFonts w:ascii="Consolas" w:cs="Consolas" w:eastAsia="Consolas" w:hAnsi="Consolas"/>
          <w:sz w:val="19"/>
          <w:szCs w:val="19"/>
        </w:rPr>
        <w:t xml:space="preserve">best_by_inner</w:t>
      </w:r>
      <w:r>
        <w:t xml:space="preserve">. Differences run in both directions — 0.6137 here against 0.6268 there at churn 250, 0.6044 against 0.6021 at churn 100 — so no single cause is asserted.</w:t>
      </w:r>
    </w:p>
    <w:p>
      <w:pPr>
        <w:spacing w:after="120" w:before="120"/>
      </w:pPr>
    </w:p>
    <w:p>
      <w:pPr>
        <w:pStyle w:val="Heading1"/>
        <w:spacing w:after="140" w:before="280"/>
      </w:pPr>
      <w:r>
        <w:rPr>
          <w:b/>
          <w:bCs/>
          <w:color w:val="000000"/>
          <w:sz w:val="24"/>
          <w:szCs w:val="24"/>
        </w:rPr>
        <w:t xml:space="preserve">4. One structural reading, offered as interpretation and not as a finding</w:t>
      </w:r>
    </w:p>
    <w:p>
      <w:pPr>
        <w:spacing w:after="140"/>
        <w:jc w:val="left"/>
      </w:pPr>
      <w:r>
        <w:t xml:space="preserve">On churn the deficit is significant under PCA and SelectKBest and </w:t>
      </w:r>
      <w:r>
        <w:rPr>
          <w:b/>
          <w:bCs/>
        </w:rPr>
        <w:t xml:space="preserve">not</w:t>
      </w:r>
      <w:r>
        <w:t xml:space="preserve"> significant under random projection. Week 3 section 10 measured random projection as the mapping where the classical baseline is weakest and climbs most, 0.3678 to 0.5481 across qubit counts, the largest classical gain of any mapping.</w:t>
      </w:r>
    </w:p>
    <w:p>
      <w:pPr>
        <w:spacing w:after="140"/>
        <w:jc w:val="left"/>
      </w:pPr>
      <w:r>
        <w:t xml:space="preserve">So the quantum kernel is competitive only where the classical baseline is worst, and loses where it is strong. If that holds up it inverts the usual framing, because the interesting regime is supposed to be the one where classical methods already do well. It is exploratory, it rests on one dataset and one non-significant contrast, and section 9 forbids it bearing on H1 or H2.</w:t>
      </w:r>
    </w:p>
    <w:p>
      <w:pPr>
        <w:spacing w:after="120" w:before="120"/>
      </w:pPr>
    </w:p>
    <w:p>
      <w:pPr>
        <w:pStyle w:val="Heading1"/>
        <w:spacing w:after="140" w:before="280"/>
      </w:pPr>
      <w:r>
        <w:rPr>
          <w:b/>
          <w:bCs/>
          <w:color w:val="000000"/>
          <w:sz w:val="24"/>
          <w:szCs w:val="24"/>
        </w:rPr>
        <w:t xml:space="preserve">5. Verification</w:t>
      </w:r>
    </w:p>
    <w:p>
      <w:pPr>
        <w:spacing w:after="140"/>
        <w:jc w:val="left"/>
      </w:pPr>
      <w:r>
        <w:rPr>
          <w:b/>
          <w:bCs/>
        </w:rPr>
        <w:t xml:space="preserve">An independent cross-check that the aggregation is right.</w:t>
      </w:r>
      <w:r>
        <w:t xml:space="preserve"> The training-size figure for churn at 250 is −0.0316. The mean of the 15 per-cell means printed by </w:t>
      </w:r>
      <w:r>
        <w:rPr>
          <w:rFonts w:ascii="Consolas" w:cs="Consolas" w:eastAsia="Consolas" w:hAnsi="Consolas"/>
          <w:sz w:val="19"/>
          <w:szCs w:val="19"/>
        </w:rPr>
        <w:t xml:space="preserve">report_sweep</w:t>
      </w:r>
      <w:r>
        <w:t xml:space="preserve"> in </w:t>
      </w:r>
      <w:r>
        <w:rPr>
          <w:rFonts w:ascii="Consolas" w:cs="Consolas" w:eastAsia="Consolas" w:hAnsi="Consolas"/>
          <w:sz w:val="19"/>
          <w:szCs w:val="19"/>
        </w:rPr>
        <w:t xml:space="preserve">results/analysis/primary_tests.log</w:t>
      </w:r>
      <w:r>
        <w:t xml:space="preserve"> is −0.03156. Two different code paths, agreeing to four decimals.</w:t>
      </w:r>
    </w:p>
    <w:p>
      <w:pPr>
        <w:spacing w:after="140"/>
        <w:jc w:val="left"/>
      </w:pPr>
      <w:r>
        <w:rPr>
          <w:b/>
          <w:bCs/>
        </w:rPr>
        <w:t xml:space="preserve">Tests.</w:t>
      </w:r>
      <w:r>
        <w:t xml:space="preserve"> 16 new tests in </w:t>
      </w:r>
      <w:r>
        <w:rPr>
          <w:rFonts w:ascii="Consolas" w:cs="Consolas" w:eastAsia="Consolas" w:hAnsi="Consolas"/>
          <w:sz w:val="19"/>
          <w:szCs w:val="19"/>
        </w:rPr>
        <w:t xml:space="preserve">tests/test_exploratory_sweep.py</w:t>
      </w:r>
      <w:r>
        <w:t xml:space="preserve">; the full suite is 446 passing. The tests pin the within-seed aggregation against pseudo-replication, the n=50 exclusion against drift, the Holm family size, and the undefined-correlation case against the NaN class that has twice produced a printed verdict here. </w:t>
      </w:r>
      <w:r>
        <w:rPr>
          <w:rFonts w:ascii="Consolas" w:cs="Consolas" w:eastAsia="Consolas" w:hAnsi="Consolas"/>
          <w:sz w:val="19"/>
          <w:szCs w:val="19"/>
        </w:rPr>
        <w:t xml:space="preserve">FLOOR</w:t>
      </w:r>
      <w:r>
        <w:t xml:space="preserve"> is imported from </w:t>
      </w:r>
      <w:r>
        <w:rPr>
          <w:rFonts w:ascii="Consolas" w:cs="Consolas" w:eastAsia="Consolas" w:hAnsi="Consolas"/>
          <w:sz w:val="19"/>
          <w:szCs w:val="19"/>
        </w:rPr>
        <w:t xml:space="preserve">scripts/geometric_tests.py</w:t>
      </w:r>
      <w:r>
        <w:t xml:space="preserve"> rather than redefined, so </w:t>
      </w:r>
      <w:r>
        <w:rPr>
          <w:rFonts w:ascii="Consolas" w:cs="Consolas" w:eastAsia="Consolas" w:hAnsi="Consolas"/>
          <w:sz w:val="19"/>
          <w:szCs w:val="19"/>
        </w:rPr>
        <w:t xml:space="preserve">mutation_check.py</w:t>
      </w:r>
      <w:r>
        <w:t xml:space="preserve">'s existing mutant on that constant covers this use too.</w:t>
      </w:r>
    </w:p>
    <w:p>
      <w:pPr>
        <w:spacing w:after="140"/>
        <w:jc w:val="left"/>
      </w:pPr>
      <w:r>
        <w:rPr>
          <w:b/>
          <w:bCs/>
        </w:rPr>
        <w:t xml:space="preserve">Input validation.</w:t>
      </w:r>
      <w:r>
        <w:t xml:space="preserve"> </w:t>
      </w:r>
      <w:r>
        <w:rPr>
          <w:rFonts w:ascii="Consolas" w:cs="Consolas" w:eastAsia="Consolas" w:hAnsi="Consolas"/>
          <w:sz w:val="19"/>
          <w:szCs w:val="19"/>
        </w:rPr>
        <w:t xml:space="preserve">--check</w:t>
      </w:r>
      <w:r>
        <w:t xml:space="preserve"> confirmed 15 cells and 20 seeds on all six arms with clean pairing before any statistic was computed.</w:t>
      </w:r>
    </w:p>
    <w:p>
      <w:pPr>
        <w:spacing w:after="120" w:before="120"/>
      </w:pPr>
    </w:p>
    <w:p>
      <w:pPr>
        <w:pStyle w:val="Heading1"/>
        <w:spacing w:after="140" w:before="280"/>
      </w:pPr>
      <w:r>
        <w:rPr>
          <w:b/>
          <w:bCs/>
          <w:color w:val="000000"/>
          <w:sz w:val="24"/>
          <w:szCs w:val="24"/>
        </w:rPr>
        <w:t xml:space="preserve">6. Corrections made this week, mine</w:t>
      </w:r>
    </w:p>
    <w:p>
      <w:pPr>
        <w:spacing w:after="140"/>
        <w:jc w:val="left"/>
      </w:pPr>
      <w:r>
        <w:rPr>
          <w:b/>
          <w:bCs/>
        </w:rPr>
        <w:t xml:space="preserve">The learning-curve comparability claim.</w:t>
      </w:r>
      <w:r>
        <w:t xml:space="preserve"> The first version of </w:t>
      </w:r>
      <w:r>
        <w:rPr>
          <w:rFonts w:ascii="Consolas" w:cs="Consolas" w:eastAsia="Consolas" w:hAnsi="Consolas"/>
          <w:sz w:val="19"/>
          <w:szCs w:val="19"/>
        </w:rPr>
        <w:t xml:space="preserve">exploratory_sweep.py</w:t>
      </w:r>
      <w:r>
        <w:t xml:space="preserve"> stated the family was "in week 3 section 9's form" and "directly comparable to the classical table already published". It is neither, for the reasons in section 3. Corrected in the caption and the docstring. The commit message at </w:t>
      </w:r>
      <w:r>
        <w:rPr>
          <w:rFonts w:ascii="Consolas" w:cs="Consolas" w:eastAsia="Consolas" w:hAnsi="Consolas"/>
          <w:sz w:val="19"/>
          <w:szCs w:val="19"/>
        </w:rPr>
        <w:t xml:space="preserve">ad2cb5e</w:t>
      </w:r>
      <w:r>
        <w:t xml:space="preserve"> carries the same overstatement and is left as written rather than rewritten.</w:t>
      </w:r>
    </w:p>
    <w:p>
      <w:pPr>
        <w:spacing w:after="140"/>
        <w:jc w:val="left"/>
      </w:pPr>
      <w:r>
        <w:rPr>
          <w:b/>
          <w:bCs/>
        </w:rPr>
        <w:t xml:space="preserve">D2's floor was not applied.</w:t>
      </w:r>
      <w:r>
        <w:t xml:space="preserve"> Three fraud figures below 1e-3 were presented as measurements, against D2's commitment that such differences </w:t>
      </w:r>
      <w:r>
        <w:rPr>
          <w:i/>
          <w:iCs/>
        </w:rPr>
        <w:t xml:space="preserve">"will be reported as such, not as a measurement"</w:t>
      </w:r>
      <w:r>
        <w:t xml:space="preserve">. Every tested level now carries the flag.</w:t>
      </w:r>
    </w:p>
    <w:p>
      <w:pPr>
        <w:spacing w:after="140"/>
        <w:jc w:val="left"/>
      </w:pPr>
      <w:r>
        <w:rPr>
          <w:b/>
          <w:bCs/>
        </w:rPr>
        <w:t xml:space="preserve">The exclusion bound was quoted at the registered figure.</w:t>
      </w:r>
      <w:r>
        <w:t xml:space="preserve"> </w:t>
      </w:r>
      <w:r>
        <w:rPr>
          <w:rFonts w:ascii="Consolas" w:cs="Consolas" w:eastAsia="Consolas" w:hAnsi="Consolas"/>
          <w:sz w:val="19"/>
          <w:szCs w:val="19"/>
        </w:rPr>
        <w:t xml:space="preserve">docs/week-09-plan.md</w:t>
      </w:r>
      <w:r>
        <w:t xml:space="preserve"> line 96 states fraud's bound as 0.0059, quoting section 8. D6 corrected that to 0.0063 on 25 September. The figure in this report is 0.0063; the plan document's line is wrong and is superseded here.</w:t>
      </w:r>
    </w:p>
    <w:p>
      <w:pPr>
        <w:spacing w:after="140"/>
        <w:jc w:val="left"/>
      </w:pPr>
      <w:r>
        <w:rPr>
          <w:b/>
          <w:bCs/>
        </w:rPr>
        <w:t xml:space="preserve">Known gap, recorded rather than fixed.</w:t>
      </w:r>
      <w:r>
        <w:t xml:space="preserve"> </w:t>
      </w:r>
      <w:r>
        <w:rPr>
          <w:rFonts w:ascii="Consolas" w:cs="Consolas" w:eastAsia="Consolas" w:hAnsi="Consolas"/>
          <w:sz w:val="19"/>
          <w:szCs w:val="19"/>
        </w:rPr>
        <w:t xml:space="preserve">below_d2_floor</w:t>
      </w:r>
      <w:r>
        <w:t xml:space="preserve"> is applied to tested levels but not to the </w:t>
      </w:r>
      <w:r>
        <w:rPr>
          <w:rFonts w:ascii="Consolas" w:cs="Consolas" w:eastAsia="Consolas" w:hAnsi="Consolas"/>
          <w:sz w:val="19"/>
          <w:szCs w:val="19"/>
        </w:rPr>
        <w:t xml:space="preserve">descriptive_only</w:t>
      </w:r>
      <w:r>
        <w:t xml:space="preserve"> rows, which also carry a </w:t>
      </w:r>
      <w:r>
        <w:rPr>
          <w:rFonts w:ascii="Consolas" w:cs="Consolas" w:eastAsia="Consolas" w:hAnsi="Consolas"/>
          <w:sz w:val="19"/>
          <w:szCs w:val="19"/>
        </w:rPr>
        <w:t xml:space="preserve">mean_d_normap</w:t>
      </w:r>
      <w:r>
        <w:t xml:space="preserve">. No current row is affected: churn n=50 at −0.0315 and fraud n=50 at −0.0100 are both above the floor.</w:t>
      </w:r>
    </w:p>
    <w:p>
      <w:pPr>
        <w:spacing w:after="120" w:before="120"/>
      </w:pPr>
    </w:p>
    <w:p>
      <w:pPr>
        <w:pStyle w:val="Heading1"/>
        <w:spacing w:after="140" w:before="280"/>
      </w:pPr>
      <w:r>
        <w:rPr>
          <w:b/>
          <w:bCs/>
          <w:color w:val="000000"/>
          <w:sz w:val="24"/>
          <w:szCs w:val="24"/>
        </w:rPr>
        <w:t xml:space="preserve">7. What week 9 still owes</w:t>
      </w:r>
    </w:p>
    <w:p>
      <w:pPr>
        <w:pStyle w:val="ListParagraph"/>
        <w:numPr>
          <w:ilvl w:val="0"/>
          <w:numId w:val="1"/>
        </w:numPr>
        <w:spacing w:after="80"/>
      </w:pPr>
      <w:r>
        <w:rPr>
          <w:b/>
          <w:bCs/>
        </w:rPr>
        <w:t xml:space="preserve">The D14 option.</w:t>
      </w:r>
      <w:r>
        <w:t xml:space="preserve"> Still a DRAFT. No option among (a), (b) and (c) adopted,</w:t>
      </w:r>
    </w:p>
    <w:p>
      <w:pPr>
        <w:spacing w:after="140"/>
        <w:jc w:val="left"/>
      </w:pPr>
      <w:r>
        <w:t xml:space="preserve">no g recomputed, no verdict moved. The declaration must be written into D14 section 6 and pushed before any recomputed g is read.</w:t>
      </w:r>
    </w:p>
    <w:p>
      <w:pPr>
        <w:pStyle w:val="ListParagraph"/>
        <w:numPr>
          <w:ilvl w:val="0"/>
          <w:numId w:val="1"/>
        </w:numPr>
        <w:spacing w:after="80"/>
      </w:pPr>
      <w:r>
        <w:rPr>
          <w:b/>
          <w:bCs/>
        </w:rPr>
        <w:t xml:space="preserve">The two pre-existing families are stdout only.</w:t>
      </w:r>
      <w:r>
        <w:t xml:space="preserve"> The 15-cell sweep and the</w:t>
      </w:r>
    </w:p>
    <w:p>
      <w:pPr>
        <w:spacing w:after="140"/>
        <w:jc w:val="left"/>
      </w:pPr>
      <w:r>
        <w:t xml:space="preserve">per-setting comparison exist in </w:t>
      </w:r>
      <w:r>
        <w:rPr>
          <w:rFonts w:ascii="Consolas" w:cs="Consolas" w:eastAsia="Consolas" w:hAnsi="Consolas"/>
          <w:sz w:val="19"/>
          <w:szCs w:val="19"/>
        </w:rPr>
        <w:t xml:space="preserve">primary_tests.log</w:t>
      </w:r>
      <w:r>
        <w:t xml:space="preserve"> and nowhere structured. A paper table cannot be checked against a </w:t>
      </w:r>
      <w:r>
        <w:rPr>
          <w:rFonts w:ascii="Consolas" w:cs="Consolas" w:eastAsia="Consolas" w:hAnsi="Consolas"/>
          <w:sz w:val="19"/>
          <w:szCs w:val="19"/>
        </w:rPr>
        <w:t xml:space="preserve">tee</w:t>
      </w:r>
      <w:r>
        <w:t xml:space="preserve"> capture.</w:t>
      </w:r>
    </w:p>
    <w:p>
      <w:pPr>
        <w:pStyle w:val="ListParagraph"/>
        <w:numPr>
          <w:ilvl w:val="0"/>
          <w:numId w:val="1"/>
        </w:numPr>
        <w:spacing w:after="80"/>
      </w:pPr>
      <w:r>
        <w:rPr>
          <w:b/>
          <w:bCs/>
        </w:rPr>
        <w:t xml:space="preserve">`primary_tests.log` is dated 25 September</w:t>
      </w:r>
      <w:r>
        <w:t xml:space="preserve"> and cites quantum records</w:t>
      </w:r>
    </w:p>
    <w:p>
      <w:pPr>
        <w:spacing w:after="140"/>
        <w:jc w:val="left"/>
      </w:pPr>
      <w:r>
        <w:t xml:space="preserve">"written at commit(s): 0b796a3", a hash the 25 September history rewrite may have destroyed. Worth a </w:t>
      </w:r>
      <w:r>
        <w:rPr>
          <w:rFonts w:ascii="Consolas" w:cs="Consolas" w:eastAsia="Consolas" w:hAnsi="Consolas"/>
          <w:sz w:val="19"/>
          <w:szCs w:val="19"/>
        </w:rPr>
        <w:t xml:space="preserve">git cat-file -t 0b796a3</w:t>
      </w:r>
      <w:r>
        <w:t xml:space="preserve">.</w:t>
      </w:r>
    </w:p>
    <w:p>
      <w:pPr>
        <w:pStyle w:val="ListParagraph"/>
        <w:numPr>
          <w:ilvl w:val="0"/>
          <w:numId w:val="1"/>
        </w:numPr>
        <w:spacing w:after="80"/>
      </w:pPr>
      <w:r>
        <w:rPr>
          <w:b/>
          <w:bCs/>
        </w:rPr>
        <w:t xml:space="preserve">No deviation records that the deliverable became an audit protocol</w:t>
      </w:r>
      <w:r>
        <w:t xml:space="preserve"> while</w:t>
      </w:r>
    </w:p>
    <w:p>
      <w:pPr>
        <w:spacing w:after="140"/>
        <w:jc w:val="left"/>
      </w:pPr>
      <w:r>
        <w:t xml:space="preserve">section 8 still describes a kernel-comparison paper. D13 is the precedent for declaring that before the writing rather than after.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000000"/>
      <w:sz w:val="24"/>
      <w:szCs w:val="24"/>
    </w:rPr>
  </w:style>
  <w:style w:type="paragraph" w:styleId="Heading2">
    <w:name w:val="Heading 2"/>
    <w:basedOn w:val="Normal"/>
    <w:next w:val="Normal"/>
    <w:qFormat/>
    <w:rPr>
      <w:rFonts w:ascii="Calibri" w:cs="Calibri" w:eastAsia="Calibri" w:hAnsi="Calibri"/>
      <w:b/>
      <w:bCs/>
      <w:color w:val="000000"/>
      <w:sz w:val="22"/>
      <w:szCs w:val="22"/>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2026-10-25T23:16:46.321Z</dcterms:created>
  <dcterms:modified xsi:type="dcterms:W3CDTF">2026-10-25T23:16:46.328Z</dcterms:modified>
</cp:coreProperties>
</file>

<file path=docProps/custom.xml><?xml version="1.0" encoding="utf-8"?>
<Properties xmlns="http://schemas.openxmlformats.org/officeDocument/2006/custom-properties" xmlns:vt="http://schemas.openxmlformats.org/officeDocument/2006/docPropsVTypes"/>
</file>