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QML Benchmark Lab</w:t>
      </w:r>
    </w:p>
    <w:p>
      <w:pPr>
        <w:spacing w:after="240"/>
      </w:pPr>
      <w:r>
        <w:rPr>
          <w:sz w:val="26"/>
          <w:szCs w:val="26"/>
        </w:rPr>
        <w:t xml:space="preserve">Weeks 10 to 12 Record</w:t>
      </w:r>
    </w:p>
    <w:p>
      <w:pPr>
        <w:spacing w:after="140"/>
        <w:jc w:val="left"/>
      </w:pPr>
      <w:r>
        <w:t xml:space="preserve">Written 25 October 2026. Covers work done from 2 to 25 October 2026.</w:t>
      </w:r>
    </w:p>
    <w:p>
      <w:pPr>
        <w:spacing w:after="140"/>
        <w:jc w:val="left"/>
      </w:pPr>
      <w:r>
        <w:rPr>
          <w:b/>
          <w:bCs/>
        </w:rPr>
        <w:t xml:space="preserve">One record for three weeks, and the reason is not tidiness.</w:t>
      </w:r>
      <w:r>
        <w:t xml:space="preserve"> Weeks 1 to 9 each have a record. Weeks 10 to 12 are a single registered phase, "writing", and splitting a continuous phase into three records after the fact would invent boundaries nobody worked to. The honest unit is the phase.</w:t>
      </w:r>
    </w:p>
    <w:p>
      <w:pPr>
        <w:spacing w:after="140"/>
        <w:jc w:val="left"/>
      </w:pPr>
      <w:r>
        <w:rPr>
          <w:b/>
          <w:bCs/>
        </w:rPr>
        <w:t xml:space="preserve">The headline.</w:t>
      </w:r>
      <w:r>
        <w:t xml:space="preserve"> The registered writing was completed and the paper exists in three generated renderings. Almost everything else in these three weeks was a correction to this project's own records rather than new research, and the record is materially more accurate for it. </w:t>
      </w:r>
      <w:r>
        <w:rPr>
          <w:b/>
          <w:bCs/>
        </w:rPr>
        <w:t xml:space="preserve">No usable product was built, and none was registered.</w:t>
      </w:r>
      <w:r>
        <w:t xml:space="preserve"> Research and writing being complete is not the same as a tool existing, and this record says so plainly so that no later reader has to infer it.</w:t>
      </w:r>
    </w:p>
    <w:p>
      <w:pPr>
        <w:spacing w:after="120" w:before="120"/>
      </w:pPr>
    </w:p>
    <w:p>
      <w:pPr>
        <w:pStyle w:val="Heading1"/>
        <w:spacing w:after="140" w:before="280"/>
      </w:pPr>
      <w:r>
        <w:rPr>
          <w:b/>
          <w:bCs/>
          <w:color w:val="000000"/>
          <w:sz w:val="24"/>
          <w:szCs w:val="24"/>
        </w:rPr>
        <w:t xml:space="preserve">1. What the registered timeline asked for</w:t>
      </w:r>
    </w:p>
    <w:p>
      <w:pPr>
        <w:spacing w:after="140"/>
        <w:jc w:val="left"/>
      </w:pPr>
      <w:r>
        <w:t xml:space="preserve">Section 13 of the pre-registration assigns weeks 10 to 12 to writing. That is done. </w:t>
      </w:r>
      <w:r>
        <w:rPr>
          <w:rFonts w:ascii="Consolas" w:cs="Consolas" w:eastAsia="Consolas" w:hAnsi="Consolas"/>
          <w:sz w:val="19"/>
          <w:szCs w:val="19"/>
        </w:rPr>
        <w:t xml:space="preserve">docs/paper.md</w:t>
      </w:r>
      <w:r>
        <w:t xml:space="preserve"> is 1,986 lines in nine parts, generated from eight section files and a references file by </w:t>
      </w:r>
      <w:r>
        <w:rPr>
          <w:rFonts w:ascii="Consolas" w:cs="Consolas" w:eastAsia="Consolas" w:hAnsi="Consolas"/>
          <w:sz w:val="19"/>
          <w:szCs w:val="19"/>
        </w:rPr>
        <w:t xml:space="preserve">scripts/assemble_paper.py</w:t>
      </w:r>
      <w:r>
        <w:t xml:space="preserve">, which fails if the assembled file has drifted from its sources.</w:t>
      </w:r>
    </w:p>
    <w:p>
      <w:pPr>
        <w:spacing w:after="140"/>
        <w:jc w:val="left"/>
      </w:pPr>
      <w:r>
        <w:t xml:space="preserve">Two renderings are generated from the same markdown rather than written separately: </w:t>
      </w:r>
      <w:r>
        <w:rPr>
          <w:rFonts w:ascii="Consolas" w:cs="Consolas" w:eastAsia="Consolas" w:hAnsi="Consolas"/>
          <w:sz w:val="19"/>
          <w:szCs w:val="19"/>
        </w:rPr>
        <w:t xml:space="preserve">docs/paper.docx</w:t>
      </w:r>
      <w:r>
        <w:t xml:space="preserve"> by </w:t>
      </w:r>
      <w:r>
        <w:rPr>
          <w:rFonts w:ascii="Consolas" w:cs="Consolas" w:eastAsia="Consolas" w:hAnsi="Consolas"/>
          <w:sz w:val="19"/>
          <w:szCs w:val="19"/>
        </w:rPr>
        <w:t xml:space="preserve">scripts/paper_to_docx.js</w:t>
      </w:r>
      <w:r>
        <w:t xml:space="preserve">, and the arXiv submission bundle in </w:t>
      </w:r>
      <w:r>
        <w:rPr>
          <w:rFonts w:ascii="Consolas" w:cs="Consolas" w:eastAsia="Consolas" w:hAnsi="Consolas"/>
          <w:sz w:val="19"/>
          <w:szCs w:val="19"/>
        </w:rPr>
        <w:t xml:space="preserve">arxiv/</w:t>
      </w:r>
      <w:r>
        <w:t xml:space="preserve"> by </w:t>
      </w:r>
      <w:r>
        <w:rPr>
          <w:rFonts w:ascii="Consolas" w:cs="Consolas" w:eastAsia="Consolas" w:hAnsi="Consolas"/>
          <w:sz w:val="19"/>
          <w:szCs w:val="19"/>
        </w:rPr>
        <w:t xml:space="preserve">scripts/paper_to_latex.py</w:t>
      </w:r>
      <w:r>
        <w:t xml:space="preserve">. Neither is edited by hand, both record their provenance, and the arXiv bundle carries the pandoc version that built it because pandoc 2.9 and 3.12 emit materially different output.</w:t>
      </w:r>
    </w:p>
    <w:p>
      <w:pPr>
        <w:spacing w:after="140"/>
        <w:jc w:val="left"/>
      </w:pPr>
      <w:r>
        <w:rPr>
          <w:b/>
          <w:bCs/>
        </w:rPr>
        <w:t xml:space="preserve">Elapsed time, stated because it is the most useful number here.</w:t>
      </w:r>
      <w:r>
        <w:t xml:space="preserve"> Weeks 1 to 9 ran from 17 September to 2 October, sixteen days. Weeks 10 to 12 ran from 2 to 25 October, twenty-three days. The writing phase took longer than all nine phases before it combined. Week 9's plan predicted exactly this, saying what remained "cannot be parallelised" and that each pass surfaces a defect in the last one.</w:t>
      </w:r>
    </w:p>
    <w:p>
      <w:pPr>
        <w:spacing w:after="140"/>
        <w:jc w:val="left"/>
      </w:pPr>
      <w:r>
        <w:rPr>
          <w:b/>
          <w:bCs/>
        </w:rPr>
        <w:t xml:space="preserve">One earlier phase is not a report of work done, and this record says so because the closing record is where a reader looks.</w:t>
      </w:r>
      <w:r>
        <w:t xml:space="preserve"> Weeks 7 and 8 were registered as IBM hardware runs on the primary cells. They were </w:t>
      </w:r>
      <w:r>
        <w:rPr>
          <w:b/>
          <w:bCs/>
        </w:rPr>
        <w:t xml:space="preserve">never feasible as registered</w:t>
      </w:r>
      <w:r>
        <w:t xml:space="preserve">: the run needs 18,172,000 circuit executions against an Open Plan allocation of ten minutes of QPU time per month, thirty times the budget at 1 ms per circuit and three times over at an implausible 0.1 ms. D12 records this, and requires the word "dropped" to be replaced by that phrase wherever it appears; §3.7 and §3.9 of the paper carried "dropped as infeasible" until this record was written, and are corrected with it. Closing the registered study is therefore not the same as completing every planned experiment, and the difference is two weeks of the twelve.</w:t>
      </w:r>
    </w:p>
    <w:p>
      <w:pPr>
        <w:spacing w:after="120" w:before="120"/>
      </w:pPr>
    </w:p>
    <w:p>
      <w:pPr>
        <w:pStyle w:val="Heading1"/>
        <w:spacing w:after="140" w:before="280"/>
      </w:pPr>
      <w:r>
        <w:rPr>
          <w:b/>
          <w:bCs/>
          <w:color w:val="000000"/>
          <w:sz w:val="24"/>
          <w:szCs w:val="24"/>
        </w:rPr>
        <w:t xml:space="preserve">2. Decisions closed in this phase</w:t>
      </w:r>
    </w:p>
    <w:p>
      <w:pPr>
        <w:spacing w:after="140"/>
        <w:jc w:val="left"/>
      </w:pPr>
      <w:r>
        <w:rPr>
          <w:b/>
          <w:bCs/>
        </w:rPr>
        <w:t xml:space="preserve">D14 was decided and its outcome obtained.</w:t>
      </w:r>
      <w:r>
        <w:t xml:space="preserve"> Option (a): </w:t>
      </w:r>
      <w:r>
        <w:rPr>
          <w:rFonts w:ascii="Consolas" w:cs="Consolas" w:eastAsia="Consolas" w:hAnsi="Consolas"/>
          <w:sz w:val="19"/>
          <w:szCs w:val="19"/>
        </w:rPr>
        <w:t xml:space="preserve">lambda_from_svm_C</w:t>
      </w:r>
      <w:r>
        <w:t xml:space="preserve"> becomes </w:t>
      </w:r>
      <w:r>
        <w:rPr>
          <w:rFonts w:ascii="Consolas" w:cs="Consolas" w:eastAsia="Consolas" w:hAnsi="Consolas"/>
          <w:sz w:val="19"/>
          <w:szCs w:val="19"/>
        </w:rPr>
        <w:t xml:space="preserve">1 / (2 * C)</w:t>
      </w:r>
      <w:r>
        <w:t xml:space="preserve">, dropping the factor of </w:t>
      </w:r>
      <w:r>
        <w:rPr>
          <w:rFonts w:ascii="Consolas" w:cs="Consolas" w:eastAsia="Consolas" w:hAnsi="Consolas"/>
          <w:sz w:val="19"/>
          <w:szCs w:val="19"/>
        </w:rPr>
        <w:t xml:space="preserve">n</w:t>
      </w:r>
      <w:r>
        <w:t xml:space="preserve">. The decision and its full outcome-to-verdict mapping were pushed before any recomputed g was examined. Outcome O2: 979 ceiling breaches, inside the 1,490 analytical bound published beforehand, and the frozen columns bit-identical across six days.</w:t>
      </w:r>
    </w:p>
    <w:p>
      <w:pPr>
        <w:spacing w:after="140"/>
        <w:jc w:val="left"/>
      </w:pPr>
      <w:r>
        <w:rPr>
          <w:b/>
          <w:bCs/>
        </w:rPr>
        <w:t xml:space="preserve">D16 was pre-committed in full, pushed, and then run.</w:t>
      </w:r>
      <w:r>
        <w:t xml:space="preserve"> Huang's own </w:t>
      </w:r>
      <w:r>
        <w:rPr>
          <w:rFonts w:ascii="Consolas" w:cs="Consolas" w:eastAsia="Consolas" w:hAnsi="Consolas"/>
          <w:sz w:val="19"/>
          <w:szCs w:val="19"/>
        </w:rPr>
        <w:t xml:space="preserve">g_tra</w:t>
      </w:r>
      <w:r>
        <w:t xml:space="preserve"> selection rule, with the grid frozen as {1e-5, 1e-4, 1e-3, 1e-2, 0.025, 0.05, 0.1} and the threshold at 0.045. Outcome B3: the rule selects no lambda on </w:t>
      </w:r>
      <w:r>
        <w:rPr>
          <w:b/>
          <w:bCs/>
        </w:rPr>
        <w:t xml:space="preserve">76.5%</w:t>
      </w:r>
      <w:r>
        <w:t xml:space="preserve"> of units, 5,507 of 7,200; on 81.3% his rule and his √N ceiling cannot both be satisfied; and every one of the 348 breaching admissible rows selected λ ∈ {1e-5, 1e-4}.</w:t>
      </w:r>
    </w:p>
    <w:p>
      <w:pPr>
        <w:spacing w:after="140"/>
        <w:jc w:val="left"/>
      </w:pPr>
      <w:r>
        <w:rPr>
          <w:b/>
          <w:bCs/>
        </w:rPr>
        <w:t xml:space="preserve">D17 records an error in the pre-registration and does not edit it.</w:t>
      </w:r>
      <w:r>
        <w:t xml:space="preserve"> The registered text says extending a grid gains "five to seven times more on random labels than on real ones". That is the polynomial-kernel figure: the measured mean ratios are 5.0 and 6.6 on polynomial and 2.0 and 35.7 on RBF, so two of the four measurements fall outside the stated range. The rule the figure supports is unaffected, the direction holding on every kernel and both datasets. Version 1.0 stands as registered, by the rule D6 and D15 both applied.</w:t>
      </w:r>
    </w:p>
    <w:p>
      <w:pPr>
        <w:spacing w:after="140"/>
        <w:jc w:val="left"/>
      </w:pPr>
      <w:r>
        <w:rPr>
          <w:b/>
          <w:bCs/>
        </w:rPr>
        <w:t xml:space="preserve">`prerewrite-20260925` is published.</w:t>
      </w:r>
      <w:r>
        <w:t xml:space="preserve"> Pushed 21 October, 25 commits, tip </w:t>
      </w:r>
      <w:r>
        <w:rPr>
          <w:rFonts w:ascii="Consolas" w:cs="Consolas" w:eastAsia="Consolas" w:hAnsi="Consolas"/>
          <w:sz w:val="19"/>
          <w:szCs w:val="19"/>
        </w:rPr>
        <w:t xml:space="preserve">b5bf0431</w:t>
      </w:r>
      <w:r>
        <w:t xml:space="preserve">. All five identifiers this study depends on are reachable from it: </w:t>
      </w:r>
      <w:r>
        <w:rPr>
          <w:rFonts w:ascii="Consolas" w:cs="Consolas" w:eastAsia="Consolas" w:hAnsi="Consolas"/>
          <w:sz w:val="19"/>
          <w:szCs w:val="19"/>
        </w:rPr>
        <w:t xml:space="preserve">a8bafbb</w:t>
      </w:r>
      <w:r>
        <w:t xml:space="preserve"> and </w:t>
      </w:r>
      <w:r>
        <w:rPr>
          <w:rFonts w:ascii="Consolas" w:cs="Consolas" w:eastAsia="Consolas" w:hAnsi="Consolas"/>
          <w:sz w:val="19"/>
          <w:szCs w:val="19"/>
        </w:rPr>
        <w:t xml:space="preserve">61f7db9</w:t>
      </w:r>
      <w:r>
        <w:t xml:space="preserve">, which the pre-registration cites, and </w:t>
      </w:r>
      <w:r>
        <w:rPr>
          <w:rFonts w:ascii="Consolas" w:cs="Consolas" w:eastAsia="Consolas" w:hAnsi="Consolas"/>
          <w:sz w:val="19"/>
          <w:szCs w:val="19"/>
        </w:rPr>
        <w:t xml:space="preserve">0b796a3</w:t>
      </w:r>
      <w:r>
        <w:t xml:space="preserve">, </w:t>
      </w:r>
      <w:r>
        <w:rPr>
          <w:rFonts w:ascii="Consolas" w:cs="Consolas" w:eastAsia="Consolas" w:hAnsi="Consolas"/>
          <w:sz w:val="19"/>
          <w:szCs w:val="19"/>
        </w:rPr>
        <w:t xml:space="preserve">2cf7ec7</w:t>
      </w:r>
      <w:r>
        <w:t xml:space="preserve"> and </w:t>
      </w:r>
      <w:r>
        <w:rPr>
          <w:rFonts w:ascii="Consolas" w:cs="Consolas" w:eastAsia="Consolas" w:hAnsi="Consolas"/>
          <w:sz w:val="19"/>
          <w:szCs w:val="19"/>
        </w:rPr>
        <w:t xml:space="preserve">0b2aef4</w:t>
      </w:r>
      <w:r>
        <w:t xml:space="preserve">, which all 15,120 result records store. What decided it was that the stated cost had already been paid: </w:t>
      </w:r>
      <w:r>
        <w:rPr>
          <w:rFonts w:ascii="Consolas" w:cs="Consolas" w:eastAsia="Consolas" w:hAnsi="Consolas"/>
          <w:sz w:val="19"/>
          <w:szCs w:val="19"/>
        </w:rPr>
        <w:t xml:space="preserve">main</w:t>
      </w:r>
      <w:r>
        <w:t xml:space="preserve"> already carried twenty commits with the AI co-authorship trailers, left in place and documented on 29 September rather than rewritten.</w:t>
      </w:r>
    </w:p>
    <w:p>
      <w:pPr>
        <w:spacing w:after="140"/>
        <w:jc w:val="left"/>
      </w:pPr>
      <w:r>
        <w:rPr>
          <w:b/>
          <w:bCs/>
        </w:rPr>
        <w:t xml:space="preserve">The OSF absence is now a decision rather than an omission.</w:t>
      </w:r>
      <w:r>
        <w:t xml:space="preserve"> Two weekly records listed registration as outstanding work; D11 argued against it four days before the first of them, on the ground that a record dated after the results were computed would read as backdating. D11 is right and its argument is stronger now than when it was written. Recorded as an amendment rather than left as an unreconciled contradiction.</w:t>
      </w:r>
    </w:p>
    <w:p>
      <w:pPr>
        <w:spacing w:after="120" w:before="120"/>
      </w:pPr>
    </w:p>
    <w:p>
      <w:pPr>
        <w:pStyle w:val="Heading1"/>
        <w:spacing w:after="140" w:before="280"/>
      </w:pPr>
      <w:r>
        <w:rPr>
          <w:b/>
          <w:bCs/>
          <w:color w:val="000000"/>
          <w:sz w:val="24"/>
          <w:szCs w:val="24"/>
        </w:rPr>
        <w:t xml:space="preserve">3. What was found about this project's own availability</w:t>
      </w:r>
    </w:p>
    <w:p>
      <w:pPr>
        <w:spacing w:after="140"/>
        <w:jc w:val="left"/>
      </w:pPr>
      <w:r>
        <w:rPr>
          <w:b/>
          <w:bCs/>
        </w:rPr>
        <w:t xml:space="preserve">The repository was private from 17 September to 15 October</w:t>
      </w:r>
      <w:r>
        <w:t xml:space="preserve">, the whole of its working life to that point. It was found on 15 October when a Software Heritage save request failed with </w:t>
      </w:r>
      <w:r>
        <w:rPr>
          <w:rFonts w:ascii="Consolas" w:cs="Consolas" w:eastAsia="Consolas" w:hAnsi="Consolas"/>
          <w:sz w:val="19"/>
          <w:szCs w:val="19"/>
        </w:rPr>
        <w:t xml:space="preserve">visit_status: not_found</w:t>
      </w:r>
      <w:r>
        <w:t xml:space="preserve">; the author's own pushes had always succeeded because the author is authenticated. Every phrasing of the form </w:t>
      </w:r>
      <w:r>
        <w:rPr>
          <w:i/>
          <w:iCs/>
        </w:rPr>
        <w:t xml:space="preserve">declared publicly</w:t>
      </w:r>
      <w:r>
        <w:t xml:space="preserve"> was withdrawn in favour of </w:t>
      </w:r>
      <w:r>
        <w:rPr>
          <w:i/>
          <w:iCs/>
        </w:rPr>
        <w:t xml:space="preserve">committed and pushed to a private remote</w:t>
      </w:r>
      <w:r>
        <w:t xml:space="preserve">.</w:t>
      </w:r>
    </w:p>
    <w:p>
      <w:pPr>
        <w:spacing w:after="140"/>
        <w:jc w:val="left"/>
      </w:pPr>
      <w:r>
        <w:t xml:space="preserve">Two snapshots now exist, at 01:33:06 and 01:36:58 UTC on 15 October, the second containing the commit that records the first, because a snapshot cannot contain its own citation. Both predate the publication of the recovered branch by six days, so neither archive contains it.</w:t>
      </w:r>
    </w:p>
    <w:p>
      <w:pPr>
        <w:spacing w:after="120" w:before="120"/>
      </w:pPr>
    </w:p>
    <w:p>
      <w:pPr>
        <w:pStyle w:val="Heading1"/>
        <w:spacing w:after="140" w:before="280"/>
      </w:pPr>
      <w:r>
        <w:rPr>
          <w:b/>
          <w:bCs/>
          <w:color w:val="000000"/>
          <w:sz w:val="24"/>
          <w:szCs w:val="24"/>
        </w:rPr>
        <w:t xml:space="preserve">4. Corrections made in this phase, all of them to this project</w:t>
      </w:r>
    </w:p>
    <w:p>
      <w:pPr>
        <w:spacing w:after="140"/>
        <w:jc w:val="left"/>
      </w:pPr>
      <w:r>
        <w:t xml:space="preserve">Listed because the count matters more than the average, as week 4 put it.</w:t>
      </w:r>
    </w:p>
    <w:p>
      <w:pPr>
        <w:spacing w:after="80"/>
        <w:ind w:left="360" w:hanging="240"/>
      </w:pPr>
      <w:r>
        <w:t xml:space="preserve">1.  **The registered grid adjudicator printed a verdict its own record had</w:t>
      </w:r>
    </w:p>
    <w:p>
      <w:pPr>
        <w:spacing w:after="140"/>
        <w:jc w:val="left"/>
      </w:pPr>
      <w:r>
        <w:t xml:space="preserve">withdrawn**, for three weeks. </w:t>
      </w:r>
      <w:r>
        <w:rPr>
          <w:rFonts w:ascii="Consolas" w:cs="Consolas" w:eastAsia="Consolas" w:hAnsi="Consolas"/>
          <w:sz w:val="19"/>
          <w:szCs w:val="19"/>
        </w:rPr>
        <w:t xml:space="preserve">scripts/check_grid_edges.py</w:t>
      </w:r>
      <w:r>
        <w:t xml:space="preserve"> compared the gain from widening against the minimum detectable effect, a rule week 3 had already recorded as a defect, and said UNDER-TUNED on fraud where the registered comparison against a shuffled-label null returns adequate. The +0.002 threshold week 3 calls pre-declared existed nowhere in the code. The measurement was never wrong and reproduces bit-identically; only the adjudication was missing from the code.</w:t>
      </w:r>
    </w:p>
    <w:p>
      <w:pPr>
        <w:spacing w:after="80"/>
        <w:ind w:left="360" w:hanging="240"/>
      </w:pPr>
      <w:r>
        <w:t xml:space="preserve">2.  </w:t>
      </w:r>
      <w:r>
        <w:rPr>
          <w:b/>
          <w:bCs/>
        </w:rPr>
        <w:t xml:space="preserve">§4.7 was wrong in two of its three clauses</w:t>
      </w:r>
      <w:r>
        <w:t xml:space="preserve">, having said three items were</w:t>
      </w:r>
    </w:p>
    <w:p>
      <w:pPr>
        <w:spacing w:after="140"/>
        <w:jc w:val="left"/>
      </w:pPr>
      <w:r>
        <w:t xml:space="preserve">unchanged when one was.</w:t>
      </w:r>
    </w:p>
    <w:p>
      <w:pPr>
        <w:spacing w:after="80"/>
        <w:ind w:left="360" w:hanging="240"/>
      </w:pPr>
      <w:r>
        <w:t xml:space="preserve">3.  </w:t>
      </w:r>
      <w:r>
        <w:rPr>
          <w:b/>
          <w:bCs/>
        </w:rPr>
        <w:t xml:space="preserve">The week 4 error count was stated three times and no two agreed</w:t>
      </w:r>
      <w:r>
        <w:t xml:space="preserve">, none of</w:t>
      </w:r>
    </w:p>
    <w:p>
      <w:pPr>
        <w:spacing w:after="140"/>
        <w:jc w:val="left"/>
      </w:pPr>
      <w:r>
        <w:t xml:space="preserve">them right. The list runs 1 to 11; the README said twelve and the docx generator said ten.</w:t>
      </w:r>
    </w:p>
    <w:p>
      <w:pPr>
        <w:spacing w:after="80"/>
        <w:ind w:left="360" w:hanging="240"/>
      </w:pPr>
      <w:r>
        <w:t xml:space="preserve">4.  </w:t>
      </w:r>
      <w:r>
        <w:rPr>
          <w:b/>
          <w:bCs/>
        </w:rPr>
        <w:t xml:space="preserve">The mutation coverage report flattered itself</w:t>
      </w:r>
      <w:r>
        <w:t xml:space="preserve">, scanning only files that</w:t>
      </w:r>
    </w:p>
    <w:p>
      <w:pPr>
        <w:spacing w:after="140"/>
        <w:jc w:val="left"/>
      </w:pPr>
      <w:r>
        <w:t xml:space="preserve">already had mutants.</w:t>
      </w:r>
    </w:p>
    <w:p>
      <w:pPr>
        <w:spacing w:after="80"/>
        <w:ind w:left="360" w:hanging="240"/>
      </w:pPr>
      <w:r>
        <w:t xml:space="preserve">5.  </w:t>
      </w:r>
      <w:r>
        <w:rPr>
          <w:b/>
          <w:bCs/>
        </w:rPr>
        <w:t xml:space="preserve">D11's fourth amendment overstates its own history by half</w:t>
      </w:r>
      <w:r>
        <w:t xml:space="preserve">, saying</w:t>
      </w:r>
    </w:p>
    <w:p>
      <w:pPr>
        <w:spacing w:after="140"/>
        <w:jc w:val="left"/>
      </w:pPr>
      <w:r>
        <w:t xml:space="preserve">"roughly thirty" commits carry the AI trailers where the count is twenty.</w:t>
      </w:r>
    </w:p>
    <w:p>
      <w:pPr>
        <w:spacing w:after="80"/>
        <w:ind w:left="360" w:hanging="240"/>
      </w:pPr>
      <w:r>
        <w:t xml:space="preserve">6.  </w:t>
      </w:r>
      <w:r>
        <w:rPr>
          <w:b/>
          <w:bCs/>
        </w:rPr>
        <w:t xml:space="preserve">The printed exclusion bound was anchored to nothing.</w:t>
      </w:r>
      <w:r>
        <w:t xml:space="preserve"> </w:t>
      </w:r>
      <w:r>
        <w:rPr>
          <w:rFonts w:ascii="Consolas" w:cs="Consolas" w:eastAsia="Consolas" w:hAnsi="Consolas"/>
          <w:sz w:val="19"/>
          <w:szCs w:val="19"/>
        </w:rPr>
        <w:t xml:space="preserve">MDE_PRIMARY_CELL</w:t>
      </w:r>
    </w:p>
    <w:p>
      <w:pPr>
        <w:spacing w:after="140"/>
        <w:jc w:val="left"/>
      </w:pPr>
      <w:r>
        <w:t xml:space="preserve">in </w:t>
      </w:r>
      <w:r>
        <w:rPr>
          <w:rFonts w:ascii="Consolas" w:cs="Consolas" w:eastAsia="Consolas" w:hAnsi="Consolas"/>
          <w:sz w:val="19"/>
          <w:szCs w:val="19"/>
        </w:rPr>
        <w:t xml:space="preserve">primary_tests.py</w:t>
      </w:r>
      <w:r>
        <w:t xml:space="preserve"> and </w:t>
      </w:r>
      <w:r>
        <w:rPr>
          <w:rFonts w:ascii="Consolas" w:cs="Consolas" w:eastAsia="Consolas" w:hAnsi="Consolas"/>
          <w:sz w:val="19"/>
          <w:szCs w:val="19"/>
        </w:rPr>
        <w:t xml:space="preserve">D6_H1</w:t>
      </w:r>
      <w:r>
        <w:t xml:space="preserve"> in </w:t>
      </w:r>
      <w:r>
        <w:rPr>
          <w:rFonts w:ascii="Consolas" w:cs="Consolas" w:eastAsia="Consolas" w:hAnsi="Consolas"/>
          <w:sz w:val="19"/>
          <w:szCs w:val="19"/>
        </w:rPr>
        <w:t xml:space="preserve">audit_sweep.py</w:t>
      </w:r>
      <w:r>
        <w:t xml:space="preserve"> held the same two figures, one checked against regenerated records and one not, with nothing connecting them. They agreed; the fifth public repair was a divergence of exactly that kind.</w:t>
      </w:r>
    </w:p>
    <w:p>
      <w:pPr>
        <w:spacing w:after="80"/>
        <w:ind w:left="360" w:hanging="240"/>
      </w:pPr>
      <w:r>
        <w:t xml:space="preserve">7.  </w:t>
      </w:r>
      <w:r>
        <w:rPr>
          <w:b/>
          <w:bCs/>
        </w:rPr>
        <w:t xml:space="preserve">Three generators defaulted to not recording their output</w:t>
      </w:r>
      <w:r>
        <w:t xml:space="preserve">, one of which</w:t>
      </w:r>
    </w:p>
    <w:p>
      <w:pPr>
        <w:spacing w:after="140"/>
        <w:jc w:val="left"/>
      </w:pPr>
      <w:r>
        <w:t xml:space="preserve">published a stale document sixteen days behind its source.</w:t>
      </w:r>
    </w:p>
    <w:p>
      <w:pPr>
        <w:spacing w:after="140"/>
        <w:jc w:val="left"/>
      </w:pPr>
      <w:r>
        <w:t xml:space="preserve">§5.6 consequently went from five public repairs to seven, and its second kind from three to four, relabelled from "claims its authors made without checking" to "claims its authors made that their own data does not support", because the seventh took a measurement made correctly and stated it more broadly than it supported.</w:t>
      </w:r>
    </w:p>
    <w:p>
      <w:pPr>
        <w:spacing w:after="140"/>
        <w:jc w:val="left"/>
      </w:pPr>
      <w:r>
        <w:rPr>
          <w:b/>
          <w:bCs/>
        </w:rPr>
        <w:t xml:space="preserve">One correction belongs to this record rather than to §5.6.</w:t>
      </w:r>
      <w:r>
        <w:t xml:space="preserve"> The paper's §1.2 claims to separate things published work routinely merges, and until 25 October cited nothing for the merging. Bowles, Ahmed and Schuld measured it: of 55 arXiv papers using the word "outperform", around 40% report a quantum model beating a classical one and three report the reverse. It is now reference [5] and §1.2 points at the figure. The work was not consulted while this study was designed or run. Week 4 logs a missing literature check as its largest error; this is the same class, found seven weeks later. It does not enter §5.6's count, by the boundary set on 5 October: an unsupported claim that turned out to be supported misstates neither a measurement nor an instrument's behaviour.</w:t>
      </w:r>
    </w:p>
    <w:p>
      <w:pPr>
        <w:spacing w:after="120" w:before="120"/>
      </w:pPr>
    </w:p>
    <w:p>
      <w:pPr>
        <w:pStyle w:val="Heading1"/>
        <w:spacing w:after="140" w:before="280"/>
      </w:pPr>
      <w:r>
        <w:rPr>
          <w:b/>
          <w:bCs/>
          <w:color w:val="000000"/>
          <w:sz w:val="24"/>
          <w:szCs w:val="24"/>
        </w:rPr>
        <w:t xml:space="preserve">5. What was built that the timeline did not ask for</w:t>
      </w:r>
    </w:p>
    <w:p>
      <w:pPr>
        <w:spacing w:after="140"/>
        <w:jc w:val="left"/>
      </w:pPr>
      <w:r>
        <w:t xml:space="preserve">None of this is research. All of it exists because something was found wrong.</w:t>
      </w:r>
    </w:p>
    <w:p>
      <w:pPr>
        <w:pStyle w:val="ListParagraph"/>
        <w:numPr>
          <w:ilvl w:val="0"/>
          <w:numId w:val="1"/>
        </w:numPr>
        <w:spacing w:after="80"/>
      </w:pPr>
      <w:r>
        <w:rPr>
          <w:rFonts w:ascii="Consolas" w:cs="Consolas" w:eastAsia="Consolas" w:hAnsi="Consolas"/>
          <w:sz w:val="19"/>
          <w:szCs w:val="19"/>
        </w:rPr>
        <w:t xml:space="preserve">scripts/assemble_paper.py</w:t>
      </w:r>
      <w:r>
        <w:t xml:space="preserve"> and its </w:t>
      </w:r>
      <w:r>
        <w:rPr>
          <w:rFonts w:ascii="Consolas" w:cs="Consolas" w:eastAsia="Consolas" w:hAnsi="Consolas"/>
          <w:sz w:val="19"/>
          <w:szCs w:val="19"/>
        </w:rPr>
        <w:t xml:space="preserve">--check</w:t>
      </w:r>
      <w:r>
        <w:t xml:space="preserve">, so a drifted paper is a test</w:t>
      </w:r>
    </w:p>
    <w:p>
      <w:pPr>
        <w:spacing w:after="140"/>
        <w:jc w:val="left"/>
      </w:pPr>
      <w:r>
        <w:t xml:space="preserve">failure rather than a discovery.</w:t>
      </w:r>
    </w:p>
    <w:p>
      <w:pPr>
        <w:pStyle w:val="ListParagraph"/>
        <w:numPr>
          <w:ilvl w:val="0"/>
          <w:numId w:val="1"/>
        </w:numPr>
        <w:spacing w:after="80"/>
      </w:pPr>
      <w:r>
        <w:rPr>
          <w:rFonts w:ascii="Consolas" w:cs="Consolas" w:eastAsia="Consolas" w:hAnsi="Consolas"/>
          <w:sz w:val="19"/>
          <w:szCs w:val="19"/>
        </w:rPr>
        <w:t xml:space="preserve">scripts/paper_to_docx.js</w:t>
      </w:r>
      <w:r>
        <w:t xml:space="preserve"> extended, and </w:t>
      </w:r>
      <w:r>
        <w:rPr>
          <w:rFonts w:ascii="Consolas" w:cs="Consolas" w:eastAsia="Consolas" w:hAnsi="Consolas"/>
          <w:sz w:val="19"/>
          <w:szCs w:val="19"/>
        </w:rPr>
        <w:t xml:space="preserve">scripts/check_docx_fresh.py</w:t>
      </w:r>
      <w:r>
        <w:t xml:space="preserve">, which</w:t>
      </w:r>
    </w:p>
    <w:p>
      <w:pPr>
        <w:spacing w:after="140"/>
        <w:jc w:val="left"/>
      </w:pPr>
      <w:r>
        <w:t xml:space="preserve">hashes each export's source and fails when it moves. It does not hash the generator and does not look inside the document; both gaps are stated in §5.6 rather than closed.</w:t>
      </w:r>
    </w:p>
    <w:p>
      <w:pPr>
        <w:pStyle w:val="ListParagraph"/>
        <w:numPr>
          <w:ilvl w:val="0"/>
          <w:numId w:val="1"/>
        </w:numPr>
        <w:spacing w:after="80"/>
      </w:pPr>
      <w:r>
        <w:rPr>
          <w:rFonts w:ascii="Consolas" w:cs="Consolas" w:eastAsia="Consolas" w:hAnsi="Consolas"/>
          <w:sz w:val="19"/>
          <w:szCs w:val="19"/>
        </w:rPr>
        <w:t xml:space="preserve">scripts/paper_to_latex.py</w:t>
      </w:r>
      <w:r>
        <w:t xml:space="preserve"> and the </w:t>
      </w:r>
      <w:r>
        <w:rPr>
          <w:rFonts w:ascii="Consolas" w:cs="Consolas" w:eastAsia="Consolas" w:hAnsi="Consolas"/>
          <w:sz w:val="19"/>
          <w:szCs w:val="19"/>
        </w:rPr>
        <w:t xml:space="preserve">arxiv/</w:t>
      </w:r>
      <w:r>
        <w:t xml:space="preserve"> bundle, with two character maps,</w:t>
      </w:r>
    </w:p>
    <w:p>
      <w:pPr>
        <w:spacing w:after="140"/>
        <w:jc w:val="left"/>
      </w:pPr>
      <w:r>
        <w:t xml:space="preserve">three refusals, and the margin fixes the Software Heritage identifiers forced.</w:t>
      </w:r>
    </w:p>
    <w:p>
      <w:pPr>
        <w:pStyle w:val="ListParagraph"/>
        <w:numPr>
          <w:ilvl w:val="0"/>
          <w:numId w:val="1"/>
        </w:numPr>
        <w:spacing w:after="80"/>
      </w:pPr>
      <w:r>
        <w:rPr>
          <w:rFonts w:ascii="Consolas" w:cs="Consolas" w:eastAsia="Consolas" w:hAnsi="Consolas"/>
          <w:sz w:val="19"/>
          <w:szCs w:val="19"/>
        </w:rPr>
        <w:t xml:space="preserve">scripts/adjudicate_grid.py</w:t>
      </w:r>
      <w:r>
        <w:t xml:space="preserve">, which makes the registered grid decision</w:t>
      </w:r>
    </w:p>
    <w:p>
      <w:pPr>
        <w:spacing w:after="140"/>
        <w:jc w:val="left"/>
      </w:pPr>
      <w:r>
        <w:t xml:space="preserve">checkable with </w:t>
      </w:r>
      <w:r>
        <w:rPr>
          <w:rFonts w:ascii="Consolas" w:cs="Consolas" w:eastAsia="Consolas" w:hAnsi="Consolas"/>
          <w:sz w:val="19"/>
          <w:szCs w:val="19"/>
        </w:rPr>
        <w:t xml:space="preserve">json</w:t>
      </w:r>
      <w:r>
        <w:t xml:space="preserve"> and </w:t>
      </w:r>
      <w:r>
        <w:rPr>
          <w:rFonts w:ascii="Consolas" w:cs="Consolas" w:eastAsia="Consolas" w:hAnsi="Consolas"/>
          <w:sz w:val="19"/>
          <w:szCs w:val="19"/>
        </w:rPr>
        <w:t xml:space="preserve">pathlib</w:t>
      </w:r>
      <w:r>
        <w:t xml:space="preserve"> and nothing else, where before it needed numpy, joblib, scikit-learn and the whole </w:t>
      </w:r>
      <w:r>
        <w:rPr>
          <w:rFonts w:ascii="Consolas" w:cs="Consolas" w:eastAsia="Consolas" w:hAnsi="Consolas"/>
          <w:sz w:val="19"/>
          <w:szCs w:val="19"/>
        </w:rPr>
        <w:t xml:space="preserve">qbench</w:t>
      </w:r>
      <w:r>
        <w:t xml:space="preserve"> package.</w:t>
      </w:r>
    </w:p>
    <w:p>
      <w:pPr>
        <w:pStyle w:val="ListParagraph"/>
        <w:numPr>
          <w:ilvl w:val="0"/>
          <w:numId w:val="1"/>
        </w:numPr>
        <w:spacing w:after="80"/>
      </w:pPr>
      <w:r>
        <w:rPr>
          <w:rFonts w:ascii="Consolas" w:cs="Consolas" w:eastAsia="Consolas" w:hAnsi="Consolas"/>
          <w:sz w:val="19"/>
          <w:szCs w:val="19"/>
        </w:rPr>
        <w:t xml:space="preserve">scripts/check_paper_figures.py</w:t>
      </w:r>
      <w:r>
        <w:t xml:space="preserve">, the first thing in this repository that</w:t>
      </w:r>
    </w:p>
    <w:p>
      <w:pPr>
        <w:spacing w:after="140"/>
        <w:jc w:val="left"/>
      </w:pPr>
      <w:r>
        <w:t xml:space="preserve">reads the paper and asks whether a figure it prints is still what the records say. It covers </w:t>
      </w:r>
      <w:r>
        <w:rPr>
          <w:b/>
          <w:bCs/>
        </w:rPr>
        <w:t xml:space="preserve">three of 192</w:t>
      </w:r>
      <w:r>
        <w:t xml:space="preserve"> decimal figures and reports the rest as unchecked.</w:t>
      </w:r>
    </w:p>
    <w:p>
      <w:pPr>
        <w:pStyle w:val="ListParagraph"/>
        <w:numPr>
          <w:ilvl w:val="0"/>
          <w:numId w:val="1"/>
        </w:numPr>
        <w:spacing w:after="80"/>
      </w:pPr>
      <w:r>
        <w:rPr>
          <w:rFonts w:ascii="Consolas" w:cs="Consolas" w:eastAsia="Consolas" w:hAnsi="Consolas"/>
          <w:sz w:val="19"/>
          <w:szCs w:val="19"/>
        </w:rPr>
        <w:t xml:space="preserve">tests/test_gtra_sweep.py</w:t>
      </w:r>
      <w:r>
        <w:t xml:space="preserve"> and two mutants, so D16's selection rule has its</w:t>
      </w:r>
    </w:p>
    <w:p>
      <w:pPr>
        <w:spacing w:after="140"/>
        <w:jc w:val="left"/>
      </w:pPr>
      <w:r>
        <w:t xml:space="preserve">non-vacuity demonstrated rather than assumed.</w:t>
      </w:r>
    </w:p>
    <w:p>
      <w:pPr>
        <w:spacing w:after="140"/>
        <w:jc w:val="left"/>
      </w:pPr>
      <w:r>
        <w:t xml:space="preserve">The suite stands at </w:t>
      </w:r>
      <w:r>
        <w:rPr>
          <w:b/>
          <w:bCs/>
        </w:rPr>
        <w:t xml:space="preserve">487 tests</w:t>
      </w:r>
      <w:r>
        <w:t xml:space="preserve"> and </w:t>
      </w:r>
      <w:r>
        <w:rPr>
          <w:b/>
          <w:bCs/>
        </w:rPr>
        <w:t xml:space="preserve">37 mutants, all killed, none survived</w:t>
      </w:r>
      <w:r>
        <w:t xml:space="preserve">, across five source files and four test files.</w:t>
      </w:r>
    </w:p>
    <w:p>
      <w:pPr>
        <w:spacing w:after="120" w:before="120"/>
      </w:pPr>
    </w:p>
    <w:p>
      <w:pPr>
        <w:pStyle w:val="Heading1"/>
        <w:spacing w:after="140" w:before="280"/>
      </w:pPr>
      <w:r>
        <w:rPr>
          <w:b/>
          <w:bCs/>
          <w:color w:val="000000"/>
          <w:sz w:val="24"/>
          <w:szCs w:val="24"/>
        </w:rPr>
        <w:t xml:space="preserve">6. Verification</w:t>
      </w:r>
    </w:p>
    <w:p>
      <w:pPr>
        <w:spacing w:after="140"/>
        <w:jc w:val="left"/>
      </w:pPr>
      <w:r>
        <w:t xml:space="preserve">Everything below passes at the commit this record is added in.</w:t>
      </w:r>
    </w:p>
    <w:p>
      <w:pPr>
        <w:pStyle w:val="ListParagraph"/>
        <w:numPr>
          <w:ilvl w:val="0"/>
          <w:numId w:val="1"/>
        </w:numPr>
        <w:spacing w:after="80"/>
      </w:pPr>
      <w:r>
        <w:rPr>
          <w:rFonts w:ascii="Consolas" w:cs="Consolas" w:eastAsia="Consolas" w:hAnsi="Consolas"/>
          <w:sz w:val="19"/>
          <w:szCs w:val="19"/>
        </w:rPr>
        <w:t xml:space="preserve">scripts/assemble_paper.py --check</w:t>
      </w:r>
      <w:r>
        <w:t xml:space="preserve">: the paper matches its nine sources.</w:t>
      </w:r>
    </w:p>
    <w:p>
      <w:pPr>
        <w:pStyle w:val="ListParagraph"/>
        <w:numPr>
          <w:ilvl w:val="0"/>
          <w:numId w:val="1"/>
        </w:numPr>
        <w:spacing w:after="80"/>
      </w:pPr>
      <w:r>
        <w:rPr>
          <w:rFonts w:ascii="Consolas" w:cs="Consolas" w:eastAsia="Consolas" w:hAnsi="Consolas"/>
          <w:sz w:val="19"/>
          <w:szCs w:val="19"/>
        </w:rPr>
        <w:t xml:space="preserve">scripts/check_docx_fresh.py</w:t>
      </w:r>
      <w:r>
        <w:t xml:space="preserve">: three recorded exports current, none stale,</w:t>
      </w:r>
    </w:p>
    <w:p>
      <w:pPr>
        <w:spacing w:after="140"/>
        <w:jc w:val="left"/>
      </w:pPr>
      <w:r>
        <w:t xml:space="preserve">eight provenance-unrecorded and reported as such rather than assumed.</w:t>
      </w:r>
    </w:p>
    <w:p>
      <w:pPr>
        <w:pStyle w:val="ListParagraph"/>
        <w:numPr>
          <w:ilvl w:val="0"/>
          <w:numId w:val="1"/>
        </w:numPr>
        <w:spacing w:after="80"/>
      </w:pPr>
      <w:r>
        <w:rPr>
          <w:rFonts w:ascii="Consolas" w:cs="Consolas" w:eastAsia="Consolas" w:hAnsi="Consolas"/>
          <w:sz w:val="19"/>
          <w:szCs w:val="19"/>
        </w:rPr>
        <w:t xml:space="preserve">scripts/check_paper_figures.py</w:t>
      </w:r>
      <w:r>
        <w:t xml:space="preserve">: three figures re-derived from the stored</w:t>
      </w:r>
    </w:p>
    <w:p>
      <w:pPr>
        <w:spacing w:after="140"/>
        <w:jc w:val="left"/>
      </w:pPr>
      <w:r>
        <w:t xml:space="preserve">records, agreeing at the precision the paper states.</w:t>
      </w:r>
    </w:p>
    <w:p>
      <w:pPr>
        <w:pStyle w:val="ListParagraph"/>
        <w:numPr>
          <w:ilvl w:val="0"/>
          <w:numId w:val="1"/>
        </w:numPr>
        <w:spacing w:after="80"/>
      </w:pPr>
      <w:r>
        <w:rPr>
          <w:rFonts w:ascii="Consolas" w:cs="Consolas" w:eastAsia="Consolas" w:hAnsi="Consolas"/>
          <w:sz w:val="19"/>
          <w:szCs w:val="19"/>
        </w:rPr>
        <w:t xml:space="preserve">scripts/mutation_check.py</w:t>
      </w:r>
      <w:r>
        <w:t xml:space="preserve">: 37 killed, 0 survived, 0 stale.</w:t>
      </w:r>
    </w:p>
    <w:p>
      <w:pPr>
        <w:pStyle w:val="ListParagraph"/>
        <w:numPr>
          <w:ilvl w:val="0"/>
          <w:numId w:val="1"/>
        </w:numPr>
        <w:spacing w:after="80"/>
      </w:pPr>
      <w:r>
        <w:rPr>
          <w:rFonts w:ascii="Consolas" w:cs="Consolas" w:eastAsia="Consolas" w:hAnsi="Consolas"/>
          <w:sz w:val="19"/>
          <w:szCs w:val="19"/>
        </w:rPr>
        <w:t xml:space="preserve">pytest</w:t>
      </w:r>
      <w:r>
        <w:t xml:space="preserve">: 487 passed.</w:t>
      </w:r>
    </w:p>
    <w:p>
      <w:pPr>
        <w:pStyle w:val="ListParagraph"/>
        <w:numPr>
          <w:ilvl w:val="0"/>
          <w:numId w:val="1"/>
        </w:numPr>
        <w:spacing w:after="80"/>
      </w:pPr>
      <w:r>
        <w:t xml:space="preserve">The arXiv bundle compiles under pdflatex with no errors and no missing</w:t>
      </w:r>
    </w:p>
    <w:p>
      <w:pPr>
        <w:spacing w:after="140"/>
        <w:jc w:val="left"/>
      </w:pPr>
      <w:r>
        <w:t xml:space="preserve">packages, 33 pages, three figures embedded.</w:t>
      </w:r>
    </w:p>
    <w:p>
      <w:pPr>
        <w:spacing w:after="120" w:before="120"/>
      </w:pPr>
    </w:p>
    <w:p>
      <w:pPr>
        <w:pStyle w:val="Heading1"/>
        <w:spacing w:after="140" w:before="280"/>
      </w:pPr>
      <w:r>
        <w:rPr>
          <w:b/>
          <w:bCs/>
          <w:color w:val="000000"/>
          <w:sz w:val="24"/>
          <w:szCs w:val="24"/>
        </w:rPr>
        <w:t xml:space="preserve">7. What is outstanding</w:t>
      </w:r>
    </w:p>
    <w:p>
      <w:pPr>
        <w:spacing w:after="140"/>
        <w:jc w:val="left"/>
      </w:pPr>
      <w:r>
        <w:rPr>
          <w:b/>
          <w:bCs/>
        </w:rPr>
        <w:t xml:space="preserve">Nothing in the registered design.</w:t>
      </w:r>
      <w:r>
        <w:t xml:space="preserve"> The hypotheses are tested, the controls are clean, the deviations are recorded, and the paper is written.</w:t>
      </w:r>
    </w:p>
    <w:p>
      <w:pPr>
        <w:spacing w:after="140"/>
        <w:jc w:val="left"/>
      </w:pPr>
      <w:r>
        <w:rPr>
          <w:b/>
          <w:bCs/>
        </w:rPr>
        <w:t xml:space="preserve">One dependency with a person in it.</w:t>
      </w:r>
      <w:r>
        <w:t xml:space="preserve"> arXiv requires a personal endorsement in quant-ph for an author with no institutional affiliation and no prior arXiv paper, following the policy change of 21 January 2026. A request is in flight. Until it resolves, nothing here is readable by anyone who does not already know where to look.</w:t>
      </w:r>
    </w:p>
    <w:p>
      <w:pPr>
        <w:spacing w:after="140"/>
        <w:jc w:val="left"/>
      </w:pPr>
      <w:r>
        <w:rPr>
          <w:b/>
          <w:bCs/>
        </w:rPr>
        <w:t xml:space="preserve">Two limitations that have no completion condition</w:t>
      </w:r>
      <w:r>
        <w:t xml:space="preserve"> and are stated in §4.7 with their coverage given rather than implied: mutation non-vacuity demonstrated for 9% of test functions, 37 of 395, and the figures check covering three of the paper's numbers.</w:t>
      </w:r>
    </w:p>
    <w:p>
      <w:pPr>
        <w:spacing w:after="140"/>
        <w:jc w:val="left"/>
      </w:pPr>
      <w:r>
        <w:rPr>
          <w:b/>
          <w:bCs/>
        </w:rPr>
        <w:t xml:space="preserve">No product exists.</w:t>
      </w:r>
      <w:r>
        <w:t xml:space="preserve"> The pre-registration never promised one. The audit protocol in §5 is a procedure with a working implementation for Tier 1 and a partial one for Tier 2; it is not a tool anyone outside this project could pick up today without reading the paper first. Whether to build one is a decision this record does not make and does not pre-empt.</w:t>
      </w:r>
    </w:p>
    <w:p>
      <w:pPr>
        <w:spacing w:after="120" w:before="120"/>
      </w:pPr>
    </w:p>
    <w:p>
      <w:pPr>
        <w:pStyle w:val="Heading1"/>
        <w:spacing w:after="140" w:before="280"/>
      </w:pPr>
      <w:r>
        <w:rPr>
          <w:b/>
          <w:bCs/>
          <w:color w:val="000000"/>
          <w:sz w:val="24"/>
          <w:szCs w:val="24"/>
        </w:rPr>
        <w:t xml:space="preserve">8. What this phase says about the project</w:t>
      </w:r>
    </w:p>
    <w:p>
      <w:pPr>
        <w:spacing w:after="140"/>
        <w:jc w:val="left"/>
      </w:pPr>
      <w:r>
        <w:t xml:space="preserve">Week 4's lesson was that a literature search is not optional, and this phase found the same gap again seven weeks later. Week 8's lesson was that consolidation finds things. This phase's is narrower and less comfortable: </w:t>
      </w:r>
      <w:r>
        <w:rPr>
          <w:b/>
          <w:bCs/>
        </w:rPr>
        <w:t xml:space="preserve">a green check is not evidence that the thing it checks is right.</w:t>
      </w:r>
      <w:r>
        <w:t xml:space="preserve"> The grid adjudicator passed every test it had while printing a withdrawn verdict. The mutation harness reported coverage it did not have. The first LaTeX conversion built with zero warnings and was wrong in four places, each found by looking at the rendered page rather than the build log. In every case the instrument reported success and the output was wrong.</w:t>
      </w:r>
    </w:p>
    <w:p>
      <w:pPr>
        <w:spacing w:after="140"/>
        <w:jc w:val="left"/>
      </w:pPr>
      <w:r>
        <w:t xml:space="preserve">The checks added in this phase are therefore mostly checks on output rather than on process, and the two that matter read the artefact a reader would see: the figures check reads the paper, and the LaTeX generator refuses when markup survives into the document. §5.6 already said a green test suite was not evidence that a measurement tool measured anything. Three weeks of writing produced seven more instances of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4"/>
      <w:szCs w:val="24"/>
    </w:rPr>
  </w:style>
  <w:style w:type="paragraph" w:styleId="Heading2">
    <w:name w:val="Heading 2"/>
    <w:basedOn w:val="Normal"/>
    <w:next w:val="Normal"/>
    <w:qFormat/>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2026-10-25T23:16:47.545Z</dcterms:created>
  <dcterms:modified xsi:type="dcterms:W3CDTF">2026-10-25T23:16:47.545Z</dcterms:modified>
</cp:coreProperties>
</file>

<file path=docProps/custom.xml><?xml version="1.0" encoding="utf-8"?>
<Properties xmlns="http://schemas.openxmlformats.org/officeDocument/2006/custom-properties" xmlns:vt="http://schemas.openxmlformats.org/officeDocument/2006/docPropsVTypes"/>
</file>