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5 Record</w:t>
      </w:r>
    </w:p>
    <w:p>
      <w:pPr>
        <w:spacing w:after="140"/>
        <w:jc w:val="left"/>
      </w:pPr>
      <w:r>
        <w:t xml:space="preserve">Written 26 September 2026. Covers work done 26 September 2026. Committed at </w:t>
      </w:r>
      <w:r>
        <w:rPr>
          <w:rFonts w:ascii="Consolas" w:cs="Consolas" w:eastAsia="Consolas" w:hAnsi="Consolas"/>
          <w:sz w:val="19"/>
          <w:szCs w:val="19"/>
        </w:rPr>
        <w:t xml:space="preserve">5f27bc7</w:t>
      </w:r>
      <w:r>
        <w:t xml:space="preserve">, </w:t>
      </w:r>
      <w:r>
        <w:rPr>
          <w:rFonts w:ascii="Consolas" w:cs="Consolas" w:eastAsia="Consolas" w:hAnsi="Consolas"/>
          <w:sz w:val="19"/>
          <w:szCs w:val="19"/>
        </w:rPr>
        <w:t xml:space="preserve">e90409f</w:t>
      </w:r>
      <w:r>
        <w:t xml:space="preserve"> and </w:t>
      </w:r>
      <w:r>
        <w:rPr>
          <w:rFonts w:ascii="Consolas" w:cs="Consolas" w:eastAsia="Consolas" w:hAnsi="Consolas"/>
          <w:sz w:val="19"/>
          <w:szCs w:val="19"/>
        </w:rPr>
        <w:t xml:space="preserve">8198a4e</w:t>
      </w:r>
      <w:r>
        <w:t xml:space="preserve">. 373 tests passing, 97% coverage on </w:t>
      </w:r>
      <w:r>
        <w:rPr>
          <w:rFonts w:ascii="Consolas" w:cs="Consolas" w:eastAsia="Consolas" w:hAnsi="Consolas"/>
          <w:sz w:val="19"/>
          <w:szCs w:val="19"/>
        </w:rPr>
        <w:t xml:space="preserve">src/qbench</w:t>
      </w:r>
      <w:r>
        <w:t xml:space="preserve">. </w:t>
      </w:r>
      <w:r>
        <w:rPr>
          <w:b/>
          <w:bCs/>
        </w:rPr>
        <w:t xml:space="preserve">Revised the same day</w:t>
      </w:r>
      <w:r>
        <w:t xml:space="preserve">, after the fraud arms were audited with the hook. Section 13 listed that as an open gap and it is now closed; sections 4, 9, 10, 11 and 13 are updated, and the fraud bandwidth arm produced the strongest single result in this record.</w:t>
      </w:r>
    </w:p>
    <w:p>
      <w:pPr>
        <w:spacing w:after="140"/>
        <w:jc w:val="left"/>
      </w:pPr>
      <w:r>
        <w:rPr>
          <w:b/>
          <w:bCs/>
        </w:rPr>
        <w:t xml:space="preserve">No deviation record was opened this week.</w:t>
      </w:r>
      <w:r>
        <w:t xml:space="preserve"> D6 was challenged twice, on two different grounds, and every one of its nine figures reproduced exactly. Both challenges were mine and both were wrong. That is recorded in sections 6 and 10 rather than buried, because a record surviving an attack is evidence about the record and a wrong attack is evidence about the attacker.</w:t>
      </w:r>
    </w:p>
    <w:p>
      <w:pPr>
        <w:spacing w:after="140"/>
        <w:jc w:val="left"/>
      </w:pPr>
      <w:r>
        <w:t xml:space="preserve">Week 5 produced no new experimental data. Every number here comes from records already on disk at the end of week 4, read by tools that were wrong when the week began.</w:t>
      </w:r>
    </w:p>
    <w:p>
      <w:pPr>
        <w:spacing w:after="120" w:before="120"/>
      </w:pPr>
    </w:p>
    <w:p>
      <w:pPr>
        <w:pStyle w:val="Heading1"/>
        <w:spacing w:after="140" w:before="280"/>
      </w:pPr>
      <w:r>
        <w:rPr>
          <w:b/>
          <w:bCs/>
          <w:color w:val="000000"/>
          <w:sz w:val="24"/>
          <w:szCs w:val="24"/>
        </w:rPr>
        <w:t xml:space="preserve">1. What week 5 was for</w:t>
      </w:r>
    </w:p>
    <w:p>
      <w:pPr>
        <w:spacing w:after="140"/>
        <w:jc w:val="left"/>
      </w:pPr>
      <w:r>
        <w:t xml:space="preserve">Week 4 ended with the project turned toward the audit protocol, and with four checks listed in the protocol as Tier 2: not runnable from a results file, reported as NOT RUN with the reason. The week's stated task was to build an interface so a pipeline that can supply its kernels gets those four checks.</w:t>
      </w:r>
    </w:p>
    <w:p>
      <w:pPr>
        <w:spacing w:after="140"/>
        <w:jc w:val="left"/>
      </w:pPr>
      <w:r>
        <w:t xml:space="preserve">That framing was half wrong before any code was written. "Not runnable" is a claim like any other, and the four had been written off in one sitting without the question being asked separately for each. Asked separately, three of the four were runnable: one needed nothing at all, two needed only an interface. The remaining one genuinely needs a re-run rather than a hook.</w:t>
      </w:r>
    </w:p>
    <w:p>
      <w:pPr>
        <w:spacing w:after="140"/>
        <w:jc w:val="left"/>
      </w:pPr>
      <w:r>
        <w:t xml:space="preserve">The second half of the week was not planned. The first run of the finished tool against real records found six defects in its own checks, and the corrections consumed more of the week than the feature did.</w:t>
      </w:r>
    </w:p>
    <w:p>
      <w:pPr>
        <w:spacing w:after="120" w:before="120"/>
      </w:pPr>
    </w:p>
    <w:p>
      <w:pPr>
        <w:pStyle w:val="Heading1"/>
        <w:spacing w:after="140" w:before="280"/>
      </w:pPr>
      <w:r>
        <w:rPr>
          <w:b/>
          <w:bCs/>
          <w:color w:val="000000"/>
          <w:sz w:val="24"/>
          <w:szCs w:val="24"/>
        </w:rPr>
        <w:t xml:space="preserve">2. The check that needed nothing</w:t>
      </w:r>
    </w:p>
    <w:p>
      <w:pPr>
        <w:spacing w:after="140"/>
        <w:jc w:val="left"/>
      </w:pPr>
      <w:r>
        <w:rPr>
          <w:rFonts w:ascii="Consolas" w:cs="Consolas" w:eastAsia="Consolas" w:hAnsi="Consolas"/>
          <w:sz w:val="19"/>
          <w:szCs w:val="19"/>
        </w:rPr>
        <w:t xml:space="preserve">bandwidth tuning</w:t>
      </w:r>
      <w:r>
        <w:t xml:space="preserve"> was filed as Tier 2 on the grounds that knowing whether a kernel has a scale parameter requires the embedding. That is true and it is beside the point. A method whose </w:t>
      </w:r>
      <w:r>
        <w:rPr>
          <w:b/>
          <w:bCs/>
        </w:rPr>
        <w:t xml:space="preserve">selected</w:t>
      </w:r>
      <w:r>
        <w:t xml:space="preserve"> hyperparameters never vary across records had nothing to select from, and one whose parameters vary had a grid. The contrast is in the records.</w:t>
      </w:r>
    </w:p>
    <w:p>
      <w:pPr>
        <w:spacing w:after="140"/>
        <w:jc w:val="left"/>
      </w:pPr>
      <w:r>
        <w:t xml:space="preserve">It is now the Tier 1 check </w:t>
      </w:r>
      <w:r>
        <w:rPr>
          <w:rFonts w:ascii="Consolas" w:cs="Consolas" w:eastAsia="Consolas" w:hAnsi="Consolas"/>
          <w:sz w:val="19"/>
          <w:szCs w:val="19"/>
        </w:rPr>
        <w:t xml:space="preserve">tuning symmetry</w:t>
      </w:r>
      <w:r>
        <w:t xml:space="preserve">, and on this project's registered churn file it reads:</w:t>
      </w:r>
    </w:p>
    <w:p>
      <w:pPr>
        <w:pBdr>
          <w:left w:val="single" w:color="999999" w:sz="12" w:space="8"/>
        </w:pBdr>
        <w:spacing w:after="120" w:before="120"/>
        <w:ind w:left="360"/>
      </w:pPr>
      <w:r>
        <w:rPr>
          <w:rFonts w:ascii="Consolas" w:cs="Consolas" w:eastAsia="Consolas" w:hAnsi="Consolas"/>
          <w:i/>
          <w:iCs/>
          <w:sz w:val="19"/>
          <w:szCs w:val="19"/>
        </w:rPr>
        <w:t xml:space="preserve">linear</w:t>
      </w:r>
      <w:r>
        <w:rPr>
          <w:i/>
          <w:iCs/>
        </w:rPr>
        <w:t xml:space="preserve"> 1 structural / 9 C (no parameters); </w:t>
      </w:r>
      <w:r>
        <w:rPr>
          <w:rFonts w:ascii="Consolas" w:cs="Consolas" w:eastAsia="Consolas" w:hAnsi="Consolas"/>
          <w:i/>
          <w:iCs/>
          <w:sz w:val="19"/>
          <w:szCs w:val="19"/>
        </w:rPr>
        <w:t xml:space="preserve">poly</w:t>
      </w:r>
      <w:r>
        <w:rPr>
          <w:i/>
          <w:iCs/>
        </w:rPr>
        <w:t xml:space="preserve"> 99 structural / 9 C; </w:t>
      </w:r>
      <w:r>
        <w:rPr>
          <w:rFonts w:ascii="Consolas" w:cs="Consolas" w:eastAsia="Consolas" w:hAnsi="Consolas"/>
          <w:i/>
          <w:iCs/>
          <w:sz w:val="19"/>
          <w:szCs w:val="19"/>
        </w:rPr>
        <w:t xml:space="preserve">quantum-angle-r1</w:t>
      </w:r>
      <w:r>
        <w:rPr>
          <w:i/>
          <w:iCs/>
        </w:rPr>
        <w:t xml:space="preserve"> 1 structural / 6 C; </w:t>
      </w:r>
      <w:r>
        <w:rPr>
          <w:rFonts w:ascii="Consolas" w:cs="Consolas" w:eastAsia="Consolas" w:hAnsi="Consolas"/>
          <w:i/>
          <w:iCs/>
          <w:sz w:val="19"/>
          <w:szCs w:val="19"/>
        </w:rPr>
        <w:t xml:space="preserve">quantum-angle-r2</w:t>
      </w:r>
      <w:r>
        <w:rPr>
          <w:i/>
          <w:iCs/>
        </w:rPr>
        <w:t xml:space="preserve"> 1 structural / 8 C; </w:t>
      </w:r>
      <w:r>
        <w:rPr>
          <w:rFonts w:ascii="Consolas" w:cs="Consolas" w:eastAsia="Consolas" w:hAnsi="Consolas"/>
          <w:i/>
          <w:iCs/>
          <w:sz w:val="19"/>
          <w:szCs w:val="19"/>
        </w:rPr>
        <w:t xml:space="preserve">quantum-iqp-r1</w:t>
      </w:r>
      <w:r>
        <w:rPr>
          <w:i/>
          <w:iCs/>
        </w:rPr>
        <w:t xml:space="preserve"> 1 structural / 7 C; </w:t>
      </w:r>
      <w:r>
        <w:rPr>
          <w:rFonts w:ascii="Consolas" w:cs="Consolas" w:eastAsia="Consolas" w:hAnsi="Consolas"/>
          <w:i/>
          <w:iCs/>
          <w:sz w:val="19"/>
          <w:szCs w:val="19"/>
        </w:rPr>
        <w:t xml:space="preserve">quantum-iqp-r2</w:t>
      </w:r>
      <w:r>
        <w:rPr>
          <w:i/>
          <w:iCs/>
        </w:rPr>
        <w:t xml:space="preserve"> 1 structural / 7 C; </w:t>
      </w:r>
      <w:r>
        <w:rPr>
          <w:rFonts w:ascii="Consolas" w:cs="Consolas" w:eastAsia="Consolas" w:hAnsi="Consolas"/>
          <w:i/>
          <w:iCs/>
          <w:sz w:val="19"/>
          <w:szCs w:val="19"/>
        </w:rPr>
        <w:t xml:space="preserve">rbf</w:t>
      </w:r>
      <w:r>
        <w:rPr>
          <w:i/>
          <w:iCs/>
        </w:rPr>
        <w:t xml:space="preserve"> 10 structural / 7 C.</w:t>
      </w:r>
    </w:p>
    <w:p>
      <w:pPr>
        <w:spacing w:after="140"/>
        <w:jc w:val="left"/>
      </w:pPr>
      <w:r>
        <w:t xml:space="preserve">Four quantum settings recording parameters that never varied, against a classical arm searching ten RBF bandwidths and ninety-nine polynomial settings. That is the defect that cost this project four weeks, visible in one line, from records that existed in week 3.</w:t>
      </w:r>
    </w:p>
    <w:p>
      <w:pPr>
        <w:spacing w:after="140"/>
        <w:jc w:val="left"/>
      </w:pPr>
      <w:r>
        <w:t xml:space="preserve">It warns rather than fails, because a wide grid with one consistently winning value looks identical from selections alone. The report says so instead of choosing.</w:t>
      </w:r>
    </w:p>
    <w:p>
      <w:pPr>
        <w:spacing w:after="140"/>
        <w:jc w:val="left"/>
      </w:pPr>
      <w:r>
        <w:t xml:space="preserve">On the bandwidth arm the same check passes, because the quantum settings then select between three and five distinct bandwidths. The two readings together are the cleanest statement of the bandwidth defect the project has produced.</w:t>
      </w:r>
    </w:p>
    <w:p>
      <w:pPr>
        <w:spacing w:after="120" w:before="120"/>
      </w:pPr>
    </w:p>
    <w:p>
      <w:pPr>
        <w:pStyle w:val="Heading1"/>
        <w:spacing w:after="140" w:before="280"/>
      </w:pPr>
      <w:r>
        <w:rPr>
          <w:b/>
          <w:bCs/>
          <w:color w:val="000000"/>
          <w:sz w:val="24"/>
          <w:szCs w:val="24"/>
        </w:rPr>
        <w:t xml:space="preserve">3. The hook, and the one line that makes it trustworthy</w:t>
      </w:r>
    </w:p>
    <w:p>
      <w:pPr>
        <w:spacing w:after="140"/>
        <w:jc w:val="left"/>
      </w:pPr>
      <w:r>
        <w:rPr>
          <w:rFonts w:ascii="Consolas" w:cs="Consolas" w:eastAsia="Consolas" w:hAnsi="Consolas"/>
          <w:sz w:val="19"/>
          <w:szCs w:val="19"/>
        </w:rPr>
        <w:t xml:space="preserve">kernel conditioning</w:t>
      </w:r>
      <w:r>
        <w:t xml:space="preserve"> and </w:t>
      </w:r>
      <w:r>
        <w:rPr>
          <w:rFonts w:ascii="Consolas" w:cs="Consolas" w:eastAsia="Consolas" w:hAnsi="Consolas"/>
          <w:sz w:val="19"/>
          <w:szCs w:val="19"/>
        </w:rPr>
        <w:t xml:space="preserve">classical surrogate equivalence</w:t>
      </w:r>
      <w:r>
        <w:t xml:space="preserve"> ask about the kernel, and a results file records what a model scored. They now run when the caller supplies </w:t>
      </w:r>
      <w:r>
        <w:rPr>
          <w:rFonts w:ascii="Consolas" w:cs="Consolas" w:eastAsia="Consolas" w:hAnsi="Consolas"/>
          <w:sz w:val="19"/>
          <w:szCs w:val="19"/>
        </w:rPr>
        <w:t xml:space="preserve">--hook</w:t>
      </w:r>
      <w:r>
        <w:t xml:space="preserve">: a module exposing up to three functions, with no base class, no registration, and no import of </w:t>
      </w:r>
      <w:r>
        <w:rPr>
          <w:rFonts w:ascii="Consolas" w:cs="Consolas" w:eastAsia="Consolas" w:hAnsi="Consolas"/>
          <w:sz w:val="19"/>
          <w:szCs w:val="19"/>
        </w:rPr>
        <w:t xml:space="preserve">audit</w:t>
      </w:r>
      <w:r>
        <w:t xml:space="preserve"> itself.</w:t>
      </w:r>
    </w:p>
    <w:p>
      <w:pPr>
        <w:spacing w:after="140"/>
        <w:jc w:val="left"/>
      </w:pPr>
      <w:r>
        <w:t xml:space="preserve">``</w:t>
      </w:r>
      <w:r>
        <w:rPr>
          <w:rFonts w:ascii="Consolas" w:cs="Consolas" w:eastAsia="Consolas" w:hAnsi="Consolas"/>
          <w:sz w:val="19"/>
          <w:szCs w:val="19"/>
        </w:rPr>
        <w:t xml:space="preserve">python def gram(record)            # -&gt; (n_train, n_train) training Gram matrix def training_data(record)   # -&gt; (X_train, y_train) def refit(record, gamma)    # -&gt; a record-shaped dict for a surrogate kernel </w:t>
      </w:r>
      <w:r>
        <w:t xml:space="preserve">``</w:t>
      </w:r>
    </w:p>
    <w:p>
      <w:pPr>
        <w:spacing w:after="140"/>
        <w:jc w:val="left"/>
      </w:pPr>
      <w:r>
        <w:t xml:space="preserve">A check needing a function the module does not define reports NOT RUN and names it. </w:t>
      </w:r>
      <w:r>
        <w:rPr>
          <w:rFonts w:ascii="Consolas" w:cs="Consolas" w:eastAsia="Consolas" w:hAnsi="Consolas"/>
          <w:sz w:val="19"/>
          <w:szCs w:val="19"/>
        </w:rPr>
        <w:t xml:space="preserve">scripts/audit_hook_qbench.py</w:t>
      </w:r>
      <w:r>
        <w:t xml:space="preserve"> is this project's adapter and the worked example.</w:t>
      </w:r>
    </w:p>
    <w:p>
      <w:pPr>
        <w:spacing w:after="140"/>
        <w:jc w:val="left"/>
      </w:pPr>
      <w:r>
        <w:t xml:space="preserve">The dangerous failure of a hook is not that it raises. It is that it rebuilds the split </w:t>
      </w:r>
      <w:r>
        <w:rPr>
          <w:b/>
          <w:bCs/>
        </w:rPr>
        <w:t xml:space="preserve">differently</w:t>
      </w:r>
      <w:r>
        <w:t xml:space="preserve"> from the pipeline that wrote the records, so the audit measures a kernel the experiment never used and produces confident readings with nothing to distinguish them from correct ones. The defence is four lines in </w:t>
      </w:r>
      <w:r>
        <w:rPr>
          <w:rFonts w:ascii="Consolas" w:cs="Consolas" w:eastAsia="Consolas" w:hAnsi="Consolas"/>
          <w:sz w:val="19"/>
          <w:szCs w:val="19"/>
        </w:rPr>
        <w:t xml:space="preserve">refit</w:t>
      </w:r>
      <w:r>
        <w:t xml:space="preserve">: it compares the resulting test-label fingerprint against the record's and raises on a mismatch, and the audit then reports FAIL rather than a number. A test pins that behaviour. It is the only part of the example hook that anyone writing their own must copy.</w:t>
      </w:r>
    </w:p>
    <w:p>
      <w:pPr>
        <w:spacing w:after="120" w:before="120"/>
      </w:pPr>
    </w:p>
    <w:p>
      <w:pPr>
        <w:pStyle w:val="Heading1"/>
        <w:spacing w:after="140" w:before="280"/>
      </w:pPr>
      <w:r>
        <w:rPr>
          <w:b/>
          <w:bCs/>
          <w:color w:val="000000"/>
          <w:sz w:val="24"/>
          <w:szCs w:val="24"/>
        </w:rPr>
        <w:t xml:space="preserve">4. What the hook found</w:t>
      </w:r>
    </w:p>
    <w:p>
      <w:pPr>
        <w:spacing w:after="140"/>
        <w:jc w:val="left"/>
      </w:pPr>
      <w:r>
        <w:rPr>
          <w:b/>
          <w:bCs/>
        </w:rPr>
        <w:t xml:space="preserve">Conditioning.</w:t>
      </w:r>
      <w:r>
        <w:t xml:space="preserve"> Condition numbers of 7.8e+19 on the registered churn arm and 9.9e+21 on the bandwidth arm, across all four settings. Both are seven to nine orders past the 1e+12 threshold at which the SVM dual stops being determined, which is consistent with D2's measured range and confirms that threshold-based tests such as McNemar were never usable here. Rank statistics survive, and everything reported in this project is a rank statistic.</w:t>
      </w:r>
    </w:p>
    <w:p>
      <w:pPr>
        <w:spacing w:after="140"/>
        <w:jc w:val="left"/>
      </w:pPr>
      <w:r>
        <w:rPr>
          <w:b/>
          <w:bCs/>
        </w:rPr>
        <w:t xml:space="preserve">Surrogate equivalence, and a correction to week 4's reading.</w:t>
      </w:r>
      <w:r>
        <w:t xml:space="preserve"> At the </w:t>
      </w:r>
      <w:r>
        <w:rPr>
          <w:b/>
          <w:bCs/>
        </w:rPr>
        <w:t xml:space="preserve">registered</w:t>
      </w:r>
      <w:r>
        <w:t xml:space="preserve"> bandwidth, every sampled kernel separates from its nearest label-free RBF surrogate: median 0.0050 in normAP, range 1.35e-03 to 6.48e-02, all above D2's floor, covering all four settings on six seeds. At </w:t>
      </w:r>
      <w:r>
        <w:rPr>
          <w:b/>
          <w:bCs/>
        </w:rPr>
        <w:t xml:space="preserve">tuned</w:t>
      </w:r>
      <w:r>
        <w:t xml:space="preserve"> bandwidths, two of six sampled kernels fall below the floor, median 3.04e-03, range 0.00e+00 to 2.89e-02, and the check reports it as too close to call.</w:t>
      </w:r>
    </w:p>
    <w:p>
      <w:pPr>
        <w:spacing w:after="140"/>
        <w:jc w:val="left"/>
      </w:pPr>
      <w:r>
        <w:rPr>
          <w:b/>
          <w:bCs/>
        </w:rPr>
        <w:t xml:space="preserve">Fraud, both arms, added on revision.</w:t>
      </w:r>
      <w:r>
        <w:t xml:space="preserve"> The registered fraud arm reads too close to call: median 3.95e-03, one of six below the floor, range 6.54e-04 to 2.40e-02. That follows from both arms sitting at 0.966 average precision with 0.034 of headroom — a kernel with that little room to move has little room to separate from its surrogate.</w:t>
      </w:r>
    </w:p>
    <w:p>
      <w:pPr>
        <w:spacing w:after="140"/>
        <w:jc w:val="left"/>
      </w:pPr>
      <w:r>
        <w:t xml:space="preserve">The fraud </w:t>
      </w:r>
      <w:r>
        <w:rPr>
          <w:b/>
          <w:bCs/>
        </w:rPr>
        <w:t xml:space="preserve">bandwidth</w:t>
      </w:r>
      <w:r>
        <w:t xml:space="preserve"> arm is the first arm in this project to return the outright verdict:</w:t>
      </w:r>
    </w:p>
    <w:p>
      <w:pPr>
        <w:pBdr>
          <w:left w:val="single" w:color="999999" w:sz="12" w:space="8"/>
        </w:pBdr>
        <w:spacing w:after="120" w:before="120"/>
        <w:ind w:left="360"/>
      </w:pPr>
      <w:r>
        <w:rPr>
          <w:i/>
          <w:iCs/>
        </w:rPr>
        <w:t xml:space="preserve">over 6 sampled kernels the median difference from a label-free RBF surrogate is </w:t>
      </w:r>
      <w:r>
        <w:rPr>
          <w:b/>
          <w:bCs/>
          <w:i/>
          <w:iCs/>
        </w:rPr>
        <w:t xml:space="preserve">1.66e-04</w:t>
      </w:r>
      <w:r>
        <w:rPr>
          <w:i/>
          <w:iCs/>
        </w:rPr>
        <w:t xml:space="preserve"> in normAP, below this pipeline's reproducibility floor of 1e-03, over 4 methods on 6 seeds. On this evidence the kernel is its surrogate and the comparison is classical-versus-classical.</w:t>
      </w:r>
    </w:p>
    <w:p>
      <w:pPr>
        <w:spacing w:after="140"/>
        <w:jc w:val="left"/>
      </w:pPr>
      <w:r>
        <w:t xml:space="preserve">Six times below the floor, across all four settings. This is Flórez-Ablan, Roth and Schnabel (2025) reproduced inside this project's own pipeline, measured in endpoint units rather than kernel-space distance, with no labels used in fitting the surrogate. It is sampled and therefore indicative rather than established; the full per-family run is what would establish it.</w:t>
      </w:r>
    </w:p>
    <w:p>
      <w:pPr>
        <w:spacing w:after="140"/>
        <w:jc w:val="left"/>
      </w:pPr>
      <w:r>
        <w:t xml:space="preserve">Conditioning on fraud reaches 1.1e+33 registered and 7.5e+26 tuned, worse than churn by thirteen orders and further evidence that nothing threshold-based was ever usable here.</w:t>
      </w:r>
    </w:p>
    <w:p>
      <w:pPr>
        <w:spacing w:after="140"/>
        <w:jc w:val="left"/>
      </w:pPr>
      <w:r>
        <w:t xml:space="preserve">So the collapse into classicality is a property of the </w:t>
      </w:r>
      <w:r>
        <w:rPr>
          <w:b/>
          <w:bCs/>
        </w:rPr>
        <w:t xml:space="preserve">tuned arm</w:t>
      </w:r>
      <w:r>
        <w:t xml:space="preserve">, not of the angle family. An earlier reading in this session held that angle kernels sit at their classical limit generally and IQP kernels do not; that was drawn from a sample which, it later turned out, contained nothing but </w:t>
      </w:r>
      <w:r>
        <w:rPr>
          <w:rFonts w:ascii="Consolas" w:cs="Consolas" w:eastAsia="Consolas" w:hAnsi="Consolas"/>
          <w:sz w:val="19"/>
          <w:szCs w:val="19"/>
        </w:rPr>
        <w:t xml:space="preserve">angle-r1</w:t>
      </w:r>
      <w:r>
        <w:t xml:space="preserve"> (section 5, defect six). At the registered bandwidth all four settings do something their nearest classical kernel cannot. What they do is lose to the best classical kernel anyway, which remains the finding.</w:t>
      </w:r>
    </w:p>
    <w:p>
      <w:pPr>
        <w:spacing w:after="120" w:before="120"/>
      </w:pPr>
    </w:p>
    <w:p>
      <w:pPr>
        <w:pStyle w:val="Heading1"/>
        <w:spacing w:after="140" w:before="280"/>
      </w:pPr>
      <w:r>
        <w:rPr>
          <w:b/>
          <w:bCs/>
          <w:color w:val="000000"/>
          <w:sz w:val="24"/>
          <w:szCs w:val="24"/>
        </w:rPr>
        <w:t xml:space="preserve">5. Six defects in the audit's own checks</w:t>
      </w:r>
    </w:p>
    <w:p>
      <w:pPr>
        <w:spacing w:after="140"/>
        <w:jc w:val="left"/>
      </w:pPr>
      <w:r>
        <w:t xml:space="preserve">Every one was in a check. None was in the records. The full test suite passed on all six, and five were found by reading a report on real data rather than by any test.</w:t>
      </w:r>
    </w:p>
    <w:p>
      <w:pPr>
        <w:spacing w:after="80"/>
        <w:ind w:left="360" w:hanging="240"/>
      </w:pPr>
      <w:r>
        <w:t xml:space="preserve">1.  </w:t>
      </w:r>
      <w:r>
        <w:rPr>
          <w:b/>
          <w:bCs/>
        </w:rPr>
        <w:t xml:space="preserve">Negative control measured spread over records, not splits.</w:t>
      </w:r>
      <w:r>
        <w:t xml:space="preserve"> A control file holds</w:t>
      </w:r>
    </w:p>
    <w:p>
      <w:pPr>
        <w:spacing w:after="140"/>
        <w:jc w:val="left"/>
      </w:pPr>
      <w:r>
        <w:t xml:space="preserve">several methods and settings scored on each seed's split; those records share the split and are not independent draws. Dividing by the square root of the record count when the unit is the seed doubled every sigma on a four-setting control, turning +1.40 into +2.68 and producing a FAIL on the bandwidth arm. The fifth instance of the unit-of-analysis error in this project and the second inside the tool written to catch it.</w:t>
      </w:r>
    </w:p>
    <w:p>
      <w:pPr>
        <w:spacing w:after="80"/>
        <w:ind w:left="360" w:hanging="240"/>
      </w:pPr>
      <w:r>
        <w:t xml:space="preserve">2.  </w:t>
      </w:r>
      <w:r>
        <w:rPr>
          <w:b/>
          <w:bCs/>
        </w:rPr>
        <w:t xml:space="preserve">Cross-arm silently discarded two thirds of a comparison file.</w:t>
      </w:r>
      <w:r>
        <w:t xml:space="preserve"> Handed a</w:t>
      </w:r>
    </w:p>
    <w:p>
      <w:pPr>
        <w:spacing w:after="140"/>
        <w:jc w:val="left"/>
      </w:pPr>
      <w:r>
        <w:t xml:space="preserve">one-configuration quantum file and a fifteen-configuration classical file, the field inference intersected to nothing, every configuration collapsed onto one key, and the check kept whichever record it read last: </w:t>
      </w:r>
      <w:r>
        <w:rPr>
          <w:b/>
          <w:bCs/>
        </w:rPr>
        <w:t xml:space="preserve">40 of 60 records dropped</w:t>
      </w:r>
      <w:r>
        <w:t xml:space="preserve">, a clean PASS, and a plausible minimum detectable effect computed from the survivors. This is D6's error — power measured on the wrong pairs — committed by the check written to catch D6's error. The label fingerprint did not save it, because configurations differ in the feature mapping and not in the labels. It now refuses to pair when a (seed, configuration, method) key holds more than one record.</w:t>
      </w:r>
    </w:p>
    <w:p>
      <w:pPr>
        <w:spacing w:after="80"/>
        <w:ind w:left="360" w:hanging="240"/>
      </w:pPr>
      <w:r>
        <w:t xml:space="preserve">3.  </w:t>
      </w:r>
      <w:r>
        <w:rPr>
          <w:b/>
          <w:bCs/>
        </w:rPr>
        <w:t xml:space="preserve">Tuning symmetry fired on every linear baseline.</w:t>
      </w:r>
      <w:r>
        <w:t xml:space="preserve"> A linear kernel has no structural</w:t>
      </w:r>
    </w:p>
    <w:p>
      <w:pPr>
        <w:spacing w:after="140"/>
        <w:jc w:val="left"/>
      </w:pPr>
      <w:r>
        <w:t xml:space="preserve">parameter, so it cannot be untuned, and counting it as untuned made the check warn on almost every comparison. A check that fires on everything carries no information. It now distinguishes an empty parameter set from a fixed one and names the parameters that were held fixed.</w:t>
      </w:r>
    </w:p>
    <w:p>
      <w:pPr>
        <w:spacing w:after="80"/>
        <w:ind w:left="360" w:hanging="240"/>
      </w:pPr>
      <w:r>
        <w:t xml:space="preserve">4.  </w:t>
      </w:r>
      <w:r>
        <w:rPr>
          <w:b/>
          <w:bCs/>
        </w:rPr>
        <w:t xml:space="preserve">The surrogate check called a sample straddling the precision floor a separation.</w:t>
      </w:r>
    </w:p>
    <w:p>
      <w:pPr>
        <w:spacing w:after="140"/>
        <w:jc w:val="left"/>
      </w:pPr>
      <w:r>
        <w:t xml:space="preserve">PASS at a median of 0.0012 against a floor of 0.0010, on six samples, with no spread reported, while the full per-family analysis of the same arm concludes the kernel </w:t>
      </w:r>
      <w:r>
        <w:rPr>
          <w:i/>
          <w:iCs/>
        </w:rPr>
        <w:t xml:space="preserve">is</w:t>
      </w:r>
      <w:r>
        <w:t xml:space="preserve"> its surrogate. The measurement agreed with that analysis; only the verdict rule disagreed. A PASS now requires every sampled kernel above the floor, not the median, and the range is always printed.</w:t>
      </w:r>
    </w:p>
    <w:p>
      <w:pPr>
        <w:spacing w:after="80"/>
        <w:ind w:left="360" w:hanging="240"/>
      </w:pPr>
      <w:r>
        <w:t xml:space="preserve">5.  </w:t>
      </w:r>
      <w:r>
        <w:rPr>
          <w:b/>
          <w:bCs/>
        </w:rPr>
        <w:t xml:space="preserve">Unit of analysis skipped single-configuration files.</w:t>
      </w:r>
      <w:r>
        <w:t xml:space="preserve"> It reported that independent</w:t>
      </w:r>
    </w:p>
    <w:p>
      <w:pPr>
        <w:spacing w:after="140"/>
        <w:jc w:val="left"/>
      </w:pPr>
      <w:r>
        <w:t xml:space="preserve">units could not be identified, which is false — the split is the unit — and it skipped exactly where an 80-record file most invites being read as 80 observations. One of this project's own tests asserted that SKIP, so the defect was being held in place by a passing test.</w:t>
      </w:r>
    </w:p>
    <w:p>
      <w:pPr>
        <w:spacing w:after="80"/>
        <w:ind w:left="360" w:hanging="240"/>
      </w:pPr>
      <w:r>
        <w:t xml:space="preserve">6.  </w:t>
      </w:r>
      <w:r>
        <w:rPr>
          <w:b/>
          <w:bCs/>
        </w:rPr>
        <w:t xml:space="preserve">The hook sample was one kernel family, twice.</w:t>
      </w:r>
      <w:r>
        <w:t xml:space="preserve"> </w:t>
      </w:r>
      <w:r>
        <w:rPr>
          <w:rFonts w:ascii="Consolas" w:cs="Consolas" w:eastAsia="Consolas" w:hAnsi="Consolas"/>
          <w:sz w:val="19"/>
          <w:szCs w:val="19"/>
        </w:rPr>
        <w:t xml:space="preserve">recs[::len(recs)//k]</w:t>
      </w:r>
      <w:r>
        <w:t xml:space="preserve"> aliases with</w:t>
      </w:r>
    </w:p>
    <w:p>
      <w:pPr>
        <w:spacing w:after="140"/>
        <w:jc w:val="left"/>
      </w:pPr>
      <w:r>
        <w:t xml:space="preserve">the order records are written in. This project writes configuration-major, then seed, then setting, in blocks of 80; a stride of 200 against a period of 80 lands on setting index 0 every time. The first real run returned six records that were all </w:t>
      </w:r>
      <w:r>
        <w:rPr>
          <w:rFonts w:ascii="Consolas" w:cs="Consolas" w:eastAsia="Consolas" w:hAnsi="Consolas"/>
          <w:sz w:val="19"/>
          <w:szCs w:val="19"/>
        </w:rPr>
        <w:t xml:space="preserve">quantum-angle-r1</w:t>
      </w:r>
      <w:r>
        <w:t xml:space="preserve"> on two seeds. Every hook-based number in that report — conditioning at 2.0e+81 included, which is an </w:t>
      </w:r>
      <w:r>
        <w:rPr>
          <w:rFonts w:ascii="Consolas" w:cs="Consolas" w:eastAsia="Consolas" w:hAnsi="Consolas"/>
          <w:sz w:val="19"/>
          <w:szCs w:val="19"/>
        </w:rPr>
        <w:t xml:space="preserve">angle-r1</w:t>
      </w:r>
      <w:r>
        <w:t xml:space="preserve"> artefact — described one family while the text called it a sample of the file. Sampling is now stratified by method and staggered across configurations and seeds, and both checks print the methods and seeds they covered, because a sample that cannot be seen is a sample that quietly becomes one family again.</w:t>
      </w:r>
    </w:p>
    <w:p>
      <w:pPr>
        <w:spacing w:after="140"/>
        <w:jc w:val="left"/>
      </w:pPr>
      <w:r>
        <w:t xml:space="preserve">The pattern across all six: four were wrong verdict rules applied to correct measurements, and two were wrong measurements. In no case did the number disagree with the underlying data; in four cases the rule disagreed with the number.</w:t>
      </w:r>
    </w:p>
    <w:p>
      <w:pPr>
        <w:spacing w:after="120" w:before="120"/>
      </w:pPr>
    </w:p>
    <w:p>
      <w:pPr>
        <w:pStyle w:val="Heading1"/>
        <w:spacing w:after="140" w:before="280"/>
      </w:pPr>
      <w:r>
        <w:rPr>
          <w:b/>
          <w:bCs/>
          <w:color w:val="000000"/>
          <w:sz w:val="24"/>
          <w:szCs w:val="24"/>
        </w:rPr>
        <w:t xml:space="preserve">6. D6, challenged twice and unmoved</w:t>
      </w:r>
    </w:p>
    <w:p>
      <w:pPr>
        <w:spacing w:after="140"/>
        <w:jc w:val="left"/>
      </w:pPr>
      <w:r>
        <w:t xml:space="preserve">D6's power table is the most citable thing in this repository. It was assembled by reading numbers out of audit output and typing them into markdown, by a tool that turned out to have six defects, and this project has already destroyed results by hand-transcription. </w:t>
      </w:r>
      <w:r>
        <w:rPr>
          <w:rFonts w:ascii="Consolas" w:cs="Consolas" w:eastAsia="Consolas" w:hAnsi="Consolas"/>
          <w:sz w:val="19"/>
          <w:szCs w:val="19"/>
        </w:rPr>
        <w:t xml:space="preserve">scripts/audit_sweep.py</w:t>
      </w:r>
      <w:r>
        <w:t xml:space="preserve"> now regenerates it from the records and prints each row beside what D6 claims.</w:t>
      </w:r>
    </w:p>
    <w:p>
      <w:pPr>
        <w:spacing w:after="140"/>
        <w:jc w:val="left"/>
      </w:pPr>
      <w:r>
        <w:rPr>
          <w:b/>
          <w:bCs/>
        </w:rPr>
        <w:t xml:space="preserve">First challenge.</w:t>
      </w:r>
      <w:r>
        <w:t xml:space="preserve"> The bandwidth row appeared not to reproduce: D6 claims 0.0353 → 0.0233, the sweep measured 0.0307 → 0.0203. That was the sweep comparing D6's figure against the wrong column. D6 quotes the variance of the pair H1 forms; the sweep was computing a median over every method pair in the cell. Different question, different number, and D6 was answering the right one.</w:t>
      </w:r>
    </w:p>
    <w:p>
      <w:pPr>
        <w:spacing w:after="140"/>
        <w:jc w:val="left"/>
      </w:pPr>
      <w:r>
        <w:rPr>
          <w:b/>
          <w:bCs/>
        </w:rPr>
        <w:t xml:space="preserve">Second challenge.</w:t>
      </w:r>
      <w:r>
        <w:t xml:space="preserve"> D6's primary-cell row for churn is 0.0921 → 0.0608, and 0.0921 is also the arm-level median to four decimal places. That identity was read as an arm-level figure mislabelled as a primary-cell one. It is not. It is the coincidence D6's own correction note records in writing — a note which had been read and quoted from in the same session. The inference was drawn from a pattern the record explicitly warns about.</w:t>
      </w:r>
    </w:p>
    <w:p>
      <w:pPr>
        <w:spacing w:after="140"/>
        <w:jc w:val="left"/>
      </w:pPr>
      <w:r>
        <w:t xml:space="preserve">With the right quantity computed, all nine figures reproduce: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row</w:t>
            </w:r>
          </w:p>
        </w:tc>
        <w:tc>
          <w:tcPr>
            <w:tcW w:type="dxa" w:w="2340"/>
            <w:shd w:fill="EDEDED" w:val="clear"/>
            <w:tcMar>
              <w:top w:type="dxa" w:w="60"/>
              <w:left w:type="dxa" w:w="100"/>
              <w:bottom w:type="dxa" w:w="60"/>
              <w:right w:type="dxa" w:w="100"/>
            </w:tcMar>
          </w:tcPr>
          <w:p>
            <w:pPr>
              <w:spacing w:after="0" w:before="0"/>
            </w:pPr>
            <w:r>
              <w:rPr>
                <w:b/>
                <w:bCs/>
                <w:sz w:val="19"/>
                <w:szCs w:val="19"/>
              </w:rPr>
              <w:t xml:space="preserve">quantity</w:t>
            </w:r>
          </w:p>
        </w:tc>
        <w:tc>
          <w:tcPr>
            <w:tcW w:type="dxa" w:w="2340"/>
            <w:shd w:fill="EDEDED" w:val="clear"/>
            <w:tcMar>
              <w:top w:type="dxa" w:w="60"/>
              <w:left w:type="dxa" w:w="100"/>
              <w:bottom w:type="dxa" w:w="60"/>
              <w:right w:type="dxa" w:w="100"/>
            </w:tcMar>
          </w:tcPr>
          <w:p>
            <w:pPr>
              <w:spacing w:after="0" w:before="0"/>
            </w:pPr>
            <w:r>
              <w:rPr>
                <w:b/>
                <w:bCs/>
                <w:sz w:val="19"/>
                <w:szCs w:val="19"/>
              </w:rPr>
              <w:t xml:space="preserve">D6 says</w:t>
            </w:r>
          </w:p>
        </w:tc>
        <w:tc>
          <w:tcPr>
            <w:tcW w:type="dxa" w:w="2340"/>
            <w:shd w:fill="EDEDED" w:val="clear"/>
            <w:tcMar>
              <w:top w:type="dxa" w:w="60"/>
              <w:left w:type="dxa" w:w="100"/>
              <w:bottom w:type="dxa" w:w="60"/>
              <w:right w:type="dxa" w:w="100"/>
            </w:tcMar>
          </w:tcPr>
          <w:p>
            <w:pPr>
              <w:spacing w:after="0" w:before="0"/>
            </w:pPr>
            <w:r>
              <w:rPr>
                <w:b/>
                <w:bCs/>
                <w:sz w:val="19"/>
                <w:szCs w:val="19"/>
              </w:rPr>
              <w:t xml:space="preserve">measured</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0.0608</w:t>
            </w:r>
          </w:p>
        </w:tc>
        <w:tc>
          <w:tcPr>
            <w:tcW w:type="dxa" w:w="2340"/>
            <w:tcMar>
              <w:top w:type="dxa" w:w="60"/>
              <w:left w:type="dxa" w:w="100"/>
              <w:bottom w:type="dxa" w:w="60"/>
              <w:right w:type="dxa" w:w="100"/>
            </w:tcMar>
          </w:tcPr>
          <w:p>
            <w:pPr>
              <w:spacing w:after="0" w:before="0"/>
            </w:pPr>
            <w:r>
              <w:rPr>
                <w:b w:val="false"/>
                <w:bCs w:val="false"/>
                <w:sz w:val="19"/>
                <w:szCs w:val="19"/>
              </w:rPr>
              <w:t xml:space="preserve">0.0609</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100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0.1005</w:t>
            </w:r>
          </w:p>
        </w:tc>
        <w:tc>
          <w:tcPr>
            <w:tcW w:type="dxa" w:w="2340"/>
            <w:tcMar>
              <w:top w:type="dxa" w:w="60"/>
              <w:left w:type="dxa" w:w="100"/>
              <w:bottom w:type="dxa" w:w="60"/>
              <w:right w:type="dxa" w:w="100"/>
            </w:tcMar>
          </w:tcPr>
          <w:p>
            <w:pPr>
              <w:spacing w:after="0" w:before="0"/>
            </w:pPr>
            <w:r>
              <w:rPr>
                <w:b w:val="false"/>
                <w:bCs w:val="false"/>
                <w:sz w:val="19"/>
                <w:szCs w:val="19"/>
              </w:rPr>
              <w:t xml:space="preserve">0.1005</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0.1368</w:t>
            </w:r>
          </w:p>
        </w:tc>
        <w:tc>
          <w:tcPr>
            <w:tcW w:type="dxa" w:w="2340"/>
            <w:tcMar>
              <w:top w:type="dxa" w:w="60"/>
              <w:left w:type="dxa" w:w="100"/>
              <w:bottom w:type="dxa" w:w="60"/>
              <w:right w:type="dxa" w:w="100"/>
            </w:tcMar>
          </w:tcPr>
          <w:p>
            <w:pPr>
              <w:spacing w:after="0" w:before="0"/>
            </w:pPr>
            <w:r>
              <w:rPr>
                <w:b w:val="false"/>
                <w:bCs w:val="false"/>
                <w:sz w:val="19"/>
                <w:szCs w:val="19"/>
              </w:rPr>
              <w:t xml:space="preserve">0.1368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0.0138</w:t>
            </w:r>
          </w:p>
        </w:tc>
        <w:tc>
          <w:tcPr>
            <w:tcW w:type="dxa" w:w="2340"/>
            <w:tcMar>
              <w:top w:type="dxa" w:w="60"/>
              <w:left w:type="dxa" w:w="100"/>
              <w:bottom w:type="dxa" w:w="60"/>
              <w:right w:type="dxa" w:w="100"/>
            </w:tcMar>
          </w:tcPr>
          <w:p>
            <w:pPr>
              <w:spacing w:after="0" w:before="0"/>
            </w:pPr>
            <w:r>
              <w:rPr>
                <w:b w:val="false"/>
                <w:bCs w:val="false"/>
                <w:sz w:val="19"/>
                <w:szCs w:val="19"/>
              </w:rPr>
              <w:t xml:space="preserve">0.0138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100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0.0365</w:t>
            </w:r>
          </w:p>
        </w:tc>
        <w:tc>
          <w:tcPr>
            <w:tcW w:type="dxa" w:w="2340"/>
            <w:tcMar>
              <w:top w:type="dxa" w:w="60"/>
              <w:left w:type="dxa" w:w="100"/>
              <w:bottom w:type="dxa" w:w="60"/>
              <w:right w:type="dxa" w:w="100"/>
            </w:tcMar>
          </w:tcPr>
          <w:p>
            <w:pPr>
              <w:spacing w:after="0" w:before="0"/>
            </w:pPr>
            <w:r>
              <w:rPr>
                <w:b w:val="false"/>
                <w:bCs w:val="false"/>
                <w:sz w:val="19"/>
                <w:szCs w:val="19"/>
              </w:rPr>
              <w:t xml:space="preserve">0.0365</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arm</w:t>
            </w:r>
          </w:p>
        </w:tc>
        <w:tc>
          <w:tcPr>
            <w:tcW w:type="dxa" w:w="2340"/>
            <w:tcMar>
              <w:top w:type="dxa" w:w="60"/>
              <w:left w:type="dxa" w:w="100"/>
              <w:bottom w:type="dxa" w:w="60"/>
              <w:right w:type="dxa" w:w="100"/>
            </w:tcMar>
          </w:tcPr>
          <w:p>
            <w:pPr>
              <w:spacing w:after="0" w:before="0"/>
            </w:pPr>
            <w:r>
              <w:rPr>
                <w:b w:val="false"/>
                <w:bCs w:val="false"/>
                <w:sz w:val="19"/>
                <w:szCs w:val="19"/>
              </w:rPr>
              <w:t xml:space="preserve">0.0571</w:t>
            </w:r>
          </w:p>
        </w:tc>
        <w:tc>
          <w:tcPr>
            <w:tcW w:type="dxa" w:w="2340"/>
            <w:tcMar>
              <w:top w:type="dxa" w:w="60"/>
              <w:left w:type="dxa" w:w="100"/>
              <w:bottom w:type="dxa" w:w="60"/>
              <w:right w:type="dxa" w:w="100"/>
            </w:tcMar>
          </w:tcPr>
          <w:p>
            <w:pPr>
              <w:spacing w:after="0" w:before="0"/>
            </w:pPr>
            <w:r>
              <w:rPr>
                <w:b w:val="false"/>
                <w:bCs w:val="false"/>
                <w:sz w:val="19"/>
                <w:szCs w:val="19"/>
              </w:rPr>
              <w:t xml:space="preserve">0.0571</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H1 pair</w:t>
            </w:r>
          </w:p>
        </w:tc>
        <w:tc>
          <w:tcPr>
            <w:tcW w:type="dxa" w:w="2340"/>
            <w:tcMar>
              <w:top w:type="dxa" w:w="60"/>
              <w:left w:type="dxa" w:w="100"/>
              <w:bottom w:type="dxa" w:w="60"/>
              <w:right w:type="dxa" w:w="100"/>
            </w:tcMar>
          </w:tcPr>
          <w:p>
            <w:pPr>
              <w:spacing w:after="0" w:before="0"/>
            </w:pPr>
            <w:r>
              <w:rPr>
                <w:b w:val="false"/>
                <w:bCs w:val="false"/>
                <w:sz w:val="19"/>
                <w:szCs w:val="19"/>
              </w:rPr>
              <w:t xml:space="preserve">0.0608</w:t>
            </w:r>
          </w:p>
        </w:tc>
        <w:tc>
          <w:tcPr>
            <w:tcW w:type="dxa" w:w="2340"/>
            <w:tcMar>
              <w:top w:type="dxa" w:w="60"/>
              <w:left w:type="dxa" w:w="100"/>
              <w:bottom w:type="dxa" w:w="60"/>
              <w:right w:type="dxa" w:w="100"/>
            </w:tcMar>
          </w:tcPr>
          <w:p>
            <w:pPr>
              <w:spacing w:after="0" w:before="0"/>
            </w:pPr>
            <w:r>
              <w:rPr>
                <w:b w:val="false"/>
                <w:bCs w:val="false"/>
                <w:sz w:val="19"/>
                <w:szCs w:val="19"/>
              </w:rPr>
              <w:t xml:space="preserve">0.0608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H1 pair</w:t>
            </w:r>
          </w:p>
        </w:tc>
        <w:tc>
          <w:tcPr>
            <w:tcW w:type="dxa" w:w="2340"/>
            <w:tcMar>
              <w:top w:type="dxa" w:w="60"/>
              <w:left w:type="dxa" w:w="100"/>
              <w:bottom w:type="dxa" w:w="60"/>
              <w:right w:type="dxa" w:w="100"/>
            </w:tcMar>
          </w:tcPr>
          <w:p>
            <w:pPr>
              <w:spacing w:after="0" w:before="0"/>
            </w:pPr>
            <w:r>
              <w:rPr>
                <w:b w:val="false"/>
                <w:bCs w:val="false"/>
                <w:sz w:val="19"/>
                <w:szCs w:val="19"/>
              </w:rPr>
              <w:t xml:space="preserve">0.0063</w:t>
            </w:r>
          </w:p>
        </w:tc>
        <w:tc>
          <w:tcPr>
            <w:tcW w:type="dxa" w:w="2340"/>
            <w:tcMar>
              <w:top w:type="dxa" w:w="60"/>
              <w:left w:type="dxa" w:w="100"/>
              <w:bottom w:type="dxa" w:w="60"/>
              <w:right w:type="dxa" w:w="100"/>
            </w:tcMar>
          </w:tcPr>
          <w:p>
            <w:pPr>
              <w:spacing w:after="0" w:before="0"/>
            </w:pPr>
            <w:r>
              <w:rPr>
                <w:b w:val="false"/>
                <w:bCs w:val="false"/>
                <w:sz w:val="19"/>
                <w:szCs w:val="19"/>
              </w:rPr>
              <w:t xml:space="preserve">0.0063</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 bandwidth</w:t>
            </w:r>
          </w:p>
        </w:tc>
        <w:tc>
          <w:tcPr>
            <w:tcW w:type="dxa" w:w="2340"/>
            <w:tcMar>
              <w:top w:type="dxa" w:w="60"/>
              <w:left w:type="dxa" w:w="100"/>
              <w:bottom w:type="dxa" w:w="60"/>
              <w:right w:type="dxa" w:w="100"/>
            </w:tcMar>
          </w:tcPr>
          <w:p>
            <w:pPr>
              <w:spacing w:after="0" w:before="0"/>
            </w:pPr>
            <w:r>
              <w:rPr>
                <w:b w:val="false"/>
                <w:bCs w:val="false"/>
                <w:sz w:val="19"/>
                <w:szCs w:val="19"/>
              </w:rPr>
              <w:t xml:space="preserve">H1 pair</w:t>
            </w:r>
          </w:p>
        </w:tc>
        <w:tc>
          <w:tcPr>
            <w:tcW w:type="dxa" w:w="2340"/>
            <w:tcMar>
              <w:top w:type="dxa" w:w="60"/>
              <w:left w:type="dxa" w:w="100"/>
              <w:bottom w:type="dxa" w:w="60"/>
              <w:right w:type="dxa" w:w="100"/>
            </w:tcMar>
          </w:tcPr>
          <w:p>
            <w:pPr>
              <w:spacing w:after="0" w:before="0"/>
            </w:pPr>
            <w:r>
              <w:rPr>
                <w:b w:val="false"/>
                <w:bCs w:val="false"/>
                <w:sz w:val="19"/>
                <w:szCs w:val="19"/>
              </w:rPr>
              <w:t xml:space="preserve">0.0233</w:t>
            </w:r>
          </w:p>
        </w:tc>
        <w:tc>
          <w:tcPr>
            <w:tcW w:type="dxa" w:w="2340"/>
            <w:tcMar>
              <w:top w:type="dxa" w:w="60"/>
              <w:left w:type="dxa" w:w="100"/>
              <w:bottom w:type="dxa" w:w="60"/>
              <w:right w:type="dxa" w:w="100"/>
            </w:tcMar>
          </w:tcPr>
          <w:p>
            <w:pPr>
              <w:spacing w:after="0" w:before="0"/>
            </w:pPr>
            <w:r>
              <w:rPr>
                <w:b w:val="false"/>
                <w:bCs w:val="false"/>
                <w:sz w:val="19"/>
                <w:szCs w:val="19"/>
              </w:rPr>
              <w:t xml:space="preserve">0.0233</w:t>
            </w:r>
          </w:p>
        </w:tc>
      </w:tr>
    </w:tbl>
    <w:p>
      <w:pPr>
        <w:spacing w:after="160"/>
      </w:pPr>
    </w:p>
    <w:p>
      <w:pPr>
        <w:spacing w:after="140"/>
        <w:jc w:val="left"/>
      </w:pPr>
      <w:r>
        <w:t xml:space="preserve">D6 needs no correction. What the sweep adds is that the table is now regenerated rather than transcribed, and that each of its two tables is labelled with which quantity it holds.</w:t>
      </w:r>
    </w:p>
    <w:p>
      <w:pPr>
        <w:spacing w:after="120" w:before="120"/>
      </w:pPr>
    </w:p>
    <w:p>
      <w:pPr>
        <w:pStyle w:val="Heading1"/>
        <w:spacing w:after="140" w:before="280"/>
      </w:pPr>
      <w:r>
        <w:rPr>
          <w:b/>
          <w:bCs/>
          <w:color w:val="000000"/>
          <w:sz w:val="24"/>
          <w:szCs w:val="24"/>
        </w:rPr>
        <w:t xml:space="preserve">7. Three quantities, and which one a bound quotes</w:t>
      </w:r>
    </w:p>
    <w:p>
      <w:pPr>
        <w:spacing w:after="140"/>
        <w:jc w:val="left"/>
      </w:pPr>
      <w:r>
        <w:t xml:space="preserve">The sweep separates three numbers this project has conflated twice:</w:t>
      </w:r>
    </w:p>
    <w:p>
      <w:pPr>
        <w:pStyle w:val="ListParagraph"/>
        <w:numPr>
          <w:ilvl w:val="0"/>
          <w:numId w:val="1"/>
        </w:numPr>
        <w:spacing w:after="80"/>
      </w:pPr>
      <w:r>
        <w:rPr>
          <w:b/>
          <w:bCs/>
        </w:rPr>
        <w:t xml:space="preserve">arm level</w:t>
      </w:r>
      <w:r>
        <w:t xml:space="preserve"> — the median over every configuration and method pair in the file. What a</w:t>
      </w:r>
    </w:p>
    <w:p>
      <w:pPr>
        <w:spacing w:after="140"/>
        <w:jc w:val="left"/>
      </w:pPr>
      <w:r>
        <w:t xml:space="preserve">claim about "the churn 250 arm" rests on.</w:t>
      </w:r>
    </w:p>
    <w:p>
      <w:pPr>
        <w:pStyle w:val="ListParagraph"/>
        <w:numPr>
          <w:ilvl w:val="0"/>
          <w:numId w:val="1"/>
        </w:numPr>
        <w:spacing w:after="80"/>
      </w:pPr>
      <w:r>
        <w:rPr>
          <w:b/>
          <w:bCs/>
        </w:rPr>
        <w:t xml:space="preserve">primary cell</w:t>
      </w:r>
      <w:r>
        <w:t xml:space="preserve"> — the median over every method pair inside the pre-registered cell.</w:t>
      </w:r>
    </w:p>
    <w:p>
      <w:pPr>
        <w:pStyle w:val="ListParagraph"/>
        <w:numPr>
          <w:ilvl w:val="0"/>
          <w:numId w:val="1"/>
        </w:numPr>
        <w:spacing w:after="80"/>
      </w:pPr>
      <w:r>
        <w:rPr>
          <w:b/>
          <w:bCs/>
        </w:rPr>
        <w:t xml:space="preserve">H1 pair</w:t>
      </w:r>
      <w:r>
        <w:t xml:space="preserve"> — the paired variance of best quantum against best classical, each selected</w:t>
      </w:r>
    </w:p>
    <w:p>
      <w:pPr>
        <w:spacing w:after="140"/>
        <w:jc w:val="left"/>
      </w:pPr>
      <w:r>
        <w:t xml:space="preserve">per seed by the registered inner-score rule.</w:t>
      </w:r>
    </w:p>
    <w:p>
      <w:pPr>
        <w:spacing w:after="140"/>
        <w:jc w:val="left"/>
      </w:pPr>
      <w:r>
        <w:t xml:space="preserve">An exclusion bound on the primary test is a statement about the pair the test forms, so it must be measured on that pair. Quoting a median over all method pairs instead substitutes the variance of comparisons nobody made, which is D6's own error one level down. They differ materially: on churn at 100 per class the three are 0.1005, 0.0667 and 0.0423.</w:t>
      </w:r>
    </w:p>
    <w:p>
      <w:pPr>
        <w:spacing w:after="120" w:before="120"/>
      </w:pPr>
    </w:p>
    <w:p>
      <w:pPr>
        <w:pStyle w:val="Heading1"/>
        <w:spacing w:after="140" w:before="280"/>
      </w:pPr>
      <w:r>
        <w:rPr>
          <w:b/>
          <w:bCs/>
          <w:color w:val="000000"/>
          <w:sz w:val="24"/>
          <w:szCs w:val="24"/>
        </w:rPr>
        <w:t xml:space="preserve">8. One of eight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arm</w:t>
            </w:r>
          </w:p>
        </w:tc>
        <w:tc>
          <w:tcPr>
            <w:tcW w:type="dxa" w:w="2340"/>
            <w:shd w:fill="EDEDED" w:val="clear"/>
            <w:tcMar>
              <w:top w:type="dxa" w:w="60"/>
              <w:left w:type="dxa" w:w="100"/>
              <w:bottom w:type="dxa" w:w="60"/>
              <w:right w:type="dxa" w:w="100"/>
            </w:tcMar>
          </w:tcPr>
          <w:p>
            <w:pPr>
              <w:spacing w:after="0" w:before="0"/>
            </w:pPr>
            <w:r>
              <w:rPr>
                <w:b/>
                <w:bCs/>
                <w:sz w:val="19"/>
                <w:szCs w:val="19"/>
              </w:rPr>
              <w:t xml:space="preserve">observed</w:t>
            </w:r>
          </w:p>
        </w:tc>
        <w:tc>
          <w:tcPr>
            <w:tcW w:type="dxa" w:w="2340"/>
            <w:shd w:fill="EDEDED" w:val="clear"/>
            <w:tcMar>
              <w:top w:type="dxa" w:w="60"/>
              <w:left w:type="dxa" w:w="100"/>
              <w:bottom w:type="dxa" w:w="60"/>
              <w:right w:type="dxa" w:w="100"/>
            </w:tcMar>
          </w:tcPr>
          <w:p>
            <w:pPr>
              <w:spacing w:after="0" w:before="0"/>
            </w:pPr>
            <w:r>
              <w:rPr>
                <w:b/>
                <w:bCs/>
                <w:sz w:val="19"/>
                <w:szCs w:val="19"/>
              </w:rPr>
              <w:t xml:space="preserve">its own MDE</w:t>
            </w:r>
          </w:p>
        </w:tc>
        <w:tc>
          <w:tcPr>
            <w:tcW w:type="dxa" w:w="2340"/>
            <w:shd w:fill="EDEDED" w:val="clear"/>
            <w:tcMar>
              <w:top w:type="dxa" w:w="60"/>
              <w:left w:type="dxa" w:w="100"/>
              <w:bottom w:type="dxa" w:w="60"/>
              <w:right w:type="dxa" w:w="100"/>
            </w:tcMar>
          </w:tcPr>
          <w:p>
            <w:pPr>
              <w:spacing w:after="0" w:before="0"/>
            </w:pPr>
            <w:r>
              <w:rPr>
                <w:b/>
                <w:bCs/>
                <w:sz w:val="19"/>
                <w:szCs w:val="19"/>
              </w:rPr>
              <w:t xml:space="preserve">resolvable</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−0.0798</w:t>
            </w:r>
          </w:p>
        </w:tc>
        <w:tc>
          <w:tcPr>
            <w:tcW w:type="dxa" w:w="2340"/>
            <w:tcMar>
              <w:top w:type="dxa" w:w="60"/>
              <w:left w:type="dxa" w:w="100"/>
              <w:bottom w:type="dxa" w:w="60"/>
              <w:right w:type="dxa" w:w="100"/>
            </w:tcMar>
          </w:tcPr>
          <w:p>
            <w:pPr>
              <w:spacing w:after="0" w:before="0"/>
            </w:pPr>
            <w:r>
              <w:rPr>
                <w:b w:val="false"/>
                <w:bCs w:val="false"/>
                <w:sz w:val="19"/>
                <w:szCs w:val="19"/>
              </w:rPr>
              <w:t xml:space="preserve">0.0608</w:t>
            </w:r>
          </w:p>
        </w:tc>
        <w:tc>
          <w:tcPr>
            <w:tcW w:type="dxa" w:w="2340"/>
            <w:tcMar>
              <w:top w:type="dxa" w:w="60"/>
              <w:left w:type="dxa" w:w="100"/>
              <w:bottom w:type="dxa" w:w="60"/>
              <w:right w:type="dxa" w:w="100"/>
            </w:tcMar>
          </w:tcPr>
          <w:p>
            <w:pPr>
              <w:spacing w:after="0" w:before="0"/>
            </w:pPr>
            <w:r>
              <w:rPr>
                <w:b/>
                <w:bCs/>
                <w:sz w:val="19"/>
                <w:szCs w:val="19"/>
              </w:rPr>
              <w:t xml:space="preserve">yes, 1.31x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100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−0.0287</w:t>
            </w:r>
          </w:p>
        </w:tc>
        <w:tc>
          <w:tcPr>
            <w:tcW w:type="dxa" w:w="2340"/>
            <w:tcMar>
              <w:top w:type="dxa" w:w="60"/>
              <w:left w:type="dxa" w:w="100"/>
              <w:bottom w:type="dxa" w:w="60"/>
              <w:right w:type="dxa" w:w="100"/>
            </w:tcMar>
          </w:tcPr>
          <w:p>
            <w:pPr>
              <w:spacing w:after="0" w:before="0"/>
            </w:pPr>
            <w:r>
              <w:rPr>
                <w:b w:val="false"/>
                <w:bCs w:val="false"/>
                <w:sz w:val="19"/>
                <w:szCs w:val="19"/>
              </w:rPr>
              <w:t xml:space="preserve">0.0423</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−0.0331</w:t>
            </w:r>
          </w:p>
        </w:tc>
        <w:tc>
          <w:tcPr>
            <w:tcW w:type="dxa" w:w="2340"/>
            <w:tcMar>
              <w:top w:type="dxa" w:w="60"/>
              <w:left w:type="dxa" w:w="100"/>
              <w:bottom w:type="dxa" w:w="60"/>
              <w:right w:type="dxa" w:w="100"/>
            </w:tcMar>
          </w:tcPr>
          <w:p>
            <w:pPr>
              <w:spacing w:after="0" w:before="0"/>
            </w:pPr>
            <w:r>
              <w:rPr>
                <w:b w:val="false"/>
                <w:bCs w:val="false"/>
                <w:sz w:val="19"/>
                <w:szCs w:val="19"/>
              </w:rPr>
              <w:t xml:space="preserve">0.1027</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 bandwidth</w:t>
            </w:r>
          </w:p>
        </w:tc>
        <w:tc>
          <w:tcPr>
            <w:tcW w:type="dxa" w:w="2340"/>
            <w:tcMar>
              <w:top w:type="dxa" w:w="60"/>
              <w:left w:type="dxa" w:w="100"/>
              <w:bottom w:type="dxa" w:w="60"/>
              <w:right w:type="dxa" w:w="100"/>
            </w:tcMar>
          </w:tcPr>
          <w:p>
            <w:pPr>
              <w:spacing w:after="0" w:before="0"/>
            </w:pPr>
            <w:r>
              <w:rPr>
                <w:b w:val="false"/>
                <w:bCs w:val="false"/>
                <w:sz w:val="19"/>
                <w:szCs w:val="19"/>
              </w:rPr>
              <w:t xml:space="preserve">−0.0101</w:t>
            </w:r>
          </w:p>
        </w:tc>
        <w:tc>
          <w:tcPr>
            <w:tcW w:type="dxa" w:w="2340"/>
            <w:tcMar>
              <w:top w:type="dxa" w:w="60"/>
              <w:left w:type="dxa" w:w="100"/>
              <w:bottom w:type="dxa" w:w="60"/>
              <w:right w:type="dxa" w:w="100"/>
            </w:tcMar>
          </w:tcPr>
          <w:p>
            <w:pPr>
              <w:spacing w:after="0" w:before="0"/>
            </w:pPr>
            <w:r>
              <w:rPr>
                <w:b w:val="false"/>
                <w:bCs w:val="false"/>
                <w:sz w:val="19"/>
                <w:szCs w:val="19"/>
              </w:rPr>
              <w:t xml:space="preserve">0.0233</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−0.0028</w:t>
            </w:r>
          </w:p>
        </w:tc>
        <w:tc>
          <w:tcPr>
            <w:tcW w:type="dxa" w:w="2340"/>
            <w:tcMar>
              <w:top w:type="dxa" w:w="60"/>
              <w:left w:type="dxa" w:w="100"/>
              <w:bottom w:type="dxa" w:w="60"/>
              <w:right w:type="dxa" w:w="100"/>
            </w:tcMar>
          </w:tcPr>
          <w:p>
            <w:pPr>
              <w:spacing w:after="0" w:before="0"/>
            </w:pPr>
            <w:r>
              <w:rPr>
                <w:b w:val="false"/>
                <w:bCs w:val="false"/>
                <w:sz w:val="19"/>
                <w:szCs w:val="19"/>
              </w:rPr>
              <w:t xml:space="preserve">0.0063</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100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−0.0088</w:t>
            </w:r>
          </w:p>
        </w:tc>
        <w:tc>
          <w:tcPr>
            <w:tcW w:type="dxa" w:w="2340"/>
            <w:tcMar>
              <w:top w:type="dxa" w:w="60"/>
              <w:left w:type="dxa" w:w="100"/>
              <w:bottom w:type="dxa" w:w="60"/>
              <w:right w:type="dxa" w:w="100"/>
            </w:tcMar>
          </w:tcPr>
          <w:p>
            <w:pPr>
              <w:spacing w:after="0" w:before="0"/>
            </w:pPr>
            <w:r>
              <w:rPr>
                <w:b w:val="false"/>
                <w:bCs w:val="false"/>
                <w:sz w:val="19"/>
                <w:szCs w:val="19"/>
              </w:rPr>
              <w:t xml:space="preserve">0.0210</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50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−0.0130</w:t>
            </w:r>
          </w:p>
        </w:tc>
        <w:tc>
          <w:tcPr>
            <w:tcW w:type="dxa" w:w="2340"/>
            <w:tcMar>
              <w:top w:type="dxa" w:w="60"/>
              <w:left w:type="dxa" w:w="100"/>
              <w:bottom w:type="dxa" w:w="60"/>
              <w:right w:type="dxa" w:w="100"/>
            </w:tcMar>
          </w:tcPr>
          <w:p>
            <w:pPr>
              <w:spacing w:after="0" w:before="0"/>
            </w:pPr>
            <w:r>
              <w:rPr>
                <w:b w:val="false"/>
                <w:bCs w:val="false"/>
                <w:sz w:val="19"/>
                <w:szCs w:val="19"/>
              </w:rPr>
              <w:t xml:space="preserve">0.0432</w:t>
            </w:r>
          </w:p>
        </w:tc>
        <w:tc>
          <w:tcPr>
            <w:tcW w:type="dxa" w:w="2340"/>
            <w:tcMar>
              <w:top w:type="dxa" w:w="60"/>
              <w:left w:type="dxa" w:w="100"/>
              <w:bottom w:type="dxa" w:w="60"/>
              <w:right w:type="dxa" w:w="100"/>
            </w:tcMar>
          </w:tcPr>
          <w:p>
            <w:pPr>
              <w:spacing w:after="0" w:before="0"/>
            </w:pPr>
            <w:r>
              <w:rPr>
                <w:b w:val="false"/>
                <w:bCs w:val="false"/>
                <w:sz w:val="19"/>
                <w:szCs w:val="19"/>
              </w:rPr>
              <w:t xml:space="preserve">no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 bandwidth</w:t>
            </w:r>
          </w:p>
        </w:tc>
        <w:tc>
          <w:tcPr>
            <w:tcW w:type="dxa" w:w="2340"/>
            <w:tcMar>
              <w:top w:type="dxa" w:w="60"/>
              <w:left w:type="dxa" w:w="100"/>
              <w:bottom w:type="dxa" w:w="60"/>
              <w:right w:type="dxa" w:w="100"/>
            </w:tcMar>
          </w:tcPr>
          <w:p>
            <w:pPr>
              <w:spacing w:after="0" w:before="0"/>
            </w:pPr>
            <w:r>
              <w:rPr>
                <w:b w:val="false"/>
                <w:bCs w:val="false"/>
                <w:sz w:val="19"/>
                <w:szCs w:val="19"/>
              </w:rPr>
              <w:t xml:space="preserve">+0.0002</w:t>
            </w:r>
          </w:p>
        </w:tc>
        <w:tc>
          <w:tcPr>
            <w:tcW w:type="dxa" w:w="2340"/>
            <w:tcMar>
              <w:top w:type="dxa" w:w="60"/>
              <w:left w:type="dxa" w:w="100"/>
              <w:bottom w:type="dxa" w:w="60"/>
              <w:right w:type="dxa" w:w="100"/>
            </w:tcMar>
          </w:tcPr>
          <w:p>
            <w:pPr>
              <w:spacing w:after="0" w:before="0"/>
            </w:pPr>
            <w:r>
              <w:rPr>
                <w:b w:val="false"/>
                <w:bCs w:val="false"/>
                <w:sz w:val="19"/>
                <w:szCs w:val="19"/>
              </w:rPr>
              <w:t xml:space="preserve">0.0032</w:t>
            </w:r>
          </w:p>
        </w:tc>
        <w:tc>
          <w:tcPr>
            <w:tcW w:type="dxa" w:w="2340"/>
            <w:tcMar>
              <w:top w:type="dxa" w:w="60"/>
              <w:left w:type="dxa" w:w="100"/>
              <w:bottom w:type="dxa" w:w="60"/>
              <w:right w:type="dxa" w:w="100"/>
            </w:tcMar>
          </w:tcPr>
          <w:p>
            <w:pPr>
              <w:spacing w:after="0" w:before="0"/>
            </w:pPr>
            <w:r>
              <w:rPr>
                <w:b w:val="false"/>
                <w:bCs w:val="false"/>
                <w:sz w:val="19"/>
                <w:szCs w:val="19"/>
              </w:rPr>
              <w:t xml:space="preserve">no, and below D2's floor</w:t>
            </w:r>
          </w:p>
        </w:tc>
      </w:tr>
    </w:tbl>
    <w:p>
      <w:pPr>
        <w:spacing w:after="160"/>
      </w:pPr>
    </w:p>
    <w:p>
      <w:pPr>
        <w:spacing w:after="140"/>
        <w:jc w:val="left"/>
      </w:pPr>
      <w:r>
        <w:t xml:space="preserve">One of eight arms produced a difference its own comparison could resolve. Every other observed value in this study is smaller than the resolution of the comparison that produced it. That is neither evidence of equivalence nor a measurement of a small effect, and the distinction is the whole reason the power column exists.</w:t>
      </w:r>
    </w:p>
    <w:p>
      <w:pPr>
        <w:spacing w:after="140"/>
        <w:jc w:val="left"/>
      </w:pPr>
      <w:r>
        <w:t xml:space="preserve">Every sign favours the classical kernel except fraud's bandwidth arm at +0.0002, which is three times below the reproducibility floor and is not a measurement either.</w:t>
      </w:r>
    </w:p>
    <w:p>
      <w:pPr>
        <w:spacing w:after="140"/>
        <w:jc w:val="left"/>
      </w:pPr>
      <w:r>
        <w:t xml:space="preserve">This changed one sentence in the README. The bandwidth collapse to −0.0101 was reported without saying that the corrected arm resolves 0.0233, which invites reading the collapse as a measured near-zero. It now says both.</w:t>
      </w:r>
    </w:p>
    <w:p>
      <w:pPr>
        <w:spacing w:after="120" w:before="120"/>
      </w:pPr>
    </w:p>
    <w:p>
      <w:pPr>
        <w:pStyle w:val="Heading1"/>
        <w:spacing w:after="140" w:before="280"/>
      </w:pPr>
      <w:r>
        <w:rPr>
          <w:b/>
          <w:bCs/>
          <w:color w:val="000000"/>
          <w:sz w:val="24"/>
          <w:szCs w:val="24"/>
        </w:rPr>
        <w:t xml:space="preserve">9. Predictions made and scored</w:t>
      </w:r>
    </w:p>
    <w:p>
      <w:pPr>
        <w:spacing w:after="140"/>
        <w:jc w:val="left"/>
      </w:pPr>
      <w:r>
        <w:t xml:space="preserve">Twenty-five explicit calls were written down before the runs that tested them, tagged Certain, Likely or Guessing. Twenty held. Five failed:</w:t>
      </w:r>
    </w:p>
    <w:p>
      <w:pPr>
        <w:spacing w:after="80"/>
        <w:ind w:left="360" w:hanging="240"/>
      </w:pPr>
      <w:r>
        <w:t xml:space="preserve">1.  The bandwidth arm's </w:t>
      </w:r>
      <w:r>
        <w:rPr>
          <w:rFonts w:ascii="Consolas" w:cs="Consolas" w:eastAsia="Consolas" w:hAnsi="Consolas"/>
          <w:sz w:val="19"/>
          <w:szCs w:val="19"/>
        </w:rPr>
        <w:t xml:space="preserve">tuning symmetry</w:t>
      </w:r>
      <w:r>
        <w:t xml:space="preserve"> would PASS. It warned — because of defect three.</w:t>
      </w:r>
    </w:p>
    <w:p>
      <w:pPr>
        <w:spacing w:after="80"/>
        <w:ind w:left="360" w:hanging="240"/>
      </w:pPr>
      <w:r>
        <w:t xml:space="preserve">2.  The bandwidth arm's surrogate check would WARN. It passed — because of defect four.</w:t>
      </w:r>
    </w:p>
    <w:p>
      <w:pPr>
        <w:spacing w:after="80"/>
        <w:ind w:left="360" w:hanging="240"/>
      </w:pPr>
      <w:r>
        <w:t xml:space="preserve">3.  The registered arm's surrogate range would </w:t>
      </w:r>
      <w:r>
        <w:rPr>
          <w:b/>
          <w:bCs/>
        </w:rPr>
        <w:t xml:space="preserve">widen</w:t>
      </w:r>
      <w:r>
        <w:t xml:space="preserve"> once IQP entered the sample and</w:t>
      </w:r>
    </w:p>
    <w:p>
      <w:pPr>
        <w:spacing w:after="140"/>
        <w:jc w:val="left"/>
      </w:pPr>
      <w:r>
        <w:t xml:space="preserve">the verdict would stay WARN. Both halves wrong: the range's floor rose from 0.00e+00 to 1.35e-03 and the verdict became PASS.</w:t>
      </w:r>
    </w:p>
    <w:p>
      <w:pPr>
        <w:spacing w:after="80"/>
        <w:ind w:left="360" w:hanging="240"/>
      </w:pPr>
      <w:r>
        <w:t xml:space="preserve">4.  D6's churn primary-cell row was the arm-level figure mislabelled. It was not.</w:t>
      </w:r>
    </w:p>
    <w:p>
      <w:pPr>
        <w:spacing w:after="80"/>
        <w:ind w:left="360" w:hanging="240"/>
      </w:pPr>
      <w:r>
        <w:t xml:space="preserve">5.  The H1-pair column would differ from both other columns on every row. On churn 250 it</w:t>
      </w:r>
    </w:p>
    <w:p>
      <w:pPr>
        <w:spacing w:after="140"/>
        <w:jc w:val="left"/>
      </w:pPr>
      <w:r>
        <w:t xml:space="preserve">equals the arm-level figure, which is the documented coincidence.</w:t>
      </w:r>
    </w:p>
    <w:p>
      <w:pPr>
        <w:spacing w:after="140"/>
        <w:jc w:val="left"/>
      </w:pPr>
      <w:r>
        <w:t xml:space="preserve">Two further calls were right in verdict and wrong in magnitude: the bandwidth arm's negative-control sigma was predicted to halve to 1.34 on the reasoning that four settings within a seed are perfectly correlated. They are not, and it is 1.65.</w:t>
      </w:r>
    </w:p>
    <w:p>
      <w:pPr>
        <w:spacing w:after="140"/>
        <w:jc w:val="left"/>
      </w:pPr>
      <w:r>
        <w:t xml:space="preserve">The four calls made about the fraud arms on revision all held, including the [Guessing] one: that fraud's bandwidth arm would land either at "too close to call" or at a genuine below-floor reading, and that the second would be the stronger claim. It was the second.</w:t>
      </w:r>
    </w:p>
    <w:p>
      <w:pPr>
        <w:spacing w:after="140"/>
        <w:jc w:val="left"/>
      </w:pPr>
      <w:r>
        <w:t xml:space="preserve">Failures one and two were useful: each exposed a defect. Failure three corrected a substantive claim about which arm the classicality collapse belongs to. Failures four and five cost two turns and produced nothing.</w:t>
      </w:r>
    </w:p>
    <w:p>
      <w:pPr>
        <w:spacing w:after="120" w:before="120"/>
      </w:pPr>
    </w:p>
    <w:p>
      <w:pPr>
        <w:pStyle w:val="Heading1"/>
        <w:spacing w:after="140" w:before="280"/>
      </w:pPr>
      <w:r>
        <w:rPr>
          <w:b/>
          <w:bCs/>
          <w:color w:val="000000"/>
          <w:sz w:val="24"/>
          <w:szCs w:val="24"/>
        </w:rPr>
        <w:t xml:space="preserve">10. Errors made and caught this week</w:t>
      </w:r>
    </w:p>
    <w:p>
      <w:pPr>
        <w:spacing w:after="140"/>
        <w:jc w:val="left"/>
      </w:pPr>
      <w:r>
        <w:t xml:space="preserve">Recorded because the count matters more than the average. The six code defects are section 5; these are the rest.</w:t>
      </w:r>
    </w:p>
    <w:p>
      <w:pPr>
        <w:spacing w:after="80"/>
        <w:ind w:left="360" w:hanging="240"/>
      </w:pPr>
      <w:r>
        <w:t xml:space="preserve">1.  </w:t>
      </w:r>
      <w:r>
        <w:rPr>
          <w:b/>
          <w:bCs/>
        </w:rPr>
        <w:t xml:space="preserve">A verification claimed but not performed.</w:t>
      </w:r>
      <w:r>
        <w:t xml:space="preserve"> The README's AI-use declaration was</w:t>
      </w:r>
    </w:p>
    <w:p>
      <w:pPr>
        <w:spacing w:after="140"/>
        <w:jc w:val="left"/>
      </w:pPr>
      <w:r>
        <w:t xml:space="preserve">reported as written and verified on disk at a stated line number. It was not on disk at all; the transfer had failed silently and the verification described was never run. The same error as week 4's cross-arm "on matching test points" claim, and the second instance. Every file transfer this week was subsequently staged back and diffed before being reported as landed.</w:t>
      </w:r>
    </w:p>
    <w:p>
      <w:pPr>
        <w:spacing w:after="80"/>
        <w:ind w:left="360" w:hanging="240"/>
      </w:pPr>
      <w:r>
        <w:t xml:space="preserve">2.  </w:t>
      </w:r>
      <w:r>
        <w:rPr>
          <w:b/>
          <w:bCs/>
        </w:rPr>
        <w:t xml:space="preserve">An inference drawn from a coincidence the record warns about.</w:t>
      </w:r>
      <w:r>
        <w:t xml:space="preserve"> Section 6. D6's</w:t>
      </w:r>
    </w:p>
    <w:p>
      <w:pPr>
        <w:spacing w:after="140"/>
        <w:jc w:val="left"/>
      </w:pPr>
      <w:r>
        <w:t xml:space="preserve">correction note documents that two of its figures coincide to four decimal places and that the coincidence once survived review; that note was read and quoted from, and the inference it warns against was made anyway, twice, and stated as [Likely].</w:t>
      </w:r>
    </w:p>
    <w:p>
      <w:pPr>
        <w:spacing w:after="80"/>
        <w:ind w:left="360" w:hanging="240"/>
      </w:pPr>
      <w:r>
        <w:t xml:space="preserve">3.  </w:t>
      </w:r>
      <w:r>
        <w:rPr>
          <w:b/>
          <w:bCs/>
        </w:rPr>
        <w:t xml:space="preserve">Four checks written off in one sitting.</w:t>
      </w:r>
      <w:r>
        <w:t xml:space="preserve"> Section 1. Three of the four were runnable.</w:t>
      </w:r>
    </w:p>
    <w:p>
      <w:pPr>
        <w:spacing w:after="140"/>
        <w:jc w:val="left"/>
      </w:pPr>
      <w:r>
        <w:t xml:space="preserve">"Not runnable" was asserted rather than measured, which is the failure the tool exists to catch, committed inside the tool for the second time.</w:t>
      </w:r>
    </w:p>
    <w:p>
      <w:pPr>
        <w:spacing w:after="80"/>
        <w:ind w:left="360" w:hanging="240"/>
      </w:pPr>
      <w:r>
        <w:t xml:space="preserve">4.  </w:t>
      </w:r>
      <w:r>
        <w:rPr>
          <w:b/>
          <w:bCs/>
        </w:rPr>
        <w:t xml:space="preserve">A test that held a defect in place.</w:t>
      </w:r>
      <w:r>
        <w:t xml:space="preserve"> </w:t>
      </w:r>
      <w:r>
        <w:rPr>
          <w:rFonts w:ascii="Consolas" w:cs="Consolas" w:eastAsia="Consolas" w:hAnsi="Consolas"/>
          <w:sz w:val="19"/>
          <w:szCs w:val="19"/>
        </w:rPr>
        <w:t xml:space="preserve">test_unit_of_analysis_skips_with_one_configuration</w:t>
      </w:r>
    </w:p>
    <w:p>
      <w:pPr>
        <w:spacing w:after="140"/>
        <w:jc w:val="left"/>
      </w:pPr>
      <w:r>
        <w:t xml:space="preserve">asserted the buggy behaviour. It was written to document a decision and became a lock on it.</w:t>
      </w:r>
    </w:p>
    <w:p>
      <w:pPr>
        <w:spacing w:after="80"/>
        <w:ind w:left="360" w:hanging="240"/>
      </w:pPr>
      <w:r>
        <w:t xml:space="preserve">5.  </w:t>
      </w:r>
      <w:r>
        <w:rPr>
          <w:b/>
          <w:bCs/>
        </w:rPr>
        <w:t xml:space="preserve">A number computed, printed and ignored</w:t>
      </w:r>
      <w:r>
        <w:t xml:space="preserve"> (found on revision). The </w:t>
      </w:r>
      <w:r>
        <w:rPr>
          <w:rFonts w:ascii="Consolas" w:cs="Consolas" w:eastAsia="Consolas" w:hAnsi="Consolas"/>
          <w:sz w:val="19"/>
          <w:szCs w:val="19"/>
        </w:rPr>
        <w:t xml:space="preserve">selection</w:t>
      </w:r>
      <w:r>
        <w:t xml:space="preserve"> check</w:t>
      </w:r>
    </w:p>
    <w:p>
      <w:pPr>
        <w:spacing w:after="140"/>
        <w:jc w:val="left"/>
      </w:pPr>
      <w:r>
        <w:t xml:space="preserve">measured the rank correlation between inner score and test score, printed it, and passed regardless. On the fraud bandwidth arm it printed </w:t>
      </w:r>
      <w:r>
        <w:rPr>
          <w:b/>
          <w:bCs/>
        </w:rPr>
        <w:t xml:space="preserve">−0.367</w:t>
      </w:r>
      <w:r>
        <w:t xml:space="preserve"> under the heading "Selection auditable". A non-positive correlation means the selection criterion carries no information about the quantity it selects for, which on that arm corroborates the surrogate verdict exactly: if every candidate is the same Gaussian kernel, inner-CV selection among them is ranking noise. The check now warns on a non-positive correlation. The boundary is the sign, not a chosen threshold. This is the same shape as defects three and four in section 5 — a measurement taken correctly and then not used — making it the third instance this week.</w:t>
      </w:r>
    </w:p>
    <w:p>
      <w:pPr>
        <w:spacing w:after="120" w:before="120"/>
      </w:pPr>
    </w:p>
    <w:p>
      <w:pPr>
        <w:pStyle w:val="Heading1"/>
        <w:spacing w:after="140" w:before="280"/>
      </w:pPr>
      <w:r>
        <w:rPr>
          <w:b/>
          <w:bCs/>
          <w:color w:val="000000"/>
          <w:sz w:val="24"/>
          <w:szCs w:val="24"/>
        </w:rPr>
        <w:t xml:space="preserve">11. Tests and housekeeping</w:t>
      </w:r>
    </w:p>
    <w:p>
      <w:pPr>
        <w:spacing w:after="140"/>
        <w:jc w:val="left"/>
      </w:pPr>
      <w:r>
        <w:t xml:space="preserve">373 tests, up from 357, all passing; coverage on </w:t>
      </w:r>
      <w:r>
        <w:rPr>
          <w:rFonts w:ascii="Consolas" w:cs="Consolas" w:eastAsia="Consolas" w:hAnsi="Consolas"/>
          <w:sz w:val="19"/>
          <w:szCs w:val="19"/>
        </w:rPr>
        <w:t xml:space="preserve">src/qbench</w:t>
      </w:r>
      <w:r>
        <w:t xml:space="preserve"> unchanged at 97%. </w:t>
      </w:r>
      <w:r>
        <w:rPr>
          <w:rFonts w:ascii="Consolas" w:cs="Consolas" w:eastAsia="Consolas" w:hAnsi="Consolas"/>
          <w:sz w:val="19"/>
          <w:szCs w:val="19"/>
        </w:rPr>
        <w:t xml:space="preserve">tests/test_audit.py</w:t>
      </w:r>
      <w:r>
        <w:t xml:space="preserve"> grew from 54 to 70 tests, fourteen of them regression tests for the six defects, each verified to fail against the version that shipped. Two pre-existing tests were rewritten because they asserted behaviour now known to be wrong.</w:t>
      </w:r>
    </w:p>
    <w:p>
      <w:pPr>
        <w:spacing w:after="140"/>
        <w:jc w:val="left"/>
      </w:pPr>
      <w:r>
        <w:rPr>
          <w:rFonts w:ascii="Consolas" w:cs="Consolas" w:eastAsia="Consolas" w:hAnsi="Consolas"/>
          <w:sz w:val="19"/>
          <w:szCs w:val="19"/>
        </w:rPr>
        <w:t xml:space="preserve">src/qbench</w:t>
      </w:r>
      <w:r>
        <w:t xml:space="preserve"> was not touched this week. Every change is in </w:t>
      </w:r>
      <w:r>
        <w:rPr>
          <w:rFonts w:ascii="Consolas" w:cs="Consolas" w:eastAsia="Consolas" w:hAnsi="Consolas"/>
          <w:sz w:val="19"/>
          <w:szCs w:val="19"/>
        </w:rPr>
        <w:t xml:space="preserve">scripts/</w:t>
      </w:r>
      <w:r>
        <w:t xml:space="preserve"> and </w:t>
      </w:r>
      <w:r>
        <w:rPr>
          <w:rFonts w:ascii="Consolas" w:cs="Consolas" w:eastAsia="Consolas" w:hAnsi="Consolas"/>
          <w:sz w:val="19"/>
          <w:szCs w:val="19"/>
        </w:rPr>
        <w:t xml:space="preserve">docs/</w:t>
      </w:r>
      <w:r>
        <w:t xml:space="preserve">, so no experimental result is affected by any of it.</w:t>
      </w:r>
    </w:p>
    <w:p>
      <w:pPr>
        <w:spacing w:after="120" w:before="120"/>
      </w:pPr>
    </w:p>
    <w:p>
      <w:pPr>
        <w:pStyle w:val="Heading1"/>
        <w:spacing w:after="140" w:before="280"/>
      </w:pPr>
      <w:r>
        <w:rPr>
          <w:b/>
          <w:bCs/>
          <w:color w:val="000000"/>
          <w:sz w:val="24"/>
          <w:szCs w:val="24"/>
        </w:rPr>
        <w:t xml:space="preserve">12. Decisions taken this week</w:t>
      </w:r>
    </w:p>
    <w:p>
      <w:pPr>
        <w:pStyle w:val="ListParagraph"/>
        <w:numPr>
          <w:ilvl w:val="0"/>
          <w:numId w:val="1"/>
        </w:numPr>
        <w:spacing w:after="80"/>
      </w:pPr>
      <w:r>
        <w:rPr>
          <w:b/>
          <w:bCs/>
        </w:rPr>
        <w:t xml:space="preserve">Three checks move out of Tier 2.</w:t>
      </w:r>
      <w:r>
        <w:t xml:space="preserve"> </w:t>
      </w:r>
      <w:r>
        <w:rPr>
          <w:rFonts w:ascii="Consolas" w:cs="Consolas" w:eastAsia="Consolas" w:hAnsi="Consolas"/>
          <w:sz w:val="19"/>
          <w:szCs w:val="19"/>
        </w:rPr>
        <w:t xml:space="preserve">tuning symmetry</w:t>
      </w:r>
      <w:r>
        <w:t xml:space="preserve"> to Tier 1; </w:t>
      </w:r>
      <w:r>
        <w:rPr>
          <w:rFonts w:ascii="Consolas" w:cs="Consolas" w:eastAsia="Consolas" w:hAnsi="Consolas"/>
          <w:sz w:val="19"/>
          <w:szCs w:val="19"/>
        </w:rPr>
        <w:t xml:space="preserve">kernel conditioning</w:t>
      </w:r>
    </w:p>
    <w:p>
      <w:pPr>
        <w:spacing w:after="140"/>
        <w:jc w:val="left"/>
      </w:pPr>
      <w:r>
        <w:t xml:space="preserve">and </w:t>
      </w:r>
      <w:r>
        <w:rPr>
          <w:rFonts w:ascii="Consolas" w:cs="Consolas" w:eastAsia="Consolas" w:hAnsi="Consolas"/>
          <w:sz w:val="19"/>
          <w:szCs w:val="19"/>
        </w:rPr>
        <w:t xml:space="preserve">classical surrogate equivalence</w:t>
      </w:r>
      <w:r>
        <w:t xml:space="preserve"> to hook-based. One remains genuinely unrunnable.</w:t>
      </w:r>
    </w:p>
    <w:p>
      <w:pPr>
        <w:pStyle w:val="ListParagraph"/>
        <w:numPr>
          <w:ilvl w:val="0"/>
          <w:numId w:val="1"/>
        </w:numPr>
        <w:spacing w:after="80"/>
      </w:pPr>
      <w:r>
        <w:rPr>
          <w:b/>
          <w:bCs/>
        </w:rPr>
        <w:t xml:space="preserve">A hook check that cannot verify its split fails rather than reports.</w:t>
      </w:r>
      <w:r>
        <w:t xml:space="preserve"> Fingerprint</w:t>
      </w:r>
    </w:p>
    <w:p>
      <w:pPr>
        <w:spacing w:after="140"/>
        <w:jc w:val="left"/>
      </w:pPr>
      <w:r>
        <w:t xml:space="preserve">mismatch is FAIL, not a warning, because the alternative is a confident number about a kernel the experiment never used.</w:t>
      </w:r>
    </w:p>
    <w:p>
      <w:pPr>
        <w:pStyle w:val="ListParagraph"/>
        <w:numPr>
          <w:ilvl w:val="0"/>
          <w:numId w:val="1"/>
        </w:numPr>
        <w:spacing w:after="80"/>
      </w:pPr>
      <w:r>
        <w:rPr>
          <w:b/>
          <w:bCs/>
        </w:rPr>
        <w:t xml:space="preserve">Power figures are regenerated, never transcribed.</w:t>
      </w:r>
      <w:r>
        <w:t xml:space="preserve"> </w:t>
      </w:r>
      <w:r>
        <w:rPr>
          <w:rFonts w:ascii="Consolas" w:cs="Consolas" w:eastAsia="Consolas" w:hAnsi="Consolas"/>
          <w:sz w:val="19"/>
          <w:szCs w:val="19"/>
        </w:rPr>
        <w:t xml:space="preserve">scripts/audit_sweep.py</w:t>
      </w:r>
      <w:r>
        <w:t xml:space="preserve"> is the</w:t>
      </w:r>
    </w:p>
    <w:p>
      <w:pPr>
        <w:spacing w:after="140"/>
        <w:jc w:val="left"/>
      </w:pPr>
      <w:r>
        <w:t xml:space="preserve">source for D6's table, and the JSON it emits is committed as provenance.</w:t>
      </w:r>
    </w:p>
    <w:p>
      <w:pPr>
        <w:pStyle w:val="ListParagraph"/>
        <w:numPr>
          <w:ilvl w:val="0"/>
          <w:numId w:val="1"/>
        </w:numPr>
        <w:spacing w:after="80"/>
      </w:pPr>
      <w:r>
        <w:rPr>
          <w:b/>
          <w:bCs/>
        </w:rPr>
        <w:t xml:space="preserve">A surrogate PASS requires every sampled kernel above the floor</w:t>
      </w:r>
      <w:r>
        <w:t xml:space="preserve">, not the median.</w:t>
      </w:r>
    </w:p>
    <w:p>
      <w:pPr>
        <w:pStyle w:val="ListParagraph"/>
        <w:numPr>
          <w:ilvl w:val="0"/>
          <w:numId w:val="1"/>
        </w:numPr>
        <w:spacing w:after="80"/>
      </w:pPr>
      <w:r>
        <w:rPr>
          <w:b/>
          <w:bCs/>
        </w:rPr>
        <w:t xml:space="preserve">The sample's coverage is printed with every hook-based reading.</w:t>
      </w:r>
    </w:p>
    <w:p>
      <w:pPr>
        <w:spacing w:after="120" w:before="120"/>
      </w:pPr>
    </w:p>
    <w:p>
      <w:pPr>
        <w:pStyle w:val="Heading1"/>
        <w:spacing w:after="140" w:before="280"/>
      </w:pPr>
      <w:r>
        <w:rPr>
          <w:b/>
          <w:bCs/>
          <w:color w:val="000000"/>
          <w:sz w:val="24"/>
          <w:szCs w:val="24"/>
        </w:rPr>
        <w:t xml:space="preserve">13. Still open</w:t>
      </w:r>
    </w:p>
    <w:p>
      <w:pPr>
        <w:pStyle w:val="ListParagraph"/>
        <w:numPr>
          <w:ilvl w:val="0"/>
          <w:numId w:val="1"/>
        </w:numPr>
        <w:spacing w:after="80"/>
      </w:pPr>
      <w:r>
        <w:rPr>
          <w:b/>
          <w:bCs/>
        </w:rPr>
        <w:t xml:space="preserve">The fraud bandwidth arm's surrogate verdict is from a sample of six.</w:t>
      </w:r>
      <w:r>
        <w:t xml:space="preserve"> It is the</w:t>
      </w:r>
    </w:p>
    <w:p>
      <w:pPr>
        <w:spacing w:after="140"/>
        <w:jc w:val="left"/>
      </w:pPr>
      <w:r>
        <w:t xml:space="preserve">strongest result in this record and it rests on the smallest evidence in it. The full per-family run through </w:t>
      </w:r>
      <w:r>
        <w:rPr>
          <w:rFonts w:ascii="Consolas" w:cs="Consolas" w:eastAsia="Consolas" w:hAnsi="Consolas"/>
          <w:sz w:val="19"/>
          <w:szCs w:val="19"/>
        </w:rPr>
        <w:t xml:space="preserve">scripts/rbf_surrogate.py</w:t>
      </w:r>
      <w:r>
        <w:t xml:space="preserve"> is what would establish it, and until that is done the verdict indicates rather than shows.</w:t>
      </w:r>
    </w:p>
    <w:p>
      <w:pPr>
        <w:pStyle w:val="ListParagraph"/>
        <w:numPr>
          <w:ilvl w:val="0"/>
          <w:numId w:val="1"/>
        </w:numPr>
        <w:spacing w:after="80"/>
      </w:pPr>
      <w:r>
        <w:rPr>
          <w:b/>
          <w:bCs/>
        </w:rPr>
        <w:t xml:space="preserve">`grid adequacy against a shuffled null`</w:t>
      </w:r>
      <w:r>
        <w:t xml:space="preserve"> remains the one check that needs a re-run</w:t>
      </w:r>
    </w:p>
    <w:p>
      <w:pPr>
        <w:spacing w:after="140"/>
        <w:jc w:val="left"/>
      </w:pPr>
      <w:r>
        <w:t xml:space="preserve">rather than an interface: the same pipeline on permuted labels with a widened grid.</w:t>
      </w:r>
    </w:p>
    <w:p>
      <w:pPr>
        <w:pStyle w:val="ListParagraph"/>
        <w:numPr>
          <w:ilvl w:val="0"/>
          <w:numId w:val="1"/>
        </w:numPr>
        <w:spacing w:after="80"/>
      </w:pPr>
      <w:r>
        <w:rPr>
          <w:b/>
          <w:bCs/>
        </w:rPr>
        <w:t xml:space="preserve">The pre-registration's section 1 rewrite</w:t>
      </w:r>
      <w:r>
        <w:t xml:space="preserve">, for the turn toward the protocol. This is a</w:t>
      </w:r>
    </w:p>
    <w:p>
      <w:pPr>
        <w:spacing w:after="140"/>
        <w:jc w:val="left"/>
      </w:pPr>
      <w:r>
        <w:t xml:space="preserve">larger deviation than anything in D1 to D6 and needs its own record. It has not been started.</w:t>
      </w:r>
    </w:p>
    <w:p>
      <w:pPr>
        <w:pStyle w:val="ListParagraph"/>
        <w:numPr>
          <w:ilvl w:val="0"/>
          <w:numId w:val="1"/>
        </w:numPr>
        <w:spacing w:after="80"/>
      </w:pPr>
      <w:r>
        <w:rPr>
          <w:b/>
          <w:bCs/>
        </w:rPr>
        <w:t xml:space="preserve">OSF registration</w:t>
      </w:r>
      <w:r>
        <w:t xml:space="preserve">, on hold pending that rewrite.</w:t>
      </w:r>
    </w:p>
    <w:p>
      <w:pPr>
        <w:pStyle w:val="ListParagraph"/>
        <w:numPr>
          <w:ilvl w:val="0"/>
          <w:numId w:val="1"/>
        </w:numPr>
        <w:spacing w:after="80"/>
      </w:pPr>
      <w:r>
        <w:rPr>
          <w:b/>
          <w:bCs/>
        </w:rPr>
        <w:t xml:space="preserve">The filesystem backup from the history rewrite</w:t>
      </w:r>
      <w:r>
        <w:t xml:space="preserve"> can be deleted once GitHub has been</w:t>
      </w:r>
    </w:p>
    <w:p>
      <w:pPr>
        <w:spacing w:after="140"/>
        <w:jc w:val="left"/>
      </w:pPr>
      <w:r>
        <w:t xml:space="preserve">confirmed in a browser.</w:t>
      </w:r>
    </w:p>
    <w:p>
      <w:pPr>
        <w:spacing w:after="120" w:before="120"/>
      </w:pPr>
    </w:p>
    <w:p>
      <w:pPr>
        <w:pStyle w:val="Heading1"/>
        <w:spacing w:after="140" w:before="280"/>
      </w:pPr>
      <w:r>
        <w:rPr>
          <w:b/>
          <w:bCs/>
          <w:color w:val="000000"/>
          <w:sz w:val="24"/>
          <w:szCs w:val="24"/>
        </w:rPr>
        <w:t xml:space="preserve">14. Week 6</w:t>
      </w:r>
    </w:p>
    <w:p>
      <w:pPr>
        <w:spacing w:after="140"/>
        <w:jc w:val="left"/>
      </w:pPr>
      <w:r>
        <w:t xml:space="preserve">The protocol is now the deliverable and it has been exercised against real data exactly once, on one dataset, finding six defects in itself. The second dataset was done on revision and found a seventh, in the </w:t>
      </w:r>
      <w:r>
        <w:rPr>
          <w:rFonts w:ascii="Consolas" w:cs="Consolas" w:eastAsia="Consolas" w:hAnsi="Consolas"/>
          <w:sz w:val="19"/>
          <w:szCs w:val="19"/>
        </w:rPr>
        <w:t xml:space="preserve">selection</w:t>
      </w:r>
      <w:r>
        <w:t xml:space="preserve"> check.</w:t>
      </w:r>
    </w:p>
    <w:p>
      <w:pPr>
        <w:spacing w:after="140"/>
        <w:jc w:val="left"/>
      </w:pPr>
      <w:r>
        <w:t xml:space="preserve">The next step is therefore the full per-family surrogate run on the fraud bandwidth arm, which is the one result in this record whose strength is out of proportion to its evidence.</w:t>
      </w:r>
    </w:p>
    <w:p>
      <w:pPr>
        <w:spacing w:after="140"/>
        <w:jc w:val="left"/>
      </w:pPr>
      <w:r>
        <w:t xml:space="preserve">After that, the section 1 rewrite, which is the last thing standing between this project and a registration that describes what it is actually doing.</w:t>
      </w:r>
    </w:p>
    <w:p>
      <w:pPr>
        <w:spacing w:after="120" w:before="120"/>
      </w:pPr>
    </w:p>
    <w:p>
      <w:pPr>
        <w:pStyle w:val="Heading1"/>
        <w:spacing w:after="140" w:before="280"/>
      </w:pPr>
      <w:r>
        <w:rPr>
          <w:b/>
          <w:bCs/>
          <w:color w:val="000000"/>
          <w:sz w:val="24"/>
          <w:szCs w:val="24"/>
        </w:rPr>
        <w:t xml:space="preserve">15. What this week says about the project</w:t>
      </w:r>
    </w:p>
    <w:p>
      <w:pPr>
        <w:spacing w:after="140"/>
        <w:jc w:val="left"/>
      </w:pPr>
      <w:r>
        <w:t xml:space="preserve">Week 4's lesson was that a literature search is not optional. Week 5's is narrower and less comfortable: </w:t>
      </w:r>
      <w:r>
        <w:rPr>
          <w:b/>
          <w:bCs/>
        </w:rPr>
        <w:t xml:space="preserve">a green test suite is not evidence that a measurement tool measures anything.</w:t>
      </w:r>
      <w:r>
        <w:t xml:space="preserve"> Six defects, 357 passing tests, and five of the six found by a person reading output on real records. The tests were not bad — they were written against the same misunderstanding as the code, which is what a test written by whoever wrote the code mostly checks.</w:t>
      </w:r>
    </w:p>
    <w:p>
      <w:pPr>
        <w:spacing w:after="140"/>
        <w:jc w:val="left"/>
      </w:pPr>
      <w:r>
        <w:t xml:space="preserve">The protocol's own section 6 now says this about itself, which is the only honest place for it. A tool that audits method has no standing to exempt its own method, and this is the second week running in which the audit's largest findings have been about the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2026-09-26T10:32:15.777Z</dcterms:created>
  <dcterms:modified xsi:type="dcterms:W3CDTF">2026-09-26T10:32:15.777Z</dcterms:modified>
</cp:coreProperties>
</file>

<file path=docProps/custom.xml><?xml version="1.0" encoding="utf-8"?>
<Properties xmlns="http://schemas.openxmlformats.org/officeDocument/2006/custom-properties" xmlns:vt="http://schemas.openxmlformats.org/officeDocument/2006/docPropsVTypes"/>
</file>