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2026-10-20T23:54:18+00:00 at commit </w:t>
      </w:r>
      <w:r>
        <w:rPr>
          <w:rFonts w:ascii="Consolas" w:cs="Consolas" w:eastAsia="Consolas" w:hAnsi="Consolas"/>
          <w:sz w:val="19"/>
          <w:szCs w:val="19"/>
        </w:rPr>
        <w:t xml:space="preserve">f49ebc1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e8de5d9407875e8c</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7e7279f51ce61f94</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248f7f0f316ea1cf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5c1b6ff56204d8f0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fde9712da551c93d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18453af3c95068b7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1bfa12527bc78e11</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Seventeen deviation records govern; the recovered pre-rewrite history is now published, so every stored commit identifier resolves.</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seven times in public, three times because the tool was wrong and four times because its authors stated something their own data does not support. Two of the seven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and could not: both snapshots capture the public refs as they stood on 15 October, six days before </w:t>
      </w:r>
      <w:r>
        <w:rPr>
          <w:rFonts w:ascii="Consolas" w:cs="Consolas" w:eastAsia="Consolas" w:hAnsi="Consolas"/>
          <w:sz w:val="19"/>
          <w:szCs w:val="19"/>
        </w:rPr>
        <w:t xml:space="preserve">prerewrite-20260925</w:t>
      </w:r>
      <w:r>
        <w:t xml:space="preserve"> was published, so neither archive contains the commits the result records name. Those identifiers resolve from the repository itself and not from the archive. What the snapshots establish is forward-looking only: from 01:33 on 15 October 2026, a claim about this repository's state can point at something outside this machine.</w:t>
      </w:r>
    </w:p>
    <w:p>
      <w:pPr>
        <w:spacing w:after="140"/>
        <w:jc w:val="left"/>
      </w:pPr>
      <w:r>
        <w:rPr>
          <w:b/>
          <w:bCs/>
        </w:rPr>
        <w:t xml:space="preserve">Provenance, and the decision that was open until 21 October 2026.</w:t>
      </w:r>
      <w:r>
        <w:t xml:space="preserve"> Every one of the 15,120 result records stores a </w:t>
      </w:r>
      <w:r>
        <w:rPr>
          <w:rFonts w:ascii="Consolas" w:cs="Consolas" w:eastAsia="Consolas" w:hAnsi="Consolas"/>
          <w:sz w:val="19"/>
          <w:szCs w:val="19"/>
        </w:rPr>
        <w:t xml:space="preserve">git_commit</w:t>
      </w:r>
      <w:r>
        <w:t xml:space="preserve"> that a history rewrite on 25 September 2026 removed from the public repository. The recovered branch </w:t>
      </w:r>
      <w:r>
        <w:rPr>
          <w:rFonts w:ascii="Consolas" w:cs="Consolas" w:eastAsia="Consolas" w:hAnsi="Consolas"/>
          <w:sz w:val="19"/>
          <w:szCs w:val="19"/>
        </w:rPr>
        <w:t xml:space="preserve">prerewrite-20260925</w:t>
      </w:r>
      <w:r>
        <w:t xml:space="preserve"> was </w:t>
      </w:r>
      <w:r>
        <w:rPr>
          <w:b/>
          <w:bCs/>
        </w:rPr>
        <w:t xml:space="preserve">published on 21 October 2026</w:t>
      </w:r>
      <w:r>
        <w:t xml:space="preserve">, tip </w:t>
      </w:r>
      <w:r>
        <w:rPr>
          <w:rFonts w:ascii="Consolas" w:cs="Consolas" w:eastAsia="Consolas" w:hAnsi="Consolas"/>
          <w:sz w:val="19"/>
          <w:szCs w:val="19"/>
        </w:rPr>
        <w:t xml:space="preserve">b5bf0431</w:t>
      </w:r>
      <w:r>
        <w:t xml:space="preserve">, and all five identifiers this study depends on are reachable from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the records store. </w:t>
      </w:r>
      <w:r>
        <w:rPr>
          <w:b/>
          <w:bCs/>
        </w:rPr>
        <w:t xml:space="preserve">A reader can now compute the tree of a stored hash directly.</w:t>
      </w:r>
      <w:r>
        <w:t xml:space="preserve"> The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remain as a convenience and are no longer the only route; a tag records an assertion, and the assertion is now checkable against the object it is about.</w:t>
      </w:r>
    </w:p>
    <w:p>
      <w:pPr>
        <w:spacing w:after="140"/>
        <w:jc w:val="left"/>
      </w:pPr>
      <w:r>
        <w:rPr>
          <w:b/>
          <w:bCs/>
        </w:rPr>
        <w:t xml:space="preserve">What that closes and what it leaves.</w:t>
      </w:r>
      <w:r>
        <w:t xml:space="preserve"> It closes the binding: a record names a commit, the commit is public, its tree can be computed by anyone. It closes nothing about </w:t>
      </w:r>
      <w:r>
        <w:rPr>
          <w:b/>
          <w:bCs/>
        </w:rPr>
        <w:t xml:space="preserve">ordering</w:t>
      </w:r>
      <w:r>
        <w:t xml:space="preserve">. Commit dates are author-set, both histories are author-controlled, and the two Software Heritage snapshots were taken six days before this branch was public, so neither contains it. A re-run from current HEAD still produces evidence about the current code rather than authenticating the old records. The limitation that remains is the one in the next paragraph, and it is the one that was always the larger of the two.</w:t>
      </w:r>
    </w:p>
    <w:p>
      <w:pPr>
        <w:spacing w:after="140"/>
        <w:jc w:val="left"/>
      </w:pPr>
      <w:r>
        <w:rPr>
          <w:b/>
          <w:bCs/>
        </w:rPr>
        <w:t xml:space="preserve">The cost, stated rather than minimised.</w:t>
      </w:r>
      <w:r>
        <w:t xml:space="preserve"> Publishing restored to the public repository the AI co-authorship trailers the rewrite removed, across the branch's 25 commits. </w:t>
      </w:r>
      <w:r>
        <w:rPr>
          <w:rFonts w:ascii="Consolas" w:cs="Consolas" w:eastAsia="Consolas" w:hAnsi="Consolas"/>
          <w:sz w:val="19"/>
          <w:szCs w:val="19"/>
        </w:rPr>
        <w:t xml:space="preserve">main</w:t>
      </w:r>
      <w:r>
        <w:t xml:space="preserve"> already carried </w:t>
      </w:r>
      <w:r>
        <w:rPr>
          <w:b/>
          <w:bCs/>
        </w:rPr>
        <w:t xml:space="preserve">twenty</w:t>
      </w:r>
      <w:r>
        <w:t xml:space="preserve"> commits with those trailers, reinstated by default in late September and then deliberately left in place and documented rather than rewritten, and this repository's README declares the assistance in prose. The decision therefore conceded in public what the record had already conceded four weeks earlier. It is recorded as an amendment to D11.</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34 mutants are killed by the test that names each one, across four source files and three test files. But the coverage report was also scanning only the files that already had mutants, which hid every file with none: corrected, it reads </w:t>
      </w:r>
      <w:r>
        <w:rPr>
          <w:b/>
          <w:bCs/>
        </w:rPr>
        <w:t xml:space="preserve">34 of 374 test functions</w:t>
      </w:r>
      <w:r>
        <w:t xml:space="preserve">, not the 34 of 70 the old report implied. </w:t>
      </w:r>
      <w:r>
        <w:rPr>
          <w:b/>
          <w:bCs/>
        </w:rPr>
        <w:t xml:space="preserve">Fifteen of eighteen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One check has no mutant because it has no test.</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is exercised only by that script's own control F and not by pytest, so no mutant can be expressed for it.</w:t>
      </w:r>
    </w:p>
    <w:p>
      <w:pPr>
        <w:spacing w:after="140"/>
        <w:jc w:val="left"/>
      </w:pPr>
      <w:r>
        <w:rPr>
          <w:b/>
          <w:bCs/>
        </w:rPr>
        <w:t xml:space="preserve">The figures check covers three of this paper's numbers.</w:t>
      </w:r>
      <w:r>
        <w:t xml:space="preserve"> </w:t>
      </w:r>
      <w:r>
        <w:rPr>
          <w:rFonts w:ascii="Consolas" w:cs="Consolas" w:eastAsia="Consolas" w:hAnsi="Consolas"/>
          <w:sz w:val="19"/>
          <w:szCs w:val="19"/>
        </w:rPr>
        <w:t xml:space="preserve">scripts/check_paper_figures.py</w:t>
      </w:r>
      <w:r>
        <w:t xml:space="preserve"> re-derives the churn and fraud primary-cell exclusion bounds from </w:t>
      </w:r>
      <w:r>
        <w:rPr>
          <w:rFonts w:ascii="Consolas" w:cs="Consolas" w:eastAsia="Consolas" w:hAnsi="Consolas"/>
          <w:sz w:val="19"/>
          <w:szCs w:val="19"/>
        </w:rPr>
        <w:t xml:space="preserve">results/audits/d6_table.json</w:t>
      </w:r>
      <w:r>
        <w:t xml:space="preserve">, and D16's share of units with no admissible λ from the 7,200 stored unit records, comparing each at the precision this paper states rather than within a chosen tolerance. Everything else it reports as </w:t>
      </w:r>
      <w:r>
        <w:rPr>
          <w:b/>
          <w:bCs/>
        </w:rPr>
        <w:t xml:space="preserve">not checked</w:t>
      </w:r>
      <w:r>
        <w:t xml:space="preserve">, against a denominator of every decimal figure in this paper, which it counts on each run rather than quoting from here so that the figure cannot go stale the way this section's own items did. The denominator is left unfiltered on purpose: it includes section cross-references, arXiv numbers and DOIs that are not measurements, and filtering those by pattern would be a guess, which is what made the mutation coverage above overstate itself. Among the figures it does </w:t>
      </w:r>
      <w:r>
        <w:rPr>
          <w:b/>
          <w:bCs/>
        </w:rPr>
        <w:t xml:space="preserve">not</w:t>
      </w:r>
      <w:r>
        <w:t xml:space="preserve"> cover are the H2 rank correlation and D16's elasticities, whose quantities have not been mapped to an accessor in any stored record. §5.6 records that this check would not have caught any of the defects that motivated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Seventeen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Seven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that their own data does not support (four).</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 And the pre-registration gives the measured advantage of extending a grid on random labels over real ones as </w:t>
      </w:r>
      <w:r>
        <w:rPr>
          <w:b/>
          <w:bCs/>
        </w:rPr>
        <w:t xml:space="preserve">five to seven times</w:t>
      </w:r>
      <w:r>
        <w:t xml:space="preserve">, which is the polynomial-kernel figure: on the RBF kernels the ratio is 2.0 and 35.7, so two of the four measurements fall outside the stated range, one above it and one below. Week 3 had the full four-row table in front of it when that sentence was written. </w:t>
      </w:r>
      <w:r>
        <w:rPr>
          <w:b/>
          <w:bCs/>
        </w:rPr>
        <w:t xml:space="preserve">This fourth one differs in kind from the three before it</w:t>
      </w:r>
      <w:r>
        <w:t xml:space="preserve">, and the difference does not favour it: those asserted things nobody had checked, while this took a measurement that had been made correctly and stated it more broadly than it supported. Nothing in a reader's view distinguishes a generalised measurement from a measured one. The rule that figure supports is unaffected, the direction holding on every kernel and both datasets; D17 records it and the registered document is not edited.</w:t>
      </w:r>
    </w:p>
    <w:p>
      <w:pPr>
        <w:spacing w:after="140"/>
        <w:jc w:val="left"/>
      </w:pPr>
      <w:r>
        <w:rPr>
          <w:b/>
          <w:bCs/>
        </w:rPr>
        <w:t xml:space="preserve">None of the seven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What now exists, and what it would not have caught.</w:t>
      </w:r>
      <w:r>
        <w:t xml:space="preserve"> Since 19 October 2026 </w:t>
      </w:r>
      <w:r>
        <w:rPr>
          <w:rFonts w:ascii="Consolas" w:cs="Consolas" w:eastAsia="Consolas" w:hAnsi="Consolas"/>
          <w:sz w:val="19"/>
          <w:szCs w:val="19"/>
        </w:rPr>
        <w:t xml:space="preserve">scripts/check_paper_figures.py</w:t>
      </w:r>
      <w:r>
        <w:t xml:space="preserve"> re-derives figures this paper prints from the stored records, and a test asserts that the exclusion bound </w:t>
      </w:r>
      <w:r>
        <w:rPr>
          <w:rFonts w:ascii="Consolas" w:cs="Consolas" w:eastAsia="Consolas" w:hAnsi="Consolas"/>
          <w:sz w:val="19"/>
          <w:szCs w:val="19"/>
        </w:rPr>
        <w:t xml:space="preserve">scripts/primary_tests.py</w:t>
      </w:r>
      <w:r>
        <w:t xml:space="preserve"> prints matches the copy </w:t>
      </w:r>
      <w:r>
        <w:rPr>
          <w:rFonts w:ascii="Consolas" w:cs="Consolas" w:eastAsia="Consolas" w:hAnsi="Consolas"/>
          <w:sz w:val="19"/>
          <w:szCs w:val="19"/>
        </w:rPr>
        <w:t xml:space="preserve">scripts/audit_sweep.py</w:t>
      </w:r>
      <w:r>
        <w:t xml:space="preserve"> checks against regenerated data. Neither is part of the protocol, and the figures check would have caught </w:t>
      </w:r>
      <w:r>
        <w:rPr>
          <w:b/>
          <w:bCs/>
        </w:rPr>
        <w:t xml:space="preserve">none of the four items above</w:t>
      </w:r>
      <w:r>
        <w:t xml:space="preserve">. All four were divergences between code and record in which this paper's prose was correct or unaffected: the fifth repair had </w:t>
      </w:r>
      <w:r>
        <w:rPr>
          <w:rFonts w:ascii="Consolas" w:cs="Consolas" w:eastAsia="Consolas" w:hAnsi="Consolas"/>
          <w:sz w:val="19"/>
          <w:szCs w:val="19"/>
        </w:rPr>
        <w:t xml:space="preserve">primary_tests.py</w:t>
      </w:r>
      <w:r>
        <w:t xml:space="preserve"> printing 0.0059 while every document here quoted 0.0063, so a check reading the paper against the records would have passed it without comment. What would have caught it is the narrower assertion, the one tying a printed figure to the copy that is checked against data — which exists only because the fifth repair was corrected at its value and not at the structure that produced it. §4.7 states how much of this paper the figures check covers, which is very little.</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Seventeen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the record left open, and how it was closed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now published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decision that was not a record has been taken.</w:t>
      </w:r>
      <w:r>
        <w:t xml:space="preserve"> </w:t>
      </w:r>
      <w:r>
        <w:rPr>
          <w:rFonts w:ascii="Consolas" w:cs="Consolas" w:eastAsia="Consolas" w:hAnsi="Consolas"/>
          <w:sz w:val="19"/>
          <w:szCs w:val="19"/>
        </w:rPr>
        <w:t xml:space="preserve">prerewrite-20260925</w:t>
      </w:r>
      <w:r>
        <w:t xml:space="preserve">, the recovered branch on which full provenance depended, was </w:t>
      </w:r>
      <w:r>
        <w:rPr>
          <w:b/>
          <w:bCs/>
        </w:rPr>
        <w:t xml:space="preserve">published on 21 October 2026</w:t>
      </w:r>
      <w:r>
        <w:t xml:space="preserve">. Every commit hash stored in the result records now resolves, so no reader has to trust the tag mapping. It also restored to the public repository the AI co-authorship trailers the 25 September rewrite removed, which was the cost D11's fourth amendment weighed; </w:t>
      </w:r>
      <w:r>
        <w:rPr>
          <w:rFonts w:ascii="Consolas" w:cs="Consolas" w:eastAsia="Consolas" w:hAnsi="Consolas"/>
          <w:sz w:val="19"/>
          <w:szCs w:val="19"/>
        </w:rPr>
        <w:t xml:space="preserve">main</w:t>
      </w:r>
      <w:r>
        <w:t xml:space="preserve"> already carried twenty commits bearing them, left in place and documented rather than rewritten. §4.7 states what the publication closes, which is the binding of a record to its code, and what it does not, which is anything about ordering.</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2026-10-20T23:55:28.482Z</dcterms:created>
  <dcterms:modified xsi:type="dcterms:W3CDTF">2026-10-20T23:55:28.482Z</dcterms:modified>
</cp:coreProperties>
</file>

<file path=docProps/custom.xml><?xml version="1.0" encoding="utf-8"?>
<Properties xmlns="http://schemas.openxmlformats.org/officeDocument/2006/custom-properties" xmlns:vt="http://schemas.openxmlformats.org/officeDocument/2006/docPropsVTypes"/>
</file>