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2026-10-15T01:38:43+00:00 at commit </w:t>
      </w:r>
      <w:r>
        <w:rPr>
          <w:rFonts w:ascii="Consolas" w:cs="Consolas" w:eastAsia="Consolas" w:hAnsi="Consolas"/>
          <w:sz w:val="19"/>
          <w:szCs w:val="19"/>
        </w:rPr>
        <w:t xml:space="preserve">d76d232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daae3db496e43fef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9bda5ef0dddc770b</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60c6a9ec10f7f837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51436c407e18bdbe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8311acae52aa28ff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854f81aec0a4f449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b6302387ea49dade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958b0237e15ec45f</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Sixteen deviation records govern; one provenance decision is unresolved.</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five times in public, twice because the tool was wrong and three times because its authors asserted something they had not checked. The fifth was a superseded exclusion bound that the confirmatory script printed for eleven days after the correction was written, pinned in place by a regression test; nothing in the protocol caught it, because nothing in the protocol reads this project's own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five to seven times more on random labels than on real ones, so they stand.</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 — measured at five to seven times the real gain on the classical grids.</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dropped as infeasible.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dropped as infeasible</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the snapshot captures the public refs, and </w:t>
      </w:r>
      <w:r>
        <w:rPr>
          <w:rFonts w:ascii="Consolas" w:cs="Consolas" w:eastAsia="Consolas" w:hAnsi="Consolas"/>
          <w:sz w:val="19"/>
          <w:szCs w:val="19"/>
        </w:rPr>
        <w:t xml:space="preserve">prerewrite-20260925</w:t>
      </w:r>
      <w:r>
        <w:t xml:space="preserve"> is not among them, so the three commit identifiers stored in all 15,120 result records still resolve for no reader. Archiving a repository that does not contain those commits does not make them resolvable. What it establishes is forward-looking only: from 01:33 on 15 October 2026, a claim about this repository's state can point at something outside this machine.</w:t>
      </w:r>
    </w:p>
    <w:p>
      <w:pPr>
        <w:spacing w:after="140"/>
        <w:jc w:val="left"/>
      </w:pPr>
      <w:r>
        <w:rPr>
          <w:b/>
          <w:bCs/>
        </w:rPr>
        <w:t xml:space="preserve">Provenance.</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on 25 September 2026 changed every commit hash; the three stored hashes resolve only from a local branch recovered from a folder that had been queued for deletion.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now map those identifiers to public counterparts and carry the tree hashes in their own messages, so the mapping arrives with a clone rather than having to be found in a document. </w:t>
      </w:r>
      <w:r>
        <w:rPr>
          <w:b/>
          <w:bCs/>
        </w:rPr>
        <w:t xml:space="preserve">That improves the delivery of the mapping and not its status</w:t>
      </w:r>
      <w:r>
        <w:t xml:space="preserve">: a reader can confirm the counterpart has the stated tree and </w:t>
      </w:r>
      <w:r>
        <w:rPr>
          <w:b/>
          <w:bCs/>
        </w:rPr>
        <w:t xml:space="preserve">cannot</w:t>
      </w:r>
      <w:r>
        <w:t xml:space="preserve"> confirm that the stored hash ever had it. A tag records an assertion.</w:t>
      </w:r>
    </w:p>
    <w:p>
      <w:pPr>
        <w:spacing w:after="140"/>
        <w:jc w:val="left"/>
      </w:pPr>
      <w:r>
        <w:t xml:space="preserve">Bounded precisely: a reader cannot </w:t>
      </w:r>
      <w:r>
        <w:rPr>
          <w:b/>
          <w:bCs/>
        </w:rPr>
        <w:t xml:space="preserve">independently bind a historical result record to the code that generated it</w:t>
      </w:r>
      <w:r>
        <w:t xml:space="preserve">. Everything else remains checkable — the analysis scripts in full, the data provenance and checksums, the records themselves, and the public half of the mapping. A re-run from current HEAD produces new evidence about the current code; it does not authenticate the old records, since agreement is consistent with changes that do not alter these outputs and disagreement would not separate a code change from a data or environment change.</w:t>
      </w:r>
    </w:p>
    <w:p>
      <w:pPr>
        <w:spacing w:after="140"/>
        <w:jc w:val="left"/>
      </w:pPr>
      <w:r>
        <w:t xml:space="preserve">Full public provenance requires publishing the recovered branch </w:t>
      </w:r>
      <w:r>
        <w:rPr>
          <w:rFonts w:ascii="Consolas" w:cs="Consolas" w:eastAsia="Consolas" w:hAnsi="Consolas"/>
          <w:sz w:val="19"/>
          <w:szCs w:val="19"/>
        </w:rPr>
        <w:t xml:space="preserve">prerewrite-20260925</w:t>
      </w:r>
      <w:r>
        <w:t xml:space="preserve">, which would restore to the public repository the AI co-authorship trailers the rewrite removed. </w:t>
      </w:r>
      <w:r>
        <w:rPr>
          <w:b/>
          <w:bCs/>
        </w:rPr>
        <w:t xml:space="preserve">That decision is open and is recorded as open.</w:t>
      </w:r>
      <w:r>
        <w:t xml:space="preserve"> The trade-off is stated in D11's fourth amendment and this paper does not resolve it.</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34 mutants are killed by the test that names each one, across four source files and three test files. But the coverage report was also scanning only the files that already had mutants, which hid every file with none: corrected, it reads </w:t>
      </w:r>
      <w:r>
        <w:rPr>
          <w:b/>
          <w:bCs/>
        </w:rPr>
        <w:t xml:space="preserve">34 of 374 test functions</w:t>
      </w:r>
      <w:r>
        <w:t xml:space="preserve">, not the 34 of 70 the old report implied. </w:t>
      </w:r>
      <w:r>
        <w:rPr>
          <w:b/>
          <w:bCs/>
        </w:rPr>
        <w:t xml:space="preserve">Fifteen of eighteen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One check has no mutant because it has no test.</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is exercised only by that script's own control F and not by pytest, so no mutant can be expressed for it.</w:t>
      </w:r>
    </w:p>
    <w:p>
      <w:pPr>
        <w:spacing w:after="140"/>
        <w:jc w:val="left"/>
      </w:pPr>
      <w:r>
        <w:rPr>
          <w:b/>
          <w:bCs/>
        </w:rPr>
        <w:t xml:space="preserve">Three items unchanged.</w:t>
      </w:r>
      <w:r>
        <w:t xml:space="preserve"> The </w:t>
      </w:r>
      <w:r>
        <w:rPr>
          <w:rFonts w:ascii="Consolas" w:cs="Consolas" w:eastAsia="Consolas" w:hAnsi="Consolas"/>
          <w:sz w:val="19"/>
          <w:szCs w:val="19"/>
        </w:rPr>
        <w:t xml:space="preserve">descriptive_only</w:t>
      </w:r>
      <w:r>
        <w:t xml:space="preserve"> rows in the exploratory output do not carry the </w:t>
      </w:r>
      <w:r>
        <w:rPr>
          <w:rFonts w:ascii="Consolas" w:cs="Consolas" w:eastAsia="Consolas" w:hAnsi="Consolas"/>
          <w:sz w:val="19"/>
          <w:szCs w:val="19"/>
        </w:rPr>
        <w:t xml:space="preserve">below_d2_floor</w:t>
      </w:r>
      <w:r>
        <w:t xml:space="preserve"> field the tested rows carry. The grid adequacy check has not been extended since week 9. And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Sixteen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Five things have gone wrong in public, and they are two different kinds.</w:t>
      </w:r>
      <w:r>
        <w:t xml:space="preserve"> Collapsing them under one word was itself imprecise.</w:t>
      </w:r>
    </w:p>
    <w:p>
      <w:pPr>
        <w:spacing w:after="140"/>
        <w:jc w:val="left"/>
      </w:pPr>
      <w:r>
        <w:rPr>
          <w:i/>
          <w:iCs/>
        </w:rPr>
        <w:t xml:space="preserve">Defects in the instrument (two).</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rPr>
          <w:i/>
          <w:iCs/>
        </w:rPr>
        <w:t xml:space="preserve">Claims its authors made without checking (three).</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w:t>
      </w:r>
    </w:p>
    <w:p>
      <w:pPr>
        <w:spacing w:after="140"/>
        <w:jc w:val="left"/>
      </w:pPr>
      <w:r>
        <w:rPr>
          <w:b/>
          <w:bCs/>
        </w:rPr>
        <w:t xml:space="preserve">None of the five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What all three share is the route by which they were found. </w:t>
      </w:r>
      <w:r>
        <w:rPr>
          <w:b/>
          <w:bCs/>
        </w:rPr>
        <w:t xml:space="preserve">Tier 1 reads records and Tier 2 reads kernels. Nothing in this protocol reads its own reporting code for claims the data does not support</w:t>
      </w:r>
      <w:r>
        <w:t xml:space="preserve">, which is where all three lived.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Sixteen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is still undecided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not one record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open decision is not a record.</w:t>
      </w:r>
      <w:r>
        <w:t xml:space="preserve"> </w:t>
      </w:r>
      <w:r>
        <w:rPr>
          <w:rFonts w:ascii="Consolas" w:cs="Consolas" w:eastAsia="Consolas" w:hAnsi="Consolas"/>
          <w:sz w:val="19"/>
          <w:szCs w:val="19"/>
        </w:rPr>
        <w:t xml:space="preserve">prerewrite-20260925</w:t>
      </w:r>
      <w:r>
        <w:t xml:space="preserve">, the recovered branch on which full provenance depends, is </w:t>
      </w:r>
      <w:r>
        <w:rPr>
          <w:b/>
          <w:bCs/>
        </w:rPr>
        <w:t xml:space="preserve">unpublished and the choice is undecided</w:t>
      </w:r>
      <w:r>
        <w:t xml:space="preserve">. Publishing it makes every stored commit hash resolve without anyone having to trust the mapping; it also restores to the public repository the AI co-authorship trailers the 25 September rewrite removed. §4.7 states the trade-off and this paper does not resolve it.</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2026-10-15T02:23:00.193Z</dcterms:created>
  <dcterms:modified xsi:type="dcterms:W3CDTF">2026-10-15T02:23:00.194Z</dcterms:modified>
</cp:coreProperties>
</file>

<file path=docProps/custom.xml><?xml version="1.0" encoding="utf-8"?>
<Properties xmlns="http://schemas.openxmlformats.org/officeDocument/2006/custom-properties" xmlns:vt="http://schemas.openxmlformats.org/officeDocument/2006/docPropsVTypes"/>
</file>