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2 Record</w:t>
      </w:r>
    </w:p>
    <w:p>
      <w:pPr>
        <w:spacing w:after="140"/>
        <w:jc w:val="left"/>
      </w:pPr>
      <w:r>
        <w:t xml:space="preserve">Written 21 September 2026. Covers work done 17 to 21 September 2026. Commit </w:t>
      </w:r>
      <w:r>
        <w:rPr>
          <w:rFonts w:ascii="Consolas" w:cs="Consolas" w:eastAsia="Consolas" w:hAnsi="Consolas"/>
          <w:sz w:val="19"/>
          <w:szCs w:val="19"/>
        </w:rPr>
        <w:t xml:space="preserve">3965f29</w:t>
      </w:r>
      <w:r>
        <w:t xml:space="preserve"> on </w:t>
      </w:r>
      <w:r>
        <w:rPr>
          <w:rFonts w:ascii="Consolas" w:cs="Consolas" w:eastAsia="Consolas" w:hAnsi="Consolas"/>
          <w:sz w:val="19"/>
          <w:szCs w:val="19"/>
        </w:rPr>
        <w:t xml:space="preserve">main</w:t>
      </w:r>
      <w:r>
        <w:t xml:space="preserve">. CI run 35598350514 green.</w:t>
      </w:r>
    </w:p>
    <w:p>
      <w:pPr>
        <w:spacing w:after="120" w:before="120"/>
      </w:pPr>
    </w:p>
    <w:p>
      <w:pPr>
        <w:pStyle w:val="Heading1"/>
        <w:spacing w:after="140" w:before="280"/>
      </w:pPr>
      <w:r>
        <w:rPr>
          <w:b/>
          <w:bCs/>
          <w:color w:val="000000"/>
          <w:sz w:val="24"/>
          <w:szCs w:val="24"/>
        </w:rPr>
        <w:t xml:space="preserve">1. What week 2 was for</w:t>
      </w:r>
    </w:p>
    <w:p>
      <w:pPr>
        <w:spacing w:after="140"/>
        <w:jc w:val="left"/>
      </w:pPr>
      <w:r>
        <w:t xml:space="preserve">Week 2 was the data layer: get both real datasets loading, prove that train/test splits are reproducible bit-for-bit, record where the data came from, and settle the preprocessing decisions with evidence rather than argument.</w:t>
      </w:r>
    </w:p>
    <w:p>
      <w:pPr>
        <w:spacing w:after="140"/>
        <w:jc w:val="left"/>
      </w:pPr>
      <w:r>
        <w:t xml:space="preserve">The plan's acceptance criterion was that two runs of the same seed produce byte-identical splits. That criterion is met and is now enforced by tests on every push.</w:t>
      </w:r>
    </w:p>
    <w:p>
      <w:pPr>
        <w:spacing w:after="140"/>
        <w:jc w:val="left"/>
      </w:pPr>
      <w:r>
        <w:t xml:space="preserve">One risk was carried in from week 1 on purpose. Pandas 3.0.5 had never executed a line of this project, because the dataset loaders were only exercised once real data existed. Week 1's 75 passing tests said nothing about it: coverage on </w:t>
      </w:r>
      <w:r>
        <w:rPr>
          <w:rFonts w:ascii="Consolas" w:cs="Consolas" w:eastAsia="Consolas" w:hAnsi="Consolas"/>
          <w:sz w:val="19"/>
          <w:szCs w:val="19"/>
        </w:rPr>
        <w:t xml:space="preserve">data.py</w:t>
      </w:r>
      <w:r>
        <w:t xml:space="preserve"> sat at 62%, and the missing lines were exactly the loaders.</w:t>
      </w:r>
    </w:p>
    <w:p>
      <w:pPr>
        <w:spacing w:after="120" w:before="120"/>
      </w:pPr>
    </w:p>
    <w:p>
      <w:pPr>
        <w:pStyle w:val="Heading1"/>
        <w:spacing w:after="140" w:before="280"/>
      </w:pPr>
      <w:r>
        <w:rPr>
          <w:b/>
          <w:bCs/>
          <w:color w:val="000000"/>
          <w:sz w:val="24"/>
          <w:szCs w:val="24"/>
        </w:rPr>
        <w:t xml:space="preserve">2. The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
            </w:r>
          </w:p>
        </w:tc>
        <w:tc>
          <w:tcPr>
            <w:tcW w:type="dxa" w:w="3120"/>
            <w:shd w:fill="EDEDED" w:val="clear"/>
            <w:tcMar>
              <w:top w:type="dxa" w:w="60"/>
              <w:left w:type="dxa" w:w="100"/>
              <w:bottom w:type="dxa" w:w="60"/>
              <w:right w:type="dxa" w:w="100"/>
            </w:tcMar>
          </w:tcPr>
          <w:p>
            <w:pPr>
              <w:spacing w:after="0" w:before="0"/>
            </w:pPr>
            <w:r>
              <w:rPr>
                <w:b/>
                <w:bCs/>
                <w:sz w:val="19"/>
                <w:szCs w:val="19"/>
              </w:rPr>
              <w:t xml:space="preserve">Telco Customer Churn</w:t>
            </w:r>
          </w:p>
        </w:tc>
        <w:tc>
          <w:tcPr>
            <w:tcW w:type="dxa" w:w="3120"/>
            <w:shd w:fill="EDEDED" w:val="clear"/>
            <w:tcMar>
              <w:top w:type="dxa" w:w="60"/>
              <w:left w:type="dxa" w:w="100"/>
              <w:bottom w:type="dxa" w:w="60"/>
              <w:right w:type="dxa" w:w="100"/>
            </w:tcMar>
          </w:tcPr>
          <w:p>
            <w:pPr>
              <w:spacing w:after="0" w:before="0"/>
            </w:pPr>
            <w:r>
              <w:rPr>
                <w:b/>
                <w:bCs/>
                <w:sz w:val="19"/>
                <w:szCs w:val="19"/>
              </w:rPr>
              <w:t xml:space="preserve">Credit Card Fraud (ULB)</w:t>
            </w:r>
          </w:p>
        </w:tc>
      </w:tr>
      <w:tr>
        <w:tc>
          <w:tcPr>
            <w:tcW w:type="dxa" w:w="3120"/>
            <w:tcMar>
              <w:top w:type="dxa" w:w="60"/>
              <w:left w:type="dxa" w:w="100"/>
              <w:bottom w:type="dxa" w:w="60"/>
              <w:right w:type="dxa" w:w="100"/>
            </w:tcMar>
          </w:tcPr>
          <w:p>
            <w:pPr>
              <w:spacing w:after="0" w:before="0"/>
            </w:pPr>
            <w:r>
              <w:rPr>
                <w:b w:val="false"/>
                <w:bCs w:val="false"/>
                <w:sz w:val="19"/>
                <w:szCs w:val="19"/>
              </w:rPr>
              <w:t xml:space="preserve">Kaggle slug</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blastchar/telco-customer-churn</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mlg-ulb/creditcardfraud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File</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WA_Fn-UseC_-Telco-Customer-Churn.csv</w:t>
            </w:r>
            <w:r>
              <w:rPr>
                <w:b w:val="false"/>
                <w:bCs w:val="false"/>
                <w:sz w:val="19"/>
                <w:szCs w:val="19"/>
              </w:rPr>
              <w:t xml:space="preserve"> (977 KB)</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creditcard.csv</w:t>
            </w:r>
            <w:r>
              <w:rPr>
                <w:b w:val="false"/>
                <w:bCs w:val="false"/>
                <w:sz w:val="19"/>
                <w:szCs w:val="19"/>
              </w:rPr>
              <w:t xml:space="preserve"> (150.8 MB)</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Raw rows</w:t>
            </w:r>
          </w:p>
        </w:tc>
        <w:tc>
          <w:tcPr>
            <w:tcW w:type="dxa" w:w="3120"/>
            <w:tcMar>
              <w:top w:type="dxa" w:w="60"/>
              <w:left w:type="dxa" w:w="100"/>
              <w:bottom w:type="dxa" w:w="60"/>
              <w:right w:type="dxa" w:w="100"/>
            </w:tcMar>
          </w:tcPr>
          <w:p>
            <w:pPr>
              <w:spacing w:after="0" w:before="0"/>
            </w:pPr>
            <w:r>
              <w:rPr>
                <w:b w:val="false"/>
                <w:bCs w:val="false"/>
                <w:sz w:val="19"/>
                <w:szCs w:val="19"/>
              </w:rPr>
              <w:t xml:space="preserve">7,043</w:t>
            </w:r>
          </w:p>
        </w:tc>
        <w:tc>
          <w:tcPr>
            <w:tcW w:type="dxa" w:w="3120"/>
            <w:tcMar>
              <w:top w:type="dxa" w:w="60"/>
              <w:left w:type="dxa" w:w="100"/>
              <w:bottom w:type="dxa" w:w="60"/>
              <w:right w:type="dxa" w:w="100"/>
            </w:tcMar>
          </w:tcPr>
          <w:p>
            <w:pPr>
              <w:spacing w:after="0" w:before="0"/>
            </w:pPr>
            <w:r>
              <w:rPr>
                <w:b w:val="false"/>
                <w:bCs w:val="false"/>
                <w:sz w:val="19"/>
                <w:szCs w:val="19"/>
              </w:rPr>
              <w:t xml:space="preserve">284,807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Rows after loading</w:t>
            </w:r>
          </w:p>
        </w:tc>
        <w:tc>
          <w:tcPr>
            <w:tcW w:type="dxa" w:w="3120"/>
            <w:tcMar>
              <w:top w:type="dxa" w:w="60"/>
              <w:left w:type="dxa" w:w="100"/>
              <w:bottom w:type="dxa" w:w="60"/>
              <w:right w:type="dxa" w:w="100"/>
            </w:tcMar>
          </w:tcPr>
          <w:p>
            <w:pPr>
              <w:spacing w:after="0" w:before="0"/>
            </w:pPr>
            <w:r>
              <w:rPr>
                <w:b w:val="false"/>
                <w:bCs w:val="false"/>
                <w:sz w:val="19"/>
                <w:szCs w:val="19"/>
              </w:rPr>
              <w:t xml:space="preserve">7,032</w:t>
            </w:r>
          </w:p>
        </w:tc>
        <w:tc>
          <w:tcPr>
            <w:tcW w:type="dxa" w:w="3120"/>
            <w:tcMar>
              <w:top w:type="dxa" w:w="60"/>
              <w:left w:type="dxa" w:w="100"/>
              <w:bottom w:type="dxa" w:w="60"/>
              <w:right w:type="dxa" w:w="100"/>
            </w:tcMar>
          </w:tcPr>
          <w:p>
            <w:pPr>
              <w:spacing w:after="0" w:before="0"/>
            </w:pPr>
            <w:r>
              <w:rPr>
                <w:b w:val="false"/>
                <w:bCs w:val="false"/>
                <w:sz w:val="19"/>
                <w:szCs w:val="19"/>
              </w:rPr>
              <w:t xml:space="preserve">284,807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Features after loading</w:t>
            </w:r>
          </w:p>
        </w:tc>
        <w:tc>
          <w:tcPr>
            <w:tcW w:type="dxa" w:w="3120"/>
            <w:tcMar>
              <w:top w:type="dxa" w:w="60"/>
              <w:left w:type="dxa" w:w="100"/>
              <w:bottom w:type="dxa" w:w="60"/>
              <w:right w:type="dxa" w:w="100"/>
            </w:tcMar>
          </w:tcPr>
          <w:p>
            <w:pPr>
              <w:spacing w:after="0" w:before="0"/>
            </w:pPr>
            <w:r>
              <w:rPr>
                <w:b w:val="false"/>
                <w:bCs w:val="false"/>
                <w:sz w:val="19"/>
                <w:szCs w:val="19"/>
              </w:rPr>
              <w:t xml:space="preserve">30 (3 continuous, 27 binary)</w:t>
            </w:r>
          </w:p>
        </w:tc>
        <w:tc>
          <w:tcPr>
            <w:tcW w:type="dxa" w:w="3120"/>
            <w:tcMar>
              <w:top w:type="dxa" w:w="60"/>
              <w:left w:type="dxa" w:w="100"/>
              <w:bottom w:type="dxa" w:w="60"/>
              <w:right w:type="dxa" w:w="100"/>
            </w:tcMar>
          </w:tcPr>
          <w:p>
            <w:pPr>
              <w:spacing w:after="0" w:before="0"/>
            </w:pPr>
            <w:r>
              <w:rPr>
                <w:b w:val="false"/>
                <w:bCs w:val="false"/>
                <w:sz w:val="19"/>
                <w:szCs w:val="19"/>
              </w:rPr>
              <w:t xml:space="preserve">29 (after dropping </w:t>
            </w:r>
            <w:r>
              <w:rPr>
                <w:rFonts w:ascii="Consolas" w:cs="Consolas" w:eastAsia="Consolas" w:hAnsi="Consolas"/>
                <w:b w:val="false"/>
                <w:bCs w:val="false"/>
                <w:sz w:val="19"/>
                <w:szCs w:val="19"/>
              </w:rPr>
              <w:t xml:space="preserve">Time</w:t>
            </w:r>
            <w:r>
              <w:rPr>
                <w:b w:val="false"/>
                <w:bCs w:val="false"/>
                <w:sz w:val="19"/>
                <w:szCs w:val="19"/>
              </w:rPr>
              <w:t xml:space="preserv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Positives</w:t>
            </w:r>
          </w:p>
        </w:tc>
        <w:tc>
          <w:tcPr>
            <w:tcW w:type="dxa" w:w="3120"/>
            <w:tcMar>
              <w:top w:type="dxa" w:w="60"/>
              <w:left w:type="dxa" w:w="100"/>
              <w:bottom w:type="dxa" w:w="60"/>
              <w:right w:type="dxa" w:w="100"/>
            </w:tcMar>
          </w:tcPr>
          <w:p>
            <w:pPr>
              <w:spacing w:after="0" w:before="0"/>
            </w:pPr>
            <w:r>
              <w:rPr>
                <w:b w:val="false"/>
                <w:bCs w:val="false"/>
                <w:sz w:val="19"/>
                <w:szCs w:val="19"/>
              </w:rPr>
              <w:t xml:space="preserve">1,869 (0.2658)</w:t>
            </w:r>
          </w:p>
        </w:tc>
        <w:tc>
          <w:tcPr>
            <w:tcW w:type="dxa" w:w="3120"/>
            <w:tcMar>
              <w:top w:type="dxa" w:w="60"/>
              <w:left w:type="dxa" w:w="100"/>
              <w:bottom w:type="dxa" w:w="60"/>
              <w:right w:type="dxa" w:w="100"/>
            </w:tcMar>
          </w:tcPr>
          <w:p>
            <w:pPr>
              <w:spacing w:after="0" w:before="0"/>
            </w:pPr>
            <w:r>
              <w:rPr>
                <w:b w:val="false"/>
                <w:bCs w:val="false"/>
                <w:sz w:val="19"/>
                <w:szCs w:val="19"/>
              </w:rPr>
              <w:t xml:space="preserve">492 (0.001727)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Licence</w:t>
            </w:r>
          </w:p>
        </w:tc>
        <w:tc>
          <w:tcPr>
            <w:tcW w:type="dxa" w:w="3120"/>
            <w:tcMar>
              <w:top w:type="dxa" w:w="60"/>
              <w:left w:type="dxa" w:w="100"/>
              <w:bottom w:type="dxa" w:w="60"/>
              <w:right w:type="dxa" w:w="100"/>
            </w:tcMar>
          </w:tcPr>
          <w:p>
            <w:pPr>
              <w:spacing w:after="0" w:before="0"/>
            </w:pPr>
            <w:r>
              <w:rPr>
                <w:b w:val="false"/>
                <w:bCs w:val="false"/>
                <w:sz w:val="19"/>
                <w:szCs w:val="19"/>
              </w:rPr>
              <w:t xml:space="preserve">copyright-authors (no redistribution)</w:t>
            </w:r>
          </w:p>
        </w:tc>
        <w:tc>
          <w:tcPr>
            <w:tcW w:type="dxa" w:w="3120"/>
            <w:tcMar>
              <w:top w:type="dxa" w:w="60"/>
              <w:left w:type="dxa" w:w="100"/>
              <w:bottom w:type="dxa" w:w="60"/>
              <w:right w:type="dxa" w:w="100"/>
            </w:tcMar>
          </w:tcPr>
          <w:p>
            <w:pPr>
              <w:spacing w:after="0" w:before="0"/>
            </w:pPr>
            <w:r>
              <w:rPr>
                <w:b w:val="false"/>
                <w:bCs w:val="false"/>
                <w:sz w:val="19"/>
                <w:szCs w:val="19"/>
              </w:rPr>
              <w:t xml:space="preserve">DbCL-1.0</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SHA-256</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88be4b93fbe0cc83421af1c503794c97c342eca914c1576db7c276e61d61358a</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76274b691b16a6c49d3f159c883398e03ccd6d1ee12d9d8ee38f4b4b98551a89</w:t>
            </w:r>
          </w:p>
        </w:tc>
      </w:tr>
    </w:tbl>
    <w:p>
      <w:pPr>
        <w:spacing w:after="160"/>
      </w:pPr>
    </w:p>
    <w:p>
      <w:pPr>
        <w:spacing w:after="140"/>
        <w:jc w:val="left"/>
      </w:pPr>
      <w:r>
        <w:t xml:space="preserve">Both retrieved 17 September 2026 with </w:t>
      </w:r>
      <w:r>
        <w:rPr>
          <w:rFonts w:ascii="Consolas" w:cs="Consolas" w:eastAsia="Consolas" w:hAnsi="Consolas"/>
          <w:sz w:val="19"/>
          <w:szCs w:val="19"/>
        </w:rPr>
        <w:t xml:space="preserve">kaggle</w:t>
      </w:r>
      <w:r>
        <w:t xml:space="preserve"> 2.2.4. The checksums matter because Kaggle datasets can be revised in place, and a silent revision would change every downstream number with nothing to flag it. They are recorded in </w:t>
      </w:r>
      <w:r>
        <w:rPr>
          <w:rFonts w:ascii="Consolas" w:cs="Consolas" w:eastAsia="Consolas" w:hAnsi="Consolas"/>
          <w:sz w:val="19"/>
          <w:szCs w:val="19"/>
        </w:rPr>
        <w:t xml:space="preserve">data/README.md</w:t>
      </w:r>
      <w:r>
        <w:t xml:space="preserve">.</w:t>
      </w:r>
    </w:p>
    <w:p>
      <w:pPr>
        <w:spacing w:after="140"/>
        <w:jc w:val="left"/>
      </w:pPr>
      <w:r>
        <w:t xml:space="preserve">Raw data is never committed. </w:t>
      </w:r>
      <w:r>
        <w:rPr>
          <w:rFonts w:ascii="Consolas" w:cs="Consolas" w:eastAsia="Consolas" w:hAnsi="Consolas"/>
          <w:sz w:val="19"/>
          <w:szCs w:val="19"/>
        </w:rPr>
        <w:t xml:space="preserve">data/raw/</w:t>
      </w:r>
      <w:r>
        <w:t xml:space="preserve"> is gitignored, and the churn licence does not permit redistribution in any case. Anyone reproducing the work fetches the files themselves and checks the hash.</w:t>
      </w:r>
    </w:p>
    <w:p>
      <w:pPr>
        <w:pStyle w:val="Heading2"/>
        <w:spacing w:after="100" w:before="200"/>
      </w:pPr>
      <w:r>
        <w:rPr>
          <w:b/>
          <w:bCs/>
          <w:color w:val="000000"/>
          <w:sz w:val="22"/>
          <w:szCs w:val="22"/>
        </w:rPr>
        <w:t xml:space="preserve">Pandas 3.0: cleared</w:t>
      </w:r>
    </w:p>
    <w:p>
      <w:pPr>
        <w:spacing w:after="140"/>
        <w:jc w:val="left"/>
      </w:pPr>
      <w:r>
        <w:t xml:space="preserve">Both loaders ran correctly first time under pandas 3.0.5. Churn exercised </w:t>
      </w:r>
      <w:r>
        <w:rPr>
          <w:rFonts w:ascii="Consolas" w:cs="Consolas" w:eastAsia="Consolas" w:hAnsi="Consolas"/>
          <w:sz w:val="19"/>
          <w:szCs w:val="19"/>
        </w:rPr>
        <w:t xml:space="preserve">read_csv</w:t>
      </w:r>
      <w:r>
        <w:t xml:space="preserve">, </w:t>
      </w:r>
      <w:r>
        <w:rPr>
          <w:rFonts w:ascii="Consolas" w:cs="Consolas" w:eastAsia="Consolas" w:hAnsi="Consolas"/>
          <w:sz w:val="19"/>
          <w:szCs w:val="19"/>
        </w:rPr>
        <w:t xml:space="preserve">to_numeric(errors='coerce')</w:t>
      </w:r>
      <w:r>
        <w:t xml:space="preserve">, </w:t>
      </w:r>
      <w:r>
        <w:rPr>
          <w:rFonts w:ascii="Consolas" w:cs="Consolas" w:eastAsia="Consolas" w:hAnsi="Consolas"/>
          <w:sz w:val="19"/>
          <w:szCs w:val="19"/>
        </w:rPr>
        <w:t xml:space="preserve">dropna</w:t>
      </w:r>
      <w:r>
        <w:t xml:space="preserve">, </w:t>
      </w:r>
      <w:r>
        <w:rPr>
          <w:rFonts w:ascii="Consolas" w:cs="Consolas" w:eastAsia="Consolas" w:hAnsi="Consolas"/>
          <w:sz w:val="19"/>
          <w:szCs w:val="19"/>
        </w:rPr>
        <w:t xml:space="preserve">df.pop</w:t>
      </w:r>
      <w:r>
        <w:t xml:space="preserve"> and </w:t>
      </w:r>
      <w:r>
        <w:rPr>
          <w:rFonts w:ascii="Consolas" w:cs="Consolas" w:eastAsia="Consolas" w:hAnsi="Consolas"/>
          <w:sz w:val="19"/>
          <w:szCs w:val="19"/>
        </w:rPr>
        <w:t xml:space="preserve">get_dummies</w:t>
      </w:r>
      <w:r>
        <w:t xml:space="preserve"> in sequence; the bool dummies pandas now returns cast cleanly to float64. The 11 dropped churn rows are the dataset's known quirk: </w:t>
      </w:r>
      <w:r>
        <w:rPr>
          <w:rFonts w:ascii="Consolas" w:cs="Consolas" w:eastAsia="Consolas" w:hAnsi="Consolas"/>
          <w:sz w:val="19"/>
          <w:szCs w:val="19"/>
        </w:rPr>
        <w:t xml:space="preserve">TotalCharges</w:t>
      </w:r>
      <w:r>
        <w:t xml:space="preserve"> is a blank string for customers with zero tenure.</w:t>
      </w:r>
    </w:p>
    <w:p>
      <w:pPr>
        <w:pStyle w:val="Heading2"/>
        <w:spacing w:after="100" w:before="200"/>
      </w:pPr>
      <w:r>
        <w:rPr>
          <w:b/>
          <w:bCs/>
          <w:color w:val="000000"/>
          <w:sz w:val="22"/>
          <w:szCs w:val="22"/>
        </w:rPr>
        <w:t xml:space="preserve">A loose end on credentials</w:t>
      </w:r>
    </w:p>
    <w:p>
      <w:pPr>
        <w:spacing w:after="140"/>
        <w:jc w:val="left"/>
      </w:pPr>
      <w:r>
        <w:t xml:space="preserve">Moving </w:t>
      </w:r>
      <w:r>
        <w:rPr>
          <w:rFonts w:ascii="Consolas" w:cs="Consolas" w:eastAsia="Consolas" w:hAnsi="Consolas"/>
          <w:sz w:val="19"/>
          <w:szCs w:val="19"/>
        </w:rPr>
        <w:t xml:space="preserve">kaggle.json</w:t>
      </w:r>
      <w:r>
        <w:t xml:space="preserve"> from Downloads failed with "no such file", yet the download authenticated anyway. Your Kaggle credentials already live somewhere on the machine and neither of us knows where. Harmless today, but worth finding before the token expires.</w:t>
      </w:r>
    </w:p>
    <w:p>
      <w:pPr>
        <w:spacing w:after="120" w:before="120"/>
      </w:pPr>
    </w:p>
    <w:p>
      <w:pPr>
        <w:pStyle w:val="Heading1"/>
        <w:spacing w:after="140" w:before="280"/>
      </w:pPr>
      <w:r>
        <w:rPr>
          <w:b/>
          <w:bCs/>
          <w:color w:val="000000"/>
          <w:sz w:val="24"/>
          <w:szCs w:val="24"/>
        </w:rPr>
        <w:t xml:space="preserve">3. The question that decided the week: does signal survive the squeeze?</w:t>
      </w:r>
    </w:p>
    <w:p>
      <w:pPr>
        <w:spacing w:after="140"/>
        <w:jc w:val="left"/>
      </w:pPr>
      <w:r>
        <w:t xml:space="preserve">The quantum track can afford 2 to 8 qubits, meaning 2 to 8 features. Churn arrives as 30 columns and fraud as 29. If squeezing those down to a handful of dimensions destroys the predictive signal, then every kernel comparison at low qubit counts measures noise. A null quantum result would then be an artefact of the representation, not a finding about quantum kernels, and no test would catch it.</w:t>
      </w:r>
    </w:p>
    <w:p>
      <w:pPr>
        <w:spacing w:after="140"/>
        <w:jc w:val="left"/>
      </w:pPr>
      <w:r>
        <w:t xml:space="preserve">So we measured it before building on it. </w:t>
      </w:r>
      <w:r>
        <w:rPr>
          <w:rFonts w:ascii="Consolas" w:cs="Consolas" w:eastAsia="Consolas" w:hAnsi="Consolas"/>
          <w:sz w:val="19"/>
          <w:szCs w:val="19"/>
        </w:rPr>
        <w:t xml:space="preserve">scripts/diagnose_representation.py</w:t>
      </w:r>
      <w:r>
        <w:t xml:space="preserve"> fits a plain classical RBF SVM on each candidate representation and scores PR-AUC against two anchors:</w:t>
      </w:r>
    </w:p>
    <w:p>
      <w:pPr>
        <w:pStyle w:val="ListParagraph"/>
        <w:numPr>
          <w:ilvl w:val="0"/>
          <w:numId w:val="1"/>
        </w:numPr>
        <w:spacing w:after="80"/>
      </w:pPr>
      <w:r>
        <w:rPr>
          <w:b/>
          <w:bCs/>
        </w:rPr>
        <w:t xml:space="preserve">Baseline</w:t>
      </w:r>
      <w:r>
        <w:t xml:space="preserve">: the positive class rate, which is what a useless model scores.</w:t>
      </w:r>
    </w:p>
    <w:p>
      <w:pPr>
        <w:pStyle w:val="ListParagraph"/>
        <w:numPr>
          <w:ilvl w:val="0"/>
          <w:numId w:val="1"/>
        </w:numPr>
        <w:spacing w:after="80"/>
      </w:pPr>
      <w:r>
        <w:rPr>
          <w:b/>
          <w:bCs/>
        </w:rPr>
        <w:t xml:space="preserve">Full</w:t>
      </w:r>
      <w:r>
        <w:t xml:space="preserve">: an SVM on all features with no reduction, the ceiling.</w:t>
      </w:r>
    </w:p>
    <w:p>
      <w:pPr>
        <w:spacing w:after="140"/>
        <w:jc w:val="left"/>
      </w:pPr>
      <w:r>
        <w:t xml:space="preserve">The "% of full" column is the share of available signal that survives the reduction.</w:t>
      </w:r>
    </w:p>
    <w:p>
      <w:pPr>
        <w:pStyle w:val="Heading2"/>
        <w:spacing w:after="100" w:before="200"/>
      </w:pPr>
      <w:r>
        <w:rPr>
          <w:b/>
          <w:bCs/>
          <w:color w:val="000000"/>
          <w:sz w:val="22"/>
          <w:szCs w:val="22"/>
        </w:rPr>
        <w:t xml:space="preserve">Churn</w:t>
      </w:r>
    </w:p>
    <w:p>
      <w:pPr>
        <w:spacing w:after="140"/>
        <w:jc w:val="left"/>
      </w:pPr>
      <w:r>
        <w:t xml:space="preserve">Baseline 0.2659, full 0.6053, headroom 0.3394.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EDED" w:val="clear"/>
            <w:tcMar>
              <w:top w:type="dxa" w:w="60"/>
              <w:left w:type="dxa" w:w="100"/>
              <w:bottom w:type="dxa" w:w="60"/>
              <w:right w:type="dxa" w:w="100"/>
            </w:tcMar>
          </w:tcPr>
          <w:p>
            <w:pPr>
              <w:spacing w:after="0" w:before="0"/>
            </w:pPr>
            <w:r>
              <w:rPr>
                <w:b/>
                <w:bCs/>
                <w:sz w:val="19"/>
                <w:szCs w:val="19"/>
              </w:rPr>
              <w:t xml:space="preserve">Mapping</w:t>
            </w:r>
          </w:p>
        </w:tc>
        <w:tc>
          <w:tcPr>
            <w:tcW w:type="dxa" w:w="1560"/>
            <w:shd w:fill="EDEDED" w:val="clear"/>
            <w:tcMar>
              <w:top w:type="dxa" w:w="60"/>
              <w:left w:type="dxa" w:w="100"/>
              <w:bottom w:type="dxa" w:w="60"/>
              <w:right w:type="dxa" w:w="100"/>
            </w:tcMar>
          </w:tcPr>
          <w:p>
            <w:pPr>
              <w:spacing w:after="0" w:before="0"/>
            </w:pPr>
            <w:r>
              <w:rPr>
                <w:b/>
                <w:bCs/>
                <w:sz w:val="19"/>
                <w:szCs w:val="19"/>
              </w:rPr>
              <w:t xml:space="preserve">2 qubits</w:t>
            </w:r>
          </w:p>
        </w:tc>
        <w:tc>
          <w:tcPr>
            <w:tcW w:type="dxa" w:w="1560"/>
            <w:shd w:fill="EDEDED" w:val="clear"/>
            <w:tcMar>
              <w:top w:type="dxa" w:w="60"/>
              <w:left w:type="dxa" w:w="100"/>
              <w:bottom w:type="dxa" w:w="60"/>
              <w:right w:type="dxa" w:w="100"/>
            </w:tcMar>
          </w:tcPr>
          <w:p>
            <w:pPr>
              <w:spacing w:after="0" w:before="0"/>
            </w:pPr>
            <w:r>
              <w:rPr>
                <w:b/>
                <w:bCs/>
                <w:sz w:val="19"/>
                <w:szCs w:val="19"/>
              </w:rPr>
              <w:t xml:space="preserve">3</w:t>
            </w:r>
          </w:p>
        </w:tc>
        <w:tc>
          <w:tcPr>
            <w:tcW w:type="dxa" w:w="1560"/>
            <w:shd w:fill="EDEDED" w:val="clear"/>
            <w:tcMar>
              <w:top w:type="dxa" w:w="60"/>
              <w:left w:type="dxa" w:w="100"/>
              <w:bottom w:type="dxa" w:w="60"/>
              <w:right w:type="dxa" w:w="100"/>
            </w:tcMar>
          </w:tcPr>
          <w:p>
            <w:pPr>
              <w:spacing w:after="0" w:before="0"/>
            </w:pPr>
            <w:r>
              <w:rPr>
                <w:b/>
                <w:bCs/>
                <w:sz w:val="19"/>
                <w:szCs w:val="19"/>
              </w:rPr>
              <w:t xml:space="preserve">4</w:t>
            </w:r>
          </w:p>
        </w:tc>
        <w:tc>
          <w:tcPr>
            <w:tcW w:type="dxa" w:w="1560"/>
            <w:shd w:fill="EDEDED" w:val="clear"/>
            <w:tcMar>
              <w:top w:type="dxa" w:w="60"/>
              <w:left w:type="dxa" w:w="100"/>
              <w:bottom w:type="dxa" w:w="60"/>
              <w:right w:type="dxa" w:w="100"/>
            </w:tcMar>
          </w:tcPr>
          <w:p>
            <w:pPr>
              <w:spacing w:after="0" w:before="0"/>
            </w:pPr>
            <w:r>
              <w:rPr>
                <w:b/>
                <w:bCs/>
                <w:sz w:val="19"/>
                <w:szCs w:val="19"/>
              </w:rPr>
              <w:t xml:space="preserve">6</w:t>
            </w:r>
          </w:p>
        </w:tc>
        <w:tc>
          <w:tcPr>
            <w:tcW w:type="dxa" w:w="1560"/>
            <w:shd w:fill="EDEDED" w:val="clear"/>
            <w:tcMar>
              <w:top w:type="dxa" w:w="60"/>
              <w:left w:type="dxa" w:w="100"/>
              <w:bottom w:type="dxa" w:w="60"/>
              <w:right w:type="dxa" w:w="100"/>
            </w:tcMar>
          </w:tcPr>
          <w:p>
            <w:pPr>
              <w:spacing w:after="0" w:before="0"/>
            </w:pPr>
            <w:r>
              <w:rPr>
                <w:b/>
                <w:bCs/>
                <w:sz w:val="19"/>
                <w:szCs w:val="19"/>
              </w:rPr>
              <w:t xml:space="preserve">8</w:t>
            </w:r>
          </w:p>
        </w:tc>
      </w:tr>
      <w:tr>
        <w:tc>
          <w:tcPr>
            <w:tcW w:type="dxa" w:w="1560"/>
            <w:tcMar>
              <w:top w:type="dxa" w:w="60"/>
              <w:left w:type="dxa" w:w="100"/>
              <w:bottom w:type="dxa" w:w="60"/>
              <w:right w:type="dxa" w:w="100"/>
            </w:tcMar>
          </w:tcPr>
          <w:p>
            <w:pPr>
              <w:spacing w:after="0" w:before="0"/>
            </w:pPr>
            <w:r>
              <w:rPr>
                <w:b w:val="false"/>
                <w:bCs w:val="false"/>
                <w:sz w:val="19"/>
                <w:szCs w:val="19"/>
              </w:rPr>
              <w:t xml:space="preserve">PCA</w:t>
            </w:r>
          </w:p>
        </w:tc>
        <w:tc>
          <w:tcPr>
            <w:tcW w:type="dxa" w:w="1560"/>
            <w:tcMar>
              <w:top w:type="dxa" w:w="60"/>
              <w:left w:type="dxa" w:w="100"/>
              <w:bottom w:type="dxa" w:w="60"/>
              <w:right w:type="dxa" w:w="100"/>
            </w:tcMar>
          </w:tcPr>
          <w:p>
            <w:pPr>
              <w:spacing w:after="0" w:before="0"/>
            </w:pPr>
            <w:r>
              <w:rPr>
                <w:b w:val="false"/>
                <w:bCs w:val="false"/>
                <w:sz w:val="19"/>
                <w:szCs w:val="19"/>
              </w:rPr>
              <w:t xml:space="preserve">87.2%</w:t>
            </w:r>
          </w:p>
        </w:tc>
        <w:tc>
          <w:tcPr>
            <w:tcW w:type="dxa" w:w="1560"/>
            <w:tcMar>
              <w:top w:type="dxa" w:w="60"/>
              <w:left w:type="dxa" w:w="100"/>
              <w:bottom w:type="dxa" w:w="60"/>
              <w:right w:type="dxa" w:w="100"/>
            </w:tcMar>
          </w:tcPr>
          <w:p>
            <w:pPr>
              <w:spacing w:after="0" w:before="0"/>
            </w:pPr>
            <w:r>
              <w:rPr>
                <w:b w:val="false"/>
                <w:bCs w:val="false"/>
                <w:sz w:val="19"/>
                <w:szCs w:val="19"/>
              </w:rPr>
              <w:t xml:space="preserve">88.7%</w:t>
            </w:r>
          </w:p>
        </w:tc>
        <w:tc>
          <w:tcPr>
            <w:tcW w:type="dxa" w:w="1560"/>
            <w:tcMar>
              <w:top w:type="dxa" w:w="60"/>
              <w:left w:type="dxa" w:w="100"/>
              <w:bottom w:type="dxa" w:w="60"/>
              <w:right w:type="dxa" w:w="100"/>
            </w:tcMar>
          </w:tcPr>
          <w:p>
            <w:pPr>
              <w:spacing w:after="0" w:before="0"/>
            </w:pPr>
            <w:r>
              <w:rPr>
                <w:b w:val="false"/>
                <w:bCs w:val="false"/>
                <w:sz w:val="19"/>
                <w:szCs w:val="19"/>
              </w:rPr>
              <w:t xml:space="preserve">92.7%</w:t>
            </w:r>
          </w:p>
        </w:tc>
        <w:tc>
          <w:tcPr>
            <w:tcW w:type="dxa" w:w="1560"/>
            <w:tcMar>
              <w:top w:type="dxa" w:w="60"/>
              <w:left w:type="dxa" w:w="100"/>
              <w:bottom w:type="dxa" w:w="60"/>
              <w:right w:type="dxa" w:w="100"/>
            </w:tcMar>
          </w:tcPr>
          <w:p>
            <w:pPr>
              <w:spacing w:after="0" w:before="0"/>
            </w:pPr>
            <w:r>
              <w:rPr>
                <w:b w:val="false"/>
                <w:bCs w:val="false"/>
                <w:sz w:val="19"/>
                <w:szCs w:val="19"/>
              </w:rPr>
              <w:t xml:space="preserve">94.4%</w:t>
            </w:r>
          </w:p>
        </w:tc>
        <w:tc>
          <w:tcPr>
            <w:tcW w:type="dxa" w:w="1560"/>
            <w:tcMar>
              <w:top w:type="dxa" w:w="60"/>
              <w:left w:type="dxa" w:w="100"/>
              <w:bottom w:type="dxa" w:w="60"/>
              <w:right w:type="dxa" w:w="100"/>
            </w:tcMar>
          </w:tcPr>
          <w:p>
            <w:pPr>
              <w:spacing w:after="0" w:before="0"/>
            </w:pPr>
            <w:r>
              <w:rPr>
                <w:b w:val="false"/>
                <w:bCs w:val="false"/>
                <w:sz w:val="19"/>
                <w:szCs w:val="19"/>
              </w:rPr>
              <w:t xml:space="preserve">95.0%</w:t>
            </w:r>
          </w:p>
        </w:tc>
      </w:tr>
      <w:tr>
        <w:tc>
          <w:tcPr>
            <w:tcW w:type="dxa" w:w="1560"/>
            <w:tcMar>
              <w:top w:type="dxa" w:w="60"/>
              <w:left w:type="dxa" w:w="100"/>
              <w:bottom w:type="dxa" w:w="60"/>
              <w:right w:type="dxa" w:w="100"/>
            </w:tcMar>
          </w:tcPr>
          <w:p>
            <w:pPr>
              <w:spacing w:after="0" w:before="0"/>
            </w:pPr>
            <w:r>
              <w:rPr>
                <w:b w:val="false"/>
                <w:bCs w:val="false"/>
                <w:sz w:val="19"/>
                <w:szCs w:val="19"/>
              </w:rPr>
              <w:t xml:space="preserve">SelectKBest (mutual information)</w:t>
            </w:r>
          </w:p>
        </w:tc>
        <w:tc>
          <w:tcPr>
            <w:tcW w:type="dxa" w:w="1560"/>
            <w:tcMar>
              <w:top w:type="dxa" w:w="60"/>
              <w:left w:type="dxa" w:w="100"/>
              <w:bottom w:type="dxa" w:w="60"/>
              <w:right w:type="dxa" w:w="100"/>
            </w:tcMar>
          </w:tcPr>
          <w:p>
            <w:pPr>
              <w:spacing w:after="0" w:before="0"/>
            </w:pPr>
            <w:r>
              <w:rPr>
                <w:b w:val="false"/>
                <w:bCs w:val="false"/>
                <w:sz w:val="19"/>
                <w:szCs w:val="19"/>
              </w:rPr>
              <w:t xml:space="preserve">90.0%</w:t>
            </w:r>
          </w:p>
        </w:tc>
        <w:tc>
          <w:tcPr>
            <w:tcW w:type="dxa" w:w="1560"/>
            <w:tcMar>
              <w:top w:type="dxa" w:w="60"/>
              <w:left w:type="dxa" w:w="100"/>
              <w:bottom w:type="dxa" w:w="60"/>
              <w:right w:type="dxa" w:w="100"/>
            </w:tcMar>
          </w:tcPr>
          <w:p>
            <w:pPr>
              <w:spacing w:after="0" w:before="0"/>
            </w:pPr>
            <w:r>
              <w:rPr>
                <w:b w:val="false"/>
                <w:bCs w:val="false"/>
                <w:sz w:val="19"/>
                <w:szCs w:val="19"/>
              </w:rPr>
              <w:t xml:space="preserve">93.3%</w:t>
            </w:r>
          </w:p>
        </w:tc>
        <w:tc>
          <w:tcPr>
            <w:tcW w:type="dxa" w:w="1560"/>
            <w:tcMar>
              <w:top w:type="dxa" w:w="60"/>
              <w:left w:type="dxa" w:w="100"/>
              <w:bottom w:type="dxa" w:w="60"/>
              <w:right w:type="dxa" w:w="100"/>
            </w:tcMar>
          </w:tcPr>
          <w:p>
            <w:pPr>
              <w:spacing w:after="0" w:before="0"/>
            </w:pPr>
            <w:r>
              <w:rPr>
                <w:b w:val="false"/>
                <w:bCs w:val="false"/>
                <w:sz w:val="19"/>
                <w:szCs w:val="19"/>
              </w:rPr>
              <w:t xml:space="preserve">74.8%</w:t>
            </w:r>
          </w:p>
        </w:tc>
        <w:tc>
          <w:tcPr>
            <w:tcW w:type="dxa" w:w="1560"/>
            <w:tcMar>
              <w:top w:type="dxa" w:w="60"/>
              <w:left w:type="dxa" w:w="100"/>
              <w:bottom w:type="dxa" w:w="60"/>
              <w:right w:type="dxa" w:w="100"/>
            </w:tcMar>
          </w:tcPr>
          <w:p>
            <w:pPr>
              <w:spacing w:after="0" w:before="0"/>
            </w:pPr>
            <w:r>
              <w:rPr>
                <w:b w:val="false"/>
                <w:bCs w:val="false"/>
                <w:sz w:val="19"/>
                <w:szCs w:val="19"/>
              </w:rPr>
              <w:t xml:space="preserve">82.6%</w:t>
            </w:r>
          </w:p>
        </w:tc>
        <w:tc>
          <w:tcPr>
            <w:tcW w:type="dxa" w:w="1560"/>
            <w:tcMar>
              <w:top w:type="dxa" w:w="60"/>
              <w:left w:type="dxa" w:w="100"/>
              <w:bottom w:type="dxa" w:w="60"/>
              <w:right w:type="dxa" w:w="100"/>
            </w:tcMar>
          </w:tcPr>
          <w:p>
            <w:pPr>
              <w:spacing w:after="0" w:before="0"/>
            </w:pPr>
            <w:r>
              <w:rPr>
                <w:b w:val="false"/>
                <w:bCs w:val="false"/>
                <w:sz w:val="19"/>
                <w:szCs w:val="19"/>
              </w:rPr>
              <w:t xml:space="preserve">91.1%</w:t>
            </w:r>
          </w:p>
        </w:tc>
      </w:tr>
      <w:tr>
        <w:tc>
          <w:tcPr>
            <w:tcW w:type="dxa" w:w="1560"/>
            <w:tcMar>
              <w:top w:type="dxa" w:w="60"/>
              <w:left w:type="dxa" w:w="100"/>
              <w:bottom w:type="dxa" w:w="60"/>
              <w:right w:type="dxa" w:w="100"/>
            </w:tcMar>
          </w:tcPr>
          <w:p>
            <w:pPr>
              <w:spacing w:after="0" w:before="0"/>
            </w:pPr>
            <w:r>
              <w:rPr>
                <w:b w:val="false"/>
                <w:bCs w:val="false"/>
                <w:sz w:val="19"/>
                <w:szCs w:val="19"/>
              </w:rPr>
              <w:t xml:space="preserve">Random projection (RFF)</w:t>
            </w:r>
          </w:p>
        </w:tc>
        <w:tc>
          <w:tcPr>
            <w:tcW w:type="dxa" w:w="1560"/>
            <w:tcMar>
              <w:top w:type="dxa" w:w="60"/>
              <w:left w:type="dxa" w:w="100"/>
              <w:bottom w:type="dxa" w:w="60"/>
              <w:right w:type="dxa" w:w="100"/>
            </w:tcMar>
          </w:tcPr>
          <w:p>
            <w:pPr>
              <w:spacing w:after="0" w:before="0"/>
            </w:pPr>
            <w:r>
              <w:rPr>
                <w:b w:val="false"/>
                <w:bCs w:val="false"/>
                <w:sz w:val="19"/>
                <w:szCs w:val="19"/>
              </w:rPr>
              <w:t xml:space="preserve">33.1%</w:t>
            </w:r>
          </w:p>
        </w:tc>
        <w:tc>
          <w:tcPr>
            <w:tcW w:type="dxa" w:w="1560"/>
            <w:tcMar>
              <w:top w:type="dxa" w:w="60"/>
              <w:left w:type="dxa" w:w="100"/>
              <w:bottom w:type="dxa" w:w="60"/>
              <w:right w:type="dxa" w:w="100"/>
            </w:tcMar>
          </w:tcPr>
          <w:p>
            <w:pPr>
              <w:spacing w:after="0" w:before="0"/>
            </w:pPr>
            <w:r>
              <w:rPr>
                <w:b w:val="false"/>
                <w:bCs w:val="false"/>
                <w:sz w:val="19"/>
                <w:szCs w:val="19"/>
              </w:rPr>
              <w:t xml:space="preserve">66.6%</w:t>
            </w:r>
          </w:p>
        </w:tc>
        <w:tc>
          <w:tcPr>
            <w:tcW w:type="dxa" w:w="1560"/>
            <w:tcMar>
              <w:top w:type="dxa" w:w="60"/>
              <w:left w:type="dxa" w:w="100"/>
              <w:bottom w:type="dxa" w:w="60"/>
              <w:right w:type="dxa" w:w="100"/>
            </w:tcMar>
          </w:tcPr>
          <w:p>
            <w:pPr>
              <w:spacing w:after="0" w:before="0"/>
            </w:pPr>
            <w:r>
              <w:rPr>
                <w:b w:val="false"/>
                <w:bCs w:val="false"/>
                <w:sz w:val="19"/>
                <w:szCs w:val="19"/>
              </w:rPr>
              <w:t xml:space="preserve">76.4%</w:t>
            </w:r>
          </w:p>
        </w:tc>
        <w:tc>
          <w:tcPr>
            <w:tcW w:type="dxa" w:w="1560"/>
            <w:tcMar>
              <w:top w:type="dxa" w:w="60"/>
              <w:left w:type="dxa" w:w="100"/>
              <w:bottom w:type="dxa" w:w="60"/>
              <w:right w:type="dxa" w:w="100"/>
            </w:tcMar>
          </w:tcPr>
          <w:p>
            <w:pPr>
              <w:spacing w:after="0" w:before="0"/>
            </w:pPr>
            <w:r>
              <w:rPr>
                <w:b w:val="false"/>
                <w:bCs w:val="false"/>
                <w:sz w:val="19"/>
                <w:szCs w:val="19"/>
              </w:rPr>
              <w:t xml:space="preserve">85.1%</w:t>
            </w:r>
          </w:p>
        </w:tc>
        <w:tc>
          <w:tcPr>
            <w:tcW w:type="dxa" w:w="1560"/>
            <w:tcMar>
              <w:top w:type="dxa" w:w="60"/>
              <w:left w:type="dxa" w:w="100"/>
              <w:bottom w:type="dxa" w:w="60"/>
              <w:right w:type="dxa" w:w="100"/>
            </w:tcMar>
          </w:tcPr>
          <w:p>
            <w:pPr>
              <w:spacing w:after="0" w:before="0"/>
            </w:pPr>
            <w:r>
              <w:rPr>
                <w:b w:val="false"/>
                <w:bCs w:val="false"/>
                <w:sz w:val="19"/>
                <w:szCs w:val="19"/>
              </w:rPr>
              <w:t xml:space="preserve">82.9%</w:t>
            </w:r>
          </w:p>
        </w:tc>
      </w:tr>
    </w:tbl>
    <w:p>
      <w:pPr>
        <w:spacing w:after="160"/>
      </w:pPr>
    </w:p>
    <w:p>
      <w:pPr>
        <w:spacing w:after="140"/>
        <w:jc w:val="left"/>
      </w:pPr>
      <w:r>
        <w:t xml:space="preserve">Controls: the 3 continuous features alone, unreduced, 77.1%. The same 3 reduced to 2 dimensions, 76.7%.</w:t>
      </w:r>
    </w:p>
    <w:p>
      <w:pPr>
        <w:pStyle w:val="Heading2"/>
        <w:spacing w:after="100" w:before="200"/>
      </w:pPr>
      <w:r>
        <w:rPr>
          <w:b/>
          <w:bCs/>
          <w:color w:val="000000"/>
          <w:sz w:val="22"/>
          <w:szCs w:val="22"/>
        </w:rPr>
        <w:t xml:space="preserve">Fraud</w:t>
      </w:r>
    </w:p>
    <w:p>
      <w:pPr>
        <w:spacing w:after="140"/>
        <w:jc w:val="left"/>
      </w:pPr>
      <w:r>
        <w:t xml:space="preserve">Class-balanced sample of 2,492 rows (all 492 positives, 2,000 negatives). Baseline 0.1979, full 0.9548, headroom 0.7569.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EDED" w:val="clear"/>
            <w:tcMar>
              <w:top w:type="dxa" w:w="60"/>
              <w:left w:type="dxa" w:w="100"/>
              <w:bottom w:type="dxa" w:w="60"/>
              <w:right w:type="dxa" w:w="100"/>
            </w:tcMar>
          </w:tcPr>
          <w:p>
            <w:pPr>
              <w:spacing w:after="0" w:before="0"/>
            </w:pPr>
            <w:r>
              <w:rPr>
                <w:b/>
                <w:bCs/>
                <w:sz w:val="19"/>
                <w:szCs w:val="19"/>
              </w:rPr>
              <w:t xml:space="preserve">Mapping</w:t>
            </w:r>
          </w:p>
        </w:tc>
        <w:tc>
          <w:tcPr>
            <w:tcW w:type="dxa" w:w="1560"/>
            <w:shd w:fill="EDEDED" w:val="clear"/>
            <w:tcMar>
              <w:top w:type="dxa" w:w="60"/>
              <w:left w:type="dxa" w:w="100"/>
              <w:bottom w:type="dxa" w:w="60"/>
              <w:right w:type="dxa" w:w="100"/>
            </w:tcMar>
          </w:tcPr>
          <w:p>
            <w:pPr>
              <w:spacing w:after="0" w:before="0"/>
            </w:pPr>
            <w:r>
              <w:rPr>
                <w:b/>
                <w:bCs/>
                <w:sz w:val="19"/>
                <w:szCs w:val="19"/>
              </w:rPr>
              <w:t xml:space="preserve">2 qubits</w:t>
            </w:r>
          </w:p>
        </w:tc>
        <w:tc>
          <w:tcPr>
            <w:tcW w:type="dxa" w:w="1560"/>
            <w:shd w:fill="EDEDED" w:val="clear"/>
            <w:tcMar>
              <w:top w:type="dxa" w:w="60"/>
              <w:left w:type="dxa" w:w="100"/>
              <w:bottom w:type="dxa" w:w="60"/>
              <w:right w:type="dxa" w:w="100"/>
            </w:tcMar>
          </w:tcPr>
          <w:p>
            <w:pPr>
              <w:spacing w:after="0" w:before="0"/>
            </w:pPr>
            <w:r>
              <w:rPr>
                <w:b/>
                <w:bCs/>
                <w:sz w:val="19"/>
                <w:szCs w:val="19"/>
              </w:rPr>
              <w:t xml:space="preserve">3</w:t>
            </w:r>
          </w:p>
        </w:tc>
        <w:tc>
          <w:tcPr>
            <w:tcW w:type="dxa" w:w="1560"/>
            <w:shd w:fill="EDEDED" w:val="clear"/>
            <w:tcMar>
              <w:top w:type="dxa" w:w="60"/>
              <w:left w:type="dxa" w:w="100"/>
              <w:bottom w:type="dxa" w:w="60"/>
              <w:right w:type="dxa" w:w="100"/>
            </w:tcMar>
          </w:tcPr>
          <w:p>
            <w:pPr>
              <w:spacing w:after="0" w:before="0"/>
            </w:pPr>
            <w:r>
              <w:rPr>
                <w:b/>
                <w:bCs/>
                <w:sz w:val="19"/>
                <w:szCs w:val="19"/>
              </w:rPr>
              <w:t xml:space="preserve">4</w:t>
            </w:r>
          </w:p>
        </w:tc>
        <w:tc>
          <w:tcPr>
            <w:tcW w:type="dxa" w:w="1560"/>
            <w:shd w:fill="EDEDED" w:val="clear"/>
            <w:tcMar>
              <w:top w:type="dxa" w:w="60"/>
              <w:left w:type="dxa" w:w="100"/>
              <w:bottom w:type="dxa" w:w="60"/>
              <w:right w:type="dxa" w:w="100"/>
            </w:tcMar>
          </w:tcPr>
          <w:p>
            <w:pPr>
              <w:spacing w:after="0" w:before="0"/>
            </w:pPr>
            <w:r>
              <w:rPr>
                <w:b/>
                <w:bCs/>
                <w:sz w:val="19"/>
                <w:szCs w:val="19"/>
              </w:rPr>
              <w:t xml:space="preserve">6</w:t>
            </w:r>
          </w:p>
        </w:tc>
        <w:tc>
          <w:tcPr>
            <w:tcW w:type="dxa" w:w="1560"/>
            <w:shd w:fill="EDEDED" w:val="clear"/>
            <w:tcMar>
              <w:top w:type="dxa" w:w="60"/>
              <w:left w:type="dxa" w:w="100"/>
              <w:bottom w:type="dxa" w:w="60"/>
              <w:right w:type="dxa" w:w="100"/>
            </w:tcMar>
          </w:tcPr>
          <w:p>
            <w:pPr>
              <w:spacing w:after="0" w:before="0"/>
            </w:pPr>
            <w:r>
              <w:rPr>
                <w:b/>
                <w:bCs/>
                <w:sz w:val="19"/>
                <w:szCs w:val="19"/>
              </w:rPr>
              <w:t xml:space="preserve">8</w:t>
            </w:r>
          </w:p>
        </w:tc>
      </w:tr>
      <w:tr>
        <w:tc>
          <w:tcPr>
            <w:tcW w:type="dxa" w:w="1560"/>
            <w:tcMar>
              <w:top w:type="dxa" w:w="60"/>
              <w:left w:type="dxa" w:w="100"/>
              <w:bottom w:type="dxa" w:w="60"/>
              <w:right w:type="dxa" w:w="100"/>
            </w:tcMar>
          </w:tcPr>
          <w:p>
            <w:pPr>
              <w:spacing w:after="0" w:before="0"/>
            </w:pPr>
            <w:r>
              <w:rPr>
                <w:b w:val="false"/>
                <w:bCs w:val="false"/>
                <w:sz w:val="19"/>
                <w:szCs w:val="19"/>
              </w:rPr>
              <w:t xml:space="preserve">PCA</w:t>
            </w:r>
          </w:p>
        </w:tc>
        <w:tc>
          <w:tcPr>
            <w:tcW w:type="dxa" w:w="1560"/>
            <w:tcMar>
              <w:top w:type="dxa" w:w="60"/>
              <w:left w:type="dxa" w:w="100"/>
              <w:bottom w:type="dxa" w:w="60"/>
              <w:right w:type="dxa" w:w="100"/>
            </w:tcMar>
          </w:tcPr>
          <w:p>
            <w:pPr>
              <w:spacing w:after="0" w:before="0"/>
            </w:pPr>
            <w:r>
              <w:rPr>
                <w:b w:val="false"/>
                <w:bCs w:val="false"/>
                <w:sz w:val="19"/>
                <w:szCs w:val="19"/>
              </w:rPr>
              <w:t xml:space="preserve">92.3%</w:t>
            </w:r>
          </w:p>
        </w:tc>
        <w:tc>
          <w:tcPr>
            <w:tcW w:type="dxa" w:w="1560"/>
            <w:tcMar>
              <w:top w:type="dxa" w:w="60"/>
              <w:left w:type="dxa" w:w="100"/>
              <w:bottom w:type="dxa" w:w="60"/>
              <w:right w:type="dxa" w:w="100"/>
            </w:tcMar>
          </w:tcPr>
          <w:p>
            <w:pPr>
              <w:spacing w:after="0" w:before="0"/>
            </w:pPr>
            <w:r>
              <w:rPr>
                <w:b w:val="false"/>
                <w:bCs w:val="false"/>
                <w:sz w:val="19"/>
                <w:szCs w:val="19"/>
              </w:rPr>
              <w:t xml:space="preserve">93.5%</w:t>
            </w:r>
          </w:p>
        </w:tc>
        <w:tc>
          <w:tcPr>
            <w:tcW w:type="dxa" w:w="1560"/>
            <w:tcMar>
              <w:top w:type="dxa" w:w="60"/>
              <w:left w:type="dxa" w:w="100"/>
              <w:bottom w:type="dxa" w:w="60"/>
              <w:right w:type="dxa" w:w="100"/>
            </w:tcMar>
          </w:tcPr>
          <w:p>
            <w:pPr>
              <w:spacing w:after="0" w:before="0"/>
            </w:pPr>
            <w:r>
              <w:rPr>
                <w:b w:val="false"/>
                <w:bCs w:val="false"/>
                <w:sz w:val="19"/>
                <w:szCs w:val="19"/>
              </w:rPr>
              <w:t xml:space="preserve">93.7%</w:t>
            </w:r>
          </w:p>
        </w:tc>
        <w:tc>
          <w:tcPr>
            <w:tcW w:type="dxa" w:w="1560"/>
            <w:tcMar>
              <w:top w:type="dxa" w:w="60"/>
              <w:left w:type="dxa" w:w="100"/>
              <w:bottom w:type="dxa" w:w="60"/>
              <w:right w:type="dxa" w:w="100"/>
            </w:tcMar>
          </w:tcPr>
          <w:p>
            <w:pPr>
              <w:spacing w:after="0" w:before="0"/>
            </w:pPr>
            <w:r>
              <w:rPr>
                <w:b w:val="false"/>
                <w:bCs w:val="false"/>
                <w:sz w:val="19"/>
                <w:szCs w:val="19"/>
              </w:rPr>
              <w:t xml:space="preserve">93.6%</w:t>
            </w:r>
          </w:p>
        </w:tc>
        <w:tc>
          <w:tcPr>
            <w:tcW w:type="dxa" w:w="1560"/>
            <w:tcMar>
              <w:top w:type="dxa" w:w="60"/>
              <w:left w:type="dxa" w:w="100"/>
              <w:bottom w:type="dxa" w:w="60"/>
              <w:right w:type="dxa" w:w="100"/>
            </w:tcMar>
          </w:tcPr>
          <w:p>
            <w:pPr>
              <w:spacing w:after="0" w:before="0"/>
            </w:pPr>
            <w:r>
              <w:rPr>
                <w:b w:val="false"/>
                <w:bCs w:val="false"/>
                <w:sz w:val="19"/>
                <w:szCs w:val="19"/>
              </w:rPr>
              <w:t xml:space="preserve">92.9%</w:t>
            </w:r>
          </w:p>
        </w:tc>
      </w:tr>
      <w:tr>
        <w:tc>
          <w:tcPr>
            <w:tcW w:type="dxa" w:w="1560"/>
            <w:tcMar>
              <w:top w:type="dxa" w:w="60"/>
              <w:left w:type="dxa" w:w="100"/>
              <w:bottom w:type="dxa" w:w="60"/>
              <w:right w:type="dxa" w:w="100"/>
            </w:tcMar>
          </w:tcPr>
          <w:p>
            <w:pPr>
              <w:spacing w:after="0" w:before="0"/>
            </w:pPr>
            <w:r>
              <w:rPr>
                <w:b w:val="false"/>
                <w:bCs w:val="false"/>
                <w:sz w:val="19"/>
                <w:szCs w:val="19"/>
              </w:rPr>
              <w:t xml:space="preserve">SelectKBest (mutual information)</w:t>
            </w:r>
          </w:p>
        </w:tc>
        <w:tc>
          <w:tcPr>
            <w:tcW w:type="dxa" w:w="1560"/>
            <w:tcMar>
              <w:top w:type="dxa" w:w="60"/>
              <w:left w:type="dxa" w:w="100"/>
              <w:bottom w:type="dxa" w:w="60"/>
              <w:right w:type="dxa" w:w="100"/>
            </w:tcMar>
          </w:tcPr>
          <w:p>
            <w:pPr>
              <w:spacing w:after="0" w:before="0"/>
            </w:pPr>
            <w:r>
              <w:rPr>
                <w:b w:val="false"/>
                <w:bCs w:val="false"/>
                <w:sz w:val="19"/>
                <w:szCs w:val="19"/>
              </w:rPr>
              <w:t xml:space="preserve">97.8%</w:t>
            </w:r>
          </w:p>
        </w:tc>
        <w:tc>
          <w:tcPr>
            <w:tcW w:type="dxa" w:w="1560"/>
            <w:tcMar>
              <w:top w:type="dxa" w:w="60"/>
              <w:left w:type="dxa" w:w="100"/>
              <w:bottom w:type="dxa" w:w="60"/>
              <w:right w:type="dxa" w:w="100"/>
            </w:tcMar>
          </w:tcPr>
          <w:p>
            <w:pPr>
              <w:spacing w:after="0" w:before="0"/>
            </w:pPr>
            <w:r>
              <w:rPr>
                <w:b w:val="false"/>
                <w:bCs w:val="false"/>
                <w:sz w:val="19"/>
                <w:szCs w:val="19"/>
              </w:rPr>
              <w:t xml:space="preserve">98.1%</w:t>
            </w:r>
          </w:p>
        </w:tc>
        <w:tc>
          <w:tcPr>
            <w:tcW w:type="dxa" w:w="1560"/>
            <w:tcMar>
              <w:top w:type="dxa" w:w="60"/>
              <w:left w:type="dxa" w:w="100"/>
              <w:bottom w:type="dxa" w:w="60"/>
              <w:right w:type="dxa" w:w="100"/>
            </w:tcMar>
          </w:tcPr>
          <w:p>
            <w:pPr>
              <w:spacing w:after="0" w:before="0"/>
            </w:pPr>
            <w:r>
              <w:rPr>
                <w:b w:val="false"/>
                <w:bCs w:val="false"/>
                <w:sz w:val="19"/>
                <w:szCs w:val="19"/>
              </w:rPr>
              <w:t xml:space="preserve">98.6%</w:t>
            </w:r>
          </w:p>
        </w:tc>
        <w:tc>
          <w:tcPr>
            <w:tcW w:type="dxa" w:w="1560"/>
            <w:tcMar>
              <w:top w:type="dxa" w:w="60"/>
              <w:left w:type="dxa" w:w="100"/>
              <w:bottom w:type="dxa" w:w="60"/>
              <w:right w:type="dxa" w:w="100"/>
            </w:tcMar>
          </w:tcPr>
          <w:p>
            <w:pPr>
              <w:spacing w:after="0" w:before="0"/>
            </w:pPr>
            <w:r>
              <w:rPr>
                <w:b w:val="false"/>
                <w:bCs w:val="false"/>
                <w:sz w:val="19"/>
                <w:szCs w:val="19"/>
              </w:rPr>
              <w:t xml:space="preserve">98.9%</w:t>
            </w:r>
          </w:p>
        </w:tc>
        <w:tc>
          <w:tcPr>
            <w:tcW w:type="dxa" w:w="1560"/>
            <w:tcMar>
              <w:top w:type="dxa" w:w="60"/>
              <w:left w:type="dxa" w:w="100"/>
              <w:bottom w:type="dxa" w:w="60"/>
              <w:right w:type="dxa" w:w="100"/>
            </w:tcMar>
          </w:tcPr>
          <w:p>
            <w:pPr>
              <w:spacing w:after="0" w:before="0"/>
            </w:pPr>
            <w:r>
              <w:rPr>
                <w:b w:val="false"/>
                <w:bCs w:val="false"/>
                <w:sz w:val="19"/>
                <w:szCs w:val="19"/>
              </w:rPr>
              <w:t xml:space="preserve">99.2%</w:t>
            </w:r>
          </w:p>
        </w:tc>
      </w:tr>
      <w:tr>
        <w:tc>
          <w:tcPr>
            <w:tcW w:type="dxa" w:w="1560"/>
            <w:tcMar>
              <w:top w:type="dxa" w:w="60"/>
              <w:left w:type="dxa" w:w="100"/>
              <w:bottom w:type="dxa" w:w="60"/>
              <w:right w:type="dxa" w:w="100"/>
            </w:tcMar>
          </w:tcPr>
          <w:p>
            <w:pPr>
              <w:spacing w:after="0" w:before="0"/>
            </w:pPr>
            <w:r>
              <w:rPr>
                <w:b w:val="false"/>
                <w:bCs w:val="false"/>
                <w:sz w:val="19"/>
                <w:szCs w:val="19"/>
              </w:rPr>
              <w:t xml:space="preserve">Random projection (RFF)</w:t>
            </w:r>
          </w:p>
        </w:tc>
        <w:tc>
          <w:tcPr>
            <w:tcW w:type="dxa" w:w="1560"/>
            <w:tcMar>
              <w:top w:type="dxa" w:w="60"/>
              <w:left w:type="dxa" w:w="100"/>
              <w:bottom w:type="dxa" w:w="60"/>
              <w:right w:type="dxa" w:w="100"/>
            </w:tcMar>
          </w:tcPr>
          <w:p>
            <w:pPr>
              <w:spacing w:after="0" w:before="0"/>
            </w:pPr>
            <w:r>
              <w:rPr>
                <w:b w:val="false"/>
                <w:bCs w:val="false"/>
                <w:sz w:val="19"/>
                <w:szCs w:val="19"/>
              </w:rPr>
              <w:t xml:space="preserve">74.7%</w:t>
            </w:r>
          </w:p>
        </w:tc>
        <w:tc>
          <w:tcPr>
            <w:tcW w:type="dxa" w:w="1560"/>
            <w:tcMar>
              <w:top w:type="dxa" w:w="60"/>
              <w:left w:type="dxa" w:w="100"/>
              <w:bottom w:type="dxa" w:w="60"/>
              <w:right w:type="dxa" w:w="100"/>
            </w:tcMar>
          </w:tcPr>
          <w:p>
            <w:pPr>
              <w:spacing w:after="0" w:before="0"/>
            </w:pPr>
            <w:r>
              <w:rPr>
                <w:b w:val="false"/>
                <w:bCs w:val="false"/>
                <w:sz w:val="19"/>
                <w:szCs w:val="19"/>
              </w:rPr>
              <w:t xml:space="preserve">80.8%</w:t>
            </w:r>
          </w:p>
        </w:tc>
        <w:tc>
          <w:tcPr>
            <w:tcW w:type="dxa" w:w="1560"/>
            <w:tcMar>
              <w:top w:type="dxa" w:w="60"/>
              <w:left w:type="dxa" w:w="100"/>
              <w:bottom w:type="dxa" w:w="60"/>
              <w:right w:type="dxa" w:w="100"/>
            </w:tcMar>
          </w:tcPr>
          <w:p>
            <w:pPr>
              <w:spacing w:after="0" w:before="0"/>
            </w:pPr>
            <w:r>
              <w:rPr>
                <w:b w:val="false"/>
                <w:bCs w:val="false"/>
                <w:sz w:val="19"/>
                <w:szCs w:val="19"/>
              </w:rPr>
              <w:t xml:space="preserve">91.1%</w:t>
            </w:r>
          </w:p>
        </w:tc>
        <w:tc>
          <w:tcPr>
            <w:tcW w:type="dxa" w:w="1560"/>
            <w:tcMar>
              <w:top w:type="dxa" w:w="60"/>
              <w:left w:type="dxa" w:w="100"/>
              <w:bottom w:type="dxa" w:w="60"/>
              <w:right w:type="dxa" w:w="100"/>
            </w:tcMar>
          </w:tcPr>
          <w:p>
            <w:pPr>
              <w:spacing w:after="0" w:before="0"/>
            </w:pPr>
            <w:r>
              <w:rPr>
                <w:b w:val="false"/>
                <w:bCs w:val="false"/>
                <w:sz w:val="19"/>
                <w:szCs w:val="19"/>
              </w:rPr>
              <w:t xml:space="preserve">92.2%</w:t>
            </w:r>
          </w:p>
        </w:tc>
        <w:tc>
          <w:tcPr>
            <w:tcW w:type="dxa" w:w="1560"/>
            <w:tcMar>
              <w:top w:type="dxa" w:w="60"/>
              <w:left w:type="dxa" w:w="100"/>
              <w:bottom w:type="dxa" w:w="60"/>
              <w:right w:type="dxa" w:w="100"/>
            </w:tcMar>
          </w:tcPr>
          <w:p>
            <w:pPr>
              <w:spacing w:after="0" w:before="0"/>
            </w:pPr>
            <w:r>
              <w:rPr>
                <w:b w:val="false"/>
                <w:bCs w:val="false"/>
                <w:sz w:val="19"/>
                <w:szCs w:val="19"/>
              </w:rPr>
              <w:t xml:space="preserve">82.2%</w:t>
            </w:r>
          </w:p>
        </w:tc>
      </w:tr>
    </w:tbl>
    <w:p>
      <w:pPr>
        <w:spacing w:after="160"/>
      </w:pPr>
    </w:p>
    <w:p>
      <w:pPr>
        <w:spacing w:after="120" w:before="120"/>
      </w:pPr>
    </w:p>
    <w:p>
      <w:pPr>
        <w:pStyle w:val="Heading1"/>
        <w:spacing w:after="140" w:before="280"/>
      </w:pPr>
      <w:r>
        <w:rPr>
          <w:b/>
          <w:bCs/>
          <w:color w:val="000000"/>
          <w:sz w:val="24"/>
          <w:szCs w:val="24"/>
        </w:rPr>
        <w:t xml:space="preserve">4. What the measurements established</w:t>
      </w:r>
    </w:p>
    <w:p>
      <w:pPr>
        <w:pStyle w:val="Heading2"/>
        <w:spacing w:after="100" w:before="200"/>
      </w:pPr>
      <w:r>
        <w:rPr>
          <w:b/>
          <w:bCs/>
          <w:color w:val="000000"/>
          <w:sz w:val="22"/>
          <w:szCs w:val="22"/>
        </w:rPr>
        <w:t xml:space="preserve">4.1 The representation is viable</w:t>
      </w:r>
    </w:p>
    <w:p>
      <w:pPr>
        <w:spacing w:after="140"/>
        <w:jc w:val="left"/>
      </w:pPr>
      <w:r>
        <w:t xml:space="preserve">At 4 qubits, churn PCA keeps 92.7% of available signal and fraud SelectKBest keeps 98.6%. The kernel comparison will measure something real. The worst outcome for the week, a dead representation at low qubit counts, did not happen.</w:t>
      </w:r>
    </w:p>
    <w:p>
      <w:pPr>
        <w:pStyle w:val="Heading2"/>
        <w:spacing w:after="100" w:before="200"/>
      </w:pPr>
      <w:r>
        <w:rPr>
          <w:b/>
          <w:bCs/>
          <w:color w:val="000000"/>
          <w:sz w:val="22"/>
          <w:szCs w:val="22"/>
        </w:rPr>
        <w:t xml:space="preserve">4.2 Churn's one-hot columns stay</w:t>
      </w:r>
    </w:p>
    <w:p>
      <w:pPr>
        <w:spacing w:after="140"/>
        <w:jc w:val="left"/>
      </w:pPr>
      <w:r>
        <w:t xml:space="preserve">I had argued the 27 one-hot binaries might be noise: standardising binaries inflates rare categories, and PCA on a mix of inflated binaries and real continuous features could be dominated by whichever happened to carry variance. The control disproved it. The 3 continuous features alone reach 77.1%; PCA on all 30 at the same 3 dimensions reaches 88.7%. The one-hot columns carry roughly 11 points of real signal. They stay, decided by evidence against the position I had been arguing.</w:t>
      </w:r>
    </w:p>
    <w:p>
      <w:pPr>
        <w:pStyle w:val="Heading2"/>
        <w:spacing w:after="100" w:before="200"/>
      </w:pPr>
      <w:r>
        <w:rPr>
          <w:b/>
          <w:bCs/>
          <w:color w:val="000000"/>
          <w:sz w:val="22"/>
          <w:szCs w:val="22"/>
        </w:rPr>
        <w:t xml:space="preserve">4.3 Signal saturates early</w:t>
      </w:r>
    </w:p>
    <w:p>
      <w:pPr>
        <w:spacing w:after="140"/>
        <w:jc w:val="left"/>
      </w:pPr>
      <w:r>
        <w:t xml:space="preserve">Churn reaches 87% of available signal at 2 qubits and gains only about 8 more points by 8. Fraud PCA peaks at 4 qubits and then declines slightly. Both datasets carry only a few dimensions of usable structure, however many columns they have.</w:t>
      </w:r>
    </w:p>
    <w:p>
      <w:pPr>
        <w:spacing w:after="140"/>
        <w:jc w:val="left"/>
      </w:pPr>
      <w:r>
        <w:t xml:space="preserve">Two consequences. The plan's </w:t>
      </w:r>
      <w:r>
        <w:rPr>
          <w:rFonts w:ascii="Consolas" w:cs="Consolas" w:eastAsia="Consolas" w:hAnsi="Consolas"/>
          <w:sz w:val="19"/>
          <w:szCs w:val="19"/>
        </w:rPr>
        <w:t xml:space="preserve">{4, 6, 8}</w:t>
      </w:r>
      <w:r>
        <w:t xml:space="preserve"> qubit sweep buys very little. And low qubit counts are viable, which matters a great deal for week 10: a 4-qubit hardware run against a limited QPU allowance is far more realistic than 8.</w:t>
      </w:r>
    </w:p>
    <w:p>
      <w:pPr>
        <w:pStyle w:val="Heading2"/>
        <w:spacing w:after="100" w:before="200"/>
      </w:pPr>
      <w:r>
        <w:rPr>
          <w:b/>
          <w:bCs/>
          <w:color w:val="000000"/>
          <w:sz w:val="22"/>
          <w:szCs w:val="22"/>
        </w:rPr>
        <w:t xml:space="preserve">4.4 The best mapping inverts between datasets</w:t>
      </w:r>
    </w:p>
    <w:p>
      <w:pPr>
        <w:spacing w:after="140"/>
        <w:jc w:val="left"/>
      </w:pPr>
      <w:r>
        <w:t xml:space="preserve">On churn, PCA beats SelectKBest. On fraud the reverse holds cleanly: SelectKBest runs 97.8% to 99.2%, rising steadily, while PCA sits at 92.3% to 93.7% and declines past 4 qubits.</w:t>
      </w:r>
    </w:p>
    <w:p>
      <w:pPr>
        <w:spacing w:after="140"/>
        <w:jc w:val="left"/>
      </w:pPr>
      <w:r>
        <w:t xml:space="preserve">The likely mechanism: fraud's </w:t>
      </w:r>
      <w:r>
        <w:rPr>
          <w:rFonts w:ascii="Consolas" w:cs="Consolas" w:eastAsia="Consolas" w:hAnsi="Consolas"/>
          <w:sz w:val="19"/>
          <w:szCs w:val="19"/>
        </w:rPr>
        <w:t xml:space="preserve">V1</w:t>
      </w:r>
      <w:r>
        <w:t xml:space="preserve"> to </w:t>
      </w:r>
      <w:r>
        <w:rPr>
          <w:rFonts w:ascii="Consolas" w:cs="Consolas" w:eastAsia="Consolas" w:hAnsi="Consolas"/>
          <w:sz w:val="19"/>
          <w:szCs w:val="19"/>
        </w:rPr>
        <w:t xml:space="preserve">V28</w:t>
      </w:r>
      <w:r>
        <w:t xml:space="preserve"> are already principal components, created by the dataset authors to anonymise the original features. They are ordered by variance in the original feature space, and that ordering says nothing about fraud. Our PCA truncates by variance, so it discards predictive components that happen to sit low in the ordering. Mutual-information selection picks components by how well they predict the label. On a dataset that arrives pre-PCA'd, a second PCA is close to the worst available choice.</w:t>
      </w:r>
    </w:p>
    <w:p>
      <w:pPr>
        <w:spacing w:after="140"/>
        <w:jc w:val="left"/>
      </w:pPr>
      <w:r>
        <w:t xml:space="preserve">This makes the mapping a genuine experimental factor, not a preprocessing detail. It also connects to the Schaeffler/FAU result that dataset choice explained 73% of their variance against 9% for kernel type.</w:t>
      </w:r>
    </w:p>
    <w:p>
      <w:pPr>
        <w:pStyle w:val="Heading2"/>
        <w:spacing w:after="100" w:before="200"/>
      </w:pPr>
      <w:r>
        <w:rPr>
          <w:b/>
          <w:bCs/>
          <w:color w:val="000000"/>
          <w:sz w:val="22"/>
          <w:szCs w:val="22"/>
        </w:rPr>
        <w:t xml:space="preserve">4.5 SelectKBest is non-monotone on churn</w:t>
      </w:r>
    </w:p>
    <w:p>
      <w:pPr>
        <w:spacing w:after="140"/>
        <w:jc w:val="left"/>
      </w:pPr>
      <w:r>
        <w:t xml:space="preserve">90.0% at 2 qubits, 93.3% at 3, then down to 74.8% at 4 before climbing back. Adding a feature makes it worse. This is a known weakness of univariate selection: each feature is scored in isolation, so a fourth feature redundant with the first three still ranks well. This drop is reproducible (see section 5), so it belongs in the methods section as a caveat, not dismissed as noise.</w:t>
      </w:r>
    </w:p>
    <w:p>
      <w:pPr>
        <w:pStyle w:val="Heading2"/>
        <w:spacing w:after="100" w:before="200"/>
      </w:pPr>
      <w:r>
        <w:rPr>
          <w:b/>
          <w:bCs/>
          <w:color w:val="000000"/>
          <w:sz w:val="22"/>
          <w:szCs w:val="22"/>
        </w:rPr>
        <w:t xml:space="preserve">4.6 Random projection is dominated but kept</w:t>
      </w:r>
    </w:p>
    <w:p>
      <w:pPr>
        <w:spacing w:after="140"/>
        <w:jc w:val="left"/>
      </w:pPr>
      <w:r>
        <w:t xml:space="preserve">RFF is the weakest mapping everywhere, at 33.1% on churn at 2 qubits. It stays as a control, because it shows that mapping choice moves results more than kernel choice does.</w:t>
      </w:r>
    </w:p>
    <w:p>
      <w:pPr>
        <w:spacing w:after="120" w:before="120"/>
      </w:pPr>
    </w:p>
    <w:p>
      <w:pPr>
        <w:pStyle w:val="Heading1"/>
        <w:spacing w:after="140" w:before="280"/>
      </w:pPr>
      <w:r>
        <w:rPr>
          <w:b/>
          <w:bCs/>
          <w:color w:val="000000"/>
          <w:sz w:val="24"/>
          <w:szCs w:val="24"/>
        </w:rPr>
        <w:t xml:space="preserve">5. The bug: a non-deterministic mapping</w:t>
      </w:r>
    </w:p>
    <w:p>
      <w:pPr>
        <w:spacing w:after="140"/>
        <w:jc w:val="left"/>
      </w:pPr>
      <w:r>
        <w:rPr>
          <w:b/>
          <w:bCs/>
        </w:rPr>
        <w:t xml:space="preserve">What happened.</w:t>
      </w:r>
      <w:r>
        <w:t xml:space="preserve"> The same diagnostic, run twice on identical data with an identical seed, gave churn SelectKBest at 4 qubits a PR-AUC of 0.5199 the first time and 0.5664 the second.</w:t>
      </w:r>
    </w:p>
    <w:p>
      <w:pPr>
        <w:spacing w:after="140"/>
        <w:jc w:val="left"/>
      </w:pPr>
      <w:r>
        <w:rPr>
          <w:b/>
          <w:bCs/>
        </w:rPr>
        <w:t xml:space="preserve">Cause.</w:t>
      </w:r>
      <w:r>
        <w:t xml:space="preserve"> </w:t>
      </w:r>
      <w:r>
        <w:rPr>
          <w:rFonts w:ascii="Consolas" w:cs="Consolas" w:eastAsia="Consolas" w:hAnsi="Consolas"/>
          <w:sz w:val="19"/>
          <w:szCs w:val="19"/>
        </w:rPr>
        <w:t xml:space="preserve">SelectKBest(mutual_info_classif, ...)</w:t>
      </w:r>
      <w:r>
        <w:t xml:space="preserve"> in </w:t>
      </w:r>
      <w:r>
        <w:rPr>
          <w:rFonts w:ascii="Consolas" w:cs="Consolas" w:eastAsia="Consolas" w:hAnsi="Consolas"/>
          <w:sz w:val="19"/>
          <w:szCs w:val="19"/>
        </w:rPr>
        <w:t xml:space="preserve">features.py</w:t>
      </w:r>
      <w:r>
        <w:t xml:space="preserve">. </w:t>
      </w:r>
      <w:r>
        <w:rPr>
          <w:rFonts w:ascii="Consolas" w:cs="Consolas" w:eastAsia="Consolas" w:hAnsi="Consolas"/>
          <w:sz w:val="19"/>
          <w:szCs w:val="19"/>
        </w:rPr>
        <w:t xml:space="preserve">mutual_info_classif</w:t>
      </w:r>
      <w:r>
        <w:t xml:space="preserve"> estimates mutual information with a nearest-neighbour method, and it breaks ties between identical continuous values by adding a little random noise. That noise is controlled by a </w:t>
      </w:r>
      <w:r>
        <w:rPr>
          <w:rFonts w:ascii="Consolas" w:cs="Consolas" w:eastAsia="Consolas" w:hAnsi="Consolas"/>
          <w:sz w:val="19"/>
          <w:szCs w:val="19"/>
        </w:rPr>
        <w:t xml:space="preserve">random_state</w:t>
      </w:r>
      <w:r>
        <w:t xml:space="preserve"> argument we never set, so it defaulted to </w:t>
      </w:r>
      <w:r>
        <w:rPr>
          <w:rFonts w:ascii="Consolas" w:cs="Consolas" w:eastAsia="Consolas" w:hAnsi="Consolas"/>
          <w:sz w:val="19"/>
          <w:szCs w:val="19"/>
        </w:rPr>
        <w:t xml:space="preserve">None</w:t>
      </w:r>
      <w:r>
        <w:t xml:space="preserve"> and drew fresh noise on every call. Every other random source in the project takes our seed. This one hid behind a bare function reference, so the seed had no obvious way to reach it.</w:t>
      </w:r>
    </w:p>
    <w:p>
      <w:pPr>
        <w:spacing w:after="140"/>
        <w:jc w:val="left"/>
      </w:pPr>
      <w:r>
        <w:rPr>
          <w:b/>
          <w:bCs/>
        </w:rPr>
        <w:t xml:space="preserve">Fix.</w:t>
      </w:r>
      <w:r>
        <w:t xml:space="preserve"> </w:t>
      </w:r>
      <w:r>
        <w:rPr>
          <w:rFonts w:ascii="Consolas" w:cs="Consolas" w:eastAsia="Consolas" w:hAnsi="Consolas"/>
          <w:sz w:val="19"/>
          <w:szCs w:val="19"/>
        </w:rPr>
        <w:t xml:space="preserve">functools.partial(mutual_info_classif, random_state=seed)</w:t>
      </w:r>
      <w:r>
        <w:t xml:space="preserve"> fixes the seed on the scoring function before </w:t>
      </w:r>
      <w:r>
        <w:rPr>
          <w:rFonts w:ascii="Consolas" w:cs="Consolas" w:eastAsia="Consolas" w:hAnsi="Consolas"/>
          <w:sz w:val="19"/>
          <w:szCs w:val="19"/>
        </w:rPr>
        <w:t xml:space="preserve">SelectKBest</w:t>
      </w:r>
      <w:r>
        <w:t xml:space="preserve"> ever calls it.</w:t>
      </w:r>
    </w:p>
    <w:p>
      <w:pPr>
        <w:spacing w:after="140"/>
        <w:jc w:val="left"/>
      </w:pPr>
      <w:r>
        <w:rPr>
          <w:b/>
          <w:bCs/>
        </w:rPr>
        <w:t xml:space="preserve">How it survived.</w:t>
      </w:r>
      <w:r>
        <w:t xml:space="preserve"> The 75-test suite passed throughout. It explicitly tested reproducibility elsewhere but never called </w:t>
      </w:r>
      <w:r>
        <w:rPr>
          <w:rFonts w:ascii="Consolas" w:cs="Consolas" w:eastAsia="Consolas" w:hAnsi="Consolas"/>
          <w:sz w:val="19"/>
          <w:szCs w:val="19"/>
        </w:rPr>
        <w:t xml:space="preserve">fit_mapping</w:t>
      </w:r>
      <w:r>
        <w:t xml:space="preserve">, so </w:t>
      </w:r>
      <w:r>
        <w:rPr>
          <w:rFonts w:ascii="Consolas" w:cs="Consolas" w:eastAsia="Consolas" w:hAnsi="Consolas"/>
          <w:sz w:val="19"/>
          <w:szCs w:val="19"/>
        </w:rPr>
        <w:t xml:space="preserve">features.py</w:t>
      </w:r>
      <w:r>
        <w:t xml:space="preserve"> sat at 62% coverage with the mapping functions untested. The pass count said all was well; coverage showed why it wasn't. </w:t>
      </w:r>
      <w:r>
        <w:rPr>
          <w:b/>
          <w:bCs/>
        </w:rPr>
        <w:t xml:space="preserve">The lesson carried forward: coverage is the number to read, not the pass count.</w:t>
      </w:r>
    </w:p>
    <w:p>
      <w:pPr>
        <w:spacing w:after="140"/>
        <w:jc w:val="left"/>
      </w:pPr>
      <w:r>
        <w:rPr>
          <w:b/>
          <w:bCs/>
        </w:rPr>
        <w:t xml:space="preserve">Verified.</w:t>
      </w:r>
      <w:r>
        <w:t xml:space="preserve"> Two consecutive full diagnostic runs, diffed, are byte-identical. </w:t>
      </w:r>
      <w:r>
        <w:rPr>
          <w:rFonts w:ascii="Consolas" w:cs="Consolas" w:eastAsia="Consolas" w:hAnsi="Consolas"/>
          <w:sz w:val="19"/>
          <w:szCs w:val="19"/>
        </w:rPr>
        <w:t xml:space="preserve">test_reproducibility.py</w:t>
      </w:r>
      <w:r>
        <w:t xml:space="preserve"> now guards it on every push.</w:t>
      </w:r>
    </w:p>
    <w:p>
      <w:pPr>
        <w:spacing w:after="120" w:before="120"/>
      </w:pPr>
    </w:p>
    <w:p>
      <w:pPr>
        <w:pStyle w:val="Heading1"/>
        <w:spacing w:after="140" w:before="280"/>
      </w:pPr>
      <w:r>
        <w:rPr>
          <w:b/>
          <w:bCs/>
          <w:color w:val="000000"/>
          <w:sz w:val="24"/>
          <w:szCs w:val="24"/>
        </w:rPr>
        <w:t xml:space="preserve">6. The fraud </w:t>
      </w:r>
      <w:r>
        <w:rPr>
          <w:rFonts w:ascii="Consolas" w:cs="Consolas" w:eastAsia="Consolas" w:hAnsi="Consolas"/>
          <w:b/>
          <w:bCs/>
          <w:color w:val="000000"/>
          <w:sz w:val="19"/>
          <w:szCs w:val="19"/>
        </w:rPr>
        <w:t xml:space="preserve">Time</w:t>
      </w:r>
      <w:r>
        <w:rPr>
          <w:b/>
          <w:bCs/>
          <w:color w:val="000000"/>
          <w:sz w:val="24"/>
          <w:szCs w:val="24"/>
        </w:rPr>
        <w:t xml:space="preserve"> column: dropped</w:t>
      </w:r>
    </w:p>
    <w:p>
      <w:pPr>
        <w:spacing w:after="140"/>
        <w:jc w:val="left"/>
      </w:pPr>
      <w:r>
        <w:rPr>
          <w:rFonts w:ascii="Consolas" w:cs="Consolas" w:eastAsia="Consolas" w:hAnsi="Consolas"/>
          <w:sz w:val="19"/>
          <w:szCs w:val="19"/>
        </w:rPr>
        <w:t xml:space="preserve">Time</w:t>
      </w:r>
      <w:r>
        <w:t xml:space="preserve"> is seconds elapsed since the first transaction in a two-day window. It describes when a row sits in the file, not anything about the transaction, and would not carry over to any other period.</w:t>
      </w:r>
    </w:p>
    <w:p>
      <w:pPr>
        <w:spacing w:after="140"/>
        <w:jc w:val="left"/>
      </w:pPr>
      <w:r>
        <w:t xml:space="preserve">Measured: dropping it moves full-feature PR-AUC from 0.9593 to 0.9548, a change of 0.0045. It contributes almost nothing, and what little it does add is a timing artefact. It is now dropped inside the loader, and the reason is written into the code.</w:t>
      </w:r>
    </w:p>
    <w:p>
      <w:pPr>
        <w:spacing w:after="140"/>
        <w:jc w:val="left"/>
      </w:pPr>
      <w:r>
        <w:t xml:space="preserve">A useful side check: the diagnostic results with the loader dropping </w:t>
      </w:r>
      <w:r>
        <w:rPr>
          <w:rFonts w:ascii="Consolas" w:cs="Consolas" w:eastAsia="Consolas" w:hAnsi="Consolas"/>
          <w:sz w:val="19"/>
          <w:szCs w:val="19"/>
        </w:rPr>
        <w:t xml:space="preserve">Time</w:t>
      </w:r>
      <w:r>
        <w:t xml:space="preserve"> match the earlier run where it was dropped by hand, to four decimal places. The loader change does exactly what it claims.</w:t>
      </w:r>
    </w:p>
    <w:p>
      <w:pPr>
        <w:spacing w:after="120" w:before="120"/>
      </w:pPr>
    </w:p>
    <w:p>
      <w:pPr>
        <w:pStyle w:val="Heading1"/>
        <w:spacing w:after="140" w:before="280"/>
      </w:pPr>
      <w:r>
        <w:rPr>
          <w:b/>
          <w:bCs/>
          <w:color w:val="000000"/>
          <w:sz w:val="24"/>
          <w:szCs w:val="24"/>
        </w:rPr>
        <w:t xml:space="preserve">7. Fixes to the diagnostic script itself</w:t>
      </w:r>
    </w:p>
    <w:p>
      <w:pPr>
        <w:spacing w:after="140"/>
        <w:jc w:val="left"/>
      </w:pPr>
      <w:r>
        <w:t xml:space="preserve">The diagnostic needed four corrections. Each would have produced misleading output without any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Defect</w:t>
            </w:r>
          </w:p>
        </w:tc>
        <w:tc>
          <w:tcPr>
            <w:tcW w:type="dxa" w:w="3120"/>
            <w:shd w:fill="EDEDED" w:val="clear"/>
            <w:tcMar>
              <w:top w:type="dxa" w:w="60"/>
              <w:left w:type="dxa" w:w="100"/>
              <w:bottom w:type="dxa" w:w="60"/>
              <w:right w:type="dxa" w:w="100"/>
            </w:tcMar>
          </w:tcPr>
          <w:p>
            <w:pPr>
              <w:spacing w:after="0" w:before="0"/>
            </w:pPr>
            <w:r>
              <w:rPr>
                <w:b/>
                <w:bCs/>
                <w:sz w:val="19"/>
                <w:szCs w:val="19"/>
              </w:rPr>
              <w:t xml:space="preserve">Effect</w:t>
            </w:r>
          </w:p>
        </w:tc>
        <w:tc>
          <w:tcPr>
            <w:tcW w:type="dxa" w:w="3120"/>
            <w:shd w:fill="EDEDED" w:val="clear"/>
            <w:tcMar>
              <w:top w:type="dxa" w:w="60"/>
              <w:left w:type="dxa" w:w="100"/>
              <w:bottom w:type="dxa" w:w="60"/>
              <w:right w:type="dxa" w:w="100"/>
            </w:tcMar>
          </w:tcPr>
          <w:p>
            <w:pPr>
              <w:spacing w:after="0" w:before="0"/>
            </w:pPr>
            <w:r>
              <w:rPr>
                <w:b/>
                <w:bCs/>
                <w:sz w:val="19"/>
                <w:szCs w:val="19"/>
              </w:rPr>
              <w:t xml:space="preserve">Fix</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Control guarded by </w:t>
            </w:r>
            <w:r>
              <w:rPr>
                <w:rFonts w:ascii="Consolas" w:cs="Consolas" w:eastAsia="Consolas" w:hAnsi="Consolas"/>
                <w:b w:val="false"/>
                <w:bCs w:val="false"/>
                <w:sz w:val="19"/>
                <w:szCs w:val="19"/>
              </w:rPr>
              <w:t xml:space="preserve">len(continuous) &gt;= min(qubits)</w:t>
            </w:r>
            <w:r>
              <w:rPr>
                <w:b w:val="false"/>
                <w:bCs w:val="false"/>
                <w:sz w:val="19"/>
                <w:szCs w:val="19"/>
              </w:rPr>
              <w:t xml:space="preserve">, i.e. 3 ≥ 4</w:t>
            </w:r>
          </w:p>
        </w:tc>
        <w:tc>
          <w:tcPr>
            <w:tcW w:type="dxa" w:w="3120"/>
            <w:tcMar>
              <w:top w:type="dxa" w:w="60"/>
              <w:left w:type="dxa" w:w="100"/>
              <w:bottom w:type="dxa" w:w="60"/>
              <w:right w:type="dxa" w:w="100"/>
            </w:tcMar>
          </w:tcPr>
          <w:p>
            <w:pPr>
              <w:spacing w:after="0" w:before="0"/>
            </w:pPr>
            <w:r>
              <w:rPr>
                <w:b w:val="false"/>
                <w:bCs w:val="false"/>
                <w:sz w:val="19"/>
                <w:szCs w:val="19"/>
              </w:rPr>
              <w:t xml:space="preserve">The key control row silently never ran</w:t>
            </w:r>
          </w:p>
        </w:tc>
        <w:tc>
          <w:tcPr>
            <w:tcW w:type="dxa" w:w="3120"/>
            <w:tcMar>
              <w:top w:type="dxa" w:w="60"/>
              <w:left w:type="dxa" w:w="100"/>
              <w:bottom w:type="dxa" w:w="60"/>
              <w:right w:type="dxa" w:w="100"/>
            </w:tcMar>
          </w:tcPr>
          <w:p>
            <w:pPr>
              <w:spacing w:after="0" w:before="0"/>
            </w:pPr>
            <w:r>
              <w:rPr>
                <w:b w:val="false"/>
                <w:bCs w:val="false"/>
                <w:sz w:val="19"/>
                <w:szCs w:val="19"/>
              </w:rPr>
              <w:t xml:space="preserve">Control runs regardless of the qubit list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row cap</w:t>
            </w:r>
          </w:p>
        </w:tc>
        <w:tc>
          <w:tcPr>
            <w:tcW w:type="dxa" w:w="3120"/>
            <w:tcMar>
              <w:top w:type="dxa" w:w="60"/>
              <w:left w:type="dxa" w:w="100"/>
              <w:bottom w:type="dxa" w:w="60"/>
              <w:right w:type="dxa" w:w="100"/>
            </w:tcMar>
          </w:tcPr>
          <w:p>
            <w:pPr>
              <w:spacing w:after="0" w:before="0"/>
            </w:pPr>
            <w:r>
              <w:rPr>
                <w:b w:val="false"/>
                <w:bCs w:val="false"/>
                <w:sz w:val="19"/>
                <w:szCs w:val="19"/>
              </w:rPr>
              <w:t xml:space="preserve">On fraud, RBF SVM is roughly O(n²) in training rows; about 199,000 rows would run for hours with no sign of progress</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--max-rows</w:t>
            </w:r>
            <w:r>
              <w:rPr>
                <w:b w:val="false"/>
                <w:bCs w:val="false"/>
                <w:sz w:val="19"/>
                <w:szCs w:val="19"/>
              </w:rPr>
              <w:t xml:space="preserve">, default 4,000, class-balanced, with a printed warning that the base rate has changed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Footer text specific to churn ("the 26 binary columns")</w:t>
            </w:r>
          </w:p>
        </w:tc>
        <w:tc>
          <w:tcPr>
            <w:tcW w:type="dxa" w:w="3120"/>
            <w:tcMar>
              <w:top w:type="dxa" w:w="60"/>
              <w:left w:type="dxa" w:w="100"/>
              <w:bottom w:type="dxa" w:w="60"/>
              <w:right w:type="dxa" w:w="100"/>
            </w:tcMar>
          </w:tcPr>
          <w:p>
            <w:pPr>
              <w:spacing w:after="0" w:before="0"/>
            </w:pPr>
            <w:r>
              <w:rPr>
                <w:b w:val="false"/>
                <w:bCs w:val="false"/>
                <w:sz w:val="19"/>
                <w:szCs w:val="19"/>
              </w:rPr>
              <w:t xml:space="preserve">Misleading instructions printed under fraud results</w:t>
            </w:r>
          </w:p>
        </w:tc>
        <w:tc>
          <w:tcPr>
            <w:tcW w:type="dxa" w:w="3120"/>
            <w:tcMar>
              <w:top w:type="dxa" w:w="60"/>
              <w:left w:type="dxa" w:w="100"/>
              <w:bottom w:type="dxa" w:w="60"/>
              <w:right w:type="dxa" w:w="100"/>
            </w:tcMar>
          </w:tcPr>
          <w:p>
            <w:pPr>
              <w:spacing w:after="0" w:before="0"/>
            </w:pPr>
            <w:r>
              <w:rPr>
                <w:b w:val="false"/>
                <w:bCs w:val="false"/>
                <w:sz w:val="19"/>
                <w:szCs w:val="19"/>
              </w:rPr>
              <w:t xml:space="preserve">Footer made dataset-neutral</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Continuous-feature list matched only </w:t>
            </w:r>
            <w:r>
              <w:rPr>
                <w:rFonts w:ascii="Consolas" w:cs="Consolas" w:eastAsia="Consolas" w:hAnsi="Consolas"/>
                <w:b w:val="false"/>
                <w:bCs w:val="false"/>
                <w:sz w:val="19"/>
                <w:szCs w:val="19"/>
              </w:rPr>
              <w:t xml:space="preserve">Amount</w:t>
            </w:r>
            <w:r>
              <w:rPr>
                <w:b w:val="false"/>
                <w:bCs w:val="false"/>
                <w:sz w:val="19"/>
                <w:szCs w:val="19"/>
              </w:rPr>
              <w:t xml:space="preserve"> on fraud</w:t>
            </w:r>
          </w:p>
        </w:tc>
        <w:tc>
          <w:tcPr>
            <w:tcW w:type="dxa" w:w="3120"/>
            <w:tcMar>
              <w:top w:type="dxa" w:w="60"/>
              <w:left w:type="dxa" w:w="100"/>
              <w:bottom w:type="dxa" w:w="60"/>
              <w:right w:type="dxa" w:w="100"/>
            </w:tcMar>
          </w:tcPr>
          <w:p>
            <w:pPr>
              <w:spacing w:after="0" w:before="0"/>
            </w:pPr>
            <w:r>
              <w:rPr>
                <w:b w:val="false"/>
                <w:bCs w:val="false"/>
                <w:sz w:val="19"/>
                <w:szCs w:val="19"/>
              </w:rPr>
              <w:t xml:space="preserve">A meaningless one-feature "control" at 14.3%</w:t>
            </w:r>
          </w:p>
        </w:tc>
        <w:tc>
          <w:tcPr>
            <w:tcW w:type="dxa" w:w="3120"/>
            <w:tcMar>
              <w:top w:type="dxa" w:w="60"/>
              <w:left w:type="dxa" w:w="100"/>
              <w:bottom w:type="dxa" w:w="60"/>
              <w:right w:type="dxa" w:w="100"/>
            </w:tcMar>
          </w:tcPr>
          <w:p>
            <w:pPr>
              <w:spacing w:after="0" w:before="0"/>
            </w:pPr>
            <w:r>
              <w:rPr>
                <w:b w:val="false"/>
                <w:bCs w:val="false"/>
                <w:sz w:val="19"/>
                <w:szCs w:val="19"/>
              </w:rPr>
              <w:t xml:space="preserve">Control runs only where one-hot columns exist to be questioned</w:t>
            </w:r>
          </w:p>
        </w:tc>
      </w:tr>
    </w:tbl>
    <w:p>
      <w:pPr>
        <w:spacing w:after="160"/>
      </w:pPr>
    </w:p>
    <w:p>
      <w:pPr>
        <w:spacing w:after="120" w:before="120"/>
      </w:pPr>
    </w:p>
    <w:p>
      <w:pPr>
        <w:pStyle w:val="Heading1"/>
        <w:spacing w:after="140" w:before="280"/>
      </w:pPr>
      <w:r>
        <w:rPr>
          <w:b/>
          <w:bCs/>
          <w:color w:val="000000"/>
          <w:sz w:val="24"/>
          <w:szCs w:val="24"/>
        </w:rPr>
        <w:t xml:space="preserve">8. Tests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
            </w:r>
          </w:p>
        </w:tc>
        <w:tc>
          <w:tcPr>
            <w:tcW w:type="dxa" w:w="3120"/>
            <w:shd w:fill="EDEDED" w:val="clear"/>
            <w:tcMar>
              <w:top w:type="dxa" w:w="60"/>
              <w:left w:type="dxa" w:w="100"/>
              <w:bottom w:type="dxa" w:w="60"/>
              <w:right w:type="dxa" w:w="100"/>
            </w:tcMar>
          </w:tcPr>
          <w:p>
            <w:pPr>
              <w:spacing w:after="0" w:before="0"/>
            </w:pPr>
            <w:r>
              <w:rPr>
                <w:b/>
                <w:bCs/>
                <w:sz w:val="19"/>
                <w:szCs w:val="19"/>
              </w:rPr>
              <w:t xml:space="preserve">End of week 1</w:t>
            </w:r>
          </w:p>
        </w:tc>
        <w:tc>
          <w:tcPr>
            <w:tcW w:type="dxa" w:w="3120"/>
            <w:shd w:fill="EDEDED" w:val="clear"/>
            <w:tcMar>
              <w:top w:type="dxa" w:w="60"/>
              <w:left w:type="dxa" w:w="100"/>
              <w:bottom w:type="dxa" w:w="60"/>
              <w:right w:type="dxa" w:w="100"/>
            </w:tcMar>
          </w:tcPr>
          <w:p>
            <w:pPr>
              <w:spacing w:after="0" w:before="0"/>
            </w:pPr>
            <w:r>
              <w:rPr>
                <w:b/>
                <w:bCs/>
                <w:sz w:val="19"/>
                <w:szCs w:val="19"/>
              </w:rPr>
              <w:t xml:space="preserve">End of week 2</w:t>
            </w:r>
          </w:p>
        </w:tc>
      </w:tr>
      <w:tr>
        <w:tc>
          <w:tcPr>
            <w:tcW w:type="dxa" w:w="3120"/>
            <w:tcMar>
              <w:top w:type="dxa" w:w="60"/>
              <w:left w:type="dxa" w:w="100"/>
              <w:bottom w:type="dxa" w:w="60"/>
              <w:right w:type="dxa" w:w="100"/>
            </w:tcMar>
          </w:tcPr>
          <w:p>
            <w:pPr>
              <w:spacing w:after="0" w:before="0"/>
            </w:pPr>
            <w:r>
              <w:rPr>
                <w:b w:val="false"/>
                <w:bCs w:val="false"/>
                <w:sz w:val="19"/>
                <w:szCs w:val="19"/>
              </w:rPr>
              <w:t xml:space="preserve">Tests</w:t>
            </w:r>
          </w:p>
        </w:tc>
        <w:tc>
          <w:tcPr>
            <w:tcW w:type="dxa" w:w="3120"/>
            <w:tcMar>
              <w:top w:type="dxa" w:w="60"/>
              <w:left w:type="dxa" w:w="100"/>
              <w:bottom w:type="dxa" w:w="60"/>
              <w:right w:type="dxa" w:w="100"/>
            </w:tcMar>
          </w:tcPr>
          <w:p>
            <w:pPr>
              <w:spacing w:after="0" w:before="0"/>
            </w:pPr>
            <w:r>
              <w:rPr>
                <w:b w:val="false"/>
                <w:bCs w:val="false"/>
                <w:sz w:val="19"/>
                <w:szCs w:val="19"/>
              </w:rPr>
              <w:t xml:space="preserve">75</w:t>
            </w:r>
          </w:p>
        </w:tc>
        <w:tc>
          <w:tcPr>
            <w:tcW w:type="dxa" w:w="3120"/>
            <w:tcMar>
              <w:top w:type="dxa" w:w="60"/>
              <w:left w:type="dxa" w:w="100"/>
              <w:bottom w:type="dxa" w:w="60"/>
              <w:right w:type="dxa" w:w="100"/>
            </w:tcMar>
          </w:tcPr>
          <w:p>
            <w:pPr>
              <w:spacing w:after="0" w:before="0"/>
            </w:pPr>
            <w:r>
              <w:rPr>
                <w:b w:val="false"/>
                <w:bCs w:val="false"/>
                <w:sz w:val="19"/>
                <w:szCs w:val="19"/>
              </w:rPr>
              <w:t xml:space="preserve">106</w:t>
            </w:r>
          </w:p>
        </w:tc>
      </w:tr>
      <w:tr>
        <w:tc>
          <w:tcPr>
            <w:tcW w:type="dxa" w:w="3120"/>
            <w:tcMar>
              <w:top w:type="dxa" w:w="60"/>
              <w:left w:type="dxa" w:w="100"/>
              <w:bottom w:type="dxa" w:w="60"/>
              <w:right w:type="dxa" w:w="100"/>
            </w:tcMar>
          </w:tcPr>
          <w:p>
            <w:pPr>
              <w:spacing w:after="0" w:before="0"/>
            </w:pPr>
            <w:r>
              <w:rPr>
                <w:b w:val="false"/>
                <w:bCs w:val="false"/>
                <w:sz w:val="19"/>
                <w:szCs w:val="19"/>
              </w:rPr>
              <w:t xml:space="preserve">Total coverage</w:t>
            </w:r>
          </w:p>
        </w:tc>
        <w:tc>
          <w:tcPr>
            <w:tcW w:type="dxa" w:w="3120"/>
            <w:tcMar>
              <w:top w:type="dxa" w:w="60"/>
              <w:left w:type="dxa" w:w="100"/>
              <w:bottom w:type="dxa" w:w="60"/>
              <w:right w:type="dxa" w:w="100"/>
            </w:tcMar>
          </w:tcPr>
          <w:p>
            <w:pPr>
              <w:spacing w:after="0" w:before="0"/>
            </w:pPr>
            <w:r>
              <w:rPr>
                <w:b w:val="false"/>
                <w:bCs w:val="false"/>
                <w:sz w:val="19"/>
                <w:szCs w:val="19"/>
              </w:rPr>
              <w:t xml:space="preserve">82%</w:t>
            </w:r>
          </w:p>
        </w:tc>
        <w:tc>
          <w:tcPr>
            <w:tcW w:type="dxa" w:w="3120"/>
            <w:tcMar>
              <w:top w:type="dxa" w:w="60"/>
              <w:left w:type="dxa" w:w="100"/>
              <w:bottom w:type="dxa" w:w="60"/>
              <w:right w:type="dxa" w:w="100"/>
            </w:tcMar>
          </w:tcPr>
          <w:p>
            <w:pPr>
              <w:spacing w:after="0" w:before="0"/>
            </w:pPr>
            <w:r>
              <w:rPr>
                <w:b w:val="false"/>
                <w:bCs w:val="false"/>
                <w:sz w:val="19"/>
                <w:szCs w:val="19"/>
              </w:rPr>
              <w:t xml:space="preserve">94%</w:t>
            </w:r>
          </w:p>
        </w:tc>
      </w:tr>
      <w:tr>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data.py</w:t>
            </w:r>
          </w:p>
        </w:tc>
        <w:tc>
          <w:tcPr>
            <w:tcW w:type="dxa" w:w="3120"/>
            <w:tcMar>
              <w:top w:type="dxa" w:w="60"/>
              <w:left w:type="dxa" w:w="100"/>
              <w:bottom w:type="dxa" w:w="60"/>
              <w:right w:type="dxa" w:w="100"/>
            </w:tcMar>
          </w:tcPr>
          <w:p>
            <w:pPr>
              <w:spacing w:after="0" w:before="0"/>
            </w:pPr>
            <w:r>
              <w:rPr>
                <w:b w:val="false"/>
                <w:bCs w:val="false"/>
                <w:sz w:val="19"/>
                <w:szCs w:val="19"/>
              </w:rPr>
              <w:t xml:space="preserve">62%</w:t>
            </w:r>
          </w:p>
        </w:tc>
        <w:tc>
          <w:tcPr>
            <w:tcW w:type="dxa" w:w="3120"/>
            <w:tcMar>
              <w:top w:type="dxa" w:w="60"/>
              <w:left w:type="dxa" w:w="100"/>
              <w:bottom w:type="dxa" w:w="60"/>
              <w:right w:type="dxa" w:w="100"/>
            </w:tcMar>
          </w:tcPr>
          <w:p>
            <w:pPr>
              <w:spacing w:after="0" w:before="0"/>
            </w:pPr>
            <w:r>
              <w:rPr>
                <w:b w:val="false"/>
                <w:bCs w:val="false"/>
                <w:sz w:val="19"/>
                <w:szCs w:val="19"/>
              </w:rPr>
              <w:t xml:space="preserve">98%</w:t>
            </w:r>
          </w:p>
        </w:tc>
      </w:tr>
      <w:tr>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features.py</w:t>
            </w:r>
          </w:p>
        </w:tc>
        <w:tc>
          <w:tcPr>
            <w:tcW w:type="dxa" w:w="3120"/>
            <w:tcMar>
              <w:top w:type="dxa" w:w="60"/>
              <w:left w:type="dxa" w:w="100"/>
              <w:bottom w:type="dxa" w:w="60"/>
              <w:right w:type="dxa" w:w="100"/>
            </w:tcMar>
          </w:tcPr>
          <w:p>
            <w:pPr>
              <w:spacing w:after="0" w:before="0"/>
            </w:pPr>
            <w:r>
              <w:rPr>
                <w:b w:val="false"/>
                <w:bCs w:val="false"/>
                <w:sz w:val="19"/>
                <w:szCs w:val="19"/>
              </w:rPr>
              <w:t xml:space="preserve">62%</w:t>
            </w:r>
          </w:p>
        </w:tc>
        <w:tc>
          <w:tcPr>
            <w:tcW w:type="dxa" w:w="3120"/>
            <w:tcMar>
              <w:top w:type="dxa" w:w="60"/>
              <w:left w:type="dxa" w:w="100"/>
              <w:bottom w:type="dxa" w:w="60"/>
              <w:right w:type="dxa" w:w="100"/>
            </w:tcMar>
          </w:tcPr>
          <w:p>
            <w:pPr>
              <w:spacing w:after="0" w:before="0"/>
            </w:pPr>
            <w:r>
              <w:rPr>
                <w:b w:val="false"/>
                <w:bCs w:val="false"/>
                <w:sz w:val="19"/>
                <w:szCs w:val="19"/>
              </w:rPr>
              <w:t xml:space="preserve">97%</w:t>
            </w:r>
          </w:p>
        </w:tc>
      </w:tr>
    </w:tbl>
    <w:p>
      <w:pPr>
        <w:spacing w:after="160"/>
      </w:pPr>
    </w:p>
    <w:p>
      <w:pPr>
        <w:spacing w:after="140"/>
        <w:jc w:val="left"/>
      </w:pPr>
      <w:r>
        <w:rPr>
          <w:b/>
          <w:bCs/>
        </w:rPr>
        <w:t xml:space="preserve">`tests/test_reproducibility.py`</w:t>
      </w:r>
      <w:r>
        <w:t xml:space="preserve">, 17 tests. Splits bit-identical across calls. Different seeds give different splits, which guards against a seed being silently ignored and quietly wrecking the 10-seed design. Every mapping deterministic, including its fitted transform. Angle values stay inside </w:t>
      </w:r>
      <w:r>
        <w:rPr>
          <w:rFonts w:ascii="Consolas" w:cs="Consolas" w:eastAsia="Consolas" w:hAnsi="Consolas"/>
          <w:sz w:val="19"/>
          <w:szCs w:val="19"/>
        </w:rPr>
        <w:t xml:space="preserve">[0, π]</w:t>
      </w:r>
      <w:r>
        <w:t xml:space="preserve">, because values outside it wrap around the Bloch sphere and make distant points look similar, producing a kernel that passes every check and means nothing. The angle scaler is fit on training data only; leakage here changes the quantum circuits themselves, not just a decision boundary.</w:t>
      </w:r>
    </w:p>
    <w:p>
      <w:pPr>
        <w:spacing w:after="140"/>
        <w:jc w:val="left"/>
      </w:pPr>
      <w:r>
        <w:rPr>
          <w:b/>
          <w:bCs/>
        </w:rPr>
        <w:t xml:space="preserve">`tests/test_data_loaders.py`</w:t>
      </w:r>
      <w:r>
        <w:t xml:space="preserve">, 9 tests. Uses small fake CSVs that copy the real files' quirks: a blank </w:t>
      </w:r>
      <w:r>
        <w:rPr>
          <w:rFonts w:ascii="Consolas" w:cs="Consolas" w:eastAsia="Consolas" w:hAnsi="Consolas"/>
          <w:sz w:val="19"/>
          <w:szCs w:val="19"/>
        </w:rPr>
        <w:t xml:space="preserve">TotalCharges</w:t>
      </w:r>
      <w:r>
        <w:t xml:space="preserve">, the </w:t>
      </w:r>
      <w:r>
        <w:rPr>
          <w:rFonts w:ascii="Consolas" w:cs="Consolas" w:eastAsia="Consolas" w:hAnsi="Consolas"/>
          <w:sz w:val="19"/>
          <w:szCs w:val="19"/>
        </w:rPr>
        <w:t xml:space="preserve">Time</w:t>
      </w:r>
      <w:r>
        <w:t xml:space="preserve"> column, pandas 3.0 bool dummies. So the loader code runs in CI on every push with no Kaggle account, on a second platform. Until now it had only ever run on your laptop.</w:t>
      </w:r>
    </w:p>
    <w:p>
      <w:pPr>
        <w:spacing w:after="120" w:before="120"/>
      </w:pPr>
    </w:p>
    <w:p>
      <w:pPr>
        <w:pStyle w:val="Heading1"/>
        <w:spacing w:after="140" w:before="280"/>
      </w:pPr>
      <w:r>
        <w:rPr>
          <w:b/>
          <w:bCs/>
          <w:color w:val="000000"/>
          <w:sz w:val="24"/>
          <w:szCs w:val="24"/>
        </w:rPr>
        <w:t xml:space="preserve">9. Housekeeping</w:t>
      </w:r>
    </w:p>
    <w:p>
      <w:pPr>
        <w:pStyle w:val="ListParagraph"/>
        <w:numPr>
          <w:ilvl w:val="0"/>
          <w:numId w:val="1"/>
        </w:numPr>
        <w:spacing w:after="80"/>
      </w:pPr>
      <w:r>
        <w:rPr>
          <w:rFonts w:ascii="Consolas" w:cs="Consolas" w:eastAsia="Consolas" w:hAnsi="Consolas"/>
          <w:sz w:val="19"/>
          <w:szCs w:val="19"/>
        </w:rPr>
        <w:t xml:space="preserve">data/README.md</w:t>
      </w:r>
      <w:r>
        <w:t xml:space="preserve">: sources, checksums, licences, fetch commands, and the measured evidence for each preprocessing decision.</w:t>
      </w:r>
    </w:p>
    <w:p>
      <w:pPr>
        <w:pStyle w:val="ListParagraph"/>
        <w:numPr>
          <w:ilvl w:val="0"/>
          <w:numId w:val="1"/>
        </w:numPr>
        <w:spacing w:after="80"/>
      </w:pPr>
      <w:r>
        <w:rPr>
          <w:rFonts w:ascii="Consolas" w:cs="Consolas" w:eastAsia="Consolas" w:hAnsi="Consolas"/>
          <w:sz w:val="19"/>
          <w:szCs w:val="19"/>
        </w:rPr>
        <w:t xml:space="preserve">.DS_Store</w:t>
      </w:r>
      <w:r>
        <w:t xml:space="preserve"> added to </w:t>
      </w:r>
      <w:r>
        <w:rPr>
          <w:rFonts w:ascii="Consolas" w:cs="Consolas" w:eastAsia="Consolas" w:hAnsi="Consolas"/>
          <w:sz w:val="19"/>
          <w:szCs w:val="19"/>
        </w:rPr>
        <w:t xml:space="preserve">.gitignore</w:t>
      </w:r>
      <w:r>
        <w:t xml:space="preserve">. Six macOS Finder files were about to go into the commit.</w:t>
      </w:r>
    </w:p>
    <w:p>
      <w:pPr>
        <w:pStyle w:val="ListParagraph"/>
        <w:numPr>
          <w:ilvl w:val="0"/>
          <w:numId w:val="1"/>
        </w:numPr>
        <w:spacing w:after="80"/>
      </w:pPr>
      <w:r>
        <w:t xml:space="preserve">Staging guard before committing: </w:t>
      </w:r>
      <w:r>
        <w:rPr>
          <w:rFonts w:ascii="Consolas" w:cs="Consolas" w:eastAsia="Consolas" w:hAnsi="Consolas"/>
          <w:sz w:val="19"/>
          <w:szCs w:val="19"/>
        </w:rPr>
        <w:t xml:space="preserve">git diff --cached --name-only | grep data/raw</w:t>
      </w:r>
      <w:r>
        <w:t xml:space="preserve">, so 150 MB of raw data cannot reach the history, where removing it would mean rewriting commits.</w:t>
      </w:r>
    </w:p>
    <w:p>
      <w:pPr>
        <w:pStyle w:val="ListParagraph"/>
        <w:numPr>
          <w:ilvl w:val="0"/>
          <w:numId w:val="1"/>
        </w:numPr>
        <w:spacing w:after="80"/>
      </w:pPr>
      <w:r>
        <w:t xml:space="preserve">Commit </w:t>
      </w:r>
      <w:r>
        <w:rPr>
          <w:rFonts w:ascii="Consolas" w:cs="Consolas" w:eastAsia="Consolas" w:hAnsi="Consolas"/>
          <w:sz w:val="19"/>
          <w:szCs w:val="19"/>
        </w:rPr>
        <w:t xml:space="preserve">3965f29</w:t>
      </w:r>
      <w:r>
        <w:t xml:space="preserve">: 7 files, 483 lines added. 9.47 KiB pushed, itself confirmation that no data went with it.</w:t>
      </w:r>
    </w:p>
    <w:p>
      <w:pPr>
        <w:pStyle w:val="Heading2"/>
        <w:spacing w:after="100" w:before="200"/>
      </w:pPr>
      <w:r>
        <w:rPr>
          <w:b/>
          <w:bCs/>
          <w:color w:val="000000"/>
          <w:sz w:val="22"/>
          <w:szCs w:val="22"/>
        </w:rPr>
        <w:t xml:space="preserve">Process failures on my side, recorded honestly</w:t>
      </w:r>
    </w:p>
    <w:p>
      <w:pPr>
        <w:pStyle w:val="ListParagraph"/>
        <w:numPr>
          <w:ilvl w:val="0"/>
          <w:numId w:val="1"/>
        </w:numPr>
        <w:spacing w:after="80"/>
      </w:pPr>
      <w:r>
        <w:t xml:space="preserve">A remote file write reported success and did not land. I now edit your files directly and check the result.</w:t>
      </w:r>
    </w:p>
    <w:p>
      <w:pPr>
        <w:pStyle w:val="ListParagraph"/>
        <w:numPr>
          <w:ilvl w:val="0"/>
          <w:numId w:val="1"/>
        </w:numPr>
        <w:spacing w:after="80"/>
      </w:pPr>
      <w:r>
        <w:t xml:space="preserve">A patch guard checked for </w:t>
      </w:r>
      <w:r>
        <w:rPr>
          <w:rFonts w:ascii="Consolas" w:cs="Consolas" w:eastAsia="Consolas" w:hAnsi="Consolas"/>
          <w:sz w:val="19"/>
          <w:szCs w:val="19"/>
        </w:rPr>
        <w:t xml:space="preserve">random_state=seed</w:t>
      </w:r>
      <w:r>
        <w:t xml:space="preserve">, which already appeared on the PCA line, so it reported "already patched" and changed nothing. Caught by inspecting the file afterwards.</w:t>
      </w:r>
    </w:p>
    <w:p>
      <w:pPr>
        <w:pStyle w:val="ListParagraph"/>
        <w:numPr>
          <w:ilvl w:val="0"/>
          <w:numId w:val="1"/>
        </w:numPr>
        <w:spacing w:after="80"/>
      </w:pPr>
      <w:r>
        <w:t xml:space="preserve">Running </w:t>
      </w:r>
      <w:r>
        <w:rPr>
          <w:rFonts w:ascii="Consolas" w:cs="Consolas" w:eastAsia="Consolas" w:hAnsi="Consolas"/>
          <w:sz w:val="19"/>
          <w:szCs w:val="19"/>
        </w:rPr>
        <w:t xml:space="preserve">git status</w:t>
      </w:r>
      <w:r>
        <w:t xml:space="preserve"> from my side left an empty </w:t>
      </w:r>
      <w:r>
        <w:rPr>
          <w:rFonts w:ascii="Consolas" w:cs="Consolas" w:eastAsia="Consolas" w:hAnsi="Consolas"/>
          <w:sz w:val="19"/>
          <w:szCs w:val="19"/>
        </w:rPr>
        <w:t xml:space="preserve">.git/index.lock</w:t>
      </w:r>
      <w:r>
        <w:t xml:space="preserve"> that I could not delete, which would have blocked your next git command. You removed it. I no longer run git on your repository.</w:t>
      </w:r>
    </w:p>
    <w:p>
      <w:pPr>
        <w:spacing w:after="140"/>
        <w:jc w:val="left"/>
      </w:pPr>
      <w:r>
        <w:t xml:space="preserve">All three failed silently. Each was caught only because the result was checked, not trusted.</w:t>
      </w:r>
    </w:p>
    <w:p>
      <w:pPr>
        <w:spacing w:after="120" w:before="120"/>
      </w:pPr>
    </w:p>
    <w:p>
      <w:pPr>
        <w:pStyle w:val="Heading1"/>
        <w:spacing w:after="140" w:before="280"/>
      </w:pPr>
      <w:r>
        <w:rPr>
          <w:b/>
          <w:bCs/>
          <w:color w:val="000000"/>
          <w:sz w:val="24"/>
          <w:szCs w:val="24"/>
        </w:rPr>
        <w:t xml:space="preserve">10.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Decision</w:t>
            </w:r>
          </w:p>
        </w:tc>
        <w:tc>
          <w:tcPr>
            <w:tcW w:type="dxa" w:w="3120"/>
            <w:shd w:fill="EDEDED" w:val="clear"/>
            <w:tcMar>
              <w:top w:type="dxa" w:w="60"/>
              <w:left w:type="dxa" w:w="100"/>
              <w:bottom w:type="dxa" w:w="60"/>
              <w:right w:type="dxa" w:w="100"/>
            </w:tcMar>
          </w:tcPr>
          <w:p>
            <w:pPr>
              <w:spacing w:after="0" w:before="0"/>
            </w:pPr>
            <w:r>
              <w:rPr>
                <w:b/>
                <w:bCs/>
                <w:sz w:val="19"/>
                <w:szCs w:val="19"/>
              </w:rPr>
              <w:t xml:space="preserve">Outcome</w:t>
            </w:r>
          </w:p>
        </w:tc>
        <w:tc>
          <w:tcPr>
            <w:tcW w:type="dxa" w:w="3120"/>
            <w:shd w:fill="EDEDED" w:val="clear"/>
            <w:tcMar>
              <w:top w:type="dxa" w:w="60"/>
              <w:left w:type="dxa" w:w="100"/>
              <w:bottom w:type="dxa" w:w="60"/>
              <w:right w:type="dxa" w:w="100"/>
            </w:tcMar>
          </w:tcPr>
          <w:p>
            <w:pPr>
              <w:spacing w:after="0" w:before="0"/>
            </w:pPr>
            <w:r>
              <w:rPr>
                <w:b/>
                <w:bCs/>
                <w:sz w:val="19"/>
                <w:szCs w:val="19"/>
              </w:rPr>
              <w:t xml:space="preserve">Basis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Churn one-hot columns</w:t>
            </w:r>
          </w:p>
        </w:tc>
        <w:tc>
          <w:tcPr>
            <w:tcW w:type="dxa" w:w="3120"/>
            <w:tcMar>
              <w:top w:type="dxa" w:w="60"/>
              <w:left w:type="dxa" w:w="100"/>
              <w:bottom w:type="dxa" w:w="60"/>
              <w:right w:type="dxa" w:w="100"/>
            </w:tcMar>
          </w:tcPr>
          <w:p>
            <w:pPr>
              <w:spacing w:after="0" w:before="0"/>
            </w:pPr>
            <w:r>
              <w:rPr>
                <w:b w:val="false"/>
                <w:bCs w:val="false"/>
                <w:sz w:val="19"/>
                <w:szCs w:val="19"/>
              </w:rPr>
              <w:t xml:space="preserve">Keep</w:t>
            </w:r>
          </w:p>
        </w:tc>
        <w:tc>
          <w:tcPr>
            <w:tcW w:type="dxa" w:w="3120"/>
            <w:tcMar>
              <w:top w:type="dxa" w:w="60"/>
              <w:left w:type="dxa" w:w="100"/>
              <w:bottom w:type="dxa" w:w="60"/>
              <w:right w:type="dxa" w:w="100"/>
            </w:tcMar>
          </w:tcPr>
          <w:p>
            <w:pPr>
              <w:spacing w:after="0" w:before="0"/>
            </w:pPr>
            <w:r>
              <w:rPr>
                <w:b w:val="false"/>
                <w:bCs w:val="false"/>
                <w:sz w:val="19"/>
                <w:szCs w:val="19"/>
              </w:rPr>
              <w:t xml:space="preserve">Measured: 88.7% vs 77.1% without them</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Fraud </w:t>
            </w:r>
            <w:r>
              <w:rPr>
                <w:rFonts w:ascii="Consolas" w:cs="Consolas" w:eastAsia="Consolas" w:hAnsi="Consolas"/>
                <w:b w:val="false"/>
                <w:bCs w:val="false"/>
                <w:sz w:val="19"/>
                <w:szCs w:val="19"/>
              </w:rPr>
              <w:t xml:space="preserve">Time</w:t>
            </w:r>
            <w:r>
              <w:rPr>
                <w:b w:val="false"/>
                <w:bCs w:val="false"/>
                <w:sz w:val="19"/>
                <w:szCs w:val="19"/>
              </w:rPr>
              <w:t xml:space="preserve"> column</w:t>
            </w:r>
          </w:p>
        </w:tc>
        <w:tc>
          <w:tcPr>
            <w:tcW w:type="dxa" w:w="3120"/>
            <w:tcMar>
              <w:top w:type="dxa" w:w="60"/>
              <w:left w:type="dxa" w:w="100"/>
              <w:bottom w:type="dxa" w:w="60"/>
              <w:right w:type="dxa" w:w="100"/>
            </w:tcMar>
          </w:tcPr>
          <w:p>
            <w:pPr>
              <w:spacing w:after="0" w:before="0"/>
            </w:pPr>
            <w:r>
              <w:rPr>
                <w:b w:val="false"/>
                <w:bCs w:val="false"/>
                <w:sz w:val="19"/>
                <w:szCs w:val="19"/>
              </w:rPr>
              <w:t xml:space="preserve">Drop</w:t>
            </w:r>
          </w:p>
        </w:tc>
        <w:tc>
          <w:tcPr>
            <w:tcW w:type="dxa" w:w="3120"/>
            <w:tcMar>
              <w:top w:type="dxa" w:w="60"/>
              <w:left w:type="dxa" w:w="100"/>
              <w:bottom w:type="dxa" w:w="60"/>
              <w:right w:type="dxa" w:w="100"/>
            </w:tcMar>
          </w:tcPr>
          <w:p>
            <w:pPr>
              <w:spacing w:after="0" w:before="0"/>
            </w:pPr>
            <w:r>
              <w:rPr>
                <w:b w:val="false"/>
                <w:bCs w:val="false"/>
                <w:sz w:val="19"/>
                <w:szCs w:val="19"/>
              </w:rPr>
              <w:t xml:space="preserve">Measured: contributes 0.0045 PR-AUC, and it is an ordering artefact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Mapping</w:t>
            </w:r>
          </w:p>
        </w:tc>
        <w:tc>
          <w:tcPr>
            <w:tcW w:type="dxa" w:w="3120"/>
            <w:tcMar>
              <w:top w:type="dxa" w:w="60"/>
              <w:left w:type="dxa" w:w="100"/>
              <w:bottom w:type="dxa" w:w="60"/>
              <w:right w:type="dxa" w:w="100"/>
            </w:tcMar>
          </w:tcPr>
          <w:p>
            <w:pPr>
              <w:spacing w:after="0" w:before="0"/>
            </w:pPr>
            <w:r>
              <w:rPr>
                <w:b w:val="false"/>
                <w:bCs w:val="false"/>
                <w:sz w:val="19"/>
                <w:szCs w:val="19"/>
              </w:rPr>
              <w:t xml:space="preserve">An experimental factor; carry both PCA and SelectKBest on both datasets</w:t>
            </w:r>
          </w:p>
        </w:tc>
        <w:tc>
          <w:tcPr>
            <w:tcW w:type="dxa" w:w="3120"/>
            <w:tcMar>
              <w:top w:type="dxa" w:w="60"/>
              <w:left w:type="dxa" w:w="100"/>
              <w:bottom w:type="dxa" w:w="60"/>
              <w:right w:type="dxa" w:w="100"/>
            </w:tcMar>
          </w:tcPr>
          <w:p>
            <w:pPr>
              <w:spacing w:after="0" w:before="0"/>
            </w:pPr>
            <w:r>
              <w:rPr>
                <w:b w:val="false"/>
                <w:bCs w:val="false"/>
                <w:sz w:val="19"/>
                <w:szCs w:val="19"/>
              </w:rPr>
              <w:t xml:space="preserve">Measured inversion between datasets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Seed on mutual information</w:t>
            </w:r>
          </w:p>
        </w:tc>
        <w:tc>
          <w:tcPr>
            <w:tcW w:type="dxa" w:w="3120"/>
            <w:tcMar>
              <w:top w:type="dxa" w:w="60"/>
              <w:left w:type="dxa" w:w="100"/>
              <w:bottom w:type="dxa" w:w="60"/>
              <w:right w:type="dxa" w:w="100"/>
            </w:tcMar>
          </w:tcPr>
          <w:p>
            <w:pPr>
              <w:spacing w:after="0" w:before="0"/>
            </w:pPr>
            <w:r>
              <w:rPr>
                <w:b w:val="false"/>
                <w:bCs w:val="false"/>
                <w:sz w:val="19"/>
                <w:szCs w:val="19"/>
              </w:rPr>
              <w:t xml:space="preserve">Required</w:t>
            </w:r>
          </w:p>
        </w:tc>
        <w:tc>
          <w:tcPr>
            <w:tcW w:type="dxa" w:w="3120"/>
            <w:tcMar>
              <w:top w:type="dxa" w:w="60"/>
              <w:left w:type="dxa" w:w="100"/>
              <w:bottom w:type="dxa" w:w="60"/>
              <w:right w:type="dxa" w:w="100"/>
            </w:tcMar>
          </w:tcPr>
          <w:p>
            <w:pPr>
              <w:spacing w:after="0" w:before="0"/>
            </w:pPr>
            <w:r>
              <w:rPr>
                <w:b w:val="false"/>
                <w:bCs w:val="false"/>
                <w:sz w:val="19"/>
                <w:szCs w:val="19"/>
              </w:rPr>
              <w:t xml:space="preserve">Measured non-determinism</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Fraud quantum subsample</w:t>
            </w:r>
          </w:p>
        </w:tc>
        <w:tc>
          <w:tcPr>
            <w:tcW w:type="dxa" w:w="3120"/>
            <w:tcMar>
              <w:top w:type="dxa" w:w="60"/>
              <w:left w:type="dxa" w:w="100"/>
              <w:bottom w:type="dxa" w:w="60"/>
              <w:right w:type="dxa" w:w="100"/>
            </w:tcMar>
          </w:tcPr>
          <w:p>
            <w:pPr>
              <w:spacing w:after="0" w:before="0"/>
            </w:pPr>
            <w:r>
              <w:rPr>
                <w:b w:val="false"/>
                <w:bCs w:val="false"/>
                <w:sz w:val="19"/>
                <w:szCs w:val="19"/>
              </w:rPr>
              <w:t xml:space="preserve">All 492 positives against matched negatives; report against the subsample's own base rate</w:t>
            </w:r>
          </w:p>
        </w:tc>
        <w:tc>
          <w:tcPr>
            <w:tcW w:type="dxa" w:w="3120"/>
            <w:tcMar>
              <w:top w:type="dxa" w:w="60"/>
              <w:left w:type="dxa" w:w="100"/>
              <w:bottom w:type="dxa" w:w="60"/>
              <w:right w:type="dxa" w:w="100"/>
            </w:tcMar>
          </w:tcPr>
          <w:p>
            <w:pPr>
              <w:spacing w:after="0" w:before="0"/>
            </w:pPr>
            <w:r>
              <w:rPr>
                <w:b w:val="false"/>
                <w:bCs w:val="false"/>
                <w:sz w:val="19"/>
                <w:szCs w:val="19"/>
              </w:rPr>
              <w:t xml:space="preserve">492 positives cannot support the real 0.17% rate within a ~500-point budget</w:t>
            </w:r>
          </w:p>
        </w:tc>
      </w:tr>
    </w:tbl>
    <w:p>
      <w:pPr>
        <w:spacing w:after="160"/>
      </w:pPr>
    </w:p>
    <w:p>
      <w:pPr>
        <w:pStyle w:val="Heading2"/>
        <w:spacing w:after="100" w:before="200"/>
      </w:pPr>
      <w:r>
        <w:rPr>
          <w:b/>
          <w:bCs/>
          <w:color w:val="000000"/>
          <w:sz w:val="22"/>
          <w:szCs w:val="22"/>
        </w:rPr>
        <w:t xml:space="preserve">Proposed, awaiting your decision</w:t>
      </w:r>
    </w:p>
    <w:p>
      <w:pPr>
        <w:pStyle w:val="ListParagraph"/>
        <w:numPr>
          <w:ilvl w:val="0"/>
          <w:numId w:val="1"/>
        </w:numPr>
        <w:spacing w:after="80"/>
      </w:pPr>
      <w:r>
        <w:rPr>
          <w:b/>
          <w:bCs/>
        </w:rPr>
        <w:t xml:space="preserve">Qubit sweep of `{2, 4, 8}` instead of `{4, 6, 8}`.</w:t>
      </w:r>
      <w:r>
        <w:t xml:space="preserve"> Signal saturates early, so three points spanning the range tell us more than five clustered where nothing changes. That gives 2 datasets × 3 mappings × 3 qubit counts = 18 cells for the geometric-difference pre-screen.</w:t>
      </w:r>
    </w:p>
    <w:p>
      <w:pPr>
        <w:pStyle w:val="ListParagraph"/>
        <w:numPr>
          <w:ilvl w:val="0"/>
          <w:numId w:val="1"/>
        </w:numPr>
        <w:spacing w:after="80"/>
      </w:pPr>
      <w:r>
        <w:rPr>
          <w:b/>
          <w:bCs/>
        </w:rPr>
        <w:t xml:space="preserve">No SMOTE in the main pipeline.</w:t>
      </w:r>
      <w:r>
        <w:t xml:space="preserve"> Synthetic minority points change the geometry of the feature space, and geometry is what g measures. The proposal is stratified subsampling plus </w:t>
      </w:r>
      <w:r>
        <w:rPr>
          <w:rFonts w:ascii="Consolas" w:cs="Consolas" w:eastAsia="Consolas" w:hAnsi="Consolas"/>
          <w:sz w:val="19"/>
          <w:szCs w:val="19"/>
        </w:rPr>
        <w:t xml:space="preserve">class_weight='balanced'</w:t>
      </w:r>
      <w:r>
        <w:t xml:space="preserve">, with SMOTE only as a labelled appendix ablation if a reviewer asks.</w:t>
      </w:r>
    </w:p>
    <w:p>
      <w:pPr>
        <w:spacing w:after="120" w:before="120"/>
      </w:pPr>
    </w:p>
    <w:p>
      <w:pPr>
        <w:pStyle w:val="Heading1"/>
        <w:spacing w:after="140" w:before="280"/>
      </w:pPr>
      <w:r>
        <w:rPr>
          <w:b/>
          <w:bCs/>
          <w:color w:val="000000"/>
          <w:sz w:val="24"/>
          <w:szCs w:val="24"/>
        </w:rPr>
        <w:t xml:space="preserve">11. Still open</w:t>
      </w:r>
    </w:p>
    <w:p>
      <w:pPr>
        <w:pStyle w:val="ListParagraph"/>
        <w:numPr>
          <w:ilvl w:val="0"/>
          <w:numId w:val="1"/>
        </w:numPr>
        <w:spacing w:after="80"/>
      </w:pPr>
      <w:r>
        <w:rPr>
          <w:b/>
          <w:bCs/>
        </w:rPr>
        <w:t xml:space="preserve">IBM Quantum allocation.</w:t>
      </w:r>
      <w:r>
        <w:t xml:space="preserve"> Not yet checked against the March 2026 Open Plan change. Week 10's hardware scope depends on it.</w:t>
      </w:r>
    </w:p>
    <w:p>
      <w:pPr>
        <w:pStyle w:val="ListParagraph"/>
        <w:numPr>
          <w:ilvl w:val="0"/>
          <w:numId w:val="1"/>
        </w:numPr>
        <w:spacing w:after="80"/>
      </w:pPr>
      <w:r>
        <w:rPr>
          <w:b/>
          <w:bCs/>
        </w:rPr>
        <w:t xml:space="preserve">Pre-registration mechanism.</w:t>
      </w:r>
      <w:r>
        <w:t xml:space="preserve"> OSF registration or a published hash, decided before week 6. GitHub commit dates are weak evidence because the author controls them.</w:t>
      </w:r>
    </w:p>
    <w:p>
      <w:pPr>
        <w:pStyle w:val="ListParagraph"/>
        <w:numPr>
          <w:ilvl w:val="0"/>
          <w:numId w:val="1"/>
        </w:numPr>
        <w:spacing w:after="80"/>
      </w:pPr>
      <w:r>
        <w:rPr>
          <w:b/>
          <w:bCs/>
        </w:rPr>
        <w:t xml:space="preserve">Kaggle credential location.</w:t>
      </w:r>
      <w:r>
        <w:t xml:space="preserve"> Unknown, as noted above.</w:t>
      </w:r>
    </w:p>
    <w:p>
      <w:pPr>
        <w:pStyle w:val="ListParagraph"/>
        <w:numPr>
          <w:ilvl w:val="0"/>
          <w:numId w:val="1"/>
        </w:numPr>
        <w:spacing w:after="80"/>
      </w:pPr>
      <w:r>
        <w:rPr>
          <w:b/>
          <w:bCs/>
        </w:rPr>
        <w:t xml:space="preserve">GitHub Actions Node 20 warning.</w:t>
      </w:r>
      <w:r>
        <w:t xml:space="preserve"> Harmless for now.</w:t>
      </w:r>
    </w:p>
    <w:p>
      <w:pPr>
        <w:pStyle w:val="ListParagraph"/>
        <w:numPr>
          <w:ilvl w:val="0"/>
          <w:numId w:val="1"/>
        </w:numPr>
        <w:spacing w:after="80"/>
      </w:pPr>
      <w:r>
        <w:rPr>
          <w:b/>
          <w:bCs/>
        </w:rPr>
        <w:t xml:space="preserve">`classical.py` lines 47 to 53.</w:t>
      </w:r>
      <w:r>
        <w:t xml:space="preserve"> The reference-kernel selection loop, first exercised properly in week 6.</w:t>
      </w:r>
    </w:p>
    <w:p>
      <w:pPr>
        <w:spacing w:after="120" w:before="120"/>
      </w:pPr>
    </w:p>
    <w:p>
      <w:pPr>
        <w:pStyle w:val="Heading1"/>
        <w:spacing w:after="140" w:before="280"/>
      </w:pPr>
      <w:r>
        <w:rPr>
          <w:b/>
          <w:bCs/>
          <w:color w:val="000000"/>
          <w:sz w:val="24"/>
          <w:szCs w:val="24"/>
        </w:rPr>
        <w:t xml:space="preserve">12. Week 3</w:t>
      </w:r>
    </w:p>
    <w:p>
      <w:pPr>
        <w:spacing w:after="140"/>
        <w:jc w:val="left"/>
      </w:pPr>
      <w:r>
        <w:t xml:space="preserve">Week 3 is the classical baselines: linear, RBF, polynomial, and the random-projection comparator, each tuned by nested cross-validation.</w:t>
      </w:r>
    </w:p>
    <w:p>
      <w:pPr>
        <w:spacing w:after="140"/>
        <w:jc w:val="left"/>
      </w:pPr>
      <w:r>
        <w:t xml:space="preserve">The position going in: under-tuning the classical side is the most common way papers in this area produce an apparent quantum advantage. The failure is quiet. An RBF SVM left at default </w:t>
      </w:r>
      <w:r>
        <w:rPr>
          <w:rFonts w:ascii="Consolas" w:cs="Consolas" w:eastAsia="Consolas" w:hAnsi="Consolas"/>
          <w:sz w:val="19"/>
          <w:szCs w:val="19"/>
        </w:rPr>
        <w:t xml:space="preserve">gamma</w:t>
      </w:r>
      <w:r>
        <w:t xml:space="preserve"> loses to a carefully tuned quantum kernel, and it looks like a finding. The classical grid should therefore be wider and more carefully cross-validated than the quantum one, which is the opposite of where effort naturally goes.</w:t>
      </w:r>
    </w:p>
    <w:p>
      <w:pPr>
        <w:spacing w:after="120" w:before="120"/>
      </w:pPr>
    </w:p>
    <w:p>
      <w:pPr>
        <w:pStyle w:val="Heading1"/>
        <w:spacing w:after="140" w:before="280"/>
      </w:pPr>
      <w:r>
        <w:rPr>
          <w:b/>
          <w:bCs/>
          <w:color w:val="000000"/>
          <w:sz w:val="24"/>
          <w:szCs w:val="24"/>
        </w:rPr>
        <w:t xml:space="preserve">13. Corrections (added 21 September 2026, start of week 3)</w:t>
      </w:r>
    </w:p>
    <w:p>
      <w:pPr>
        <w:spacing w:after="140"/>
        <w:jc w:val="left"/>
      </w:pPr>
      <w:r>
        <w:t xml:space="preserve">Two statements in this record were wrong. They are corrected here rather than edited above, so the original remains readable.</w:t>
      </w:r>
    </w:p>
    <w:p>
      <w:pPr>
        <w:spacing w:after="140"/>
        <w:jc w:val="left"/>
      </w:pPr>
      <w:r>
        <w:rPr>
          <w:b/>
          <w:bCs/>
        </w:rPr>
        <w:t xml:space="preserve">The fraud subsample rule was internally inconsistent.</w:t>
      </w:r>
      <w:r>
        <w:t xml:space="preserve"> Sections 9 and 10 said fraud's quantum subsamples would use all 492 positives against matched negatives within a roughly 500-point budget. That is 984 points, nearly double the budget: about 73 minutes per Qiskit Gram matrix at 9 ms per entry, against 19 minutes at 500. The rule is now 250 per class on both datasets, so fraud's positives are themselves subsampled, and each seed draws a different 250 of the 492. That also tests sensitivity to which fraud cases were included. </w:t>
      </w:r>
      <w:r>
        <w:rPr>
          <w:rFonts w:ascii="Consolas" w:cs="Consolas" w:eastAsia="Consolas" w:hAnsi="Consolas"/>
          <w:sz w:val="19"/>
          <w:szCs w:val="19"/>
        </w:rPr>
        <w:t xml:space="preserve">data/README.md</w:t>
      </w:r>
      <w:r>
        <w:t xml:space="preserve"> carries the same correction.</w:t>
      </w:r>
    </w:p>
    <w:p>
      <w:pPr>
        <w:spacing w:after="140"/>
        <w:jc w:val="left"/>
      </w:pPr>
      <w:r>
        <w:rPr>
          <w:b/>
          <w:bCs/>
        </w:rPr>
        <w:t xml:space="preserve">"RFF" was a misnomer.</w:t>
      </w:r>
      <w:r>
        <w:t xml:space="preserve"> The mapping labelled "Random projection (RFF)" in sections 3 and 4.6 is a plain Gaussian random projection, </w:t>
      </w:r>
      <w:r>
        <w:rPr>
          <w:rFonts w:ascii="Consolas" w:cs="Consolas" w:eastAsia="Consolas" w:hAnsi="Consolas"/>
          <w:sz w:val="19"/>
          <w:szCs w:val="19"/>
        </w:rPr>
        <w:t xml:space="preserve">X @ ω</w:t>
      </w:r>
      <w:r>
        <w:t xml:space="preserve">. True random Fourier features are </w:t>
      </w:r>
      <w:r>
        <w:rPr>
          <w:rFonts w:ascii="Consolas" w:cs="Consolas" w:eastAsia="Consolas" w:hAnsi="Consolas"/>
          <w:sz w:val="19"/>
          <w:szCs w:val="19"/>
        </w:rPr>
        <w:t xml:space="preserve">cos(X @ ω + b)</w:t>
      </w:r>
      <w:r>
        <w:t xml:space="preserve">, a randomised approximation of an RBF kernel. The mapping is renamed </w:t>
      </w:r>
      <w:r>
        <w:rPr>
          <w:rFonts w:ascii="Consolas" w:cs="Consolas" w:eastAsia="Consolas" w:hAnsi="Consolas"/>
          <w:sz w:val="19"/>
          <w:szCs w:val="19"/>
        </w:rPr>
        <w:t xml:space="preserve">randproj</w:t>
      </w:r>
      <w:r>
        <w:t xml:space="preserve"> in the code before any results were filed under the old name. The numbers in the tables above are unaffected; only the label was wrong.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2026-09-29T22:08:36.994Z</dcterms:created>
  <dcterms:modified xsi:type="dcterms:W3CDTF">2026-09-29T22:08:36.994Z</dcterms:modified>
</cp:coreProperties>
</file>

<file path=docProps/custom.xml><?xml version="1.0" encoding="utf-8"?>
<Properties xmlns="http://schemas.openxmlformats.org/officeDocument/2006/custom-properties" xmlns:vt="http://schemas.openxmlformats.org/officeDocument/2006/docPropsVTypes"/>
</file>