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6"/>
          <w:szCs w:val="36"/>
        </w:rPr>
        <w:t xml:space="preserve">Auditing a quantum-classical kernel comparison</w:t>
      </w:r>
    </w:p>
    <w:p>
      <w:pPr>
        <w:spacing w:after="360"/>
      </w:pPr>
      <w:r>
        <w:rPr>
          <w:sz w:val="26"/>
          <w:szCs w:val="26"/>
        </w:rPr>
        <w:t xml:space="preserve">a pre-registered null and what its own artefact will support</w:t>
      </w:r>
    </w:p>
    <w:p>
      <w:pPr>
        <w:spacing w:after="140"/>
        <w:jc w:val="left"/>
      </w:pPr>
      <w:r>
        <w:rPr>
          <w:b/>
          <w:bCs/>
        </w:rPr>
        <w:t xml:space="preserve">GENERATED FILE. Do not edit.</w:t>
      </w:r>
      <w:r>
        <w:t xml:space="preserve"> Assembled by </w:t>
      </w:r>
      <w:r>
        <w:rPr>
          <w:rFonts w:ascii="Consolas" w:cs="Consolas" w:eastAsia="Consolas" w:hAnsi="Consolas"/>
          <w:sz w:val="19"/>
          <w:szCs w:val="19"/>
        </w:rPr>
        <w:t xml:space="preserve">scripts/assemble_paper.py</w:t>
      </w:r>
      <w:r>
        <w:t xml:space="preserve"> from the section files listed below. Edit a section and re-run; </w:t>
      </w:r>
      <w:r>
        <w:rPr>
          <w:rFonts w:ascii="Consolas" w:cs="Consolas" w:eastAsia="Consolas" w:hAnsi="Consolas"/>
          <w:sz w:val="19"/>
          <w:szCs w:val="19"/>
        </w:rPr>
        <w:t xml:space="preserve">--check</w:t>
      </w:r>
      <w:r>
        <w:t xml:space="preserve"> fails if this file has drifted from its sources.</w:t>
      </w:r>
    </w:p>
    <w:p>
      <w:pPr>
        <w:spacing w:after="140"/>
        <w:jc w:val="left"/>
      </w:pPr>
      <w:r>
        <w:t xml:space="preserve">Assembled 2026-10-21T00:09:37+00:00 at commit </w:t>
      </w:r>
      <w:r>
        <w:rPr>
          <w:rFonts w:ascii="Consolas" w:cs="Consolas" w:eastAsia="Consolas" w:hAnsi="Consolas"/>
          <w:sz w:val="19"/>
          <w:szCs w:val="19"/>
        </w:rPr>
        <w:t xml:space="preserve">5f06664</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section</w:t>
            </w:r>
          </w:p>
        </w:tc>
        <w:tc>
          <w:tcPr>
            <w:tcW w:type="dxa" w:w="3120"/>
            <w:shd w:fill="EDEDED" w:val="clear"/>
            <w:tcMar>
              <w:top w:type="dxa" w:w="60"/>
              <w:left w:type="dxa" w:w="100"/>
              <w:bottom w:type="dxa" w:w="60"/>
              <w:right w:type="dxa" w:w="100"/>
            </w:tcMar>
          </w:tcPr>
          <w:p>
            <w:pPr>
              <w:spacing w:after="0" w:before="0"/>
            </w:pPr>
            <w:r>
              <w:rPr>
                <w:b/>
                <w:bCs/>
                <w:sz w:val="19"/>
                <w:szCs w:val="19"/>
              </w:rPr>
              <w:t xml:space="preserve">source</w:t>
            </w:r>
          </w:p>
        </w:tc>
        <w:tc>
          <w:tcPr>
            <w:tcW w:type="dxa" w:w="3120"/>
            <w:shd w:fill="EDEDED" w:val="clear"/>
            <w:tcMar>
              <w:top w:type="dxa" w:w="60"/>
              <w:left w:type="dxa" w:w="100"/>
              <w:bottom w:type="dxa" w:w="60"/>
              <w:right w:type="dxa" w:w="100"/>
            </w:tcMar>
          </w:tcPr>
          <w:p>
            <w:pPr>
              <w:spacing w:after="0" w:before="0"/>
            </w:pPr>
            <w:r>
              <w:rPr>
                <w:b/>
                <w:bCs/>
                <w:sz w:val="19"/>
                <w:szCs w:val="19"/>
              </w:rPr>
              <w:t xml:space="preserve">sha256</w:t>
            </w:r>
          </w:p>
        </w:tc>
      </w:tr>
      <w:tr>
        <w:tc>
          <w:tcPr>
            <w:tcW w:type="dxa" w:w="3120"/>
            <w:tcMar>
              <w:top w:type="dxa" w:w="60"/>
              <w:left w:type="dxa" w:w="100"/>
              <w:bottom w:type="dxa" w:w="60"/>
              <w:right w:type="dxa" w:w="100"/>
            </w:tcMar>
          </w:tcPr>
          <w:p>
            <w:pPr>
              <w:spacing w:after="0" w:before="0"/>
            </w:pPr>
            <w:r>
              <w:rPr>
                <w:b w:val="false"/>
                <w:bCs w:val="false"/>
                <w:sz w:val="19"/>
                <w:szCs w:val="19"/>
              </w:rPr>
              <w:t xml:space="preserve">Abstract</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docs/paper-abstract.md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e8de5d9407875e8c</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docs/paper-introduction.md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7e7279f51ce61f94</w:t>
            </w:r>
          </w:p>
        </w:tc>
      </w:tr>
      <w:tr>
        <w:tc>
          <w:tcPr>
            <w:tcW w:type="dxa" w:w="3120"/>
            <w:tcMar>
              <w:top w:type="dxa" w:w="60"/>
              <w:left w:type="dxa" w:w="100"/>
              <w:bottom w:type="dxa" w:w="60"/>
              <w:right w:type="dxa" w:w="100"/>
            </w:tcMar>
          </w:tcPr>
          <w:p>
            <w:pPr>
              <w:spacing w:after="0" w:before="0"/>
            </w:pPr>
            <w:r>
              <w:rPr>
                <w:b w:val="false"/>
                <w:bCs w:val="false"/>
                <w:sz w:val="19"/>
                <w:szCs w:val="19"/>
              </w:rPr>
              <w:t xml:space="preserve">2</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docs/paper-background.md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b77857d2ab111f69</w:t>
            </w:r>
          </w:p>
        </w:tc>
      </w:tr>
      <w:tr>
        <w:tc>
          <w:tcPr>
            <w:tcW w:type="dxa" w:w="3120"/>
            <w:tcMar>
              <w:top w:type="dxa" w:w="60"/>
              <w:left w:type="dxa" w:w="100"/>
              <w:bottom w:type="dxa" w:w="60"/>
              <w:right w:type="dxa" w:w="100"/>
            </w:tcMar>
          </w:tcPr>
          <w:p>
            <w:pPr>
              <w:spacing w:after="0" w:before="0"/>
            </w:pPr>
            <w:r>
              <w:rPr>
                <w:b w:val="false"/>
                <w:bCs w:val="false"/>
                <w:sz w:val="19"/>
                <w:szCs w:val="19"/>
              </w:rPr>
              <w:t xml:space="preserve">3</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docs/paper-design.md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248f7f0f316ea1cf</w:t>
            </w:r>
          </w:p>
        </w:tc>
      </w:tr>
      <w:tr>
        <w:tc>
          <w:tcPr>
            <w:tcW w:type="dxa" w:w="3120"/>
            <w:tcMar>
              <w:top w:type="dxa" w:w="60"/>
              <w:left w:type="dxa" w:w="100"/>
              <w:bottom w:type="dxa" w:w="60"/>
              <w:right w:type="dxa" w:w="100"/>
            </w:tcMar>
          </w:tcPr>
          <w:p>
            <w:pPr>
              <w:spacing w:after="0" w:before="0"/>
            </w:pPr>
            <w:r>
              <w:rPr>
                <w:b w:val="false"/>
                <w:bCs w:val="false"/>
                <w:sz w:val="19"/>
                <w:szCs w:val="19"/>
              </w:rPr>
              <w:t xml:space="preserve">4</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docs/paper-results.md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e240461eba153a25</w:t>
            </w:r>
          </w:p>
        </w:tc>
      </w:tr>
      <w:tr>
        <w:tc>
          <w:tcPr>
            <w:tcW w:type="dxa" w:w="3120"/>
            <w:tcMar>
              <w:top w:type="dxa" w:w="60"/>
              <w:left w:type="dxa" w:w="100"/>
              <w:bottom w:type="dxa" w:w="60"/>
              <w:right w:type="dxa" w:w="100"/>
            </w:tcMar>
          </w:tcPr>
          <w:p>
            <w:pPr>
              <w:spacing w:after="0" w:before="0"/>
            </w:pPr>
            <w:r>
              <w:rPr>
                <w:b w:val="false"/>
                <w:bCs w:val="false"/>
                <w:sz w:val="19"/>
                <w:szCs w:val="19"/>
              </w:rPr>
              <w:t xml:space="preserve">5</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docs/paper-protocol.md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fde9712da551c93d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6</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docs/paper-discussion.md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18453af3c95068b7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7</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docs/paper-deviations-pointer.md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1bfa12527bc78e11</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References</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docs/paper-references.md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958b0237e15ec45f</w:t>
            </w:r>
          </w:p>
        </w:tc>
      </w:tr>
    </w:tbl>
    <w:p>
      <w:pPr>
        <w:spacing w:after="160"/>
      </w:pPr>
    </w:p>
    <w:p>
      <w:pPr>
        <w:spacing w:after="120" w:before="120"/>
      </w:pPr>
    </w:p>
    <w:p>
      <w:pPr>
        <w:pStyle w:val="Heading1"/>
        <w:pageBreakBefore/>
        <w:spacing w:after="200"/>
      </w:pPr>
      <w:r>
        <w:rPr>
          <w:b/>
          <w:bCs/>
          <w:sz w:val="26"/>
          <w:szCs w:val="26"/>
        </w:rPr>
        <w:t xml:space="preserve">Contents</w:t>
      </w:r>
    </w:p>
    <w:sdt>
      <w:sdtPr>
        <w:alias w:val="Contents"/>
      </w:sdtPr>
      <w:sdtContent>
        <w:p>
          <w:r>
            <w:fldChar w:fldCharType="begin" w:dirty="true"/>
            <w:instrText xml:space="preserve">TOC \o "1-3"</w:instrText>
            <w:fldChar w:fldCharType="separate"/>
          </w:r>
        </w:p>
        <w:p>
          <w:r>
            <w:fldChar w:fldCharType="end"/>
          </w:r>
        </w:p>
      </w:sdtContent>
    </w:sdt>
    <w:p>
      <w:pPr>
        <w:pStyle w:val="Heading1"/>
        <w:pageBreakBefore/>
        <w:spacing w:after="200" w:before="0"/>
      </w:pPr>
      <w:r>
        <w:rPr>
          <w:b/>
          <w:bCs/>
          <w:color w:val="000000"/>
          <w:sz w:val="26"/>
          <w:szCs w:val="26"/>
        </w:rPr>
        <w:t xml:space="preserve">Abstract</w:t>
      </w:r>
    </w:p>
    <w:p>
      <w:pPr>
        <w:spacing w:after="140"/>
        <w:jc w:val="left"/>
      </w:pPr>
      <w:r>
        <w:t xml:space="preserve">Can a cheap pre-training quantity tell a practitioner not to bother with a quantum kernel? We pre-registered that question on imbalanced business tabular data, customer churn and credit-card fraud, across 360 units: three mappings, five qubit counts, three training sizes, four quantum settings, twenty seeds, statevector simulation only.</w:t>
      </w:r>
    </w:p>
    <w:p>
      <w:pPr>
        <w:spacing w:after="140"/>
        <w:jc w:val="left"/>
      </w:pPr>
      <w:r>
        <w:t xml:space="preserve">Neither primary cell shows a quantum advantage. On churn both endpoints reject </w:t>
      </w:r>
      <w:r>
        <w:rPr>
          <w:i/>
          <w:iCs/>
        </w:rPr>
        <w:t xml:space="preserve">against</w:t>
      </w:r>
      <w:r>
        <w:t xml:space="preserve"> the quantum kernel, a median deficit of 0.0659 normAP, clearing its true minimum detectable effect by 1.31x. On fraud the test does not reject and is reported as a bound: an advantage above 0.0063 normAP is excluded at 80% power.</w:t>
      </w:r>
    </w:p>
    <w:p>
      <w:pPr>
        <w:spacing w:after="140"/>
        <w:jc w:val="left"/>
      </w:pPr>
      <w:r>
        <w:t xml:space="preserve">For the geometric difference the registered rule returned </w:t>
      </w:r>
      <w:r>
        <w:rPr>
          <w:b/>
          <w:bCs/>
        </w:rPr>
        <w:t xml:space="preserve">no verdict</w:t>
      </w:r>
      <w:r>
        <w:t xml:space="preserve">, because no regularisation column is free of ceiling breaches. That is the rule declining to speak, not a finding that no relationship exists: at the largest regularisation the null </w:t>
      </w:r>
      <w:r>
        <w:rPr>
          <w:i/>
          <w:iCs/>
        </w:rPr>
        <w:t xml:space="preserve">is</w:t>
      </w:r>
      <w:r>
        <w:t xml:space="preserve"> rejected in the predicted direction, yet accounts for 2.9% of rank variance and reverses sign across the sweep, so the quantity is not usable as the screen it is offered as. A third rule, the source's own and one no one had run, selects no parameter at all on 76.5% of units, returning nothing to test.</w:t>
      </w:r>
    </w:p>
    <w:p>
      <w:pPr>
        <w:spacing w:after="140"/>
        <w:jc w:val="left"/>
      </w:pPr>
      <w:r>
        <w:t xml:space="preserve">Seventeen deviation records govern; the recovered pre-rewrite history is now published, so every stored commit identifier resolves.</w:t>
      </w:r>
    </w:p>
    <w:p>
      <w:pPr>
        <w:spacing w:after="120" w:before="120"/>
      </w:pPr>
    </w:p>
    <w:p>
      <w:pPr>
        <w:pStyle w:val="Heading1"/>
        <w:pageBreakBefore/>
        <w:spacing w:after="200" w:before="0"/>
      </w:pPr>
      <w:r>
        <w:rPr>
          <w:b/>
          <w:bCs/>
          <w:color w:val="000000"/>
          <w:sz w:val="26"/>
          <w:szCs w:val="26"/>
        </w:rPr>
        <w:t xml:space="preserve">Section 1 — Introduction</w:t>
      </w:r>
    </w:p>
    <w:p>
      <w:pPr>
        <w:spacing w:after="140"/>
        <w:jc w:val="left"/>
      </w:pPr>
      <w:r>
        <w:t xml:space="preserve">A quantum-classical kernel comparison can be run carefully, pass every test its authors wrote, and still not support the claim made from it. The ways such a comparison fails are mostly not visible in its results: a metric compared across two different nulls, a difference below the arithmetic resolution of the pipeline, power measured on the wrong pairs, an asymmetric quantity carried into code with its arguments the wrong way round. None of these shows up as an error. Each shows up as a number.</w:t>
      </w:r>
    </w:p>
    <w:p>
      <w:pPr>
        <w:spacing w:after="140"/>
        <w:jc w:val="left"/>
      </w:pPr>
      <w:r>
        <w:t xml:space="preserve">This paper is about what a published artefact lets a reader establish, worked through a pre-registered comparison that was built to answer a different question and, in answering it, kept finding that the question behind it was whether anyone could check.</w:t>
      </w:r>
    </w:p>
    <w:p>
      <w:pPr>
        <w:spacing w:after="120" w:before="120"/>
      </w:pPr>
    </w:p>
    <w:p>
      <w:pPr>
        <w:pStyle w:val="Heading2"/>
        <w:spacing w:after="140" w:before="280"/>
      </w:pPr>
      <w:r>
        <w:rPr>
          <w:b/>
          <w:bCs/>
          <w:color w:val="000000"/>
          <w:sz w:val="23"/>
          <w:szCs w:val="23"/>
        </w:rPr>
        <w:t xml:space="preserve">1.1 The registered question</w:t>
      </w:r>
    </w:p>
    <w:p>
      <w:pPr>
        <w:spacing w:after="140"/>
        <w:jc w:val="left"/>
      </w:pPr>
      <w:r>
        <w:t xml:space="preserve">Huang et al.'s geometric difference is used as a screen: compute a cheap quantity from two kernel matrices before training, and learn whether a quantum kernel could outperform a classical one on this data. The practitioner's version is narrower and more useful — can a cheap number tell me </w:t>
      </w:r>
      <w:r>
        <w:rPr>
          <w:b/>
          <w:bCs/>
        </w:rPr>
        <w:t xml:space="preserve">not to bother</w:t>
      </w:r>
      <w:r>
        <w:t xml:space="preserve">?</w:t>
      </w:r>
    </w:p>
    <w:p>
      <w:pPr>
        <w:spacing w:after="140"/>
        <w:jc w:val="left"/>
      </w:pPr>
      <w:r>
        <w:t xml:space="preserve">This study registered that question on imbalanced business tabular data, where the claim matters commercially and where the literature's benchmarks mostly are not: Telco customer churn and credit-card fraud, 360 pre-registered units across three feature mappings, five qubit counts, three training sizes and four quantum settings, twenty seeds each.</w:t>
      </w:r>
    </w:p>
    <w:p>
      <w:pPr>
        <w:spacing w:after="120" w:before="120"/>
      </w:pPr>
    </w:p>
    <w:p>
      <w:pPr>
        <w:pStyle w:val="Heading2"/>
        <w:spacing w:after="140" w:before="280"/>
      </w:pPr>
      <w:r>
        <w:rPr>
          <w:b/>
          <w:bCs/>
          <w:color w:val="000000"/>
          <w:sz w:val="23"/>
          <w:szCs w:val="23"/>
        </w:rPr>
        <w:t xml:space="preserve">1.2 What this paper reports</w:t>
      </w:r>
    </w:p>
    <w:p>
      <w:pPr>
        <w:spacing w:after="140"/>
        <w:jc w:val="left"/>
      </w:pPr>
      <w:r>
        <w:rPr>
          <w:b/>
          <w:bCs/>
        </w:rPr>
        <w:t xml:space="preserve">A screen that is not usable, within its tested scope.</w:t>
      </w:r>
      <w:r>
        <w:t xml:space="preserve"> On those 360 units the registered decision rule returns no verdict, because no regularisation column is free of ceiling breaches under any of three λ rules evaluated — a rule declining to speak, not a finding that no relationship exists. The third of those rules is the one Huang's own source prints, and it turned out not to select a λ at all on </w:t>
      </w:r>
      <w:r>
        <w:rPr>
          <w:b/>
          <w:bCs/>
        </w:rPr>
        <w:t xml:space="preserve">76.5%</w:t>
      </w:r>
      <w:r>
        <w:t xml:space="preserve"> of the units: on 81.3% of them his λ rule and his √N ceiling cannot both be satisfied. Neither this study nor the peer-reviewed paper that inherited the quantity had ever run it. At λ = 0.1, the only column where all 360 units survive, the null </w:t>
      </w:r>
      <w:r>
        <w:rPr>
          <w:i/>
          <w:iCs/>
        </w:rPr>
        <w:t xml:space="preserve">is</w:t>
      </w:r>
      <w:r>
        <w:t xml:space="preserve"> rejected and in the predicted direction: rho = +0.17, p = 1.1e-03. That relationship accounts for </w:t>
      </w:r>
      <w:r>
        <w:rPr>
          <w:b/>
          <w:bCs/>
        </w:rPr>
        <w:t xml:space="preserve">under three percent of the rank variance</w:t>
      </w:r>
      <w:r>
        <w:t xml:space="preserve"> and </w:t>
      </w:r>
      <w:r>
        <w:rPr>
          <w:b/>
          <w:bCs/>
        </w:rPr>
        <w:t xml:space="preserve">reverses sign</w:t>
      </w:r>
      <w:r>
        <w:t xml:space="preserve"> across the regularisation sweep — to −0.38 at λ = 1e-3 — so what it appears to say depends on a parameter the practitioner chooses. A quantity explaining three percent of rank variance, whose sign moves with a free parameter, cannot tell a practitioner not to bother. Alongside it, no quantum advantage at either primary cell: on churn a measured classical advantage, on fraud an exclusion bound.</w:t>
      </w:r>
    </w:p>
    <w:p>
      <w:pPr>
        <w:spacing w:after="140"/>
        <w:jc w:val="left"/>
      </w:pPr>
      <w:r>
        <w:rPr>
          <w:b/>
          <w:bCs/>
        </w:rPr>
        <w:t xml:space="preserve">An audit procedure that separates three things published work routinely merges</w:t>
      </w:r>
      <w:r>
        <w:t xml:space="preserve">: a measurement, a refusal, and an unsupported claim. A measurement says what a quantity is. A refusal says the file cannot answer a question and names which. An unsupported claim is an assertion its own artefact does not license. The procedure's output is mostly refusals, and the paper is explicit that a refusal is not a finding about the audited work.</w:t>
      </w:r>
    </w:p>
    <w:p>
      <w:pPr>
        <w:spacing w:after="140"/>
        <w:jc w:val="left"/>
      </w:pPr>
      <w:r>
        <w:rPr>
          <w:b/>
          <w:bCs/>
        </w:rPr>
        <w:t xml:space="preserve">A record format whose value is a property of the format.</w:t>
      </w:r>
      <w:r>
        <w:t xml:space="preserve"> A results file carrying the fields in §5.2 can be audited by a stranger in seconds, without the pipeline that produced it, and the audit states which questions that file cannot answer. This is the one claim here made without qualification.</w:t>
      </w:r>
    </w:p>
    <w:p>
      <w:pPr>
        <w:spacing w:after="140"/>
        <w:jc w:val="left"/>
      </w:pPr>
      <w:r>
        <w:rPr>
          <w:b/>
          <w:bCs/>
        </w:rPr>
        <w:t xml:space="preserve">Source-to-implementation checking, with results.</w:t>
      </w:r>
      <w:r>
        <w:t xml:space="preserve"> Reading two papers at source rather than in rendering, and comparing against their released code, established that an asymmetric quantity is introduced in an appendix with its arguments reversed relative to the main text and without relabelling, and that the reversal propagates into a peer-reviewed paper whose equation, code and stated interpretation all agree with one another. Applied to this project itself, the same procedure established that </w:t>
      </w:r>
      <w:r>
        <w:rPr>
          <w:b/>
          <w:bCs/>
        </w:rPr>
        <w:t xml:space="preserve">every one of its 15,120 result records stores a code identifier no reader can resolve</w:t>
      </w:r>
      <w:r>
        <w:t xml:space="preserve">.</w:t>
      </w:r>
    </w:p>
    <w:p>
      <w:pPr>
        <w:spacing w:after="120" w:before="120"/>
      </w:pPr>
    </w:p>
    <w:p>
      <w:pPr>
        <w:pStyle w:val="Heading2"/>
        <w:spacing w:after="140" w:before="280"/>
      </w:pPr>
      <w:r>
        <w:rPr>
          <w:b/>
          <w:bCs/>
          <w:color w:val="000000"/>
          <w:sz w:val="23"/>
          <w:szCs w:val="23"/>
        </w:rPr>
        <w:t xml:space="preserve">1.3 What this paper does not claim</w:t>
      </w:r>
    </w:p>
    <w:p>
      <w:pPr>
        <w:spacing w:after="140"/>
        <w:jc w:val="left"/>
      </w:pPr>
      <w:r>
        <w:t xml:space="preserve">Stated here rather than left to the discussion, because each is a claim a reader might reasonably expect and none is supported.</w:t>
      </w:r>
    </w:p>
    <w:p>
      <w:pPr>
        <w:spacing w:after="140"/>
        <w:jc w:val="left"/>
      </w:pPr>
      <w:r>
        <w:rPr>
          <w:b/>
          <w:bCs/>
        </w:rPr>
        <w:t xml:space="preserve">Not that the geometric difference is invalid in general.</w:t>
      </w:r>
      <w:r>
        <w:t xml:space="preserve"> It was measured on one grid, with one treatment of its regularisation parameter, on two datasets, one of which is saturated at every training size tested. A quantity can be uninformative where it was measured and informative elsewhere, and nothing here separates those cases.</w:t>
      </w:r>
    </w:p>
    <w:p>
      <w:pPr>
        <w:spacing w:after="140"/>
        <w:jc w:val="left"/>
      </w:pPr>
      <w:r>
        <w:rPr>
          <w:b/>
          <w:bCs/>
        </w:rPr>
        <w:t xml:space="preserve">Not that it carries no signal.</w:t>
      </w:r>
      <w:r>
        <w:t xml:space="preserve"> At the one breach-free regularisation column the relationship is statistically detectable and runs in the predicted direction. The claim above is about usability — an effect of that size, with that sign instability, cannot support a go/no-go decision — and not about absence.</w:t>
      </w:r>
    </w:p>
    <w:p>
      <w:pPr>
        <w:spacing w:after="140"/>
        <w:jc w:val="left"/>
      </w:pPr>
      <w:r>
        <w:rPr>
          <w:b/>
          <w:bCs/>
        </w:rPr>
        <w:t xml:space="preserve">Not that the audit detects defects in other people's pipelines.</w:t>
      </w:r>
      <w:r>
        <w:t xml:space="preserve"> On the one occasion these checks met records they were not designed around, they produced one measurement and eight refusals and </w:t>
      </w:r>
      <w:r>
        <w:rPr>
          <w:b/>
          <w:bCs/>
        </w:rPr>
        <w:t xml:space="preserve">found no defect, nor were they looking for one</w:t>
      </w:r>
      <w:r>
        <w:t xml:space="preserve">. Whether they would detect an error in unfamiliar work is, on one case, unevidenced either way.</w:t>
      </w:r>
    </w:p>
    <w:p>
      <w:pPr>
        <w:spacing w:after="140"/>
        <w:jc w:val="left"/>
      </w:pPr>
      <w:r>
        <w:rPr>
          <w:b/>
          <w:bCs/>
        </w:rPr>
        <w:t xml:space="preserve">Not that the protocol is validated.</w:t>
      </w:r>
      <w:r>
        <w:t xml:space="preserve"> Every records-level and kernel-level check was written after the defect it catches. The instrument has needed repair seven times in public, three times because the tool was wrong and four times because its authors stated something their own data does not support. Two of the seven are the same lesson twice: a superseded exclusion bound that the confirmatory script printed for eleven days after the correction was written, pinned in place by a regression test, and the registered adjudicator of grid adequacy, which printed a verdict its own record had withdrawn for three weeks. Nothing in the protocol caught either, because nothing in the protocol reads this project's own analysis and reporting code.</w:t>
      </w:r>
    </w:p>
    <w:p>
      <w:pPr>
        <w:spacing w:after="140"/>
        <w:jc w:val="left"/>
      </w:pPr>
      <w:r>
        <w:rPr>
          <w:b/>
          <w:bCs/>
        </w:rPr>
        <w:t xml:space="preserve">Not that the findings about published work are errors in their conclusions.</w:t>
      </w:r>
      <w:r>
        <w:t xml:space="preserve"> They are statements that a claim cannot be checked from the published artefact without going to source. In the orientation case the ambiguity originates upstream of the authors who inherited it.</w:t>
      </w:r>
    </w:p>
    <w:p>
      <w:pPr>
        <w:spacing w:after="120" w:before="120"/>
      </w:pPr>
    </w:p>
    <w:p>
      <w:pPr>
        <w:pStyle w:val="Heading2"/>
        <w:spacing w:after="140" w:before="280"/>
      </w:pPr>
      <w:r>
        <w:rPr>
          <w:b/>
          <w:bCs/>
          <w:color w:val="000000"/>
          <w:sz w:val="23"/>
          <w:szCs w:val="23"/>
        </w:rPr>
        <w:t xml:space="preserve">1.4 How to read this</w:t>
      </w:r>
    </w:p>
    <w:p>
      <w:pPr>
        <w:spacing w:after="140"/>
        <w:jc w:val="left"/>
      </w:pPr>
      <w:r>
        <w:t xml:space="preserve">Section 2 establishes what the geometric difference is, what its bound does and does not assert, and how its arguments compose — the derivation the rest depends on. Section 3 traces the registered design and marks every subsequent amendment. Section 4 reports the results, with its limitations in §4.7. Section 5 is the protocol: what is tooling, what is a reading procedure, what each costs, and §5.6, which argues against the contribution. Section 6 bounds what all of it supports. Section 7 points at the deviation records, which govern wherever they and the pre-registration disagree.</w:t>
      </w:r>
    </w:p>
    <w:p>
      <w:pPr>
        <w:spacing w:after="140"/>
        <w:jc w:val="left"/>
      </w:pPr>
      <w:r>
        <w:t xml:space="preserve">A reader with limited time and a sceptical disposition should read §5.6 and §6.3 first. They are where this paper says what its evidence will not carry.</w:t>
      </w:r>
    </w:p>
    <w:p>
      <w:pPr>
        <w:spacing w:after="120" w:before="120"/>
      </w:pPr>
    </w:p>
    <w:p>
      <w:pPr>
        <w:pStyle w:val="Heading1"/>
        <w:pageBreakBefore/>
        <w:spacing w:after="200" w:before="0"/>
      </w:pPr>
      <w:r>
        <w:rPr>
          <w:b/>
          <w:bCs/>
          <w:color w:val="000000"/>
          <w:sz w:val="26"/>
          <w:szCs w:val="26"/>
        </w:rPr>
        <w:t xml:space="preserve">Section 2 — Background: the geometric difference and its ordered arguments</w:t>
      </w:r>
    </w:p>
    <w:p>
      <w:pPr>
        <w:spacing w:after="140"/>
        <w:jc w:val="left"/>
      </w:pPr>
      <w:r>
        <w:rPr>
          <w:b/>
          <w:bCs/>
        </w:rPr>
        <w:t xml:space="preserve">Draft, 3 October 2026.</w:t>
      </w:r>
      <w:r>
        <w:t xml:space="preserve"> Written under the framing recorded in D15.</w:t>
      </w:r>
    </w:p>
    <w:p>
      <w:pPr>
        <w:spacing w:after="140"/>
        <w:jc w:val="left"/>
      </w:pPr>
      <w:r>
        <w:t xml:space="preserve">This section states what the geometric difference is, what Huang's bound does and does not claim, and what happens to both when an asymmetric quantity is carried from a paper into code. Throughout, three things are kept apart and labelled: </w:t>
      </w:r>
      <w:r>
        <w:rPr>
          <w:b/>
          <w:bCs/>
        </w:rPr>
        <w:t xml:space="preserve">what a source states</w:t>
      </w:r>
      <w:r>
        <w:t xml:space="preserve">, </w:t>
      </w:r>
      <w:r>
        <w:rPr>
          <w:b/>
          <w:bCs/>
        </w:rPr>
        <w:t xml:space="preserve">what an implementation does</w:t>
      </w:r>
      <w:r>
        <w:t xml:space="preserve">, and </w:t>
      </w:r>
      <w:r>
        <w:rPr>
          <w:b/>
          <w:bCs/>
        </w:rPr>
        <w:t xml:space="preserve">what this project verified by comparing them</w:t>
      </w:r>
      <w:r>
        <w:t xml:space="preserve">. That separation is not stylistic. The errors this section documents live exactly in the gap between the three.</w:t>
      </w:r>
    </w:p>
    <w:p>
      <w:pPr>
        <w:spacing w:after="120" w:before="120"/>
      </w:pPr>
    </w:p>
    <w:p>
      <w:pPr>
        <w:pStyle w:val="Heading2"/>
        <w:spacing w:after="140" w:before="280"/>
      </w:pPr>
      <w:r>
        <w:rPr>
          <w:b/>
          <w:bCs/>
          <w:color w:val="000000"/>
          <w:sz w:val="23"/>
          <w:szCs w:val="23"/>
        </w:rPr>
        <w:t xml:space="preserve">2.1 The quantity</w:t>
      </w:r>
    </w:p>
    <w:p>
      <w:pPr>
        <w:spacing w:after="140"/>
        <w:jc w:val="left"/>
      </w:pPr>
      <w:r>
        <w:t xml:space="preserve">Huang et al. introduce the geometric difference to answer a question about </w:t>
      </w:r>
      <w:r>
        <w:rPr>
          <w:i/>
          <w:iCs/>
        </w:rPr>
        <w:t xml:space="preserve">model complexity</w:t>
      </w:r>
      <w:r>
        <w:t xml:space="preserve"> rather than about accuracy: given a function a model with kernel K¹ can represent, how much complexity does a model with kernel K² need to reproduce it?</w:t>
      </w:r>
    </w:p>
    <w:p>
      <w:pPr>
        <w:spacing w:after="140"/>
        <w:jc w:val="left"/>
      </w:pPr>
      <w:r>
        <w:rPr>
          <w:b/>
          <w:bCs/>
        </w:rPr>
        <w:t xml:space="preserve">Source states</w:t>
      </w:r>
      <w:r>
        <w:t xml:space="preserve"> (arXiv:2011.01938, read from the e-print LaTeX; see 2.6 for provenance). Equation (5):</w:t>
      </w:r>
    </w:p>
    <w:p>
      <w:pPr>
        <w:pBdr>
          <w:left w:val="single" w:color="999999" w:sz="12" w:space="8"/>
        </w:pBdr>
        <w:spacing w:after="120" w:before="120"/>
        <w:ind w:left="360"/>
      </w:pPr>
      <w:r>
        <w:rPr>
          <w:i/>
          <w:iCs/>
        </w:rPr>
        <w:t xml:space="preserve">g(K¹ ‖ K²) = sqrt( ‖ sqrt(K²) (K¹)⁻¹ sqrt(K²) ‖_∞ )</w:t>
      </w:r>
    </w:p>
    <w:p>
      <w:pPr>
        <w:spacing w:after="140"/>
        <w:jc w:val="left"/>
      </w:pPr>
      <w:r>
        <w:t xml:space="preserve">with ‖·‖_∞ the spectral norm and the normalisation tr(K¹) = tr(K²) = N, N the number of training samples. The accompanying bound is</w:t>
      </w:r>
    </w:p>
    <w:p>
      <w:pPr>
        <w:pBdr>
          <w:left w:val="single" w:color="999999" w:sz="12" w:space="8"/>
        </w:pBdr>
        <w:spacing w:after="120" w:before="120"/>
        <w:ind w:left="360"/>
      </w:pPr>
      <w:r>
        <w:rPr>
          <w:i/>
          <w:iCs/>
        </w:rPr>
        <w:t xml:space="preserve">s_{K¹} ≤ g(K¹ ‖ K²)² · s_{K²}</w:t>
      </w:r>
    </w:p>
    <w:p>
      <w:pPr>
        <w:spacing w:after="140"/>
        <w:jc w:val="left"/>
      </w:pPr>
      <w:r>
        <w:t xml:space="preserve">where s_K is the model complexity under kernel K.</w:t>
      </w:r>
    </w:p>
    <w:p>
      <w:pPr>
        <w:spacing w:after="140"/>
        <w:jc w:val="left"/>
      </w:pPr>
      <w:r>
        <w:t xml:space="preserve">Three properties follow from the printed definition and matter for everything after.</w:t>
      </w:r>
    </w:p>
    <w:p>
      <w:pPr>
        <w:spacing w:after="140"/>
        <w:jc w:val="left"/>
      </w:pPr>
      <w:r>
        <w:rPr>
          <w:b/>
          <w:bCs/>
        </w:rPr>
        <w:t xml:space="preserve">It is asymmetric.</w:t>
      </w:r>
      <w:r>
        <w:t xml:space="preserve"> The inverse falls on the first argument and the outer square roots on the second. g(K¹‖K²) and g(K²‖K¹) are different numbers, and nothing in the notation prevents one being used where the other is meant.</w:t>
      </w:r>
    </w:p>
    <w:p>
      <w:pPr>
        <w:spacing w:after="140"/>
        <w:jc w:val="left"/>
      </w:pPr>
      <w:r>
        <w:rPr>
          <w:b/>
          <w:bCs/>
        </w:rPr>
        <w:t xml:space="preserve">It is a necessary condition, not a sufficient one.</w:t>
      </w:r>
      <w:r>
        <w:t xml:space="preserve"> Source states: </w:t>
      </w:r>
      <w:r>
        <w:rPr>
          <w:i/>
          <w:iCs/>
        </w:rPr>
        <w:t xml:space="preserve">"if the geometric difference is small, then a classical ML method is guaranteed to provide similar or better performance"</w:t>
      </w:r>
      <w:r>
        <w:t xml:space="preserve">, and </w:t>
      </w:r>
      <w:r>
        <w:rPr>
          <w:i/>
          <w:iCs/>
        </w:rPr>
        <w:t xml:space="preserve">"if g_CQ is large we show that there exists a data set with s_C = g²_CQ s_Q"</w:t>
      </w:r>
      <w:r>
        <w:t xml:space="preserve"> with the quantum model performing better. A large g establishes that </w:t>
      </w:r>
      <w:r>
        <w:rPr>
          <w:b/>
          <w:bCs/>
        </w:rPr>
        <w:t xml:space="preserve">some</w:t>
      </w:r>
      <w:r>
        <w:t xml:space="preserve"> dataset exists on which the quantum model wins. It does not establish that any particular dataset is such a dataset.</w:t>
      </w:r>
    </w:p>
    <w:p>
      <w:pPr>
        <w:spacing w:after="140"/>
        <w:jc w:val="left"/>
      </w:pPr>
      <w:r>
        <w:rPr>
          <w:b/>
          <w:bCs/>
        </w:rPr>
        <w:t xml:space="preserve">It is bounded.</w:t>
      </w:r>
      <w:r>
        <w:t xml:space="preserve"> With the trace normalisation above, g cannot exceed √N. A value above that ceiling reports that the inverse is under-regularised, not that the kernels are far apart.</w:t>
      </w:r>
    </w:p>
    <w:p>
      <w:pPr>
        <w:spacing w:after="140"/>
        <w:jc w:val="left"/>
      </w:pPr>
      <w:r>
        <w:t xml:space="preserve">The screening quantity is therefore </w:t>
      </w:r>
      <w:r>
        <w:rPr>
          <w:b/>
          <w:bCs/>
        </w:rPr>
        <w:t xml:space="preserve">g(K_C ‖ K_Q)</w:t>
      </w:r>
      <w:r>
        <w:t xml:space="preserve"> — classical first, so the classical kernel is the one inverted — and it must be large for a quantum advantage to be possible at all.</w:t>
      </w:r>
    </w:p>
    <w:p>
      <w:pPr>
        <w:spacing w:after="120" w:before="120"/>
      </w:pPr>
    </w:p>
    <w:p>
      <w:pPr>
        <w:pStyle w:val="Heading2"/>
        <w:spacing w:after="140" w:before="280"/>
      </w:pPr>
      <w:r>
        <w:rPr>
          <w:b/>
          <w:bCs/>
          <w:color w:val="000000"/>
          <w:sz w:val="23"/>
          <w:szCs w:val="23"/>
        </w:rPr>
        <w:t xml:space="preserve">2.2 The regularised form, and a reversal inside the source</w:t>
      </w:r>
    </w:p>
    <w:p>
      <w:pPr>
        <w:spacing w:after="140"/>
        <w:jc w:val="left"/>
      </w:pPr>
      <w:r>
        <w:t xml:space="preserve">An exact inverse is unusable on an ill-conditioned Gram matrix, so the regularised form is what anyone computes.</w:t>
      </w:r>
    </w:p>
    <w:p>
      <w:pPr>
        <w:spacing w:after="140"/>
        <w:jc w:val="left"/>
      </w:pPr>
      <w:r>
        <w:rPr>
          <w:b/>
          <w:bCs/>
        </w:rPr>
        <w:t xml:space="preserve">Source states.</w:t>
      </w:r>
      <w:r>
        <w:t xml:space="preserve"> Appendix F, Equation (F19):</w:t>
      </w:r>
    </w:p>
    <w:p>
      <w:pPr>
        <w:pBdr>
          <w:left w:val="single" w:color="999999" w:sz="12" w:space="8"/>
        </w:pBdr>
        <w:spacing w:after="120" w:before="120"/>
        <w:ind w:left="360"/>
      </w:pPr>
      <w:r>
        <w:rPr>
          <w:i/>
          <w:iCs/>
        </w:rPr>
        <w:t xml:space="preserve">g_gen = sqrt( ‖ sqrt(K¹) sqrt(K²) (K² + λI)⁻² sqrt(K²) sqrt(K¹) ‖_∞ )</w:t>
      </w:r>
    </w:p>
    <w:p>
      <w:pPr>
        <w:spacing w:after="140"/>
        <w:jc w:val="left"/>
      </w:pPr>
      <w:r>
        <w:t xml:space="preserve">and (F20):</w:t>
      </w:r>
    </w:p>
    <w:p>
      <w:pPr>
        <w:pBdr>
          <w:left w:val="single" w:color="999999" w:sz="12" w:space="8"/>
        </w:pBdr>
        <w:spacing w:after="120" w:before="120"/>
        <w:ind w:left="360"/>
      </w:pPr>
      <w:r>
        <w:rPr>
          <w:i/>
          <w:iCs/>
        </w:rPr>
        <w:t xml:space="preserve">g_tra = λ · sqrt( ‖ sqrt(K¹) (K² + λI)⁻² sqrt(K¹) ‖_∞ )</w:t>
      </w:r>
    </w:p>
    <w:p>
      <w:pPr>
        <w:spacing w:after="140"/>
        <w:jc w:val="left"/>
      </w:pPr>
      <w:r>
        <w:rPr>
          <w:b/>
          <w:bCs/>
        </w:rPr>
        <w:t xml:space="preserve">The regularised inverse is on K², the second argument. In Equation (5) it was on the first.</w:t>
      </w:r>
    </w:p>
    <w:p>
      <w:pPr>
        <w:spacing w:after="140"/>
        <w:jc w:val="left"/>
      </w:pPr>
      <w:r>
        <w:rPr>
          <w:b/>
          <w:bCs/>
        </w:rPr>
        <w:t xml:space="preserve">This project verified</w:t>
      </w:r>
      <w:r>
        <w:t xml:space="preserve"> that this is not an inconsistency, and the identification matters enough to show rather than assert.</w:t>
      </w:r>
    </w:p>
    <w:p>
      <w:pPr>
        <w:spacing w:after="140"/>
        <w:jc w:val="left"/>
      </w:pPr>
      <w:r>
        <w:rPr>
          <w:b/>
          <w:bCs/>
        </w:rPr>
        <w:t xml:space="preserve">Source states</w:t>
      </w:r>
      <w:r>
        <w:t xml:space="preserve">, in Appendix F, the bound that accompanies F19:</w:t>
      </w:r>
    </w:p>
    <w:p>
      <w:pPr>
        <w:pBdr>
          <w:left w:val="single" w:color="999999" w:sz="12" w:space="8"/>
        </w:pBdr>
        <w:spacing w:after="120" w:before="120"/>
        <w:ind w:left="360"/>
      </w:pPr>
      <w:r>
        <w:rPr>
          <w:i/>
          <w:iCs/>
        </w:rPr>
        <w:t xml:space="preserve">s_{K²} ≤ g_gen² · s_{K¹}</w:t>
      </w:r>
    </w:p>
    <w:p>
      <w:pPr>
        <w:spacing w:after="140"/>
        <w:jc w:val="left"/>
      </w:pPr>
      <w:r>
        <w:rPr>
          <w:b/>
          <w:bCs/>
        </w:rPr>
        <w:t xml:space="preserve">The bound alone does not identify g_gen.</w:t>
      </w:r>
      <w:r>
        <w:t xml:space="preserve"> An inequality is satisfied by any coefficient larger than the smallest one that works, so </w:t>
      </w:r>
      <w:r>
        <w:rPr>
          <w:rFonts w:ascii="Consolas" w:cs="Consolas" w:eastAsia="Consolas" w:hAnsi="Consolas"/>
          <w:sz w:val="19"/>
          <w:szCs w:val="19"/>
        </w:rPr>
        <w:t xml:space="preserve">s_{K²} ≤ g_gen² s_{K¹}</w:t>
      </w:r>
      <w:r>
        <w:t xml:space="preserve"> is consistent with g_gen being g(K²‖K¹) and with its being anything larger. The bound tells us which </w:t>
      </w:r>
      <w:r>
        <w:rPr>
          <w:i/>
          <w:iCs/>
        </w:rPr>
        <w:t xml:space="preserve">direction</w:t>
      </w:r>
      <w:r>
        <w:t xml:space="preserve"> the appendix is reasoning in; it cannot tell us which quantity g_gen </w:t>
      </w:r>
      <w:r>
        <w:rPr>
          <w:i/>
          <w:iCs/>
        </w:rPr>
        <w:t xml:space="preserve">is</w:t>
      </w:r>
      <w:r>
        <w:t xml:space="preserve">.</w:t>
      </w:r>
    </w:p>
    <w:p>
      <w:pPr>
        <w:spacing w:after="140"/>
        <w:jc w:val="left"/>
      </w:pPr>
      <w:r>
        <w:rPr>
          <w:b/>
          <w:bCs/>
        </w:rPr>
        <w:t xml:space="preserve">The defining expressions do identify it.</w:t>
      </w:r>
      <w:r>
        <w:t xml:space="preserve"> Take F19's λ → 0 limit directly. The middle factor </w:t>
      </w:r>
      <w:r>
        <w:rPr>
          <w:rFonts w:ascii="Consolas" w:cs="Consolas" w:eastAsia="Consolas" w:hAnsi="Consolas"/>
          <w:sz w:val="19"/>
          <w:szCs w:val="19"/>
        </w:rPr>
        <w:t xml:space="preserve">sqrt(K²)(K² + λI)⁻² sqrt(K²)</w:t>
      </w:r>
      <w:r>
        <w:t xml:space="preserve"> has eigenvalues μ/(μ+λ)² over K²'s spectrum, which tend to 1/μ, so that factor tends to (K²)⁻¹ and</w:t>
      </w:r>
    </w:p>
    <w:p>
      <w:pPr>
        <w:spacing w:after="40" w:before="40"/>
        <w:ind w:left="360"/>
      </w:pPr>
      <w:r>
        <w:rPr>
          <w:rFonts w:ascii="Consolas" w:cs="Consolas" w:eastAsia="Consolas" w:hAnsi="Consolas"/>
          <w:sz w:val="19"/>
          <w:szCs w:val="19"/>
        </w:rPr>
        <w:t xml:space="preserve">F19(K¹, K²)  -&gt;  sqrt( ‖ sqrt(K¹) (K²)⁻¹ sqrt(K¹) ‖_∞ )   as λ -&gt; 0</w:t>
      </w:r>
    </w:p>
    <w:p>
      <w:pPr>
        <w:spacing w:after="120"/>
      </w:pPr>
    </w:p>
    <w:p>
      <w:pPr>
        <w:spacing w:after="140"/>
        <w:jc w:val="left"/>
      </w:pPr>
      <w:r>
        <w:t xml:space="preserve">Equation (5)'s template is: </w:t>
      </w:r>
      <w:r>
        <w:rPr>
          <w:b/>
          <w:bCs/>
        </w:rPr>
        <w:t xml:space="preserve">invert the first argument, take outer roots of the second.</w:t>
      </w:r>
      <w:r>
        <w:t xml:space="preserve"> Matching, the inverted matrix is K² and the outer roots are K¹, so the limit is g(K² ‖ K¹). Verified numerically on a constructed pair: at λ = 1e-10 the two agree to a relative error of 7.5e-07, while the opposite orientation g(K¹‖K²) differs by a factor of 3.46, so the limit discriminates between them rather than being satisfied by both.</w:t>
      </w:r>
    </w:p>
    <w:p>
      <w:pPr>
        <w:spacing w:after="140"/>
        <w:jc w:val="left"/>
      </w:pPr>
      <w:r>
        <w:t xml:space="preserve">So </w:t>
      </w:r>
      <w:r>
        <w:rPr>
          <w:b/>
          <w:bCs/>
        </w:rPr>
        <w:t xml:space="preserve">g_gen = g(K² ‖ K¹)</w:t>
      </w:r>
      <w:r>
        <w:t xml:space="preserve"> follows from the expressions, with the Appendix F bound as independent corroboration of the direction. The ordered comparison is reversed between the main text and the appendix, deliberately and for a stated reason.</w:t>
      </w:r>
    </w:p>
    <w:p>
      <w:pPr>
        <w:spacing w:after="140"/>
        <w:jc w:val="left"/>
      </w:pPr>
      <w:r>
        <w:rPr>
          <w:b/>
          <w:bCs/>
        </w:rPr>
        <w:t xml:space="preserve">What is still assumed.</w:t>
      </w:r>
      <w:r>
        <w:t xml:space="preserve"> Only that F19 is transcribed correctly, which the e-print source in 2.6 establishes, and that the appendix intends F19 as the regularised form of the same functional — which its own λ → 0 limit is the evidence for.</w:t>
      </w:r>
    </w:p>
    <w:p>
      <w:pPr>
        <w:spacing w:after="140"/>
        <w:jc w:val="left"/>
      </w:pPr>
      <w:r>
        <w:rPr>
          <w:b/>
          <w:bCs/>
        </w:rPr>
        <w:t xml:space="preserve">What is nonetheless true of the notation.</w:t>
      </w:r>
      <w:r>
        <w:t xml:space="preserve"> The appendix presents F19 as the regularised geometric difference and does not relabel it as the reversed comparison, while the main text directs the reader to the appendix for the detailed derivation. A reader who takes F19 as "the regularised Equation (5)" and substitutes K¹ = K_C, K² = K_Q obtains the reverse of the screening quantity. </w:t>
      </w:r>
      <w:r>
        <w:rPr>
          <w:b/>
          <w:bCs/>
        </w:rPr>
        <w:t xml:space="preserve">That is the trap this section exists to document</w:t>
      </w:r>
      <w:r>
        <w:t xml:space="preserve">, and it is not hypothetical: section 2.4 shows it closing on a peer-reviewed paper.</w:t>
      </w:r>
    </w:p>
    <w:p>
      <w:pPr>
        <w:spacing w:after="120" w:before="120"/>
      </w:pPr>
    </w:p>
    <w:p>
      <w:pPr>
        <w:pStyle w:val="Heading2"/>
        <w:spacing w:after="140" w:before="280"/>
      </w:pPr>
      <w:r>
        <w:rPr>
          <w:b/>
          <w:bCs/>
          <w:color w:val="000000"/>
          <w:sz w:val="23"/>
          <w:szCs w:val="23"/>
        </w:rPr>
        <w:t xml:space="preserve">2.3 What λ is, and what it is not</w:t>
      </w:r>
    </w:p>
    <w:p>
      <w:pPr>
        <w:spacing w:after="140"/>
        <w:jc w:val="left"/>
      </w:pPr>
      <w:r>
        <w:rPr>
          <w:b/>
          <w:bCs/>
        </w:rPr>
        <w:t xml:space="preserve">Source states.</w:t>
      </w:r>
      <w:r>
        <w:t xml:space="preserve"> Huang reports g_gen </w:t>
      </w:r>
      <w:r>
        <w:rPr>
          <w:i/>
          <w:iCs/>
        </w:rPr>
        <w:t xml:space="preserve">"with the largest λ such that the training error g_tra ≤ 0.045"</w:t>
      </w:r>
      <w:r>
        <w:t xml:space="preserve">, selected from the grid {1e-5, 1e-4, 1e-3, 1e-2, 0.025, 0.05, 0.1}. </w:t>
      </w:r>
      <w:r>
        <w:rPr>
          <w:b/>
          <w:bCs/>
        </w:rPr>
        <w:t xml:space="preserve">This project verified</w:t>
      </w:r>
      <w:r>
        <w:t xml:space="preserve"> that the source is internally inconsistent on the boundary, writing ≤ 0.045 in one place and &lt; 0.045 in the numerical-details passage; exact equality is unlikely to bind in floating point, and the discrepancy is recorded rather than resolved.</w:t>
      </w:r>
    </w:p>
    <w:p>
      <w:pPr>
        <w:spacing w:after="140"/>
        <w:jc w:val="left"/>
      </w:pPr>
      <w:r>
        <w:rPr>
          <w:b/>
          <w:bCs/>
        </w:rPr>
        <w:t xml:space="preserve">g is not a property of a kernel pair.</w:t>
      </w:r>
      <w:r>
        <w:t xml:space="preserve"> It is a property of a kernel pair </w:t>
      </w:r>
      <w:r>
        <w:rPr>
          <w:i/>
          <w:iCs/>
        </w:rPr>
        <w:t xml:space="preserve">and a λ</w:t>
      </w:r>
      <w:r>
        <w:t xml:space="preserve">. The two constraints pull in opposite directions: g_tra increases with λ, so the ≤ 0.045 rule bounds λ from </w:t>
      </w:r>
      <w:r>
        <w:rPr>
          <w:b/>
          <w:bCs/>
        </w:rPr>
        <w:t xml:space="preserve">above</w:t>
      </w:r>
      <w:r>
        <w:t xml:space="preserve">, while an unregularised inverse drives g over its √N ceiling, which bounds λ from </w:t>
      </w:r>
      <w:r>
        <w:rPr>
          <w:b/>
          <w:bCs/>
        </w:rPr>
        <w:t xml:space="preserve">below</w:t>
      </w:r>
      <w:r>
        <w:t xml:space="preserve">. Reporting a g without its λ is reporting an incomplete quantity.</w:t>
      </w:r>
    </w:p>
    <w:p>
      <w:pPr>
        <w:spacing w:after="140"/>
        <w:jc w:val="left"/>
      </w:pPr>
      <w:r>
        <w:rPr>
          <w:b/>
          <w:bCs/>
        </w:rPr>
        <w:t xml:space="preserve">Source states no relation between λ and an SVM's C.</w:t>
      </w:r>
      <w:r>
        <w:t xml:space="preserve"> Huang prints no SVM-to-kernel-ridge correspondence. The only λ-bearing objective is Appendix D's</w:t>
      </w:r>
    </w:p>
    <w:p>
      <w:pPr>
        <w:pBdr>
          <w:left w:val="single" w:color="999999" w:sz="12" w:space="8"/>
        </w:pBdr>
        <w:spacing w:after="120" w:before="120"/>
        <w:ind w:left="360"/>
      </w:pPr>
      <w:r>
        <w:rPr>
          <w:i/>
          <w:iCs/>
        </w:rPr>
        <w:t xml:space="preserve">min_w [ λ⟨w,w⟩ + Σ_{i=1..N} (residual_i)² ]</w:t>
      </w:r>
    </w:p>
    <w:p>
      <w:pPr>
        <w:spacing w:after="140"/>
        <w:jc w:val="left"/>
      </w:pPr>
      <w:r>
        <w:t xml:space="preserve">a plain sum, not a mean. </w:t>
      </w:r>
      <w:r>
        <w:rPr>
          <w:b/>
          <w:bCs/>
        </w:rPr>
        <w:t xml:space="preserve">This project verified</w:t>
      </w:r>
      <w:r>
        <w:t xml:space="preserve"> the consequence: normalising an SVC primal (1/2)‖w‖² + C·Σ loss so the per-sample loss carries coefficient 1 gives λ = 1/(2C) against a summed risk and λ = 1/(2CN) against a mean risk. Which is correct depends on the objective the λ belongs to, and Appendix D's summed form points to 1/(2C). </w:t>
      </w:r>
      <w:r>
        <w:rPr>
          <w:b/>
          <w:bCs/>
        </w:rPr>
        <w:t xml:space="preserve">Neither is Huang's procedure</w:t>
      </w:r>
      <w:r>
        <w:t xml:space="preserve">, which selects λ by the g_tra rule and not from C at all.</w:t>
      </w:r>
    </w:p>
    <w:p>
      <w:pPr>
        <w:spacing w:after="120" w:before="120"/>
      </w:pPr>
    </w:p>
    <w:p>
      <w:pPr>
        <w:pStyle w:val="Heading2"/>
        <w:spacing w:after="140" w:before="280"/>
      </w:pPr>
      <w:r>
        <w:rPr>
          <w:b/>
          <w:bCs/>
          <w:color w:val="000000"/>
          <w:sz w:val="23"/>
          <w:szCs w:val="23"/>
        </w:rPr>
        <w:t xml:space="preserve">2.4 Source against implementation</w:t>
      </w:r>
    </w:p>
    <w:p>
      <w:pPr>
        <w:spacing w:after="140"/>
        <w:jc w:val="left"/>
      </w:pPr>
      <w:r>
        <w:t xml:space="preserve">The checks below are the ones this project's protocol specifies. They are reported here because they are the worked example that motivates it.</w:t>
      </w:r>
    </w:p>
    <w:p>
      <w:pPr>
        <w:pStyle w:val="Heading3"/>
        <w:spacing w:after="100" w:before="200"/>
      </w:pPr>
      <w:r>
        <w:rPr>
          <w:b/>
          <w:bCs/>
          <w:color w:val="000000"/>
          <w:sz w:val="21"/>
          <w:szCs w:val="21"/>
        </w:rPr>
        <w:t xml:space="preserve">Flórez Ablan, Roth and Schnabel (2025)</w:t>
      </w:r>
    </w:p>
    <w:p>
      <w:pPr>
        <w:spacing w:after="140"/>
        <w:jc w:val="left"/>
      </w:pPr>
      <w:r>
        <w:rPr>
          <w:b/>
          <w:bCs/>
        </w:rPr>
        <w:t xml:space="preserve">Source states</w:t>
      </w:r>
      <w:r>
        <w:t xml:space="preserve"> (arXiv:2503.05602, read from the e-print LaTeX). Their Equation (4) is F19's structure — regularised inverse on K₂, outer roots K₁ — cited to Huang. Their line 213 assigns </w:t>
      </w:r>
      <w:r>
        <w:rPr>
          <w:b/>
          <w:bCs/>
        </w:rPr>
        <w:t xml:space="preserve">K₁ = K_C and K₂ = K_Q</w:t>
      </w:r>
      <w:r>
        <w:t xml:space="preserve">. Their interpretation follows Huang's main text exactly: </w:t>
      </w:r>
      <w:r>
        <w:rPr>
          <w:i/>
          <w:iCs/>
        </w:rPr>
        <w:t xml:space="preserve">"only if g(K_C, K_Q) ∝ √N holds, the necessary condition for potential quantum advantage is fulfilled"</w:t>
      </w:r>
      <w:r>
        <w:t xml:space="preserve">, and for values below that line, </w:t>
      </w:r>
      <w:r>
        <w:rPr>
          <w:i/>
          <w:iCs/>
        </w:rPr>
        <w:t xml:space="preserve">"we are guaranteed that the classical model provides similar or better performance"</w:t>
      </w:r>
      <w:r>
        <w:t xml:space="preserve">. Their λ is </w:t>
      </w:r>
      <w:r>
        <w:rPr>
          <w:b/>
          <w:bCs/>
        </w:rPr>
        <w:t xml:space="preserve">1/(2C)</w:t>
      </w:r>
      <w:r>
        <w:t xml:space="preserve"> with C ∈ [32, 1024]; no g_tra rule appears anywhere in the source.</w:t>
      </w:r>
    </w:p>
    <w:p>
      <w:pPr>
        <w:spacing w:after="140"/>
        <w:jc w:val="left"/>
      </w:pPr>
      <w:r>
        <w:rPr>
          <w:b/>
          <w:bCs/>
        </w:rPr>
        <w:t xml:space="preserve">Implementation does.</w:t>
      </w:r>
      <w:r>
        <w:t xml:space="preserve"> Their released code calls </w:t>
      </w:r>
      <w:r>
        <w:rPr>
          <w:rFonts w:ascii="Consolas" w:cs="Consolas" w:eastAsia="Consolas" w:hAnsi="Consolas"/>
          <w:sz w:val="19"/>
          <w:szCs w:val="19"/>
        </w:rPr>
        <w:t xml:space="preserve">geometric_difference(K_train_poly, K_train_quantum, 1/(2*C_quantum))</w:t>
      </w:r>
      <w:r>
        <w:t xml:space="preserve">, faithful to their Equation (4). Paper, equation and code agree with one another.</w:t>
      </w:r>
    </w:p>
    <w:p>
      <w:pPr>
        <w:spacing w:after="140"/>
        <w:jc w:val="left"/>
      </w:pPr>
      <w:r>
        <w:rPr>
          <w:b/>
          <w:bCs/>
        </w:rPr>
        <w:t xml:space="preserve">This project verified, by composition.</w:t>
      </w:r>
      <w:r>
        <w:t xml:space="preserve"> Since F19's g_gen is g(K²‖K¹), and their assignment is K¹ = K_C, K² = K_Q, the quantity they report as g(K_C, K_Q) and compare against √N is Huang's </w:t>
      </w:r>
      <w:r>
        <w:rPr>
          <w:b/>
          <w:bCs/>
        </w:rPr>
        <w:t xml:space="preserve">g(K_Q ‖ K_C)</w:t>
      </w:r>
      <w:r>
        <w:t xml:space="preserve"> — the reverse of the screening quantity.</w:t>
      </w:r>
    </w:p>
    <w:p>
      <w:pPr>
        <w:spacing w:after="140"/>
        <w:jc w:val="left"/>
      </w:pPr>
      <w:r>
        <w:rPr>
          <w:b/>
          <w:bCs/>
        </w:rPr>
        <w:t xml:space="preserve">Stated as scope rather than as accusation.</w:t>
      </w:r>
      <w:r>
        <w:t xml:space="preserve"> Their reading of F19 is the natural reading of an appendix that presents it as the regularised Equation (5). The ambiguity originates upstream. What follows is that a g from their pipeline and a g from any pipeline using Equation (5)'s orientation are reciprocal quantities and cannot be compared without first fixing the ordering.</w:t>
      </w:r>
    </w:p>
    <w:p>
      <w:pPr>
        <w:spacing w:after="140"/>
        <w:jc w:val="left"/>
      </w:pPr>
      <w:r>
        <w:t xml:space="preserve">Two further observations from their released code, relevant to what a published number means. Their ROC-AUC is computed on hard predicted labels — </w:t>
      </w:r>
      <w:r>
        <w:rPr>
          <w:rFonts w:ascii="Consolas" w:cs="Consolas" w:eastAsia="Consolas" w:hAnsi="Consolas"/>
          <w:sz w:val="19"/>
          <w:szCs w:val="19"/>
        </w:rPr>
        <w:t xml:space="preserve">decision_function</w:t>
      </w:r>
      <w:r>
        <w:t xml:space="preserve"> and </w:t>
      </w:r>
      <w:r>
        <w:rPr>
          <w:rFonts w:ascii="Consolas" w:cs="Consolas" w:eastAsia="Consolas" w:hAnsi="Consolas"/>
          <w:sz w:val="19"/>
          <w:szCs w:val="19"/>
        </w:rPr>
        <w:t xml:space="preserve">predict_proba</w:t>
      </w:r>
      <w:r>
        <w:t xml:space="preserve"> do not occur in the repository — which makes the reported quantity balanced accuracy rather than a ranking measure. And </w:t>
      </w:r>
      <w:r>
        <w:rPr>
          <w:rFonts w:ascii="Consolas" w:cs="Consolas" w:eastAsia="Consolas" w:hAnsi="Consolas"/>
          <w:sz w:val="19"/>
          <w:szCs w:val="19"/>
        </w:rPr>
        <w:t xml:space="preserve">g_tra</w:t>
      </w:r>
      <w:r>
        <w:t xml:space="preserve"> is computed and stored throughout their pipeline and never compared to anything; the 0.045 threshold appears once, in a docstring quoting Huang, and is never applied.</w:t>
      </w:r>
    </w:p>
    <w:p>
      <w:pPr>
        <w:pStyle w:val="Heading3"/>
        <w:spacing w:after="100" w:before="200"/>
      </w:pPr>
      <w:r>
        <w:rPr>
          <w:b/>
          <w:bCs/>
          <w:color w:val="000000"/>
          <w:sz w:val="21"/>
          <w:szCs w:val="21"/>
        </w:rPr>
        <w:t xml:space="preserve">This project</w:t>
      </w:r>
    </w:p>
    <w:p>
      <w:pPr>
        <w:spacing w:after="140"/>
        <w:jc w:val="left"/>
      </w:pPr>
      <w:r>
        <w:rPr>
          <w:b/>
          <w:bCs/>
        </w:rPr>
        <w:t xml:space="preserve">Implementation does.</w:t>
      </w:r>
      <w:r>
        <w:t xml:space="preserve"> </w:t>
      </w:r>
      <w:r>
        <w:rPr>
          <w:rFonts w:ascii="Consolas" w:cs="Consolas" w:eastAsia="Consolas" w:hAnsi="Consolas"/>
          <w:sz w:val="19"/>
          <w:szCs w:val="19"/>
        </w:rPr>
        <w:t xml:space="preserve">geometric_difference_regularised(K_C, K_Q, lam)</w:t>
      </w:r>
      <w:r>
        <w:t xml:space="preserve"> computes</w:t>
      </w:r>
    </w:p>
    <w:p>
      <w:pPr>
        <w:pBdr>
          <w:left w:val="single" w:color="999999" w:sz="12" w:space="8"/>
        </w:pBdr>
        <w:spacing w:after="120" w:before="120"/>
        <w:ind w:left="360"/>
      </w:pPr>
      <w:r>
        <w:rPr>
          <w:i/>
          <w:iCs/>
        </w:rPr>
        <w:t xml:space="preserve">sqrt( ‖ sqrt(K_Q) sqrt(K_C) (K_C + λI)⁻² sqrt(K_C) sqrt(K_Q) ‖_∞ )</w:t>
      </w:r>
    </w:p>
    <w:p>
      <w:pPr>
        <w:spacing w:after="140"/>
        <w:jc w:val="left"/>
      </w:pPr>
      <w:r>
        <w:t xml:space="preserve">which is F19 with K¹ = K_Q and K² = K_C, hence g(K_C ‖ K_Q) — the screening quantity.</w:t>
      </w:r>
    </w:p>
    <w:p>
      <w:pPr>
        <w:spacing w:after="140"/>
        <w:jc w:val="left"/>
      </w:pPr>
      <w:r>
        <w:rPr>
          <w:b/>
          <w:bCs/>
        </w:rPr>
        <w:t xml:space="preserve">Stated without credit-taking.</w:t>
      </w:r>
      <w:r>
        <w:t xml:space="preserve"> The orientation is correct, and no record from the weeks in which it was written shows that the reversal in Huang's appendix had been identified at the time. It was established on 1 October 2026, after every g in this project had been computed. The implementation is right; the reasoning for it was reconstructed afterwards, and the paper says so rather than presenting the outcome as foresight.</w:t>
      </w:r>
    </w:p>
    <w:p>
      <w:pPr>
        <w:spacing w:after="140"/>
        <w:jc w:val="left"/>
      </w:pPr>
      <w:r>
        <w:rPr>
          <w:b/>
          <w:bCs/>
        </w:rPr>
        <w:t xml:space="preserve">And one of this project's own rules is unsourced.</w:t>
      </w:r>
      <w:r>
        <w:t xml:space="preserve"> Its λ-from-C helper returns 1/(2CN) with a docstring asserting the correspondence and citing nothing. Against Appendix D's summed objective that is probably wrong by a factor of N. The frozen λ sweep that carries every reported result is unaffected; the λ-from-C column is not, and the correction is recorded as an undecided deviation rather than applied in passing.</w:t>
      </w:r>
    </w:p>
    <w:p>
      <w:pPr>
        <w:spacing w:after="120" w:before="120"/>
      </w:pPr>
    </w:p>
    <w:p>
      <w:pPr>
        <w:pStyle w:val="Heading2"/>
        <w:spacing w:after="140" w:before="280"/>
      </w:pPr>
      <w:r>
        <w:rPr>
          <w:b/>
          <w:bCs/>
          <w:color w:val="000000"/>
          <w:sz w:val="23"/>
          <w:szCs w:val="23"/>
        </w:rPr>
        <w:t xml:space="preserve">2.5 Two algebraic facts that change how g reads</w:t>
      </w:r>
    </w:p>
    <w:p>
      <w:pPr>
        <w:spacing w:after="140"/>
        <w:jc w:val="left"/>
      </w:pPr>
      <w:r>
        <w:rPr>
          <w:b/>
          <w:bCs/>
        </w:rPr>
        <w:t xml:space="preserve">This project verified</w:t>
      </w:r>
      <w:r>
        <w:t xml:space="preserve"> both; neither is stated in the sources consulted.</w:t>
      </w:r>
    </w:p>
    <w:p>
      <w:pPr>
        <w:spacing w:after="140"/>
        <w:jc w:val="left"/>
      </w:pPr>
      <w:r>
        <w:rPr>
          <w:b/>
          <w:bCs/>
        </w:rPr>
        <w:t xml:space="preserve">g(K, K) ≠ 1.</w:t>
      </w:r>
      <w:r>
        <w:t xml:space="preserve"> For a kernel compared with itself, the regularised form gives μ_max/(μ_max + λ). So "g ≈ 1 rules advantage out" has a λ-dependent floor below one, and a g near unity is not evidence of kernel identity.</w:t>
      </w:r>
    </w:p>
    <w:p>
      <w:pPr>
        <w:spacing w:after="140"/>
        <w:jc w:val="left"/>
      </w:pPr>
      <w:r>
        <w:rPr>
          <w:b/>
          <w:bCs/>
        </w:rPr>
        <w:t xml:space="preserve">The classical factor is capped at 1/(4λ) for any kernel whatsoever.</w:t>
      </w:r>
      <w:r>
        <w:t xml:space="preserve"> With A = sqrt(K_C)(K_C + λI)⁻² sqrt(K_C), A's eigenvalues are μ/(μ+λ)², maximised at μ = λ where the value is 1/(4λ). Hence g ≤ sqrt(‖K_Q‖_∞ / (4λ)), and with K_Q normalised to trace N a breach of the √N ceiling requires</w:t>
      </w:r>
    </w:p>
    <w:p>
      <w:pPr>
        <w:pBdr>
          <w:left w:val="single" w:color="999999" w:sz="12" w:space="8"/>
        </w:pBdr>
        <w:spacing w:after="120" w:before="120"/>
        <w:ind w:left="360"/>
      </w:pPr>
      <w:r>
        <w:rPr>
          <w:i/>
          <w:iCs/>
        </w:rPr>
        <w:t xml:space="preserve">‖K_Q‖_∞ / N &gt; 4λ</w:t>
      </w:r>
    </w:p>
    <w:p>
      <w:pPr>
        <w:spacing w:after="140"/>
        <w:jc w:val="left"/>
      </w:pPr>
      <w:r>
        <w:t xml:space="preserve">— more than 40% of the quantum Gram's trace in a single eigenvalue at λ = 0.1, 4% at 1e-2, 0.4% at 1e-3. Verified across 960 sampled observations: the bound is violated zero times.</w:t>
      </w:r>
    </w:p>
    <w:p>
      <w:pPr>
        <w:spacing w:after="140"/>
        <w:jc w:val="left"/>
      </w:pPr>
      <w:r>
        <w:t xml:space="preserve">The consequence for reading any reported g: a large value at small λ is compatible with the classical kernel being badly conditioned relative to λ, and says nothing on its own about the quantum kernel.</w:t>
      </w:r>
    </w:p>
    <w:p>
      <w:pPr>
        <w:spacing w:after="120" w:before="120"/>
      </w:pPr>
    </w:p>
    <w:p>
      <w:pPr>
        <w:pStyle w:val="Heading2"/>
        <w:spacing w:after="140" w:before="280"/>
      </w:pPr>
      <w:r>
        <w:rPr>
          <w:b/>
          <w:bCs/>
          <w:color w:val="000000"/>
          <w:sz w:val="23"/>
          <w:szCs w:val="23"/>
        </w:rPr>
        <w:t xml:space="preserve">2.6 Provenance of the sources used here</w:t>
      </w:r>
    </w:p>
    <w:p>
      <w:pPr>
        <w:spacing w:after="140"/>
        <w:jc w:val="left"/>
      </w:pPr>
      <w:r>
        <w:t xml:space="preserve">Every statement labelled "source states" above was read from the arXiv e-print LaTeX, not from a PDF rendering, a publisher's HTML, or any model's transcription of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source</w:t>
            </w:r>
          </w:p>
        </w:tc>
        <w:tc>
          <w:tcPr>
            <w:tcW w:type="dxa" w:w="3120"/>
            <w:shd w:fill="EDEDED" w:val="clear"/>
            <w:tcMar>
              <w:top w:type="dxa" w:w="60"/>
              <w:left w:type="dxa" w:w="100"/>
              <w:bottom w:type="dxa" w:w="60"/>
              <w:right w:type="dxa" w:w="100"/>
            </w:tcMar>
          </w:tcPr>
          <w:p>
            <w:pPr>
              <w:spacing w:after="0" w:before="0"/>
            </w:pPr>
            <w:r>
              <w:rPr>
                <w:b/>
                <w:bCs/>
                <w:sz w:val="19"/>
                <w:szCs w:val="19"/>
              </w:rPr>
              <w:t xml:space="preserve">archive SHA-256</w:t>
            </w:r>
          </w:p>
        </w:tc>
        <w:tc>
          <w:tcPr>
            <w:tcW w:type="dxa" w:w="3120"/>
            <w:shd w:fill="EDEDED" w:val="clear"/>
            <w:tcMar>
              <w:top w:type="dxa" w:w="60"/>
              <w:left w:type="dxa" w:w="100"/>
              <w:bottom w:type="dxa" w:w="60"/>
              <w:right w:type="dxa" w:w="100"/>
            </w:tcMar>
          </w:tcPr>
          <w:p>
            <w:pPr>
              <w:spacing w:after="0" w:before="0"/>
            </w:pPr>
            <w:r>
              <w:rPr>
                <w:b/>
                <w:bCs/>
                <w:sz w:val="19"/>
                <w:szCs w:val="19"/>
              </w:rPr>
              <w:t xml:space="preserve">main file SHA-256</w:t>
            </w:r>
          </w:p>
        </w:tc>
      </w:tr>
      <w:tr>
        <w:tc>
          <w:tcPr>
            <w:tcW w:type="dxa" w:w="3120"/>
            <w:tcMar>
              <w:top w:type="dxa" w:w="60"/>
              <w:left w:type="dxa" w:w="100"/>
              <w:bottom w:type="dxa" w:w="60"/>
              <w:right w:type="dxa" w:w="100"/>
            </w:tcMar>
          </w:tcPr>
          <w:p>
            <w:pPr>
              <w:spacing w:after="0" w:before="0"/>
            </w:pPr>
            <w:r>
              <w:rPr>
                <w:b w:val="false"/>
                <w:bCs w:val="false"/>
                <w:sz w:val="19"/>
                <w:szCs w:val="19"/>
              </w:rPr>
              <w:t xml:space="preserve">Huang et al., arXiv:2011.01938</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b510654c6628…</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maintext.tex</w:t>
            </w:r>
            <w:r>
              <w:rPr>
                <w:b w:val="false"/>
                <w:bCs w:val="false"/>
                <w:sz w:val="19"/>
                <w:szCs w:val="19"/>
              </w:rPr>
              <w:t xml:space="preserve"> </w:t>
            </w:r>
            <w:r>
              <w:rPr>
                <w:rFonts w:ascii="Consolas" w:cs="Consolas" w:eastAsia="Consolas" w:hAnsi="Consolas"/>
                <w:b w:val="false"/>
                <w:bCs w:val="false"/>
                <w:sz w:val="19"/>
                <w:szCs w:val="19"/>
              </w:rPr>
              <w:t xml:space="preserve">ceded212c4b0…</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Flórez Ablan et al., arXiv:2503.05602</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7ce99d754ecc…</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main.tex</w:t>
            </w:r>
            <w:r>
              <w:rPr>
                <w:b w:val="false"/>
                <w:bCs w:val="false"/>
                <w:sz w:val="19"/>
                <w:szCs w:val="19"/>
              </w:rPr>
              <w:t xml:space="preserve"> </w:t>
            </w:r>
            <w:r>
              <w:rPr>
                <w:rFonts w:ascii="Consolas" w:cs="Consolas" w:eastAsia="Consolas" w:hAnsi="Consolas"/>
                <w:b w:val="false"/>
                <w:bCs w:val="false"/>
                <w:sz w:val="19"/>
                <w:szCs w:val="19"/>
              </w:rPr>
              <w:t xml:space="preserve">1903926fe4b5…</w:t>
            </w:r>
          </w:p>
        </w:tc>
      </w:tr>
    </w:tbl>
    <w:p>
      <w:pPr>
        <w:spacing w:after="160"/>
      </w:pPr>
    </w:p>
    <w:p>
      <w:pPr>
        <w:spacing w:after="140"/>
        <w:jc w:val="left"/>
      </w:pPr>
      <w:r>
        <w:t xml:space="preserve">This matters because earlier attempts in this project to obtain Huang's Appendix F from rendered PDFs returned transcriptions that were </w:t>
      </w:r>
      <w:r>
        <w:rPr>
          <w:b/>
          <w:bCs/>
        </w:rPr>
        <w:t xml:space="preserve">internally contradictory on exactly the subscripts in question</w:t>
      </w:r>
      <w:r>
        <w:t xml:space="preserve">, and one claim — that Huang's appendix contradicts his own main text — was drafted on that basis and withdrawn once the source was read. A claim about an equation's index placement is only as good as the characters it was read from.</w:t>
      </w:r>
    </w:p>
    <w:p>
      <w:pPr>
        <w:spacing w:after="120" w:before="120"/>
      </w:pPr>
    </w:p>
    <w:p>
      <w:pPr>
        <w:pStyle w:val="Heading2"/>
        <w:spacing w:after="140" w:before="280"/>
      </w:pPr>
      <w:r>
        <w:rPr>
          <w:b/>
          <w:bCs/>
          <w:color w:val="000000"/>
          <w:sz w:val="23"/>
          <w:szCs w:val="23"/>
        </w:rPr>
        <w:t xml:space="preserve">2.7 What this section establishes, and what it leaves open</w:t>
      </w:r>
    </w:p>
    <w:p>
      <w:pPr>
        <w:spacing w:after="140"/>
        <w:jc w:val="left"/>
      </w:pPr>
      <w:r>
        <w:rPr>
          <w:b/>
          <w:bCs/>
        </w:rPr>
        <w:t xml:space="preserve">Established from source:</w:t>
      </w:r>
      <w:r>
        <w:t xml:space="preserve"> the definition and asymmetry of g; the bound's status as necessary and not sufficient; the √N ceiling; the reversal between Equation (5) and F19 and the reason for it; Huang's λ rule and its boundary inconsistency; Huang's summed objective; Flórez Ablan et al.'s equation, assignment, λ and interpretation, and their code's fidelity to their equation.</w:t>
      </w:r>
    </w:p>
    <w:p>
      <w:pPr>
        <w:spacing w:after="140"/>
        <w:jc w:val="left"/>
      </w:pPr>
      <w:r>
        <w:rPr>
          <w:b/>
          <w:bCs/>
        </w:rPr>
        <w:t xml:space="preserve">Established by this project's own analysis:</w:t>
      </w:r>
      <w:r>
        <w:t xml:space="preserve"> that their reported quantity is the reversed comparison; g(K,K) = μ_max/(μ_max+λ); the 1/(4λ) cap and the resulting breach condition; that this project's own λ-from-C rule is unsourced.</w:t>
      </w:r>
    </w:p>
    <w:p>
      <w:pPr>
        <w:spacing w:after="140"/>
        <w:jc w:val="left"/>
      </w:pPr>
      <w:r>
        <w:rPr>
          <w:b/>
          <w:bCs/>
        </w:rPr>
        <w:t xml:space="preserve">Left open:</w:t>
      </w:r>
      <w:r>
        <w:t xml:space="preserve"> whether 1/(2C) or 1/(2CN) is correct for this project's purposes, and what follows for its λ-from-C column; both are recorded as an undecided deviation and neither is used to revise any frozen analysis.</w:t>
      </w:r>
    </w:p>
    <w:p>
      <w:pPr>
        <w:spacing w:after="120" w:before="120"/>
      </w:pPr>
    </w:p>
    <w:p>
      <w:pPr>
        <w:pStyle w:val="Heading1"/>
        <w:pageBreakBefore/>
        <w:spacing w:after="200" w:before="0"/>
      </w:pPr>
      <w:r>
        <w:rPr>
          <w:b/>
          <w:bCs/>
          <w:color w:val="000000"/>
          <w:sz w:val="26"/>
          <w:szCs w:val="26"/>
        </w:rPr>
        <w:t xml:space="preserve">Section 3 — Design</w:t>
      </w:r>
    </w:p>
    <w:p>
      <w:pPr>
        <w:spacing w:after="140"/>
        <w:jc w:val="left"/>
      </w:pPr>
      <w:r>
        <w:rPr>
          <w:b/>
          <w:bCs/>
        </w:rPr>
        <w:t xml:space="preserve">Draft, 4 October 2026.</w:t>
      </w:r>
      <w:r>
        <w:t xml:space="preserve"> Every figure below is traceable to </w:t>
      </w:r>
      <w:r>
        <w:rPr>
          <w:rFonts w:ascii="Consolas" w:cs="Consolas" w:eastAsia="Consolas" w:hAnsi="Consolas"/>
          <w:sz w:val="19"/>
          <w:szCs w:val="19"/>
        </w:rPr>
        <w:t xml:space="preserve">docs/pre-registration.md</w:t>
      </w:r>
      <w:r>
        <w:t xml:space="preserve"> v1.0. </w:t>
      </w:r>
      <w:r>
        <w:rPr>
          <w:b/>
          <w:bCs/>
        </w:rPr>
        <w:t xml:space="preserve">The registered design and its later amendments are kept separable throughout</w:t>
      </w:r>
      <w:r>
        <w:t xml:space="preserve">: registered values are given first, amendments are marked with their deviation number, and §3.9 tabulates every movement so a reader can reconstruct the original design from this section alone. The pre-registration is not edited; the deviations record is the correction, as D6 established.</w:t>
      </w:r>
    </w:p>
    <w:p>
      <w:pPr>
        <w:spacing w:after="120" w:before="120"/>
      </w:pPr>
    </w:p>
    <w:p>
      <w:pPr>
        <w:pStyle w:val="Heading2"/>
        <w:spacing w:after="140" w:before="280"/>
      </w:pPr>
      <w:r>
        <w:rPr>
          <w:b/>
          <w:bCs/>
          <w:color w:val="000000"/>
          <w:sz w:val="23"/>
          <w:szCs w:val="23"/>
        </w:rPr>
        <w:t xml:space="preserve">3.1 Data, tracks and seeds — frozen, unamended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
            </w:r>
          </w:p>
        </w:tc>
        <w:tc>
          <w:tcPr>
            <w:tcW w:type="dxa" w:w="3120"/>
            <w:shd w:fill="EDEDED" w:val="clear"/>
            <w:tcMar>
              <w:top w:type="dxa" w:w="60"/>
              <w:left w:type="dxa" w:w="100"/>
              <w:bottom w:type="dxa" w:w="60"/>
              <w:right w:type="dxa" w:w="100"/>
            </w:tcMar>
          </w:tcPr>
          <w:p>
            <w:pPr>
              <w:spacing w:after="0" w:before="0"/>
            </w:pPr>
            <w:r>
              <w:rPr>
                <w:b/>
                <w:bCs/>
                <w:sz w:val="19"/>
                <w:szCs w:val="19"/>
              </w:rPr>
              <w:t xml:space="preserve">churn</w:t>
            </w:r>
          </w:p>
        </w:tc>
        <w:tc>
          <w:tcPr>
            <w:tcW w:type="dxa" w:w="3120"/>
            <w:shd w:fill="EDEDED" w:val="clear"/>
            <w:tcMar>
              <w:top w:type="dxa" w:w="60"/>
              <w:left w:type="dxa" w:w="100"/>
              <w:bottom w:type="dxa" w:w="60"/>
              <w:right w:type="dxa" w:w="100"/>
            </w:tcMar>
          </w:tcPr>
          <w:p>
            <w:pPr>
              <w:spacing w:after="0" w:before="0"/>
            </w:pPr>
            <w:r>
              <w:rPr>
                <w:b/>
                <w:bCs/>
                <w:sz w:val="19"/>
                <w:szCs w:val="19"/>
              </w:rPr>
              <w:t xml:space="preserve">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source</w:t>
            </w:r>
          </w:p>
        </w:tc>
        <w:tc>
          <w:tcPr>
            <w:tcW w:type="dxa" w:w="3120"/>
            <w:tcMar>
              <w:top w:type="dxa" w:w="60"/>
              <w:left w:type="dxa" w:w="100"/>
              <w:bottom w:type="dxa" w:w="60"/>
              <w:right w:type="dxa" w:w="100"/>
            </w:tcMar>
          </w:tcPr>
          <w:p>
            <w:pPr>
              <w:spacing w:after="0" w:before="0"/>
            </w:pPr>
            <w:r>
              <w:rPr>
                <w:b w:val="false"/>
                <w:bCs w:val="false"/>
                <w:sz w:val="19"/>
                <w:szCs w:val="19"/>
              </w:rPr>
              <w:t xml:space="preserve">Kaggle </w:t>
            </w:r>
            <w:r>
              <w:rPr>
                <w:rFonts w:ascii="Consolas" w:cs="Consolas" w:eastAsia="Consolas" w:hAnsi="Consolas"/>
                <w:b w:val="false"/>
                <w:bCs w:val="false"/>
                <w:sz w:val="19"/>
                <w:szCs w:val="19"/>
              </w:rPr>
              <w:t xml:space="preserve">blastchar/telco-customer-churn</w:t>
            </w:r>
          </w:p>
        </w:tc>
        <w:tc>
          <w:tcPr>
            <w:tcW w:type="dxa" w:w="3120"/>
            <w:tcMar>
              <w:top w:type="dxa" w:w="60"/>
              <w:left w:type="dxa" w:w="100"/>
              <w:bottom w:type="dxa" w:w="60"/>
              <w:right w:type="dxa" w:w="100"/>
            </w:tcMar>
          </w:tcPr>
          <w:p>
            <w:pPr>
              <w:spacing w:after="0" w:before="0"/>
            </w:pPr>
            <w:r>
              <w:rPr>
                <w:b w:val="false"/>
                <w:bCs w:val="false"/>
                <w:sz w:val="19"/>
                <w:szCs w:val="19"/>
              </w:rPr>
              <w:t xml:space="preserve">Kaggle </w:t>
            </w:r>
            <w:r>
              <w:rPr>
                <w:rFonts w:ascii="Consolas" w:cs="Consolas" w:eastAsia="Consolas" w:hAnsi="Consolas"/>
                <w:b w:val="false"/>
                <w:bCs w:val="false"/>
                <w:sz w:val="19"/>
                <w:szCs w:val="19"/>
              </w:rPr>
              <w:t xml:space="preserve">mlg-ulb/creditcardfraud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SHA-256</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88be4b93…</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76274b69…</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rows</w:t>
            </w:r>
          </w:p>
        </w:tc>
        <w:tc>
          <w:tcPr>
            <w:tcW w:type="dxa" w:w="3120"/>
            <w:tcMar>
              <w:top w:type="dxa" w:w="60"/>
              <w:left w:type="dxa" w:w="100"/>
              <w:bottom w:type="dxa" w:w="60"/>
              <w:right w:type="dxa" w:w="100"/>
            </w:tcMar>
          </w:tcPr>
          <w:p>
            <w:pPr>
              <w:spacing w:after="0" w:before="0"/>
            </w:pPr>
            <w:r>
              <w:rPr>
                <w:b w:val="false"/>
                <w:bCs w:val="false"/>
                <w:sz w:val="19"/>
                <w:szCs w:val="19"/>
              </w:rPr>
              <w:t xml:space="preserve">7,032 after cleaning</w:t>
            </w:r>
          </w:p>
        </w:tc>
        <w:tc>
          <w:tcPr>
            <w:tcW w:type="dxa" w:w="3120"/>
            <w:tcMar>
              <w:top w:type="dxa" w:w="60"/>
              <w:left w:type="dxa" w:w="100"/>
              <w:bottom w:type="dxa" w:w="60"/>
              <w:right w:type="dxa" w:w="100"/>
            </w:tcMar>
          </w:tcPr>
          <w:p>
            <w:pPr>
              <w:spacing w:after="0" w:before="0"/>
            </w:pPr>
            <w:r>
              <w:rPr>
                <w:b w:val="false"/>
                <w:bCs w:val="false"/>
                <w:sz w:val="19"/>
                <w:szCs w:val="19"/>
              </w:rPr>
              <w:t xml:space="preserve">284,807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features</w:t>
            </w:r>
          </w:p>
        </w:tc>
        <w:tc>
          <w:tcPr>
            <w:tcW w:type="dxa" w:w="3120"/>
            <w:tcMar>
              <w:top w:type="dxa" w:w="60"/>
              <w:left w:type="dxa" w:w="100"/>
              <w:bottom w:type="dxa" w:w="60"/>
              <w:right w:type="dxa" w:w="100"/>
            </w:tcMar>
          </w:tcPr>
          <w:p>
            <w:pPr>
              <w:spacing w:after="0" w:before="0"/>
            </w:pPr>
            <w:r>
              <w:rPr>
                <w:b w:val="false"/>
                <w:bCs w:val="false"/>
                <w:sz w:val="19"/>
                <w:szCs w:val="19"/>
              </w:rPr>
              <w:t xml:space="preserve">30</w:t>
            </w:r>
          </w:p>
        </w:tc>
        <w:tc>
          <w:tcPr>
            <w:tcW w:type="dxa" w:w="3120"/>
            <w:tcMar>
              <w:top w:type="dxa" w:w="60"/>
              <w:left w:type="dxa" w:w="100"/>
              <w:bottom w:type="dxa" w:w="60"/>
              <w:right w:type="dxa" w:w="100"/>
            </w:tcMar>
          </w:tcPr>
          <w:p>
            <w:pPr>
              <w:spacing w:after="0" w:before="0"/>
            </w:pPr>
            <w:r>
              <w:rPr>
                <w:b w:val="false"/>
                <w:bCs w:val="false"/>
                <w:sz w:val="19"/>
                <w:szCs w:val="19"/>
              </w:rPr>
              <w:t xml:space="preserve">29 (</w:t>
            </w:r>
            <w:r>
              <w:rPr>
                <w:rFonts w:ascii="Consolas" w:cs="Consolas" w:eastAsia="Consolas" w:hAnsi="Consolas"/>
                <w:b w:val="false"/>
                <w:bCs w:val="false"/>
                <w:sz w:val="19"/>
                <w:szCs w:val="19"/>
              </w:rPr>
              <w:t xml:space="preserve">Time</w:t>
            </w:r>
            <w:r>
              <w:rPr>
                <w:b w:val="false"/>
                <w:bCs w:val="false"/>
                <w:sz w:val="19"/>
                <w:szCs w:val="19"/>
              </w:rPr>
              <w:t xml:space="preserve"> dropped)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positives</w:t>
            </w:r>
          </w:p>
        </w:tc>
        <w:tc>
          <w:tcPr>
            <w:tcW w:type="dxa" w:w="3120"/>
            <w:tcMar>
              <w:top w:type="dxa" w:w="60"/>
              <w:left w:type="dxa" w:w="100"/>
              <w:bottom w:type="dxa" w:w="60"/>
              <w:right w:type="dxa" w:w="100"/>
            </w:tcMar>
          </w:tcPr>
          <w:p>
            <w:pPr>
              <w:spacing w:after="0" w:before="0"/>
            </w:pPr>
            <w:r>
              <w:rPr>
                <w:b w:val="false"/>
                <w:bCs w:val="false"/>
                <w:sz w:val="19"/>
                <w:szCs w:val="19"/>
              </w:rPr>
              <w:t xml:space="preserve">1,869</w:t>
            </w:r>
          </w:p>
        </w:tc>
        <w:tc>
          <w:tcPr>
            <w:tcW w:type="dxa" w:w="3120"/>
            <w:tcMar>
              <w:top w:type="dxa" w:w="60"/>
              <w:left w:type="dxa" w:w="100"/>
              <w:bottom w:type="dxa" w:w="60"/>
              <w:right w:type="dxa" w:w="100"/>
            </w:tcMar>
          </w:tcPr>
          <w:p>
            <w:pPr>
              <w:spacing w:after="0" w:before="0"/>
            </w:pPr>
            <w:r>
              <w:rPr>
                <w:b w:val="false"/>
                <w:bCs w:val="false"/>
                <w:sz w:val="19"/>
                <w:szCs w:val="19"/>
              </w:rPr>
              <w:t xml:space="preserve">492</w:t>
            </w:r>
          </w:p>
        </w:tc>
      </w:tr>
    </w:tbl>
    <w:p>
      <w:pPr>
        <w:spacing w:after="160"/>
      </w:pPr>
    </w:p>
    <w:p>
      <w:pPr>
        <w:spacing w:after="140"/>
        <w:jc w:val="left"/>
      </w:pPr>
      <w:r>
        <w:rPr>
          <w:b/>
          <w:bCs/>
        </w:rPr>
        <w:t xml:space="preserve">Seeds</w:t>
      </w:r>
      <w:r>
        <w:t xml:space="preserve"> 0 to 19, fixed in </w:t>
      </w:r>
      <w:r>
        <w:rPr>
          <w:rFonts w:ascii="Consolas" w:cs="Consolas" w:eastAsia="Consolas" w:hAnsi="Consolas"/>
          <w:sz w:val="19"/>
          <w:szCs w:val="19"/>
        </w:rPr>
        <w:t xml:space="preserve">qbench.data.SEEDS</w:t>
      </w:r>
      <w:r>
        <w:t xml:space="preserve">, chosen from measured paired variance: at ten seeds churn's minimum detectable effect was 0.0324, larger than almost any effect this literature reports.</w:t>
      </w:r>
    </w:p>
    <w:p>
      <w:pPr>
        <w:spacing w:after="140"/>
        <w:jc w:val="left"/>
      </w:pPr>
      <w:r>
        <w:rPr>
          <w:b/>
          <w:bCs/>
        </w:rPr>
        <w:t xml:space="preserve">Tracks.</w:t>
      </w:r>
      <w:r>
        <w:t xml:space="preserve"> </w:t>
      </w:r>
      <w:r>
        <w:rPr>
          <w:i/>
          <w:iCs/>
        </w:rPr>
        <w:t xml:space="preserve">Matched</w:t>
      </w:r>
      <w:r>
        <w:t xml:space="preserve"> — class-balanced subsample, mapped to </w:t>
      </w:r>
      <w:r>
        <w:rPr>
          <w:rFonts w:ascii="Consolas" w:cs="Consolas" w:eastAsia="Consolas" w:hAnsi="Consolas"/>
          <w:sz w:val="19"/>
          <w:szCs w:val="19"/>
        </w:rPr>
        <w:t xml:space="preserve">n_qubits</w:t>
      </w:r>
      <w:r>
        <w:t xml:space="preserve"> dimensions, scaled to [0, π] — is the hypothesis-testing track and </w:t>
      </w:r>
      <w:r>
        <w:rPr>
          <w:b/>
          <w:bCs/>
        </w:rPr>
        <w:t xml:space="preserve">the only one on which g can be computed</w:t>
      </w:r>
      <w:r>
        <w:t xml:space="preserve">, since g requires both Gram matrices over the same points. </w:t>
      </w:r>
      <w:r>
        <w:rPr>
          <w:i/>
          <w:iCs/>
        </w:rPr>
        <w:t xml:space="preserve">Unconstrained</w:t>
      </w:r>
      <w:r>
        <w:t xml:space="preserve"> is a reference ceiling, reported separately and never mixed into a paired test.</w:t>
      </w:r>
    </w:p>
    <w:p>
      <w:pPr>
        <w:spacing w:after="140"/>
        <w:jc w:val="left"/>
      </w:pPr>
      <w:r>
        <w:rPr>
          <w:b/>
          <w:bCs/>
        </w:rPr>
        <w:t xml:space="preserve">Registered limitation, uncorrected.</w:t>
      </w:r>
      <w:r>
        <w:t xml:space="preserve"> Seeds resample one fixed dataset, so splits overlap and paired differences are not strictly independent. Expected shared test positives between two seeds: ~3 of 75 on churn (4%), ~11 of 75 on fraud (15%, because 250 positives per class are drawn from only 492 available). </w:t>
      </w:r>
      <w:r>
        <w:rPr>
          <w:b/>
          <w:bCs/>
        </w:rPr>
        <w:t xml:space="preserve">The tests are therefore mildly anti-conservative on fraud</w:t>
      </w:r>
      <w:r>
        <w:t xml:space="preserve">, which was stated in advance rather than discovered afterwards.</w:t>
      </w:r>
    </w:p>
    <w:p>
      <w:pPr>
        <w:spacing w:after="120" w:before="120"/>
      </w:pPr>
    </w:p>
    <w:p>
      <w:pPr>
        <w:pStyle w:val="Heading2"/>
        <w:spacing w:after="140" w:before="280"/>
      </w:pPr>
      <w:r>
        <w:rPr>
          <w:b/>
          <w:bCs/>
          <w:color w:val="000000"/>
          <w:sz w:val="23"/>
          <w:szCs w:val="23"/>
        </w:rPr>
        <w:t xml:space="preserve">3.2 The grid — 360 units</w:t>
      </w:r>
    </w:p>
    <w:p>
      <w:pPr>
        <w:spacing w:after="140"/>
        <w:jc w:val="left"/>
      </w:pPr>
      <w:r>
        <w:t xml:space="preserve">Three mappings (PCA, Gaussian random projection, SelectKBest on mutual information, seeded) × five qubit counts (4, 6, 8, 10, 12) × three training sizes (50, 100, 250 per class) × four quantum settings × two datasets = </w:t>
      </w:r>
      <w:r>
        <w:rPr>
          <w:b/>
          <w:bCs/>
        </w:rPr>
        <w:t xml:space="preserve">360 units</w:t>
      </w:r>
      <w:r>
        <w:t xml:space="preserve">, each observed over 20 seeds: 7,200 per-seed rows.</w:t>
      </w:r>
    </w:p>
    <w:p>
      <w:pPr>
        <w:spacing w:after="140"/>
        <w:jc w:val="left"/>
      </w:pPr>
      <w:r>
        <w:rPr>
          <w:b/>
          <w:bCs/>
        </w:rPr>
        <w:t xml:space="preserve">Quantum kernels, frozen.</w:t>
      </w:r>
      <w:r>
        <w:t xml:space="preserve"> PennyLane embedding kernels — angle and IQP embeddings, each at 1 and 2 repetitions — on </w:t>
      </w:r>
      <w:r>
        <w:rPr>
          <w:rFonts w:ascii="Consolas" w:cs="Consolas" w:eastAsia="Consolas" w:hAnsi="Consolas"/>
          <w:sz w:val="19"/>
          <w:szCs w:val="19"/>
        </w:rPr>
        <w:t xml:space="preserve">lightning.qubit</w:t>
      </w:r>
      <w:r>
        <w:t xml:space="preserve">. </w:t>
      </w:r>
      <w:r>
        <w:rPr>
          <w:b/>
          <w:bCs/>
        </w:rPr>
        <w:t xml:space="preserve">All four run; none is screened out before the sweep.</w:t>
      </w:r>
      <w:r>
        <w:t xml:space="preserve"> The registered reason is explicit and is the design decision most worth preserving: an earlier version used g to reduce the quantum grid, which is circular, because conditioning the experiment on g and then testing whether g predicts the outcome cannot answer the question. The cost of refusing that shortcut was about 46 hours of compute against 34.</w:t>
      </w:r>
    </w:p>
    <w:p>
      <w:pPr>
        <w:spacing w:after="140"/>
        <w:jc w:val="left"/>
      </w:pPr>
      <w:r>
        <w:rPr>
          <w:b/>
          <w:bCs/>
        </w:rPr>
        <w:t xml:space="preserve">Classical kernels and grids, frozen.</w:t>
      </w:r>
      <w:r>
        <w:t xml:space="preserve"> Linear; RBF with gamma 1e-3 to 1e2 in half-decades; polynomial with degree 2 to 5, scale-relative multiplier 0.1/1/3/10, </w:t>
      </w:r>
      <w:r>
        <w:rPr>
          <w:rFonts w:ascii="Consolas" w:cs="Consolas" w:eastAsia="Consolas" w:hAnsi="Consolas"/>
          <w:sz w:val="19"/>
          <w:szCs w:val="19"/>
        </w:rPr>
        <w:t xml:space="preserve">coef0</w:t>
      </w:r>
      <w:r>
        <w:t xml:space="preserve"> in {0, 1}; C from 1e-4 to 1e4. These were tested for under-tuning by extension in both directions against a shuffled-label null. The extension gained more on random labels than on real ones on every kernel and both datasets, by factors of 2.0 and 5.0 on churn and 35.7 and 6.6 on fraud, so they stand. §3.7 records that the registered wording gives this as "five to seven times", which is the polynomial-kernel figure and not the range.</w:t>
      </w:r>
    </w:p>
    <w:p>
      <w:pPr>
        <w:spacing w:after="140"/>
        <w:jc w:val="left"/>
      </w:pPr>
      <w:r>
        <w:rPr>
          <w:b/>
          <w:bCs/>
        </w:rPr>
        <w:t xml:space="preserve">Tuning, identical across arms.</w:t>
      </w:r>
      <w:r>
        <w:t xml:space="preserve"> Nested cross-validation: 20 outer seeds, 5-fold stratified inner CV on the outer-train portion only. </w:t>
      </w:r>
      <w:r>
        <w:rPr>
          <w:rFonts w:ascii="Consolas" w:cs="Consolas" w:eastAsia="Consolas" w:hAnsi="Consolas"/>
          <w:sz w:val="19"/>
          <w:szCs w:val="19"/>
        </w:rPr>
        <w:t xml:space="preserve">SVC(kernel="precomputed", class_weight="balanced")</w:t>
      </w:r>
      <w:r>
        <w:t xml:space="preserve"> for every kernel, classical and quantum alike, </w:t>
      </w:r>
      <w:r>
        <w:rPr>
          <w:b/>
          <w:bCs/>
        </w:rPr>
        <w:t xml:space="preserve">so folds, solver and selection rule are identical and only the Gram matrix differs</w:t>
      </w:r>
      <w:r>
        <w:t xml:space="preserve">. Selection on inner-CV average precision. Grid points failing to converge within 1,000,000 iterations are excluded, never scored.</w:t>
      </w:r>
    </w:p>
    <w:p>
      <w:pPr>
        <w:spacing w:after="140"/>
        <w:jc w:val="left"/>
      </w:pPr>
      <w:r>
        <w:rPr>
          <w:b/>
          <w:bCs/>
        </w:rPr>
        <w:t xml:space="preserve">Primary cells</w:t>
      </w:r>
      <w:r>
        <w:t xml:space="preserve">, named in the registration so they could not be chosen later: </w:t>
      </w:r>
      <w:r>
        <w:rPr>
          <w:b/>
          <w:bCs/>
        </w:rPr>
        <w:t xml:space="preserve">churn = PCA at 12 qubits; fraud = SelectKBest at 8 qubits</w:t>
      </w:r>
      <w:r>
        <w:t xml:space="preserve">, both at 250 per class. These are the cells where the </w:t>
      </w:r>
      <w:r>
        <w:rPr>
          <w:i/>
          <w:iCs/>
        </w:rPr>
        <w:t xml:space="preserve">classical</w:t>
      </w:r>
      <w:r>
        <w:t xml:space="preserve"> baseline is strongest, which is deliberately the hardest test for a quantum advantage.</w:t>
      </w:r>
    </w:p>
    <w:p>
      <w:pPr>
        <w:spacing w:after="120" w:before="120"/>
      </w:pPr>
    </w:p>
    <w:p>
      <w:pPr>
        <w:pStyle w:val="Heading2"/>
        <w:spacing w:after="140" w:before="280"/>
      </w:pPr>
      <w:r>
        <w:rPr>
          <w:b/>
          <w:bCs/>
          <w:color w:val="000000"/>
          <w:sz w:val="23"/>
          <w:szCs w:val="23"/>
        </w:rPr>
        <w:t xml:space="preserve">3.3 Hypotheses</w:t>
      </w:r>
    </w:p>
    <w:p>
      <w:pPr>
        <w:spacing w:after="140"/>
        <w:jc w:val="left"/>
      </w:pPr>
      <w:r>
        <w:rPr>
          <w:b/>
          <w:bCs/>
        </w:rPr>
        <w:t xml:space="preserve">H1 — no quantum advantage in the primary cell.</w:t>
      </w:r>
      <w:r>
        <w:t xml:space="preserve"> Per dataset, the paired per-seed difference between best quantum and best classical kernel in the pre-specified primary cell is zero. Two-sided, one test per dataset.</w:t>
      </w:r>
    </w:p>
    <w:p>
      <w:pPr>
        <w:spacing w:after="140"/>
        <w:jc w:val="left"/>
      </w:pPr>
      <w:r>
        <w:rPr>
          <w:b/>
          <w:bCs/>
        </w:rPr>
        <w:t xml:space="preserve">H2 — the geometric difference carries no information.</w:t>
      </w:r>
      <w:r>
        <w:t xml:space="preserve"> Across all 360 units, g_λ(K_C‖K_Q) has no monotone relationship with the observed quantum-minus- classical difference. Two-sided, though Huang et al.'s predicted direction is positive. </w:t>
      </w:r>
      <w:r>
        <w:rPr>
          <w:i/>
          <w:iCs/>
        </w:rPr>
        <w:t xml:space="preserve">The registration states plainly that "H2 is the reason this project exists. H1 is the benchmark it is embedded in."</w:t>
      </w:r>
    </w:p>
    <w:p>
      <w:pPr>
        <w:spacing w:after="140"/>
        <w:jc w:val="left"/>
      </w:pPr>
      <w:r>
        <w:rPr>
          <w:b/>
          <w:bCs/>
        </w:rPr>
        <w:t xml:space="preserve">H3 — g has no negative predictive value.</w:t>
      </w:r>
      <w:r>
        <w:t xml:space="preserve"> Among units with g_λ below 2, the observed difference is not bounded nearer zero than among units above it.</w:t>
      </w:r>
    </w:p>
    <w:p>
      <w:pPr>
        <w:pBdr>
          <w:left w:val="single" w:color="999999" w:sz="12" w:space="8"/>
        </w:pBdr>
        <w:spacing w:after="120" w:before="120"/>
        <w:ind w:left="360"/>
      </w:pPr>
      <w:r>
        <w:rPr>
          <w:b/>
          <w:bCs/>
          <w:i/>
          <w:iCs/>
        </w:rPr>
        <w:t xml:space="preserve">Amended, D13.</w:t>
      </w:r>
      <w:r>
        <w:rPr>
          <w:i/>
          <w:iCs/>
        </w:rPr>
        <w:t xml:space="preserve"> As registered, H3 was </w:t>
      </w:r>
      <w:r>
        <w:rPr>
          <w:i/>
          <w:iCs/>
        </w:rPr>
        <w:t xml:space="preserve">"confirmatory but subordinate to H2 and reported only if H2 is rejected."</w:t>
      </w:r>
      <w:r>
        <w:rPr>
          <w:i/>
          <w:iCs/>
        </w:rPr>
        <w:t xml:space="preserve"> H2 was not rejected, so under the registration as written H3's result should not have been reported. It was ungated in week 4 for a stated reason, the departure was not recorded in </w:t>
      </w:r>
      <w:r>
        <w:rPr>
          <w:rFonts w:ascii="Consolas" w:cs="Consolas" w:eastAsia="Consolas" w:hAnsi="Consolas"/>
          <w:i/>
          <w:iCs/>
          <w:sz w:val="19"/>
          <w:szCs w:val="19"/>
        </w:rPr>
        <w:t xml:space="preserve">deviations.md</w:t>
      </w:r>
      <w:r>
        <w:rPr>
          <w:i/>
          <w:iCs/>
        </w:rPr>
        <w:t xml:space="preserve"> until 29 September — after H3's result was computed and published — and D13 therefore offers the reader two readings and does not choose between them. §4 reports H3 under both.</w:t>
      </w:r>
    </w:p>
    <w:p>
      <w:pPr>
        <w:spacing w:after="120" w:before="120"/>
      </w:pPr>
    </w:p>
    <w:p>
      <w:pPr>
        <w:pStyle w:val="Heading2"/>
        <w:spacing w:after="140" w:before="280"/>
      </w:pPr>
      <w:r>
        <w:rPr>
          <w:b/>
          <w:bCs/>
          <w:color w:val="000000"/>
          <w:sz w:val="23"/>
          <w:szCs w:val="23"/>
        </w:rPr>
        <w:t xml:space="preserve">3.4 Endpoints and the decision rule — unamended</w:t>
      </w:r>
    </w:p>
    <w:p>
      <w:pPr>
        <w:spacing w:after="140"/>
        <w:jc w:val="left"/>
      </w:pPr>
      <w:r>
        <w:t xml:space="preserve">Two co-primary endpoints, both from the same stored per-test-point decision scores:</w:t>
      </w:r>
    </w:p>
    <w:p>
      <w:pPr>
        <w:pStyle w:val="ListParagraph"/>
        <w:numPr>
          <w:ilvl w:val="0"/>
          <w:numId w:val="1"/>
        </w:numPr>
        <w:spacing w:after="80"/>
      </w:pPr>
      <w:r>
        <w:rPr>
          <w:b/>
          <w:bCs/>
        </w:rPr>
        <w:t xml:space="preserve">normAP</w:t>
      </w:r>
      <w:r>
        <w:t xml:space="preserve"> = (AP − chance) / (1 − chance), where </w:t>
      </w:r>
      <w:r>
        <w:rPr>
          <w:i/>
          <w:iCs/>
        </w:rPr>
        <w:t xml:space="preserve">chance</w:t>
      </w:r>
      <w:r>
        <w:t xml:space="preserve"> is the exact</w:t>
      </w:r>
    </w:p>
    <w:p>
      <w:pPr>
        <w:spacing w:after="140"/>
        <w:jc w:val="left"/>
      </w:pPr>
      <w:r>
        <w:t xml:space="preserve">expected average precision of a random ranking at that test-set size and positive count — </w:t>
      </w:r>
      <w:r>
        <w:rPr>
          <w:b/>
          <w:bCs/>
        </w:rPr>
        <w:t xml:space="preserve">not the base rate</w:t>
      </w:r>
      <w:r>
        <w:t xml:space="preserve">. A random ranker scores 0.5516 on 30 balanced test points and 0.5154 on 150, so comparing raw AP across test-set sizes compares two different nulls.</w:t>
      </w:r>
    </w:p>
    <w:p>
      <w:pPr>
        <w:pStyle w:val="ListParagraph"/>
        <w:numPr>
          <w:ilvl w:val="0"/>
          <w:numId w:val="1"/>
        </w:numPr>
        <w:spacing w:after="80"/>
      </w:pPr>
      <w:r>
        <w:rPr>
          <w:b/>
          <w:bCs/>
        </w:rPr>
        <w:t xml:space="preserve">ROC-AUC</w:t>
      </w:r>
      <w:r>
        <w:t xml:space="preserve">, which has an exact null of 0.500 at any sample size.</w:t>
      </w:r>
    </w:p>
    <w:p>
      <w:pPr>
        <w:spacing w:after="140"/>
        <w:jc w:val="left"/>
      </w:pPr>
      <w:r>
        <w:rPr>
          <w:b/>
          <w:bCs/>
        </w:rPr>
        <w:t xml:space="preserve">Decision rule: intersection-union.</w:t>
      </w:r>
      <w:r>
        <w:t xml:space="preserve"> A hypothesis is rejected only if </w:t>
      </w:r>
      <w:r>
        <w:rPr>
          <w:b/>
          <w:bCs/>
        </w:rPr>
        <w:t xml:space="preserve">both</w:t>
      </w:r>
      <w:r>
        <w:t xml:space="preserve"> endpoints reject at α = 0.05, two-sided. No alpha correction, because the type I error of "reject only if both reject" is at most that of either test alone.</w:t>
      </w:r>
    </w:p>
    <w:p>
      <w:pPr>
        <w:spacing w:after="140"/>
        <w:jc w:val="left"/>
      </w:pPr>
      <w:r>
        <w:t xml:space="preserve">This was chosen by measurement. The two endpoints' paired differences correlate at a median of 0.818 to 0.947 across the matched arms, so requiring both costs 4 to 8% on the minimum detectable effect against 12% for splitting alpha across a union rule.</w:t>
      </w:r>
    </w:p>
    <w:p>
      <w:pPr>
        <w:spacing w:after="140"/>
        <w:jc w:val="left"/>
      </w:pPr>
      <w:r>
        <w:rPr>
          <w:b/>
          <w:bCs/>
        </w:rPr>
        <w:t xml:space="preserve">Test statistic.</w:t>
      </w:r>
      <w:r>
        <w:t xml:space="preserve"> Wilcoxon signed-rank on the 20 paired per-seed differences, two-sided; paired t reported alongside as a sensitivity check. Records are paired on the </w:t>
      </w:r>
      <w:r>
        <w:rPr>
          <w:b/>
          <w:bCs/>
        </w:rPr>
        <w:t xml:space="preserve">test-label fingerprint</w:t>
      </w:r>
      <w:r>
        <w:t xml:space="preserve">, asserted equal before any test runs; a mismatch aborts the analysis rather than being worked around.</w:t>
      </w:r>
    </w:p>
    <w:p>
      <w:pPr>
        <w:spacing w:after="120" w:before="120"/>
      </w:pPr>
    </w:p>
    <w:p>
      <w:pPr>
        <w:pStyle w:val="Heading2"/>
        <w:spacing w:after="140" w:before="280"/>
      </w:pPr>
      <w:r>
        <w:rPr>
          <w:b/>
          <w:bCs/>
          <w:color w:val="000000"/>
          <w:sz w:val="23"/>
          <w:szCs w:val="23"/>
        </w:rPr>
        <w:t xml:space="preserve">3.5 Power — registered, and corrected</w:t>
      </w:r>
    </w:p>
    <w:p>
      <w:pPr>
        <w:spacing w:after="140"/>
        <w:jc w:val="left"/>
      </w:pPr>
      <w:r>
        <w:rPr>
          <w:b/>
          <w:bCs/>
        </w:rPr>
        <w:t xml:space="preserve">As registered</w:t>
      </w:r>
      <w:r>
        <w:t xml:space="preserve"> (minimum detectable effect at 80% power under the intersection-union rule, from the measured median paired sd in each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arm</w:t>
            </w:r>
          </w:p>
        </w:tc>
        <w:tc>
          <w:tcPr>
            <w:tcW w:type="dxa" w:w="2340"/>
            <w:shd w:fill="EDEDED" w:val="clear"/>
            <w:tcMar>
              <w:top w:type="dxa" w:w="60"/>
              <w:left w:type="dxa" w:w="100"/>
              <w:bottom w:type="dxa" w:w="60"/>
              <w:right w:type="dxa" w:w="100"/>
            </w:tcMar>
          </w:tcPr>
          <w:p>
            <w:pPr>
              <w:spacing w:after="0" w:before="0"/>
            </w:pPr>
            <w:r>
              <w:rPr>
                <w:b/>
                <w:bCs/>
                <w:sz w:val="19"/>
                <w:szCs w:val="19"/>
              </w:rPr>
              <w:t xml:space="preserve">paired sd</w:t>
            </w:r>
          </w:p>
        </w:tc>
        <w:tc>
          <w:tcPr>
            <w:tcW w:type="dxa" w:w="2340"/>
            <w:shd w:fill="EDEDED" w:val="clear"/>
            <w:tcMar>
              <w:top w:type="dxa" w:w="60"/>
              <w:left w:type="dxa" w:w="100"/>
              <w:bottom w:type="dxa" w:w="60"/>
              <w:right w:type="dxa" w:w="100"/>
            </w:tcMar>
          </w:tcPr>
          <w:p>
            <w:pPr>
              <w:spacing w:after="0" w:before="0"/>
            </w:pPr>
            <w:r>
              <w:rPr>
                <w:b/>
                <w:bCs/>
                <w:sz w:val="19"/>
                <w:szCs w:val="19"/>
              </w:rPr>
              <w:t xml:space="preserve">MDE single endpoint</w:t>
            </w:r>
          </w:p>
        </w:tc>
        <w:tc>
          <w:tcPr>
            <w:tcW w:type="dxa" w:w="2340"/>
            <w:shd w:fill="EDEDED" w:val="clear"/>
            <w:tcMar>
              <w:top w:type="dxa" w:w="60"/>
              <w:left w:type="dxa" w:w="100"/>
              <w:bottom w:type="dxa" w:w="60"/>
              <w:right w:type="dxa" w:w="100"/>
            </w:tcMar>
          </w:tcPr>
          <w:p>
            <w:pPr>
              <w:spacing w:after="0" w:before="0"/>
            </w:pPr>
            <w:r>
              <w:rPr>
                <w:b/>
                <w:bCs/>
                <w:sz w:val="19"/>
                <w:szCs w:val="19"/>
              </w:rPr>
              <w:t xml:space="preserve">MDE intersection-union</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0.0604</w:t>
            </w:r>
          </w:p>
        </w:tc>
        <w:tc>
          <w:tcPr>
            <w:tcW w:type="dxa" w:w="2340"/>
            <w:tcMar>
              <w:top w:type="dxa" w:w="60"/>
              <w:left w:type="dxa" w:w="100"/>
              <w:bottom w:type="dxa" w:w="60"/>
              <w:right w:type="dxa" w:w="100"/>
            </w:tcMar>
          </w:tcPr>
          <w:p>
            <w:pPr>
              <w:spacing w:after="0" w:before="0"/>
            </w:pPr>
            <w:r>
              <w:rPr>
                <w:b w:val="false"/>
                <w:bCs w:val="false"/>
                <w:sz w:val="19"/>
                <w:szCs w:val="19"/>
              </w:rPr>
              <w:t xml:space="preserve">0.0399</w:t>
            </w:r>
          </w:p>
        </w:tc>
        <w:tc>
          <w:tcPr>
            <w:tcW w:type="dxa" w:w="2340"/>
            <w:tcMar>
              <w:top w:type="dxa" w:w="60"/>
              <w:left w:type="dxa" w:w="100"/>
              <w:bottom w:type="dxa" w:w="60"/>
              <w:right w:type="dxa" w:w="100"/>
            </w:tcMar>
          </w:tcPr>
          <w:p>
            <w:pPr>
              <w:spacing w:after="0" w:before="0"/>
            </w:pPr>
            <w:r>
              <w:rPr>
                <w:b/>
                <w:bCs/>
                <w:sz w:val="19"/>
                <w:szCs w:val="19"/>
              </w:rPr>
              <w:t xml:space="preserve">0.0427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100/class</w:t>
            </w:r>
          </w:p>
        </w:tc>
        <w:tc>
          <w:tcPr>
            <w:tcW w:type="dxa" w:w="2340"/>
            <w:tcMar>
              <w:top w:type="dxa" w:w="60"/>
              <w:left w:type="dxa" w:w="100"/>
              <w:bottom w:type="dxa" w:w="60"/>
              <w:right w:type="dxa" w:w="100"/>
            </w:tcMar>
          </w:tcPr>
          <w:p>
            <w:pPr>
              <w:spacing w:after="0" w:before="0"/>
            </w:pPr>
            <w:r>
              <w:rPr>
                <w:b w:val="false"/>
                <w:bCs w:val="false"/>
                <w:sz w:val="19"/>
                <w:szCs w:val="19"/>
              </w:rPr>
              <w:t xml:space="preserve">0.0424</w:t>
            </w:r>
          </w:p>
        </w:tc>
        <w:tc>
          <w:tcPr>
            <w:tcW w:type="dxa" w:w="2340"/>
            <w:tcMar>
              <w:top w:type="dxa" w:w="60"/>
              <w:left w:type="dxa" w:w="100"/>
              <w:bottom w:type="dxa" w:w="60"/>
              <w:right w:type="dxa" w:w="100"/>
            </w:tcMar>
          </w:tcPr>
          <w:p>
            <w:pPr>
              <w:spacing w:after="0" w:before="0"/>
            </w:pPr>
            <w:r>
              <w:rPr>
                <w:b w:val="false"/>
                <w:bCs w:val="false"/>
                <w:sz w:val="19"/>
                <w:szCs w:val="19"/>
              </w:rPr>
              <w:t xml:space="preserve">0.0280</w:t>
            </w:r>
          </w:p>
        </w:tc>
        <w:tc>
          <w:tcPr>
            <w:tcW w:type="dxa" w:w="2340"/>
            <w:tcMar>
              <w:top w:type="dxa" w:w="60"/>
              <w:left w:type="dxa" w:w="100"/>
              <w:bottom w:type="dxa" w:w="60"/>
              <w:right w:type="dxa" w:w="100"/>
            </w:tcMar>
          </w:tcPr>
          <w:p>
            <w:pPr>
              <w:spacing w:after="0" w:before="0"/>
            </w:pPr>
            <w:r>
              <w:rPr>
                <w:b/>
                <w:bCs/>
                <w:sz w:val="19"/>
                <w:szCs w:val="19"/>
              </w:rPr>
              <w:t xml:space="preserve">0.0298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0.0241</w:t>
            </w:r>
          </w:p>
        </w:tc>
        <w:tc>
          <w:tcPr>
            <w:tcW w:type="dxa" w:w="2340"/>
            <w:tcMar>
              <w:top w:type="dxa" w:w="60"/>
              <w:left w:type="dxa" w:w="100"/>
              <w:bottom w:type="dxa" w:w="60"/>
              <w:right w:type="dxa" w:w="100"/>
            </w:tcMar>
          </w:tcPr>
          <w:p>
            <w:pPr>
              <w:spacing w:after="0" w:before="0"/>
            </w:pPr>
            <w:r>
              <w:rPr>
                <w:b w:val="false"/>
                <w:bCs w:val="false"/>
                <w:sz w:val="19"/>
                <w:szCs w:val="19"/>
              </w:rPr>
              <w:t xml:space="preserve">0.0159</w:t>
            </w:r>
          </w:p>
        </w:tc>
        <w:tc>
          <w:tcPr>
            <w:tcW w:type="dxa" w:w="2340"/>
            <w:tcMar>
              <w:top w:type="dxa" w:w="60"/>
              <w:left w:type="dxa" w:w="100"/>
              <w:bottom w:type="dxa" w:w="60"/>
              <w:right w:type="dxa" w:w="100"/>
            </w:tcMar>
          </w:tcPr>
          <w:p>
            <w:pPr>
              <w:spacing w:after="0" w:before="0"/>
            </w:pPr>
            <w:r>
              <w:rPr>
                <w:b/>
                <w:bCs/>
                <w:sz w:val="19"/>
                <w:szCs w:val="19"/>
              </w:rPr>
              <w:t xml:space="preserve">0.0171</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0.0237</w:t>
            </w:r>
          </w:p>
        </w:tc>
        <w:tc>
          <w:tcPr>
            <w:tcW w:type="dxa" w:w="2340"/>
            <w:tcMar>
              <w:top w:type="dxa" w:w="60"/>
              <w:left w:type="dxa" w:w="100"/>
              <w:bottom w:type="dxa" w:w="60"/>
              <w:right w:type="dxa" w:w="100"/>
            </w:tcMar>
          </w:tcPr>
          <w:p>
            <w:pPr>
              <w:spacing w:after="0" w:before="0"/>
            </w:pPr>
            <w:r>
              <w:rPr>
                <w:b w:val="false"/>
                <w:bCs w:val="false"/>
                <w:sz w:val="19"/>
                <w:szCs w:val="19"/>
              </w:rPr>
              <w:t xml:space="preserve">0.0157</w:t>
            </w:r>
          </w:p>
        </w:tc>
        <w:tc>
          <w:tcPr>
            <w:tcW w:type="dxa" w:w="2340"/>
            <w:tcMar>
              <w:top w:type="dxa" w:w="60"/>
              <w:left w:type="dxa" w:w="100"/>
              <w:bottom w:type="dxa" w:w="60"/>
              <w:right w:type="dxa" w:w="100"/>
            </w:tcMar>
          </w:tcPr>
          <w:p>
            <w:pPr>
              <w:spacing w:after="0" w:before="0"/>
            </w:pPr>
            <w:r>
              <w:rPr>
                <w:b/>
                <w:bCs/>
                <w:sz w:val="19"/>
                <w:szCs w:val="19"/>
              </w:rPr>
              <w:t xml:space="preserve">0.0163</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100/class</w:t>
            </w:r>
          </w:p>
        </w:tc>
        <w:tc>
          <w:tcPr>
            <w:tcW w:type="dxa" w:w="2340"/>
            <w:tcMar>
              <w:top w:type="dxa" w:w="60"/>
              <w:left w:type="dxa" w:w="100"/>
              <w:bottom w:type="dxa" w:w="60"/>
              <w:right w:type="dxa" w:w="100"/>
            </w:tcMar>
          </w:tcPr>
          <w:p>
            <w:pPr>
              <w:spacing w:after="0" w:before="0"/>
            </w:pPr>
            <w:r>
              <w:rPr>
                <w:b w:val="false"/>
                <w:bCs w:val="false"/>
                <w:sz w:val="19"/>
                <w:szCs w:val="19"/>
              </w:rPr>
              <w:t xml:space="preserve">0.0136</w:t>
            </w:r>
          </w:p>
        </w:tc>
        <w:tc>
          <w:tcPr>
            <w:tcW w:type="dxa" w:w="2340"/>
            <w:tcMar>
              <w:top w:type="dxa" w:w="60"/>
              <w:left w:type="dxa" w:w="100"/>
              <w:bottom w:type="dxa" w:w="60"/>
              <w:right w:type="dxa" w:w="100"/>
            </w:tcMar>
          </w:tcPr>
          <w:p>
            <w:pPr>
              <w:spacing w:after="0" w:before="0"/>
            </w:pPr>
            <w:r>
              <w:rPr>
                <w:b w:val="false"/>
                <w:bCs w:val="false"/>
                <w:sz w:val="19"/>
                <w:szCs w:val="19"/>
              </w:rPr>
              <w:t xml:space="preserve">0.0090</w:t>
            </w:r>
          </w:p>
        </w:tc>
        <w:tc>
          <w:tcPr>
            <w:tcW w:type="dxa" w:w="2340"/>
            <w:tcMar>
              <w:top w:type="dxa" w:w="60"/>
              <w:left w:type="dxa" w:w="100"/>
              <w:bottom w:type="dxa" w:w="60"/>
              <w:right w:type="dxa" w:w="100"/>
            </w:tcMar>
          </w:tcPr>
          <w:p>
            <w:pPr>
              <w:spacing w:after="0" w:before="0"/>
            </w:pPr>
            <w:r>
              <w:rPr>
                <w:b/>
                <w:bCs/>
                <w:sz w:val="19"/>
                <w:szCs w:val="19"/>
              </w:rPr>
              <w:t xml:space="preserve">0.0094</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0.0085</w:t>
            </w:r>
          </w:p>
        </w:tc>
        <w:tc>
          <w:tcPr>
            <w:tcW w:type="dxa" w:w="2340"/>
            <w:tcMar>
              <w:top w:type="dxa" w:w="60"/>
              <w:left w:type="dxa" w:w="100"/>
              <w:bottom w:type="dxa" w:w="60"/>
              <w:right w:type="dxa" w:w="100"/>
            </w:tcMar>
          </w:tcPr>
          <w:p>
            <w:pPr>
              <w:spacing w:after="0" w:before="0"/>
            </w:pPr>
            <w:r>
              <w:rPr>
                <w:b w:val="false"/>
                <w:bCs w:val="false"/>
                <w:sz w:val="19"/>
                <w:szCs w:val="19"/>
              </w:rPr>
              <w:t xml:space="preserve">0.0056</w:t>
            </w:r>
          </w:p>
        </w:tc>
        <w:tc>
          <w:tcPr>
            <w:tcW w:type="dxa" w:w="2340"/>
            <w:tcMar>
              <w:top w:type="dxa" w:w="60"/>
              <w:left w:type="dxa" w:w="100"/>
              <w:bottom w:type="dxa" w:w="60"/>
              <w:right w:type="dxa" w:w="100"/>
            </w:tcMar>
          </w:tcPr>
          <w:p>
            <w:pPr>
              <w:spacing w:after="0" w:before="0"/>
            </w:pPr>
            <w:r>
              <w:rPr>
                <w:b/>
                <w:bCs/>
                <w:sz w:val="19"/>
                <w:szCs w:val="19"/>
              </w:rPr>
              <w:t xml:space="preserve">0.0059</w:t>
            </w:r>
          </w:p>
        </w:tc>
      </w:tr>
    </w:tbl>
    <w:p>
      <w:pPr>
        <w:spacing w:after="160"/>
      </w:pPr>
    </w:p>
    <w:p>
      <w:pPr>
        <w:pBdr>
          <w:left w:val="single" w:color="999999" w:sz="12" w:space="8"/>
        </w:pBdr>
        <w:spacing w:after="120" w:before="120"/>
        <w:ind w:left="360"/>
      </w:pPr>
      <w:r>
        <w:rPr>
          <w:b/>
          <w:bCs/>
          <w:i/>
          <w:iCs/>
        </w:rPr>
        <w:t xml:space="preserve">Amended, D6. Every row above is wrong, in the same direction, by 2.3x to 3.9x.</w:t>
      </w:r>
      <w:r>
        <w:rPr>
          <w:i/>
          <w:iCs/>
        </w:rPr>
        <w:t xml:space="preserve"> The registered standard deviations pair </w:t>
      </w:r>
      <w:r>
        <w:rPr>
          <w:i/>
          <w:iCs/>
        </w:rPr>
        <w:t xml:space="preserve">classical kernels against each other</w:t>
      </w:r>
      <w:r>
        <w:rPr>
          <w:i/>
          <w:iCs/>
        </w:rPr>
        <w:t xml:space="preserve"> — </w:t>
      </w:r>
      <w:r>
        <w:rPr>
          <w:rFonts w:ascii="Consolas" w:cs="Consolas" w:eastAsia="Consolas" w:hAnsi="Consolas"/>
          <w:i/>
          <w:iCs/>
          <w:sz w:val="19"/>
          <w:szCs w:val="19"/>
        </w:rPr>
        <w:t xml:space="preserve">power_analysis.py</w:t>
      </w:r>
      <w:r>
        <w:rPr>
          <w:i/>
          <w:iCs/>
        </w:rPr>
        <w:t xml:space="preserve"> was written in week 3, when the classical arm was the only arm that existed, so it could not have measured anything else. H1 tests a cross-arm difference, which is both larger and more variable.  </w:t>
      </w:r>
      <w:r>
        <w:rPr>
          <w:b/>
          <w:bCs/>
          <w:i/>
          <w:iCs/>
        </w:rPr>
        <w:t xml:space="preserve">Corrected, arm level</w:t>
      </w:r>
      <w:r>
        <w:rPr>
          <w:i/>
          <w:iCs/>
        </w:rPr>
        <w:t xml:space="preserve"> (the quantity the registered table reports): churn 250 → </w:t>
      </w:r>
      <w:r>
        <w:rPr>
          <w:b/>
          <w:bCs/>
          <w:i/>
          <w:iCs/>
        </w:rPr>
        <w:t xml:space="preserve">0.0608</w:t>
      </w:r>
      <w:r>
        <w:rPr>
          <w:i/>
          <w:iCs/>
        </w:rPr>
        <w:t xml:space="preserve">; churn 100 → </w:t>
      </w:r>
      <w:r>
        <w:rPr>
          <w:b/>
          <w:bCs/>
          <w:i/>
          <w:iCs/>
        </w:rPr>
        <w:t xml:space="preserve">0.1005</w:t>
      </w:r>
      <w:r>
        <w:rPr>
          <w:i/>
          <w:iCs/>
        </w:rPr>
        <w:t xml:space="preserve">; churn 50 → </w:t>
      </w:r>
      <w:r>
        <w:rPr>
          <w:b/>
          <w:bCs/>
          <w:i/>
          <w:iCs/>
        </w:rPr>
        <w:t xml:space="preserve">0.1368</w:t>
      </w:r>
      <w:r>
        <w:rPr>
          <w:i/>
          <w:iCs/>
        </w:rPr>
        <w:t xml:space="preserve">; fraud 250 → </w:t>
      </w:r>
      <w:r>
        <w:rPr>
          <w:b/>
          <w:bCs/>
          <w:i/>
          <w:iCs/>
        </w:rPr>
        <w:t xml:space="preserve">0.0138</w:t>
      </w:r>
      <w:r>
        <w:rPr>
          <w:i/>
          <w:iCs/>
        </w:rPr>
        <w:t xml:space="preserve">; fraud 100 → </w:t>
      </w:r>
      <w:r>
        <w:rPr>
          <w:b/>
          <w:bCs/>
          <w:i/>
          <w:iCs/>
        </w:rPr>
        <w:t xml:space="preserve">0.0365</w:t>
      </w:r>
      <w:r>
        <w:rPr>
          <w:i/>
          <w:iCs/>
        </w:rPr>
        <w:t xml:space="preserve">; fraud 50 → </w:t>
      </w:r>
      <w:r>
        <w:rPr>
          <w:b/>
          <w:bCs/>
          <w:i/>
          <w:iCs/>
        </w:rPr>
        <w:t xml:space="preserve">0.0571</w:t>
      </w:r>
      <w:r>
        <w:rPr>
          <w:i/>
          <w:iCs/>
        </w:rPr>
        <w:t xml:space="preserve">.  </w:t>
      </w:r>
      <w:r>
        <w:rPr>
          <w:b/>
          <w:bCs/>
          <w:i/>
          <w:iCs/>
        </w:rPr>
        <w:t xml:space="preserve">Corrected, primary cell</w:t>
      </w:r>
      <w:r>
        <w:rPr>
          <w:i/>
          <w:iCs/>
        </w:rPr>
        <w:t xml:space="preserve"> (the quantity an exclusion bound must quote): churn PCA/12 → </w:t>
      </w:r>
      <w:r>
        <w:rPr>
          <w:b/>
          <w:bCs/>
          <w:i/>
          <w:iCs/>
        </w:rPr>
        <w:t xml:space="preserve">0.0608</w:t>
      </w:r>
      <w:r>
        <w:rPr>
          <w:i/>
          <w:iCs/>
        </w:rPr>
        <w:t xml:space="preserve">; fraud SelectKBest/8 → </w:t>
      </w:r>
      <w:r>
        <w:rPr>
          <w:b/>
          <w:bCs/>
          <w:i/>
          <w:iCs/>
        </w:rPr>
        <w:t xml:space="preserve">0.0063</w:t>
      </w:r>
      <w:r>
        <w:rPr>
          <w:i/>
          <w:iCs/>
        </w:rPr>
        <w:t xml:space="preserve">.  These are different quantities and D6 records that conflating them is how its own first version went wrong. </w:t>
      </w:r>
      <w:r>
        <w:rPr>
          <w:b/>
          <w:bCs/>
          <w:i/>
          <w:iCs/>
        </w:rPr>
        <w:t xml:space="preserve">Every statement of the form "a null here would exclude effects larger than X" in the registration is superseded.</w:t>
      </w:r>
    </w:p>
    <w:p>
      <w:pPr>
        <w:spacing w:after="140"/>
        <w:jc w:val="left"/>
      </w:pPr>
      <w:r>
        <w:rPr>
          <w:b/>
          <w:bCs/>
        </w:rPr>
        <w:t xml:space="preserve">Registered as underpowered in advance.</w:t>
      </w:r>
      <w:r>
        <w:t xml:space="preserve"> The 50-per-class churn arm resolves only 0.0427 and would need 74 seeds to reach 0.020; it is run for the shape of the learning curve and </w:t>
      </w:r>
      <w:r>
        <w:rPr>
          <w:b/>
          <w:bCs/>
        </w:rPr>
        <w:t xml:space="preserve">not</w:t>
      </w:r>
      <w:r>
        <w:t xml:space="preserve"> used for hypothesis testing. D6 makes this further true — it actually resolves 0.1368, three times coarser than the figure that already disqualified it.</w:t>
      </w:r>
    </w:p>
    <w:p>
      <w:pPr>
        <w:spacing w:after="120" w:before="120"/>
      </w:pPr>
    </w:p>
    <w:p>
      <w:pPr>
        <w:pStyle w:val="Heading2"/>
        <w:spacing w:after="140" w:before="280"/>
      </w:pPr>
      <w:r>
        <w:rPr>
          <w:b/>
          <w:bCs/>
          <w:color w:val="000000"/>
          <w:sz w:val="23"/>
          <w:szCs w:val="23"/>
        </w:rPr>
        <w:t xml:space="preserve">3.6 How g is computed</w:t>
      </w:r>
    </w:p>
    <w:p>
      <w:pPr>
        <w:spacing w:after="140"/>
        <w:jc w:val="left"/>
      </w:pPr>
      <w:r>
        <w:rPr>
          <w:b/>
          <w:bCs/>
        </w:rPr>
        <w:t xml:space="preserve">As registered.</w:t>
      </w:r>
      <w:r>
        <w:t xml:space="preserve"> g in its regularised form, </w:t>
      </w:r>
      <w:r>
        <w:rPr>
          <w:rFonts w:ascii="Consolas" w:cs="Consolas" w:eastAsia="Consolas" w:hAnsi="Consolas"/>
          <w:sz w:val="19"/>
          <w:szCs w:val="19"/>
        </w:rPr>
        <w:t xml:space="preserve">geometric_difference_regularised</w:t>
      </w:r>
      <w:r>
        <w:t xml:space="preserve">, on normalised Gram matrices over the matched-track training set. λ derived from the classical model actually being compared against, via </w:t>
      </w:r>
      <w:r>
        <w:rPr>
          <w:rFonts w:ascii="Consolas" w:cs="Consolas" w:eastAsia="Consolas" w:hAnsi="Consolas"/>
          <w:sz w:val="19"/>
          <w:szCs w:val="19"/>
        </w:rPr>
        <w:t xml:space="preserve">lambda_from_svm_C(C, n) = 1/(2·C·n)</w:t>
      </w:r>
      <w:r>
        <w:t xml:space="preserve">, using the C that inner CV selected for that cell. A λ sweep reported alongside every value, because g is sensitive to λ and an unregularised g exceeding its own √n ceiling means the classical kernel is under-regularised, not that the quantum kernel separates strongly.</w:t>
      </w:r>
    </w:p>
    <w:p>
      <w:pPr>
        <w:pBdr>
          <w:left w:val="single" w:color="999999" w:sz="12" w:space="8"/>
        </w:pBdr>
        <w:spacing w:after="120" w:before="120"/>
        <w:ind w:left="360"/>
      </w:pPr>
      <w:r>
        <w:rPr>
          <w:b/>
          <w:bCs/>
          <w:i/>
          <w:iCs/>
        </w:rPr>
        <w:t xml:space="preserve">Amended, D5.</w:t>
      </w:r>
      <w:r>
        <w:rPr>
          <w:i/>
          <w:iCs/>
        </w:rPr>
        <w:t xml:space="preserve"> The λ-from-C value is no longer the reported quantity. A </w:t>
      </w:r>
      <w:r>
        <w:rPr>
          <w:b/>
          <w:bCs/>
          <w:i/>
          <w:iCs/>
        </w:rPr>
        <w:t xml:space="preserve">frozen sweep</w:t>
      </w:r>
      <w:r>
        <w:rPr>
          <w:i/>
          <w:iCs/>
        </w:rPr>
        <w:t xml:space="preserve"> at λ ∈ {1e-1, 1e-2, 1e-3, 1e-4} is reported with λ-from-C alongside, a </w:t>
      </w:r>
      <w:r>
        <w:rPr>
          <w:b/>
          <w:bCs/>
          <w:i/>
          <w:iCs/>
        </w:rPr>
        <w:t xml:space="preserve">per-seed ceiling rule</w:t>
      </w:r>
      <w:r>
        <w:rPr>
          <w:i/>
          <w:iCs/>
        </w:rPr>
        <w:t xml:space="preserve"> excludes and counts any seed whose g exceeds √n at a given λ, and </w:t>
      </w:r>
      <w:r>
        <w:rPr>
          <w:b/>
          <w:bCs/>
          <w:i/>
          <w:iCs/>
        </w:rPr>
        <w:t xml:space="preserve">the registered conclusion stands only if sign and significance agree at every λ with no ceiling breach</w:t>
      </w:r>
      <w:r>
        <w:rPr>
          <w:i/>
          <w:iCs/>
        </w:rPr>
        <w:t xml:space="preserve">. D5 is a strengthening: requiring agreement across four λ is strictly harder than picking one, and it cannot be gamed toward a positive result.  </w:t>
      </w:r>
      <w:r>
        <w:rPr>
          <w:b/>
          <w:bCs/>
          <w:i/>
          <w:iCs/>
        </w:rPr>
        <w:t xml:space="preserve">Amended, D7 and D8.</w:t>
      </w:r>
      <w:r>
        <w:rPr>
          <w:i/>
          <w:iCs/>
        </w:rPr>
        <w:t xml:space="preserve"> A unit's g is the </w:t>
      </w:r>
      <w:r>
        <w:rPr>
          <w:b/>
          <w:bCs/>
          <w:i/>
          <w:iCs/>
        </w:rPr>
        <w:t xml:space="preserve">median</w:t>
      </w:r>
      <w:r>
        <w:rPr>
          <w:i/>
          <w:iCs/>
        </w:rPr>
        <w:t xml:space="preserve"> over surviving seeds, not the mean, with the IQR reported and a 10-seed minimum; the observed difference is averaged over </w:t>
      </w:r>
      <w:r>
        <w:rPr>
          <w:b/>
          <w:bCs/>
          <w:i/>
          <w:iCs/>
        </w:rPr>
        <w:t xml:space="preserve">the same</w:t>
      </w:r>
      <w:r>
        <w:rPr>
          <w:i/>
          <w:iCs/>
        </w:rPr>
        <w:t xml:space="preserve"> surviving seeds; the above-precision-floor subset must agree; and a signed secondary is pre-declared.  </w:t>
      </w:r>
      <w:r>
        <w:rPr>
          <w:b/>
          <w:bCs/>
          <w:i/>
          <w:iCs/>
        </w:rPr>
        <w:t xml:space="preserve">Open, D14 (draft).</w:t>
      </w:r>
      <w:r>
        <w:rPr>
          <w:i/>
          <w:iCs/>
        </w:rPr>
        <w:t xml:space="preserve"> </w:t>
      </w:r>
      <w:r>
        <w:rPr>
          <w:rFonts w:ascii="Consolas" w:cs="Consolas" w:eastAsia="Consolas" w:hAnsi="Consolas"/>
          <w:i/>
          <w:iCs/>
          <w:sz w:val="19"/>
          <w:szCs w:val="19"/>
        </w:rPr>
        <w:t xml:space="preserve">lambda_from_svm_C</w:t>
      </w:r>
      <w:r>
        <w:rPr>
          <w:i/>
          <w:iCs/>
        </w:rPr>
        <w:t xml:space="preserve"> returns 1/(2·C·n) with a docstring asserting the correspondence and citing nothing. Huang prints no SVM-to-ridge relation, and his Appendix D objective is a summed residual, which points to 1/(2C). </w:t>
      </w:r>
      <w:r>
        <w:rPr>
          <w:b/>
          <w:bCs/>
          <w:i/>
          <w:iCs/>
        </w:rPr>
        <w:t xml:space="preserve">The frozen sweep carrying every reported result is unaffected; the λ-from-C column is not.</w:t>
      </w:r>
      <w:r>
        <w:rPr>
          <w:i/>
          <w:iCs/>
        </w:rPr>
        <w:t xml:space="preserve"> D14 remains undecided and nothing has been recomputed.</w:t>
      </w:r>
    </w:p>
    <w:p>
      <w:pPr>
        <w:spacing w:after="140"/>
        <w:jc w:val="left"/>
      </w:pPr>
      <w:r>
        <w:rPr>
          <w:b/>
          <w:bCs/>
        </w:rPr>
        <w:t xml:space="preserve">H2 test.</w:t>
      </w:r>
      <w:r>
        <w:t xml:space="preserve"> Spearman rank correlation between g_λ and the observed mean paired difference in normAP across all 360 units. Two-sided, α 0.05, single test; per-dataset results are a pre-declared secondary.</w:t>
      </w:r>
    </w:p>
    <w:p>
      <w:pPr>
        <w:spacing w:after="140"/>
        <w:jc w:val="left"/>
      </w:pPr>
      <w:r>
        <w:rPr>
          <w:b/>
          <w:bCs/>
        </w:rPr>
        <w:t xml:space="preserve">H3 test.</w:t>
      </w:r>
      <w:r>
        <w:t xml:space="preserve"> Units split at g_λ = 2 — </w:t>
      </w:r>
      <w:r>
        <w:rPr>
          <w:b/>
          <w:bCs/>
        </w:rPr>
        <w:t xml:space="preserve">fixed in the registration and not tuned afterwards</w:t>
      </w:r>
      <w:r>
        <w:t xml:space="preserve"> — comparing |observed difference| above and below the split by Mann-Whitney U, two-sided, α 0.05.</w:t>
      </w:r>
    </w:p>
    <w:p>
      <w:pPr>
        <w:spacing w:after="120" w:before="120"/>
      </w:pPr>
    </w:p>
    <w:p>
      <w:pPr>
        <w:pStyle w:val="Heading2"/>
        <w:spacing w:after="140" w:before="280"/>
      </w:pPr>
      <w:r>
        <w:rPr>
          <w:b/>
          <w:bCs/>
          <w:color w:val="000000"/>
          <w:sz w:val="23"/>
          <w:szCs w:val="23"/>
        </w:rPr>
        <w:t xml:space="preserve">3.7 Controls — registered, all executed</w:t>
      </w:r>
    </w:p>
    <w:p>
      <w:pPr>
        <w:spacing w:after="140"/>
        <w:jc w:val="left"/>
      </w:pPr>
      <w:r>
        <w:rPr>
          <w:b/>
          <w:bCs/>
        </w:rPr>
        <w:t xml:space="preserve">Label-shuffled negative control.</w:t>
      </w:r>
      <w:r>
        <w:t xml:space="preserve"> The full quantum pipeline on permuted labels at each primary cell. Expected ROC-AUC 0.500 and normAP 0; a consistent excess in both beyond about two seed-level standard errors </w:t>
      </w:r>
      <w:r>
        <w:rPr>
          <w:b/>
          <w:bCs/>
        </w:rPr>
        <w:t xml:space="preserve">halts the analysis</w:t>
      </w:r>
      <w:r>
        <w:t xml:space="preserve">. §4 reports it clean on both datasets.</w:t>
      </w:r>
    </w:p>
    <w:p>
      <w:pPr>
        <w:spacing w:after="140"/>
        <w:jc w:val="left"/>
      </w:pPr>
      <w:r>
        <w:rPr>
          <w:b/>
          <w:bCs/>
        </w:rPr>
        <w:t xml:space="preserve">Chance floor.</w:t>
      </w:r>
      <w:r>
        <w:t xml:space="preserve"> Every normAP against exact chance, never the base rate, enforced in code and tested.</w:t>
      </w:r>
    </w:p>
    <w:p>
      <w:pPr>
        <w:spacing w:after="140"/>
        <w:jc w:val="left"/>
      </w:pPr>
      <w:r>
        <w:rPr>
          <w:b/>
          <w:bCs/>
        </w:rPr>
        <w:t xml:space="preserve">Grid adequacy.</w:t>
      </w:r>
      <w:r>
        <w:t xml:space="preserve"> Any claim that a quantum grid is too narrow must be adjudicated by </w:t>
      </w:r>
      <w:r>
        <w:rPr>
          <w:rFonts w:ascii="Consolas" w:cs="Consolas" w:eastAsia="Consolas" w:hAnsi="Consolas"/>
          <w:sz w:val="19"/>
          <w:szCs w:val="19"/>
        </w:rPr>
        <w:t xml:space="preserve">scripts/check_grid_edges.py</w:t>
      </w:r>
      <w:r>
        <w:t xml:space="preserve"> against a shuffled-label null. </w:t>
      </w:r>
      <w:r>
        <w:rPr>
          <w:b/>
          <w:bCs/>
        </w:rPr>
        <w:t xml:space="preserve">Hyperparameter edge flags alone will never justify widening a grid</w:t>
      </w:r>
      <w:r>
        <w:t xml:space="preserve">, because extension raises the maximum inner-CV score even when no point is better.</w:t>
      </w:r>
    </w:p>
    <w:p>
      <w:pPr>
        <w:spacing w:after="140"/>
        <w:jc w:val="left"/>
      </w:pPr>
      <w:r>
        <w:t xml:space="preserve">The registered wording puts that effect at "five to seven times the real gain on the classical grids". The measurement supports its direction everywhere and its range nowhere. Five and seven are the polynomial-kernel mean ratios, 5.0 on churn and 6.6 on fraud; on the RBF kernels the ratio is 2.0 on churn and 35.7 on fraud, so two of the four measurements fall outside the registered range and one of them falls below it, understating the effect the rule exists to guard against. The figures are in </w:t>
      </w:r>
      <w:r>
        <w:rPr>
          <w:rFonts w:ascii="Consolas" w:cs="Consolas" w:eastAsia="Consolas" w:hAnsi="Consolas"/>
          <w:sz w:val="19"/>
          <w:szCs w:val="19"/>
        </w:rPr>
        <w:t xml:space="preserve">results/analysis/grid_edges_*_both*.json</w:t>
      </w:r>
      <w:r>
        <w:t xml:space="preserve">. </w:t>
      </w:r>
      <w:r>
        <w:rPr>
          <w:b/>
          <w:bCs/>
        </w:rPr>
        <w:t xml:space="preserve">The pre-registration's wording is unamended</w:t>
      </w:r>
      <w:r>
        <w:t xml:space="preserve">, because changing a registered document is a deviation and not a copy edit.</w:t>
      </w:r>
    </w:p>
    <w:p>
      <w:pPr>
        <w:spacing w:after="140"/>
        <w:jc w:val="left"/>
      </w:pPr>
      <w:r>
        <w:rPr>
          <w:b/>
          <w:bCs/>
        </w:rPr>
        <w:t xml:space="preserve">Backend.</w:t>
      </w:r>
      <w:r>
        <w:t xml:space="preserve"> All quantum kernels on </w:t>
      </w:r>
      <w:r>
        <w:rPr>
          <w:rFonts w:ascii="Consolas" w:cs="Consolas" w:eastAsia="Consolas" w:hAnsi="Consolas"/>
          <w:sz w:val="19"/>
          <w:szCs w:val="19"/>
        </w:rPr>
        <w:t xml:space="preserve">lightning.qubit</w:t>
      </w:r>
      <w:r>
        <w:t xml:space="preserve">, with a test asserting </w:t>
      </w:r>
      <w:r>
        <w:rPr>
          <w:rFonts w:ascii="Consolas" w:cs="Consolas" w:eastAsia="Consolas" w:hAnsi="Consolas"/>
          <w:sz w:val="19"/>
          <w:szCs w:val="19"/>
        </w:rPr>
        <w:t xml:space="preserve">default.qubit</w:t>
      </w:r>
      <w:r>
        <w:t xml:space="preserve"> agreement to 1e-8. Cost is reported in circuit evaluations, which are framework-independent; wall-clock is secondary and always labelled with its backend.</w:t>
      </w:r>
    </w:p>
    <w:p>
      <w:pPr>
        <w:pBdr>
          <w:left w:val="single" w:color="999999" w:sz="12" w:space="8"/>
        </w:pBdr>
        <w:spacing w:after="120" w:before="120"/>
        <w:ind w:left="360"/>
      </w:pPr>
      <w:r>
        <w:rPr>
          <w:b/>
          <w:bCs/>
          <w:i/>
          <w:iCs/>
        </w:rPr>
        <w:t xml:space="preserve">Amended, D12.</w:t>
      </w:r>
      <w:r>
        <w:rPr>
          <w:i/>
          <w:iCs/>
        </w:rPr>
        <w:t xml:space="preserve"> The IBM hardware runs registered for weeks 7 to 8 were dropped as infeasible. No registered claim depends on them, and the protocol has consequently never been run against this project's own hardware records because there are none — a gap in the protocol's evidence base, recorded as forgone rather than unimportant.</w:t>
      </w:r>
    </w:p>
    <w:p>
      <w:pPr>
        <w:spacing w:after="120" w:before="120"/>
      </w:pPr>
    </w:p>
    <w:p>
      <w:pPr>
        <w:pStyle w:val="Heading2"/>
        <w:spacing w:after="140" w:before="280"/>
      </w:pPr>
      <w:r>
        <w:rPr>
          <w:b/>
          <w:bCs/>
          <w:color w:val="000000"/>
          <w:sz w:val="23"/>
          <w:szCs w:val="23"/>
        </w:rPr>
        <w:t xml:space="preserve">3.8 The registered exploratory set</w:t>
      </w:r>
    </w:p>
    <w:p>
      <w:pPr>
        <w:spacing w:after="140"/>
        <w:jc w:val="left"/>
      </w:pPr>
      <w:r>
        <w:t xml:space="preserve">Section 9 of the registration fixes the confirmatory set at </w:t>
      </w:r>
      <w:r>
        <w:rPr>
          <w:b/>
          <w:bCs/>
        </w:rPr>
        <w:t xml:space="preserve">exactly three tests</w:t>
      </w:r>
      <w:r>
        <w:t xml:space="preserve">: H1 on churn, H1 on fraud, H2. No correction across the H1 pair, because they are separate questions about separate datasets.</w:t>
      </w:r>
    </w:p>
    <w:p>
      <w:pPr>
        <w:spacing w:after="140"/>
        <w:jc w:val="left"/>
      </w:pPr>
      <w:r>
        <w:t xml:space="preserve">Everything else is exploratory — </w:t>
      </w:r>
      <w:r>
        <w:rPr>
          <w:i/>
          <w:iCs/>
        </w:rPr>
        <w:t xml:space="preserve">"the 15-cell sweep per dataset, the qubit-count trend, the learning curve, the training-size comparison, per-mapping breakdowns"</w:t>
      </w:r>
      <w:r>
        <w:t xml:space="preserve"> — reported with </w:t>
      </w:r>
      <w:r>
        <w:rPr>
          <w:b/>
          <w:bCs/>
        </w:rPr>
        <w:t xml:space="preserve">Holm-corrected p-values within each family</w:t>
      </w:r>
      <w:r>
        <w:t xml:space="preserve">, labelled exploratory in every table caption, with </w:t>
      </w:r>
      <w:r>
        <w:rPr>
          <w:b/>
          <w:bCs/>
        </w:rPr>
        <w:t xml:space="preserve">no exploratory finding described as evidence for or against H1 or H2</w:t>
      </w:r>
      <w:r>
        <w:t xml:space="preserve">.</w:t>
      </w:r>
    </w:p>
    <w:p>
      <w:pPr>
        <w:spacing w:after="140"/>
        <w:jc w:val="left"/>
      </w:pPr>
      <w:r>
        <w:rPr>
          <w:b/>
          <w:bCs/>
        </w:rPr>
        <w:t xml:space="preserve">Search-size asymmetry, declared in advance.</w:t>
      </w:r>
      <w:r>
        <w:t xml:space="preserve"> The classical side searches 396 grid points per cell, the quantum side 36 — an order of magnitude wider. The registration states this favours the classical side on inner-CV scores and not on the outer test estimate, which is what the tests use, and requires the comparison be reported </w:t>
      </w:r>
      <w:r>
        <w:rPr>
          <w:b/>
          <w:bCs/>
        </w:rPr>
        <w:t xml:space="preserve">both</w:t>
      </w:r>
      <w:r>
        <w:t xml:space="preserve"> as best-quantum-of-four against best-classical-of-three </w:t>
      </w:r>
      <w:r>
        <w:rPr>
          <w:b/>
          <w:bCs/>
        </w:rPr>
        <w:t xml:space="preserve">and</w:t>
      </w:r>
      <w:r>
        <w:t xml:space="preserve"> per quantum setting against the best classical kernel, so a reader can see whether the headline depends on the quantum side getting to choose.</w:t>
      </w:r>
    </w:p>
    <w:p>
      <w:pPr>
        <w:spacing w:after="120" w:before="120"/>
      </w:pPr>
    </w:p>
    <w:p>
      <w:pPr>
        <w:pStyle w:val="Heading2"/>
        <w:spacing w:after="140" w:before="280"/>
      </w:pPr>
      <w:r>
        <w:rPr>
          <w:b/>
          <w:bCs/>
          <w:color w:val="000000"/>
          <w:sz w:val="23"/>
          <w:szCs w:val="23"/>
        </w:rPr>
        <w:t xml:space="preserve">3.9 Every movement from the registered design,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w:t>
            </w:r>
          </w:p>
        </w:tc>
        <w:tc>
          <w:tcPr>
            <w:tcW w:type="dxa" w:w="3120"/>
            <w:shd w:fill="EDEDED" w:val="clear"/>
            <w:tcMar>
              <w:top w:type="dxa" w:w="60"/>
              <w:left w:type="dxa" w:w="100"/>
              <w:bottom w:type="dxa" w:w="60"/>
              <w:right w:type="dxa" w:w="100"/>
            </w:tcMar>
          </w:tcPr>
          <w:p>
            <w:pPr>
              <w:spacing w:after="0" w:before="0"/>
            </w:pPr>
            <w:r>
              <w:rPr>
                <w:b/>
                <w:bCs/>
                <w:sz w:val="19"/>
                <w:szCs w:val="19"/>
              </w:rPr>
              <w:t xml:space="preserve">what moved</w:t>
            </w:r>
          </w:p>
        </w:tc>
        <w:tc>
          <w:tcPr>
            <w:tcW w:type="dxa" w:w="3120"/>
            <w:shd w:fill="EDEDED" w:val="clear"/>
            <w:tcMar>
              <w:top w:type="dxa" w:w="60"/>
              <w:left w:type="dxa" w:w="100"/>
              <w:bottom w:type="dxa" w:w="60"/>
              <w:right w:type="dxa" w:w="100"/>
            </w:tcMar>
          </w:tcPr>
          <w:p>
            <w:pPr>
              <w:spacing w:after="0" w:before="0"/>
            </w:pPr>
            <w:r>
              <w:rPr>
                <w:b/>
                <w:bCs/>
                <w:sz w:val="19"/>
                <w:szCs w:val="19"/>
              </w:rPr>
              <w:t xml:space="preserve">direction</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D2</w:t>
            </w:r>
          </w:p>
        </w:tc>
        <w:tc>
          <w:tcPr>
            <w:tcW w:type="dxa" w:w="3120"/>
            <w:tcMar>
              <w:top w:type="dxa" w:w="60"/>
              <w:left w:type="dxa" w:w="100"/>
              <w:bottom w:type="dxa" w:w="60"/>
              <w:right w:type="dxa" w:w="100"/>
            </w:tcMar>
          </w:tcPr>
          <w:p>
            <w:pPr>
              <w:spacing w:after="0" w:before="0"/>
            </w:pPr>
            <w:r>
              <w:rPr>
                <w:b w:val="false"/>
                <w:bCs w:val="false"/>
                <w:sz w:val="19"/>
                <w:szCs w:val="19"/>
              </w:rPr>
              <w:t xml:space="preserve">a measured precision floor of ~1e-3 in AP added; differences below it reported as unresolvable</w:t>
            </w:r>
          </w:p>
        </w:tc>
        <w:tc>
          <w:tcPr>
            <w:tcW w:type="dxa" w:w="3120"/>
            <w:tcMar>
              <w:top w:type="dxa" w:w="60"/>
              <w:left w:type="dxa" w:w="100"/>
              <w:bottom w:type="dxa" w:w="60"/>
              <w:right w:type="dxa" w:w="100"/>
            </w:tcMar>
          </w:tcPr>
          <w:p>
            <w:pPr>
              <w:spacing w:after="0" w:before="0"/>
            </w:pPr>
            <w:r>
              <w:rPr>
                <w:b w:val="false"/>
                <w:bCs w:val="false"/>
                <w:sz w:val="19"/>
                <w:szCs w:val="19"/>
              </w:rPr>
              <w:t xml:space="preserve">adds a constraint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D5</w:t>
            </w:r>
          </w:p>
        </w:tc>
        <w:tc>
          <w:tcPr>
            <w:tcW w:type="dxa" w:w="3120"/>
            <w:tcMar>
              <w:top w:type="dxa" w:w="60"/>
              <w:left w:type="dxa" w:w="100"/>
              <w:bottom w:type="dxa" w:w="60"/>
              <w:right w:type="dxa" w:w="100"/>
            </w:tcMar>
          </w:tcPr>
          <w:p>
            <w:pPr>
              <w:spacing w:after="0" w:before="0"/>
            </w:pPr>
            <w:r>
              <w:rPr>
                <w:b w:val="false"/>
                <w:bCs w:val="false"/>
                <w:sz w:val="19"/>
                <w:szCs w:val="19"/>
              </w:rPr>
              <w:t xml:space="preserve">reported g becomes a frozen λ sweep with a per-seed ceiling rule; conclusion must hold at every breach-free λ</w:t>
            </w:r>
          </w:p>
        </w:tc>
        <w:tc>
          <w:tcPr>
            <w:tcW w:type="dxa" w:w="3120"/>
            <w:tcMar>
              <w:top w:type="dxa" w:w="60"/>
              <w:left w:type="dxa" w:w="100"/>
              <w:bottom w:type="dxa" w:w="60"/>
              <w:right w:type="dxa" w:w="100"/>
            </w:tcMar>
          </w:tcPr>
          <w:p>
            <w:pPr>
              <w:spacing w:after="0" w:before="0"/>
            </w:pPr>
            <w:r>
              <w:rPr>
                <w:b w:val="false"/>
                <w:bCs w:val="false"/>
                <w:sz w:val="19"/>
                <w:szCs w:val="19"/>
              </w:rPr>
              <w:t xml:space="preserve">strictly harder</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D6</w:t>
            </w:r>
          </w:p>
        </w:tc>
        <w:tc>
          <w:tcPr>
            <w:tcW w:type="dxa" w:w="3120"/>
            <w:tcMar>
              <w:top w:type="dxa" w:w="60"/>
              <w:left w:type="dxa" w:w="100"/>
              <w:bottom w:type="dxa" w:w="60"/>
              <w:right w:type="dxa" w:w="100"/>
            </w:tcMar>
          </w:tcPr>
          <w:p>
            <w:pPr>
              <w:spacing w:after="0" w:before="0"/>
            </w:pPr>
            <w:r>
              <w:rPr>
                <w:b w:val="false"/>
                <w:bCs w:val="false"/>
                <w:sz w:val="19"/>
                <w:szCs w:val="19"/>
              </w:rPr>
              <w:t xml:space="preserve">the registered power table is wrong by 2.3x–3.9x throughout; corrected figures supersede it</w:t>
            </w:r>
          </w:p>
        </w:tc>
        <w:tc>
          <w:tcPr>
            <w:tcW w:type="dxa" w:w="3120"/>
            <w:tcMar>
              <w:top w:type="dxa" w:w="60"/>
              <w:left w:type="dxa" w:w="100"/>
              <w:bottom w:type="dxa" w:w="60"/>
              <w:right w:type="dxa" w:w="100"/>
            </w:tcMar>
          </w:tcPr>
          <w:p>
            <w:pPr>
              <w:spacing w:after="0" w:before="0"/>
            </w:pPr>
            <w:r>
              <w:rPr>
                <w:b w:val="false"/>
                <w:bCs w:val="false"/>
                <w:sz w:val="19"/>
                <w:szCs w:val="19"/>
              </w:rPr>
              <w:t xml:space="preserve">weakens claims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D7</w:t>
            </w:r>
          </w:p>
        </w:tc>
        <w:tc>
          <w:tcPr>
            <w:tcW w:type="dxa" w:w="3120"/>
            <w:tcMar>
              <w:top w:type="dxa" w:w="60"/>
              <w:left w:type="dxa" w:w="100"/>
              <w:bottom w:type="dxa" w:w="60"/>
              <w:right w:type="dxa" w:w="100"/>
            </w:tcMar>
          </w:tcPr>
          <w:p>
            <w:pPr>
              <w:spacing w:after="0" w:before="0"/>
            </w:pPr>
            <w:r>
              <w:rPr>
                <w:b w:val="false"/>
                <w:bCs w:val="false"/>
                <w:sz w:val="19"/>
                <w:szCs w:val="19"/>
              </w:rPr>
              <w:t xml:space="preserve">unit g is the median over surviving seeds, IQR reported, 10-seed minimum</w:t>
            </w:r>
          </w:p>
        </w:tc>
        <w:tc>
          <w:tcPr>
            <w:tcW w:type="dxa" w:w="3120"/>
            <w:tcMar>
              <w:top w:type="dxa" w:w="60"/>
              <w:left w:type="dxa" w:w="100"/>
              <w:bottom w:type="dxa" w:w="60"/>
              <w:right w:type="dxa" w:w="100"/>
            </w:tcMar>
          </w:tcPr>
          <w:p>
            <w:pPr>
              <w:spacing w:after="0" w:before="0"/>
            </w:pPr>
            <w:r>
              <w:rPr>
                <w:b w:val="false"/>
                <w:bCs w:val="false"/>
                <w:sz w:val="19"/>
                <w:szCs w:val="19"/>
              </w:rPr>
              <w:t xml:space="preserve">adds a constraint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D8</w:t>
            </w:r>
          </w:p>
        </w:tc>
        <w:tc>
          <w:tcPr>
            <w:tcW w:type="dxa" w:w="3120"/>
            <w:tcMar>
              <w:top w:type="dxa" w:w="60"/>
              <w:left w:type="dxa" w:w="100"/>
              <w:bottom w:type="dxa" w:w="60"/>
              <w:right w:type="dxa" w:w="100"/>
            </w:tcMar>
          </w:tcPr>
          <w:p>
            <w:pPr>
              <w:spacing w:after="0" w:before="0"/>
            </w:pPr>
            <w:r>
              <w:rPr>
                <w:b w:val="false"/>
                <w:bCs w:val="false"/>
                <w:sz w:val="19"/>
                <w:szCs w:val="19"/>
              </w:rPr>
              <w:t xml:space="preserve">observed difference averaged over the same surviving seeds; above-floor subset must agree; signed secondary pre-declared</w:t>
            </w:r>
          </w:p>
        </w:tc>
        <w:tc>
          <w:tcPr>
            <w:tcW w:type="dxa" w:w="3120"/>
            <w:tcMar>
              <w:top w:type="dxa" w:w="60"/>
              <w:left w:type="dxa" w:w="100"/>
              <w:bottom w:type="dxa" w:w="60"/>
              <w:right w:type="dxa" w:w="100"/>
            </w:tcMar>
          </w:tcPr>
          <w:p>
            <w:pPr>
              <w:spacing w:after="0" w:before="0"/>
            </w:pPr>
            <w:r>
              <w:rPr>
                <w:b w:val="false"/>
                <w:bCs w:val="false"/>
                <w:sz w:val="19"/>
                <w:szCs w:val="19"/>
              </w:rPr>
              <w:t xml:space="preserve">adds a constraint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D12</w:t>
            </w:r>
          </w:p>
        </w:tc>
        <w:tc>
          <w:tcPr>
            <w:tcW w:type="dxa" w:w="3120"/>
            <w:tcMar>
              <w:top w:type="dxa" w:w="60"/>
              <w:left w:type="dxa" w:w="100"/>
              <w:bottom w:type="dxa" w:w="60"/>
              <w:right w:type="dxa" w:w="100"/>
            </w:tcMar>
          </w:tcPr>
          <w:p>
            <w:pPr>
              <w:spacing w:after="0" w:before="0"/>
            </w:pPr>
            <w:r>
              <w:rPr>
                <w:b w:val="false"/>
                <w:bCs w:val="false"/>
                <w:sz w:val="19"/>
                <w:szCs w:val="19"/>
              </w:rPr>
              <w:t xml:space="preserve">IBM hardware runs dropped as infeasible</w:t>
            </w:r>
          </w:p>
        </w:tc>
        <w:tc>
          <w:tcPr>
            <w:tcW w:type="dxa" w:w="3120"/>
            <w:tcMar>
              <w:top w:type="dxa" w:w="60"/>
              <w:left w:type="dxa" w:w="100"/>
              <w:bottom w:type="dxa" w:w="60"/>
              <w:right w:type="dxa" w:w="100"/>
            </w:tcMar>
          </w:tcPr>
          <w:p>
            <w:pPr>
              <w:spacing w:after="0" w:before="0"/>
            </w:pPr>
            <w:r>
              <w:rPr>
                <w:b w:val="false"/>
                <w:bCs w:val="false"/>
                <w:sz w:val="19"/>
                <w:szCs w:val="19"/>
              </w:rPr>
              <w:t xml:space="preserve">removes planned evidence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D13</w:t>
            </w:r>
          </w:p>
        </w:tc>
        <w:tc>
          <w:tcPr>
            <w:tcW w:type="dxa" w:w="3120"/>
            <w:tcMar>
              <w:top w:type="dxa" w:w="60"/>
              <w:left w:type="dxa" w:w="100"/>
              <w:bottom w:type="dxa" w:w="60"/>
              <w:right w:type="dxa" w:w="100"/>
            </w:tcMar>
          </w:tcPr>
          <w:p>
            <w:pPr>
              <w:spacing w:after="0" w:before="0"/>
            </w:pPr>
            <w:r>
              <w:rPr>
                <w:b w:val="false"/>
                <w:bCs w:val="false"/>
                <w:sz w:val="19"/>
                <w:szCs w:val="19"/>
              </w:rPr>
              <w:t xml:space="preserve">H3 ungated from H2, declared after its result was published; two readings offered</w:t>
            </w:r>
          </w:p>
        </w:tc>
        <w:tc>
          <w:tcPr>
            <w:tcW w:type="dxa" w:w="3120"/>
            <w:tcMar>
              <w:top w:type="dxa" w:w="60"/>
              <w:left w:type="dxa" w:w="100"/>
              <w:bottom w:type="dxa" w:w="60"/>
              <w:right w:type="dxa" w:w="100"/>
            </w:tcMar>
          </w:tcPr>
          <w:p>
            <w:pPr>
              <w:spacing w:after="0" w:before="0"/>
            </w:pPr>
            <w:r>
              <w:rPr>
                <w:b w:val="false"/>
                <w:bCs w:val="false"/>
                <w:sz w:val="19"/>
                <w:szCs w:val="19"/>
              </w:rPr>
              <w:t xml:space="preserve">weakens H3's status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D14</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lambda_from_svm_C</w:t>
            </w:r>
            <w:r>
              <w:rPr>
                <w:b w:val="false"/>
                <w:bCs w:val="false"/>
                <w:sz w:val="19"/>
                <w:szCs w:val="19"/>
              </w:rPr>
              <w:t xml:space="preserve"> corrected to 1/(2C) on an outcome-to-verdict mapping pushed before the re-run; the supplementary column's breaches fall from 2,893 to 979 of 7,200 and no verdict moves</w:t>
            </w:r>
          </w:p>
        </w:tc>
        <w:tc>
          <w:tcPr>
            <w:tcW w:type="dxa" w:w="3120"/>
            <w:tcMar>
              <w:top w:type="dxa" w:w="60"/>
              <w:left w:type="dxa" w:w="100"/>
              <w:bottom w:type="dxa" w:w="60"/>
              <w:right w:type="dxa" w:w="100"/>
            </w:tcMar>
          </w:tcPr>
          <w:p>
            <w:pPr>
              <w:spacing w:after="0" w:before="0"/>
            </w:pPr>
            <w:r>
              <w:rPr>
                <w:b w:val="false"/>
                <w:bCs w:val="false"/>
                <w:sz w:val="19"/>
                <w:szCs w:val="19"/>
              </w:rPr>
              <w:t xml:space="preserve">corrects a defect, changes no result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D15</w:t>
            </w:r>
          </w:p>
        </w:tc>
        <w:tc>
          <w:tcPr>
            <w:tcW w:type="dxa" w:w="3120"/>
            <w:tcMar>
              <w:top w:type="dxa" w:w="60"/>
              <w:left w:type="dxa" w:w="100"/>
              <w:bottom w:type="dxa" w:w="60"/>
              <w:right w:type="dxa" w:w="100"/>
            </w:tcMar>
          </w:tcPr>
          <w:p>
            <w:pPr>
              <w:spacing w:after="0" w:before="0"/>
            </w:pPr>
            <w:r>
              <w:rPr>
                <w:b w:val="false"/>
                <w:bCs w:val="false"/>
                <w:sz w:val="19"/>
                <w:szCs w:val="19"/>
              </w:rPr>
              <w:t xml:space="preserve">the paper's organising contribution becomes the protocol</w:t>
            </w:r>
          </w:p>
        </w:tc>
        <w:tc>
          <w:tcPr>
            <w:tcW w:type="dxa" w:w="3120"/>
            <w:tcMar>
              <w:top w:type="dxa" w:w="60"/>
              <w:left w:type="dxa" w:w="100"/>
              <w:bottom w:type="dxa" w:w="60"/>
              <w:right w:type="dxa" w:w="100"/>
            </w:tcMar>
          </w:tcPr>
          <w:p>
            <w:pPr>
              <w:spacing w:after="0" w:before="0"/>
            </w:pPr>
            <w:r>
              <w:rPr>
                <w:b w:val="false"/>
                <w:bCs w:val="false"/>
                <w:sz w:val="19"/>
                <w:szCs w:val="19"/>
              </w:rPr>
              <w:t xml:space="preserve">reframes, changes no analysis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D16</w:t>
            </w:r>
          </w:p>
        </w:tc>
        <w:tc>
          <w:tcPr>
            <w:tcW w:type="dxa" w:w="3120"/>
            <w:tcMar>
              <w:top w:type="dxa" w:w="60"/>
              <w:left w:type="dxa" w:w="100"/>
              <w:bottom w:type="dxa" w:w="60"/>
              <w:right w:type="dxa" w:w="100"/>
            </w:tcMar>
          </w:tcPr>
          <w:p>
            <w:pPr>
              <w:spacing w:after="0" w:before="0"/>
            </w:pPr>
            <w:r>
              <w:rPr>
                <w:b w:val="false"/>
                <w:bCs w:val="false"/>
                <w:sz w:val="19"/>
                <w:szCs w:val="19"/>
              </w:rPr>
              <w:t xml:space="preserve">Huang's own g_tra selection over his declared grid, specified in full before computation; a </w:t>
            </w:r>
            <w:r>
              <w:rPr>
                <w:b/>
                <w:bCs/>
                <w:sz w:val="19"/>
                <w:szCs w:val="19"/>
              </w:rPr>
              <w:t xml:space="preserve">prospectively specified follow-up analysis</w:t>
            </w:r>
            <w:r>
              <w:rPr>
                <w:b w:val="false"/>
                <w:bCs w:val="false"/>
                <w:sz w:val="19"/>
                <w:szCs w:val="19"/>
              </w:rPr>
              <w:t xml:space="preserve">, never confirmatory</w:t>
            </w:r>
          </w:p>
        </w:tc>
        <w:tc>
          <w:tcPr>
            <w:tcW w:type="dxa" w:w="3120"/>
            <w:tcMar>
              <w:top w:type="dxa" w:w="60"/>
              <w:left w:type="dxa" w:w="100"/>
              <w:bottom w:type="dxa" w:w="60"/>
              <w:right w:type="dxa" w:w="100"/>
            </w:tcMar>
          </w:tcPr>
          <w:p>
            <w:pPr>
              <w:spacing w:after="0" w:before="0"/>
            </w:pPr>
            <w:r>
              <w:rPr>
                <w:b w:val="false"/>
                <w:bCs w:val="false"/>
                <w:sz w:val="19"/>
                <w:szCs w:val="19"/>
              </w:rPr>
              <w:t xml:space="preserve">computed, </w:t>
            </w:r>
            <w:r>
              <w:rPr>
                <w:b/>
                <w:bCs/>
                <w:sz w:val="19"/>
                <w:szCs w:val="19"/>
              </w:rPr>
              <w:t xml:space="preserve">outcome B3</w:t>
            </w:r>
            <w:r>
              <w:rPr>
                <w:b w:val="false"/>
                <w:bCs w:val="false"/>
                <w:sz w:val="19"/>
                <w:szCs w:val="19"/>
              </w:rPr>
              <w:t xml:space="preserve">: unsatisfiable on 76.5% of units, reported unresolved, no verdict moves</w:t>
            </w:r>
          </w:p>
        </w:tc>
      </w:tr>
    </w:tbl>
    <w:p>
      <w:pPr>
        <w:spacing w:after="160"/>
      </w:pPr>
    </w:p>
    <w:p>
      <w:pPr>
        <w:spacing w:after="140"/>
        <w:jc w:val="left"/>
      </w:pPr>
      <w:r>
        <w:rPr>
          <w:b/>
          <w:bCs/>
        </w:rPr>
        <w:t xml:space="preserve">Nothing in this table changes a hypothesis, an endpoint, a decision rule, a threshold, or a result.</w:t>
      </w:r>
      <w:r>
        <w:t xml:space="preserve"> D6 and D13 weaken what may be claimed; D2, D5, D7 and D8 make the tests harder to pass; D12 removes evidence that was never collected; D14 corrected one supplementary column's λ definition under a pre-committed mapping and left every verdict where it was; D15 is editorial; D16 ran under a pre-commitment published first, returned B3, moved no verdict, and cannot by its own terms become part of the confirmatory design.</w:t>
      </w:r>
    </w:p>
    <w:p>
      <w:pPr>
        <w:spacing w:after="120" w:before="120"/>
      </w:pPr>
    </w:p>
    <w:p>
      <w:pPr>
        <w:pStyle w:val="Heading1"/>
        <w:pageBreakBefore/>
        <w:spacing w:after="200" w:before="0"/>
      </w:pPr>
      <w:r>
        <w:rPr>
          <w:b/>
          <w:bCs/>
          <w:color w:val="000000"/>
          <w:sz w:val="26"/>
          <w:szCs w:val="26"/>
        </w:rPr>
        <w:t xml:space="preserve">Section 4 — Results</w:t>
      </w:r>
    </w:p>
    <w:p>
      <w:pPr>
        <w:spacing w:after="140"/>
        <w:jc w:val="left"/>
      </w:pPr>
      <w:r>
        <w:t xml:space="preserve">Every figure here is the registered analysis or an explicitly exploratory family. Nothing in this section is a follow-up analysis: §6.2a reports the one of those there is, and it carries no verdict.</w:t>
      </w:r>
    </w:p>
    <w:p>
      <w:pPr>
        <w:spacing w:after="120" w:before="120"/>
      </w:pPr>
    </w:p>
    <w:p>
      <w:pPr>
        <w:pStyle w:val="Heading2"/>
        <w:spacing w:after="140" w:before="280"/>
      </w:pPr>
      <w:r>
        <w:rPr>
          <w:b/>
          <w:bCs/>
          <w:color w:val="000000"/>
          <w:sz w:val="23"/>
          <w:szCs w:val="23"/>
        </w:rPr>
        <w:t xml:space="preserve">4.1 What was run</w:t>
      </w:r>
    </w:p>
    <w:p>
      <w:pPr>
        <w:spacing w:after="140"/>
        <w:jc w:val="left"/>
      </w:pPr>
      <w:r>
        <w:t xml:space="preserve">Two datasets, three training sizes, three feature mappings, five qubit counts, four quantum settings, twenty seeds. 15,120 result records: 7,520 quantum, 7,440 classical, 160 negative-control. The geometric difference was computed across all </w:t>
      </w:r>
      <w:r>
        <w:rPr>
          <w:b/>
          <w:bCs/>
        </w:rPr>
        <w:t xml:space="preserve">360 registered units</w:t>
      </w:r>
      <w:r>
        <w:t xml:space="preserve"> and 7,200 per-seed rows.</w:t>
      </w:r>
    </w:p>
    <w:p>
      <w:pPr>
        <w:spacing w:after="140"/>
        <w:jc w:val="left"/>
      </w:pPr>
      <w:r>
        <w:t xml:space="preserve">Classical baselines were tuned over 396 grid points per cell against the quantum side's 36, declared in advance as a search-size asymmetry that favours the classical side on inner-CV scores and not on the outer test estimate, which is what the tests use. Selection within a cell is by inner CV on training folds only; the outer test set is touched once per (cell, seed, method).</w:t>
      </w:r>
    </w:p>
    <w:p>
      <w:pPr>
        <w:spacing w:after="120" w:before="120"/>
      </w:pPr>
    </w:p>
    <w:p>
      <w:pPr>
        <w:pStyle w:val="Heading2"/>
        <w:spacing w:after="140" w:before="280"/>
      </w:pPr>
      <w:r>
        <w:rPr>
          <w:b/>
          <w:bCs/>
          <w:color w:val="000000"/>
          <w:sz w:val="23"/>
          <w:szCs w:val="23"/>
        </w:rPr>
        <w:t xml:space="preserve">4.2 H1: no quantum advantage on either dataset</w:t>
      </w:r>
    </w:p>
    <w:p>
      <w:pPr>
        <w:spacing w:after="140"/>
        <w:jc w:val="left"/>
      </w:pPr>
      <w:r>
        <w:t xml:space="preserve">Paired per-seed differences at the pre-registered primary cells, 250 per class, 20 seeds, intersection-union across both endpoints at alpha = 0.05. </w:t>
      </w:r>
      <w:r>
        <w:rPr>
          <w:i/>
          <w:iCs/>
        </w:rPr>
        <w:t xml:space="preserve">(`results/analysis/primary_tests.json`)</w:t>
      </w:r>
    </w:p>
    <w:p>
      <w:pPr>
        <w:spacing w:after="80" w:before="20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771775"/>
                    </a:xfrm>
                    <a:prstGeom prst="rect">
                      <a:avLst/>
                    </a:prstGeom>
                  </pic:spPr>
                </pic:pic>
              </a:graphicData>
            </a:graphic>
          </wp:inline>
        </w:drawing>
      </w:r>
    </w:p>
    <w:p>
      <w:pPr>
        <w:spacing w:after="240"/>
        <w:jc w:val="center"/>
      </w:pPr>
      <w:r>
        <w:rPr>
          <w:i/>
          <w:iCs/>
          <w:color w:val="444444"/>
          <w:sz w:val="18"/>
          <w:szCs w:val="18"/>
        </w:rPr>
        <w:t xml:space="preserve">Figure 2 — H1's twenty paired per-seed differences at each primary cell, both datasets on one shared scale.</w:t>
      </w:r>
    </w:p>
    <w:p>
      <w:pPr>
        <w:spacing w:after="140"/>
        <w:jc w:val="left"/>
      </w:pPr>
      <w:r>
        <w:rPr>
          <w:b/>
          <w:bCs/>
        </w:rPr>
        <w:t xml:space="preserve">Figure 2</w:t>
      </w:r>
      <w:r>
        <w:t xml:space="preserve"> shows both datasets on one shared scale. Each figure stamps its own source artefact into the image, so a reader can tell which run it came from without trusting a caption.</w:t>
      </w:r>
    </w:p>
    <w:p>
      <w:pPr>
        <w:spacing w:after="140"/>
        <w:jc w:val="left"/>
      </w:pPr>
      <w:r>
        <w:rPr>
          <w:b/>
          <w:bCs/>
        </w:rPr>
        <w:t xml:space="preserve">Churn, PCA at 12 qubits — rejects, against the quantum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endpoint</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median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872"/>
            <w:shd w:fill="EDEDED" w:val="clear"/>
            <w:tcMar>
              <w:top w:type="dxa" w:w="60"/>
              <w:left w:type="dxa" w:w="100"/>
              <w:bottom w:type="dxa" w:w="60"/>
              <w:right w:type="dxa" w:w="100"/>
            </w:tcMar>
          </w:tcPr>
          <w:p>
            <w:pPr>
              <w:spacing w:after="0" w:before="0"/>
            </w:pPr>
            <w:r>
              <w:rPr>
                <w:b/>
                <w:bCs/>
                <w:sz w:val="19"/>
                <w:szCs w:val="19"/>
              </w:rPr>
              <w:t xml:space="preserve">Wilcoxon p</w:t>
            </w:r>
          </w:p>
        </w:tc>
      </w:tr>
      <w:tr>
        <w:tc>
          <w:tcPr>
            <w:tcW w:type="dxa" w:w="1872"/>
            <w:tcMar>
              <w:top w:type="dxa" w:w="60"/>
              <w:left w:type="dxa" w:w="100"/>
              <w:bottom w:type="dxa" w:w="60"/>
              <w:right w:type="dxa" w:w="100"/>
            </w:tcMar>
          </w:tcPr>
          <w:p>
            <w:pPr>
              <w:spacing w:after="0" w:before="0"/>
            </w:pPr>
            <w:r>
              <w:rPr>
                <w:b w:val="false"/>
                <w:bCs w:val="false"/>
                <w:sz w:val="19"/>
                <w:szCs w:val="19"/>
              </w:rPr>
              <w:t xml:space="preserve">normAP</w:t>
            </w:r>
          </w:p>
        </w:tc>
        <w:tc>
          <w:tcPr>
            <w:tcW w:type="dxa" w:w="1872"/>
            <w:tcMar>
              <w:top w:type="dxa" w:w="60"/>
              <w:left w:type="dxa" w:w="100"/>
              <w:bottom w:type="dxa" w:w="60"/>
              <w:right w:type="dxa" w:w="100"/>
            </w:tcMar>
          </w:tcPr>
          <w:p>
            <w:pPr>
              <w:spacing w:after="0" w:before="0"/>
            </w:pPr>
            <w:r>
              <w:rPr>
                <w:b w:val="false"/>
                <w:bCs w:val="false"/>
                <w:sz w:val="19"/>
                <w:szCs w:val="19"/>
              </w:rPr>
              <w:t xml:space="preserve">−0.0798</w:t>
            </w:r>
          </w:p>
        </w:tc>
        <w:tc>
          <w:tcPr>
            <w:tcW w:type="dxa" w:w="1872"/>
            <w:tcMar>
              <w:top w:type="dxa" w:w="60"/>
              <w:left w:type="dxa" w:w="100"/>
              <w:bottom w:type="dxa" w:w="60"/>
              <w:right w:type="dxa" w:w="100"/>
            </w:tcMar>
          </w:tcPr>
          <w:p>
            <w:pPr>
              <w:spacing w:after="0" w:before="0"/>
            </w:pPr>
            <w:r>
              <w:rPr>
                <w:b w:val="false"/>
                <w:bCs w:val="false"/>
                <w:sz w:val="19"/>
                <w:szCs w:val="19"/>
              </w:rPr>
              <w:t xml:space="preserve">−0.0659</w:t>
            </w:r>
          </w:p>
        </w:tc>
        <w:tc>
          <w:tcPr>
            <w:tcW w:type="dxa" w:w="1872"/>
            <w:tcMar>
              <w:top w:type="dxa" w:w="60"/>
              <w:left w:type="dxa" w:w="100"/>
              <w:bottom w:type="dxa" w:w="60"/>
              <w:right w:type="dxa" w:w="100"/>
            </w:tcMar>
          </w:tcPr>
          <w:p>
            <w:pPr>
              <w:spacing w:after="0" w:before="0"/>
            </w:pPr>
            <w:r>
              <w:rPr>
                <w:b w:val="false"/>
                <w:bCs w:val="false"/>
                <w:sz w:val="19"/>
                <w:szCs w:val="19"/>
              </w:rPr>
              <w:t xml:space="preserve">[−0.1229, −0.0367]</w:t>
            </w:r>
          </w:p>
        </w:tc>
        <w:tc>
          <w:tcPr>
            <w:tcW w:type="dxa" w:w="1872"/>
            <w:tcMar>
              <w:top w:type="dxa" w:w="60"/>
              <w:left w:type="dxa" w:w="100"/>
              <w:bottom w:type="dxa" w:w="60"/>
              <w:right w:type="dxa" w:w="100"/>
            </w:tcMar>
          </w:tcPr>
          <w:p>
            <w:pPr>
              <w:spacing w:after="0" w:before="0"/>
            </w:pPr>
            <w:r>
              <w:rPr>
                <w:b w:val="false"/>
                <w:bCs w:val="false"/>
                <w:sz w:val="19"/>
                <w:szCs w:val="19"/>
              </w:rPr>
              <w:t xml:space="preserve">8.20e-05</w:t>
            </w:r>
          </w:p>
        </w:tc>
      </w:tr>
      <w:tr>
        <w:tc>
          <w:tcPr>
            <w:tcW w:type="dxa" w:w="1872"/>
            <w:tcMar>
              <w:top w:type="dxa" w:w="60"/>
              <w:left w:type="dxa" w:w="100"/>
              <w:bottom w:type="dxa" w:w="60"/>
              <w:right w:type="dxa" w:w="100"/>
            </w:tcMar>
          </w:tcPr>
          <w:p>
            <w:pPr>
              <w:spacing w:after="0" w:before="0"/>
            </w:pPr>
            <w:r>
              <w:rPr>
                <w:b w:val="false"/>
                <w:bCs w:val="false"/>
                <w:sz w:val="19"/>
                <w:szCs w:val="19"/>
              </w:rPr>
              <w:t xml:space="preserve">ROC-AUC</w:t>
            </w:r>
          </w:p>
        </w:tc>
        <w:tc>
          <w:tcPr>
            <w:tcW w:type="dxa" w:w="1872"/>
            <w:tcMar>
              <w:top w:type="dxa" w:w="60"/>
              <w:left w:type="dxa" w:w="100"/>
              <w:bottom w:type="dxa" w:w="60"/>
              <w:right w:type="dxa" w:w="100"/>
            </w:tcMar>
          </w:tcPr>
          <w:p>
            <w:pPr>
              <w:spacing w:after="0" w:before="0"/>
            </w:pPr>
            <w:r>
              <w:rPr>
                <w:b w:val="false"/>
                <w:bCs w:val="false"/>
                <w:sz w:val="19"/>
                <w:szCs w:val="19"/>
              </w:rPr>
              <w:t xml:space="preserve">−0.0292</w:t>
            </w:r>
          </w:p>
        </w:tc>
        <w:tc>
          <w:tcPr>
            <w:tcW w:type="dxa" w:w="1872"/>
            <w:tcMar>
              <w:top w:type="dxa" w:w="60"/>
              <w:left w:type="dxa" w:w="100"/>
              <w:bottom w:type="dxa" w:w="60"/>
              <w:right w:type="dxa" w:w="100"/>
            </w:tcMar>
          </w:tcPr>
          <w:p>
            <w:pPr>
              <w:spacing w:after="0" w:before="0"/>
            </w:pPr>
            <w:r>
              <w:rPr>
                <w:b w:val="false"/>
                <w:bCs w:val="false"/>
                <w:sz w:val="19"/>
                <w:szCs w:val="19"/>
              </w:rPr>
              <w:t xml:space="preserve">−0.0171</w:t>
            </w:r>
          </w:p>
        </w:tc>
        <w:tc>
          <w:tcPr>
            <w:tcW w:type="dxa" w:w="1872"/>
            <w:tcMar>
              <w:top w:type="dxa" w:w="60"/>
              <w:left w:type="dxa" w:w="100"/>
              <w:bottom w:type="dxa" w:w="60"/>
              <w:right w:type="dxa" w:w="100"/>
            </w:tcMar>
          </w:tcPr>
          <w:p>
            <w:pPr>
              <w:spacing w:after="0" w:before="0"/>
            </w:pPr>
            <w:r>
              <w:rPr>
                <w:b w:val="false"/>
                <w:bCs w:val="false"/>
                <w:sz w:val="19"/>
                <w:szCs w:val="19"/>
              </w:rPr>
              <w:t xml:space="preserve">[−0.0457, −0.0128]</w:t>
            </w:r>
          </w:p>
        </w:tc>
        <w:tc>
          <w:tcPr>
            <w:tcW w:type="dxa" w:w="1872"/>
            <w:tcMar>
              <w:top w:type="dxa" w:w="60"/>
              <w:left w:type="dxa" w:w="100"/>
              <w:bottom w:type="dxa" w:w="60"/>
              <w:right w:type="dxa" w:w="100"/>
            </w:tcMar>
          </w:tcPr>
          <w:p>
            <w:pPr>
              <w:spacing w:after="0" w:before="0"/>
            </w:pPr>
            <w:r>
              <w:rPr>
                <w:b w:val="false"/>
                <w:bCs w:val="false"/>
                <w:sz w:val="19"/>
                <w:szCs w:val="19"/>
              </w:rPr>
              <w:t xml:space="preserve">3.38e-04</w:t>
            </w:r>
          </w:p>
        </w:tc>
      </w:tr>
    </w:tbl>
    <w:p>
      <w:pPr>
        <w:spacing w:after="160"/>
      </w:pPr>
    </w:p>
    <w:p>
      <w:pPr>
        <w:spacing w:after="140"/>
        <w:jc w:val="left"/>
      </w:pPr>
      <w:r>
        <w:t xml:space="preserve">Both endpoints reject and both favour the classical kernel. This is not a failure to detect an advantage; it is a detected deficit of roughly 6.6 points of normAP at the median, in the cell chosen because it was the classical baseline's strongest.</w:t>
      </w:r>
    </w:p>
    <w:p>
      <w:pPr>
        <w:spacing w:after="140"/>
        <w:jc w:val="left"/>
      </w:pPr>
      <w:r>
        <w:rPr>
          <w:b/>
          <w:bCs/>
        </w:rPr>
        <w:t xml:space="preserve">The margin, stated as D6 requires.</w:t>
      </w:r>
      <w:r>
        <w:t xml:space="preserve"> The effect clears the </w:t>
      </w:r>
      <w:r>
        <w:rPr>
          <w:i/>
          <w:iCs/>
        </w:rPr>
        <w:t xml:space="preserve">registered</w:t>
      </w:r>
      <w:r>
        <w:t xml:space="preserve"> MDE of 0.0171 by 4.7x and its </w:t>
      </w:r>
      <w:r>
        <w:rPr>
          <w:i/>
          <w:iCs/>
        </w:rPr>
        <w:t xml:space="preserve">true</w:t>
      </w:r>
      <w:r>
        <w:t xml:space="preserve"> primary-cell MDE of 0.0608 by </w:t>
      </w:r>
      <w:r>
        <w:rPr>
          <w:b/>
          <w:bCs/>
        </w:rPr>
        <w:t xml:space="preserve">1.31x</w:t>
      </w:r>
      <w:r>
        <w:t xml:space="preserve">. The registered figure was computed from classical-versus-classical variance and is wrong by 3.6x on this arm. Any phrasing of the form "well clear of what the arm was powered for" is withdrawn.</w:t>
      </w:r>
    </w:p>
    <w:p>
      <w:pPr>
        <w:spacing w:after="140"/>
        <w:jc w:val="left"/>
      </w:pPr>
      <w:r>
        <w:rPr>
          <w:b/>
          <w:bCs/>
        </w:rPr>
        <w:t xml:space="preserve">Fraud, SelectKBest at 8 qubits — does not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endpoint</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median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872"/>
            <w:shd w:fill="EDEDED" w:val="clear"/>
            <w:tcMar>
              <w:top w:type="dxa" w:w="60"/>
              <w:left w:type="dxa" w:w="100"/>
              <w:bottom w:type="dxa" w:w="60"/>
              <w:right w:type="dxa" w:w="100"/>
            </w:tcMar>
          </w:tcPr>
          <w:p>
            <w:pPr>
              <w:spacing w:after="0" w:before="0"/>
            </w:pPr>
            <w:r>
              <w:rPr>
                <w:b/>
                <w:bCs/>
                <w:sz w:val="19"/>
                <w:szCs w:val="19"/>
              </w:rPr>
              <w:t xml:space="preserve">Wilcoxon p</w:t>
            </w:r>
          </w:p>
        </w:tc>
      </w:tr>
      <w:tr>
        <w:tc>
          <w:tcPr>
            <w:tcW w:type="dxa" w:w="1872"/>
            <w:tcMar>
              <w:top w:type="dxa" w:w="60"/>
              <w:left w:type="dxa" w:w="100"/>
              <w:bottom w:type="dxa" w:w="60"/>
              <w:right w:type="dxa" w:w="100"/>
            </w:tcMar>
          </w:tcPr>
          <w:p>
            <w:pPr>
              <w:spacing w:after="0" w:before="0"/>
            </w:pPr>
            <w:r>
              <w:rPr>
                <w:b w:val="false"/>
                <w:bCs w:val="false"/>
                <w:sz w:val="19"/>
                <w:szCs w:val="19"/>
              </w:rPr>
              <w:t xml:space="preserve">normAP</w:t>
            </w:r>
          </w:p>
        </w:tc>
        <w:tc>
          <w:tcPr>
            <w:tcW w:type="dxa" w:w="1872"/>
            <w:tcMar>
              <w:top w:type="dxa" w:w="60"/>
              <w:left w:type="dxa" w:w="100"/>
              <w:bottom w:type="dxa" w:w="60"/>
              <w:right w:type="dxa" w:w="100"/>
            </w:tcMar>
          </w:tcPr>
          <w:p>
            <w:pPr>
              <w:spacing w:after="0" w:before="0"/>
            </w:pPr>
            <w:r>
              <w:rPr>
                <w:b w:val="false"/>
                <w:bCs w:val="false"/>
                <w:sz w:val="19"/>
                <w:szCs w:val="19"/>
              </w:rPr>
              <w:t xml:space="preserve">−0.0028</w:t>
            </w:r>
          </w:p>
        </w:tc>
        <w:tc>
          <w:tcPr>
            <w:tcW w:type="dxa" w:w="1872"/>
            <w:tcMar>
              <w:top w:type="dxa" w:w="60"/>
              <w:left w:type="dxa" w:w="100"/>
              <w:bottom w:type="dxa" w:w="60"/>
              <w:right w:type="dxa" w:w="100"/>
            </w:tcMar>
          </w:tcPr>
          <w:p>
            <w:pPr>
              <w:spacing w:after="0" w:before="0"/>
            </w:pPr>
            <w:r>
              <w:rPr>
                <w:b w:val="false"/>
                <w:bCs w:val="false"/>
                <w:sz w:val="19"/>
                <w:szCs w:val="19"/>
              </w:rPr>
              <w:t xml:space="preserve">−0.0014</w:t>
            </w:r>
          </w:p>
        </w:tc>
        <w:tc>
          <w:tcPr>
            <w:tcW w:type="dxa" w:w="1872"/>
            <w:tcMar>
              <w:top w:type="dxa" w:w="60"/>
              <w:left w:type="dxa" w:w="100"/>
              <w:bottom w:type="dxa" w:w="60"/>
              <w:right w:type="dxa" w:w="100"/>
            </w:tcMar>
          </w:tcPr>
          <w:p>
            <w:pPr>
              <w:spacing w:after="0" w:before="0"/>
            </w:pPr>
            <w:r>
              <w:rPr>
                <w:b w:val="false"/>
                <w:bCs w:val="false"/>
                <w:sz w:val="19"/>
                <w:szCs w:val="19"/>
              </w:rPr>
              <w:t xml:space="preserve">[−0.0072, +0.0017]</w:t>
            </w:r>
          </w:p>
        </w:tc>
        <w:tc>
          <w:tcPr>
            <w:tcW w:type="dxa" w:w="1872"/>
            <w:tcMar>
              <w:top w:type="dxa" w:w="60"/>
              <w:left w:type="dxa" w:w="100"/>
              <w:bottom w:type="dxa" w:w="60"/>
              <w:right w:type="dxa" w:w="100"/>
            </w:tcMar>
          </w:tcPr>
          <w:p>
            <w:pPr>
              <w:spacing w:after="0" w:before="0"/>
            </w:pPr>
            <w:r>
              <w:rPr>
                <w:b w:val="false"/>
                <w:bCs w:val="false"/>
                <w:sz w:val="19"/>
                <w:szCs w:val="19"/>
              </w:rPr>
              <w:t xml:space="preserve">0.245</w:t>
            </w:r>
          </w:p>
        </w:tc>
      </w:tr>
      <w:tr>
        <w:tc>
          <w:tcPr>
            <w:tcW w:type="dxa" w:w="1872"/>
            <w:tcMar>
              <w:top w:type="dxa" w:w="60"/>
              <w:left w:type="dxa" w:w="100"/>
              <w:bottom w:type="dxa" w:w="60"/>
              <w:right w:type="dxa" w:w="100"/>
            </w:tcMar>
          </w:tcPr>
          <w:p>
            <w:pPr>
              <w:spacing w:after="0" w:before="0"/>
            </w:pPr>
            <w:r>
              <w:rPr>
                <w:b w:val="false"/>
                <w:bCs w:val="false"/>
                <w:sz w:val="19"/>
                <w:szCs w:val="19"/>
              </w:rPr>
              <w:t xml:space="preserve">ROC-AUC</w:t>
            </w:r>
          </w:p>
        </w:tc>
        <w:tc>
          <w:tcPr>
            <w:tcW w:type="dxa" w:w="1872"/>
            <w:tcMar>
              <w:top w:type="dxa" w:w="60"/>
              <w:left w:type="dxa" w:w="100"/>
              <w:bottom w:type="dxa" w:w="60"/>
              <w:right w:type="dxa" w:w="100"/>
            </w:tcMar>
          </w:tcPr>
          <w:p>
            <w:pPr>
              <w:spacing w:after="0" w:before="0"/>
            </w:pPr>
            <w:r>
              <w:rPr>
                <w:b w:val="false"/>
                <w:bCs w:val="false"/>
                <w:sz w:val="19"/>
                <w:szCs w:val="19"/>
              </w:rPr>
              <w:t xml:space="preserve">+0.0001</w:t>
            </w:r>
          </w:p>
        </w:tc>
        <w:tc>
          <w:tcPr>
            <w:tcW w:type="dxa" w:w="1872"/>
            <w:tcMar>
              <w:top w:type="dxa" w:w="60"/>
              <w:left w:type="dxa" w:w="100"/>
              <w:bottom w:type="dxa" w:w="60"/>
              <w:right w:type="dxa" w:w="100"/>
            </w:tcMar>
          </w:tcPr>
          <w:p>
            <w:pPr>
              <w:spacing w:after="0" w:before="0"/>
            </w:pPr>
            <w:r>
              <w:rPr>
                <w:b w:val="false"/>
                <w:bCs w:val="false"/>
                <w:sz w:val="19"/>
                <w:szCs w:val="19"/>
              </w:rPr>
              <w:t xml:space="preserve">+0.0005</w:t>
            </w:r>
          </w:p>
        </w:tc>
        <w:tc>
          <w:tcPr>
            <w:tcW w:type="dxa" w:w="1872"/>
            <w:tcMar>
              <w:top w:type="dxa" w:w="60"/>
              <w:left w:type="dxa" w:w="100"/>
              <w:bottom w:type="dxa" w:w="60"/>
              <w:right w:type="dxa" w:w="100"/>
            </w:tcMar>
          </w:tcPr>
          <w:p>
            <w:pPr>
              <w:spacing w:after="0" w:before="0"/>
            </w:pPr>
            <w:r>
              <w:rPr>
                <w:b w:val="false"/>
                <w:bCs w:val="false"/>
                <w:sz w:val="19"/>
                <w:szCs w:val="19"/>
              </w:rPr>
              <w:t xml:space="preserve">[−0.0017, +0.0019]</w:t>
            </w:r>
          </w:p>
        </w:tc>
        <w:tc>
          <w:tcPr>
            <w:tcW w:type="dxa" w:w="1872"/>
            <w:tcMar>
              <w:top w:type="dxa" w:w="60"/>
              <w:left w:type="dxa" w:w="100"/>
              <w:bottom w:type="dxa" w:w="60"/>
              <w:right w:type="dxa" w:w="100"/>
            </w:tcMar>
          </w:tcPr>
          <w:p>
            <w:pPr>
              <w:spacing w:after="0" w:before="0"/>
            </w:pPr>
            <w:r>
              <w:rPr>
                <w:b w:val="false"/>
                <w:bCs w:val="false"/>
                <w:sz w:val="19"/>
                <w:szCs w:val="19"/>
              </w:rPr>
              <w:t xml:space="preserve">0.823</w:t>
            </w:r>
          </w:p>
        </w:tc>
      </w:tr>
    </w:tbl>
    <w:p>
      <w:pPr>
        <w:spacing w:after="160"/>
      </w:pPr>
    </w:p>
    <w:p>
      <w:pPr>
        <w:spacing w:after="140"/>
        <w:jc w:val="left"/>
      </w:pPr>
      <w:r>
        <w:t xml:space="preserve">Reported as a bound rather than as "no difference":</w:t>
      </w:r>
    </w:p>
    <w:p>
      <w:pPr>
        <w:pBdr>
          <w:left w:val="single" w:color="999999" w:sz="12" w:space="8"/>
        </w:pBdr>
        <w:spacing w:after="120" w:before="120"/>
        <w:ind w:left="360"/>
      </w:pPr>
      <w:r>
        <w:rPr>
          <w:b/>
          <w:bCs/>
          <w:i/>
          <w:iCs/>
        </w:rPr>
        <w:t xml:space="preserve">A true advantage larger than 0.0063 normAP at the fraud primary cell is excluded at 80% power.</w:t>
      </w:r>
    </w:p>
    <w:p>
      <w:pPr>
        <w:spacing w:after="140"/>
        <w:jc w:val="left"/>
      </w:pPr>
      <w:r>
        <w:t xml:space="preserve">0.0063, not the 0.0059 section 8 registered; D6 corrects it to the primary cell's own paired sd of 0.0095. The fraud </w:t>
      </w:r>
      <w:r>
        <w:rPr>
          <w:i/>
          <w:iCs/>
        </w:rPr>
        <w:t xml:space="preserve">arm</w:t>
      </w:r>
      <w:r>
        <w:t xml:space="preserve"> as a whole is a different quantity at 0.0138 and the two are never interchanged. The confirmatory script printed the superseded 0.0059 for eleven days after D6 was written, with a regression test pinning it; that is the fifth item in §5.6 and it is recorded rather than quietly corrected.</w:t>
      </w:r>
    </w:p>
    <w:p>
      <w:pPr>
        <w:spacing w:after="120" w:before="120"/>
      </w:pPr>
    </w:p>
    <w:p>
      <w:pPr>
        <w:pStyle w:val="Heading2"/>
        <w:spacing w:after="140" w:before="280"/>
      </w:pPr>
      <w:r>
        <w:rPr>
          <w:b/>
          <w:bCs/>
          <w:color w:val="000000"/>
          <w:sz w:val="23"/>
          <w:szCs w:val="23"/>
        </w:rPr>
        <w:t xml:space="preserve">4.3 The negative control is clean</w:t>
      </w:r>
    </w:p>
    <w:p>
      <w:pPr>
        <w:spacing w:after="140"/>
        <w:jc w:val="left"/>
      </w:pPr>
      <w:r>
        <w:t xml:space="preserve">The full quantum pipeline on permuted labels at each primary cell, 80 records over 20 seeds. </w:t>
      </w:r>
      <w:r>
        <w:rPr>
          <w:i/>
          <w:iCs/>
        </w:rPr>
        <w:t xml:space="preserve">(`results/analysis/negative_control_quantum.log`)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dataset</w:t>
            </w:r>
          </w:p>
        </w:tc>
        <w:tc>
          <w:tcPr>
            <w:tcW w:type="dxa" w:w="1872"/>
            <w:shd w:fill="EDEDED" w:val="clear"/>
            <w:tcMar>
              <w:top w:type="dxa" w:w="60"/>
              <w:left w:type="dxa" w:w="100"/>
              <w:bottom w:type="dxa" w:w="60"/>
              <w:right w:type="dxa" w:w="100"/>
            </w:tcMar>
          </w:tcPr>
          <w:p>
            <w:pPr>
              <w:spacing w:after="0" w:before="0"/>
            </w:pPr>
            <w:r>
              <w:rPr>
                <w:b/>
                <w:bCs/>
                <w:sz w:val="19"/>
                <w:szCs w:val="19"/>
              </w:rPr>
              <w:t xml:space="preserve">ROC-AUC</w:t>
            </w:r>
          </w:p>
        </w:tc>
        <w:tc>
          <w:tcPr>
            <w:tcW w:type="dxa" w:w="1872"/>
            <w:shd w:fill="EDEDED" w:val="clear"/>
            <w:tcMar>
              <w:top w:type="dxa" w:w="60"/>
              <w:left w:type="dxa" w:w="100"/>
              <w:bottom w:type="dxa" w:w="60"/>
              <w:right w:type="dxa" w:w="100"/>
            </w:tcMar>
          </w:tcPr>
          <w:p>
            <w:pPr>
              <w:spacing w:after="0" w:before="0"/>
            </w:pPr>
            <w:r>
              <w:rPr>
                <w:b/>
                <w:bCs/>
                <w:sz w:val="19"/>
                <w:szCs w:val="19"/>
              </w:rPr>
              <w:t xml:space="preserve">from 0.500</w:t>
            </w:r>
          </w:p>
        </w:tc>
        <w:tc>
          <w:tcPr>
            <w:tcW w:type="dxa" w:w="1872"/>
            <w:shd w:fill="EDEDED" w:val="clear"/>
            <w:tcMar>
              <w:top w:type="dxa" w:w="60"/>
              <w:left w:type="dxa" w:w="100"/>
              <w:bottom w:type="dxa" w:w="60"/>
              <w:right w:type="dxa" w:w="100"/>
            </w:tcMar>
          </w:tcPr>
          <w:p>
            <w:pPr>
              <w:spacing w:after="0" w:before="0"/>
            </w:pPr>
            <w:r>
              <w:rPr>
                <w:b/>
                <w:bCs/>
                <w:sz w:val="19"/>
                <w:szCs w:val="19"/>
              </w:rPr>
              <w:t xml:space="preserve">AP vs chance</w:t>
            </w:r>
          </w:p>
        </w:tc>
        <w:tc>
          <w:tcPr>
            <w:tcW w:type="dxa" w:w="1872"/>
            <w:shd w:fill="EDEDED" w:val="clear"/>
            <w:tcMar>
              <w:top w:type="dxa" w:w="60"/>
              <w:left w:type="dxa" w:w="100"/>
              <w:bottom w:type="dxa" w:w="60"/>
              <w:right w:type="dxa" w:w="100"/>
            </w:tcMar>
          </w:tcPr>
          <w:p>
            <w:pPr>
              <w:spacing w:after="0" w:before="0"/>
            </w:pPr>
            <w:r>
              <w:rPr>
                <w:b/>
                <w:bCs/>
                <w:sz w:val="19"/>
                <w:szCs w:val="19"/>
              </w:rPr>
              <w:t xml:space="preserve">from 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w:t>
            </w:r>
          </w:p>
        </w:tc>
        <w:tc>
          <w:tcPr>
            <w:tcW w:type="dxa" w:w="1872"/>
            <w:tcMar>
              <w:top w:type="dxa" w:w="60"/>
              <w:left w:type="dxa" w:w="100"/>
              <w:bottom w:type="dxa" w:w="60"/>
              <w:right w:type="dxa" w:w="100"/>
            </w:tcMar>
          </w:tcPr>
          <w:p>
            <w:pPr>
              <w:spacing w:after="0" w:before="0"/>
            </w:pPr>
            <w:r>
              <w:rPr>
                <w:b w:val="false"/>
                <w:bCs w:val="false"/>
                <w:sz w:val="19"/>
                <w:szCs w:val="19"/>
              </w:rPr>
              <w:t xml:space="preserve">0.5058 (sd 0.0493)</w:t>
            </w:r>
          </w:p>
        </w:tc>
        <w:tc>
          <w:tcPr>
            <w:tcW w:type="dxa" w:w="1872"/>
            <w:tcMar>
              <w:top w:type="dxa" w:w="60"/>
              <w:left w:type="dxa" w:w="100"/>
              <w:bottom w:type="dxa" w:w="60"/>
              <w:right w:type="dxa" w:w="100"/>
            </w:tcMar>
          </w:tcPr>
          <w:p>
            <w:pPr>
              <w:spacing w:after="0" w:before="0"/>
            </w:pPr>
            <w:r>
              <w:rPr>
                <w:b w:val="false"/>
                <w:bCs w:val="false"/>
                <w:sz w:val="19"/>
                <w:szCs w:val="19"/>
              </w:rPr>
              <w:t xml:space="preserve">+0.52 sigma</w:t>
            </w:r>
          </w:p>
        </w:tc>
        <w:tc>
          <w:tcPr>
            <w:tcW w:type="dxa" w:w="1872"/>
            <w:tcMar>
              <w:top w:type="dxa" w:w="60"/>
              <w:left w:type="dxa" w:w="100"/>
              <w:bottom w:type="dxa" w:w="60"/>
              <w:right w:type="dxa" w:w="100"/>
            </w:tcMar>
          </w:tcPr>
          <w:p>
            <w:pPr>
              <w:spacing w:after="0" w:before="0"/>
            </w:pPr>
            <w:r>
              <w:rPr>
                <w:b w:val="false"/>
                <w:bCs w:val="false"/>
                <w:sz w:val="19"/>
                <w:szCs w:val="19"/>
              </w:rPr>
              <w:t xml:space="preserve">+0.0040</w:t>
            </w:r>
          </w:p>
        </w:tc>
        <w:tc>
          <w:tcPr>
            <w:tcW w:type="dxa" w:w="1872"/>
            <w:tcMar>
              <w:top w:type="dxa" w:w="60"/>
              <w:left w:type="dxa" w:w="100"/>
              <w:bottom w:type="dxa" w:w="60"/>
              <w:right w:type="dxa" w:w="100"/>
            </w:tcMar>
          </w:tcPr>
          <w:p>
            <w:pPr>
              <w:spacing w:after="0" w:before="0"/>
            </w:pPr>
            <w:r>
              <w:rPr>
                <w:b w:val="false"/>
                <w:bCs w:val="false"/>
                <w:sz w:val="19"/>
                <w:szCs w:val="19"/>
              </w:rPr>
              <w:t xml:space="preserve">+0.45 sigma</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w:t>
            </w:r>
          </w:p>
        </w:tc>
        <w:tc>
          <w:tcPr>
            <w:tcW w:type="dxa" w:w="1872"/>
            <w:tcMar>
              <w:top w:type="dxa" w:w="60"/>
              <w:left w:type="dxa" w:w="100"/>
              <w:bottom w:type="dxa" w:w="60"/>
              <w:right w:type="dxa" w:w="100"/>
            </w:tcMar>
          </w:tcPr>
          <w:p>
            <w:pPr>
              <w:spacing w:after="0" w:before="0"/>
            </w:pPr>
            <w:r>
              <w:rPr>
                <w:b w:val="false"/>
                <w:bCs w:val="false"/>
                <w:sz w:val="19"/>
                <w:szCs w:val="19"/>
              </w:rPr>
              <w:t xml:space="preserve">0.5001 (sd 0.0452)</w:t>
            </w:r>
          </w:p>
        </w:tc>
        <w:tc>
          <w:tcPr>
            <w:tcW w:type="dxa" w:w="1872"/>
            <w:tcMar>
              <w:top w:type="dxa" w:w="60"/>
              <w:left w:type="dxa" w:w="100"/>
              <w:bottom w:type="dxa" w:w="60"/>
              <w:right w:type="dxa" w:w="100"/>
            </w:tcMar>
          </w:tcPr>
          <w:p>
            <w:pPr>
              <w:spacing w:after="0" w:before="0"/>
            </w:pPr>
            <w:r>
              <w:rPr>
                <w:b w:val="false"/>
                <w:bCs w:val="false"/>
                <w:sz w:val="19"/>
                <w:szCs w:val="19"/>
              </w:rPr>
              <w:t xml:space="preserve">+0.01 sigma</w:t>
            </w:r>
          </w:p>
        </w:tc>
        <w:tc>
          <w:tcPr>
            <w:tcW w:type="dxa" w:w="1872"/>
            <w:tcMar>
              <w:top w:type="dxa" w:w="60"/>
              <w:left w:type="dxa" w:w="100"/>
              <w:bottom w:type="dxa" w:w="60"/>
              <w:right w:type="dxa" w:w="100"/>
            </w:tcMar>
          </w:tcPr>
          <w:p>
            <w:pPr>
              <w:spacing w:after="0" w:before="0"/>
            </w:pPr>
            <w:r>
              <w:rPr>
                <w:b w:val="false"/>
                <w:bCs w:val="false"/>
                <w:sz w:val="19"/>
                <w:szCs w:val="19"/>
              </w:rPr>
              <w:t xml:space="preserve">−0.0008</w:t>
            </w:r>
          </w:p>
        </w:tc>
        <w:tc>
          <w:tcPr>
            <w:tcW w:type="dxa" w:w="1872"/>
            <w:tcMar>
              <w:top w:type="dxa" w:w="60"/>
              <w:left w:type="dxa" w:w="100"/>
              <w:bottom w:type="dxa" w:w="60"/>
              <w:right w:type="dxa" w:w="100"/>
            </w:tcMar>
          </w:tcPr>
          <w:p>
            <w:pPr>
              <w:spacing w:after="0" w:before="0"/>
            </w:pPr>
            <w:r>
              <w:rPr>
                <w:b w:val="false"/>
                <w:bCs w:val="false"/>
                <w:sz w:val="19"/>
                <w:szCs w:val="19"/>
              </w:rPr>
              <w:t xml:space="preserve">−0.09 sigma</w:t>
            </w:r>
          </w:p>
        </w:tc>
      </w:tr>
    </w:tbl>
    <w:p>
      <w:pPr>
        <w:spacing w:after="160"/>
      </w:pPr>
    </w:p>
    <w:p>
      <w:pPr>
        <w:spacing w:after="140"/>
        <w:jc w:val="left"/>
      </w:pPr>
      <w:r>
        <w:t xml:space="preserve">Section 7's halt condition — a consistent excess in both beyond about two seed-level standard errors — is not met. The comparison against </w:t>
      </w:r>
      <w:r>
        <w:rPr>
          <w:i/>
          <w:iCs/>
        </w:rPr>
        <w:t xml:space="preserve">chance</w:t>
      </w:r>
      <w:r>
        <w:t xml:space="preserve"> AP rather than the base rate matters: the gap of +0.0154 between them is expected and is not leakage.</w:t>
      </w:r>
    </w:p>
    <w:p>
      <w:pPr>
        <w:spacing w:after="120" w:before="120"/>
      </w:pPr>
    </w:p>
    <w:p>
      <w:pPr>
        <w:pStyle w:val="Heading2"/>
        <w:spacing w:after="140" w:before="280"/>
      </w:pPr>
      <w:r>
        <w:rPr>
          <w:b/>
          <w:bCs/>
          <w:color w:val="000000"/>
          <w:sz w:val="23"/>
          <w:szCs w:val="23"/>
        </w:rPr>
        <w:t xml:space="preserve">4.4 H2 and H3: the prediction is not established</w:t>
      </w:r>
    </w:p>
    <w:p>
      <w:pPr>
        <w:spacing w:after="140"/>
        <w:jc w:val="left"/>
      </w:pPr>
      <w:r>
        <w:rPr>
          <w:i/>
          <w:iCs/>
        </w:rPr>
        <w:t xml:space="preserve">(`results/audits/h2_h3_report.json`, 360 units, 7,200 per-seed rows)</w:t>
      </w:r>
    </w:p>
    <w:p>
      <w:pPr>
        <w:spacing w:after="80" w:before="200"/>
        <w:jc w:val="center"/>
      </w:pPr>
      <w:r>
        <w:drawing>
          <wp:inline distT="0" distB="0" distL="0" distR="0">
            <wp:extent cx="59436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43400"/>
                    </a:xfrm>
                    <a:prstGeom prst="rect">
                      <a:avLst/>
                    </a:prstGeom>
                  </pic:spPr>
                </pic:pic>
              </a:graphicData>
            </a:graphic>
          </wp:inline>
        </w:drawing>
      </w:r>
    </w:p>
    <w:p>
      <w:pPr>
        <w:spacing w:after="240"/>
        <w:jc w:val="center"/>
      </w:pPr>
      <w:r>
        <w:rPr>
          <w:i/>
          <w:iCs/>
          <w:color w:val="444444"/>
          <w:sz w:val="18"/>
          <w:szCs w:val="18"/>
        </w:rPr>
        <w:t xml:space="preserve">Figure 1 — H2 across the frozen lambda sweep: rho with its 95% interval above, units retained beneath.</w:t>
      </w:r>
    </w:p>
    <w:p>
      <w:pPr>
        <w:spacing w:after="140"/>
        <w:jc w:val="left"/>
      </w:pPr>
      <w:r>
        <w:rPr>
          <w:b/>
          <w:bCs/>
        </w:rPr>
        <w:t xml:space="preserve">Figure 1</w:t>
      </w:r>
      <w:r>
        <w:t xml:space="preserve"> plots this table: rho with its interval above, units retained below, because a rho from 61 units with 299 excluded is not the same evidence as one from all 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1170"/>
            <w:shd w:fill="EDEDED" w:val="clear"/>
            <w:tcMar>
              <w:top w:type="dxa" w:w="60"/>
              <w:left w:type="dxa" w:w="100"/>
              <w:bottom w:type="dxa" w:w="60"/>
              <w:right w:type="dxa" w:w="100"/>
            </w:tcMar>
          </w:tcPr>
          <w:p>
            <w:pPr>
              <w:spacing w:after="0" w:before="0"/>
            </w:pPr>
            <w:r>
              <w:rPr>
                <w:b/>
                <w:bCs/>
                <w:sz w:val="19"/>
                <w:szCs w:val="19"/>
              </w:rPr>
              <w:t xml:space="preserve">units</w:t>
            </w:r>
          </w:p>
        </w:tc>
        <w:tc>
          <w:tcPr>
            <w:tcW w:type="dxa" w:w="1170"/>
            <w:shd w:fill="EDEDED" w:val="clear"/>
            <w:tcMar>
              <w:top w:type="dxa" w:w="60"/>
              <w:left w:type="dxa" w:w="100"/>
              <w:bottom w:type="dxa" w:w="60"/>
              <w:right w:type="dxa" w:w="100"/>
            </w:tcMar>
          </w:tcPr>
          <w:p>
            <w:pPr>
              <w:spacing w:after="0" w:before="0"/>
            </w:pPr>
            <w:r>
              <w:rPr>
                <w:b/>
                <w:bCs/>
                <w:sz w:val="19"/>
                <w:szCs w:val="19"/>
              </w:rPr>
              <w:t xml:space="preserve">excluded</w:t>
            </w:r>
          </w:p>
        </w:tc>
        <w:tc>
          <w:tcPr>
            <w:tcW w:type="dxa" w:w="1170"/>
            <w:shd w:fill="EDEDED" w:val="clear"/>
            <w:tcMar>
              <w:top w:type="dxa" w:w="60"/>
              <w:left w:type="dxa" w:w="100"/>
              <w:bottom w:type="dxa" w:w="60"/>
              <w:right w:type="dxa" w:w="100"/>
            </w:tcMar>
          </w:tcPr>
          <w:p>
            <w:pPr>
              <w:spacing w:after="0" w:before="0"/>
            </w:pPr>
            <w:r>
              <w:rPr>
                <w:b/>
                <w:bCs/>
                <w:sz w:val="19"/>
                <w:szCs w:val="19"/>
              </w:rPr>
              <w:t xml:space="preserve">breaches</w:t>
            </w:r>
          </w:p>
        </w:tc>
        <w:tc>
          <w:tcPr>
            <w:tcW w:type="dxa" w:w="1170"/>
            <w:shd w:fill="EDEDED" w:val="clear"/>
            <w:tcMar>
              <w:top w:type="dxa" w:w="60"/>
              <w:left w:type="dxa" w:w="100"/>
              <w:bottom w:type="dxa" w:w="60"/>
              <w:right w:type="dxa" w:w="100"/>
            </w:tcMar>
          </w:tcPr>
          <w:p>
            <w:pPr>
              <w:spacing w:after="0" w:before="0"/>
            </w:pPr>
            <w:r>
              <w:rPr>
                <w:b/>
                <w:bCs/>
                <w:sz w:val="19"/>
                <w:szCs w:val="19"/>
              </w:rPr>
              <w:t xml:space="preserve">rho</w:t>
            </w:r>
          </w:p>
        </w:tc>
        <w:tc>
          <w:tcPr>
            <w:tcW w:type="dxa" w:w="1170"/>
            <w:shd w:fill="EDEDED" w:val="clear"/>
            <w:tcMar>
              <w:top w:type="dxa" w:w="60"/>
              <w:left w:type="dxa" w:w="100"/>
              <w:bottom w:type="dxa" w:w="60"/>
              <w:right w:type="dxa" w:w="100"/>
            </w:tcMar>
          </w:tcPr>
          <w:p>
            <w:pPr>
              <w:spacing w:after="0" w:before="0"/>
            </w:pPr>
            <w:r>
              <w:rPr>
                <w:b/>
                <w:bCs/>
                <w:sz w:val="19"/>
                <w:szCs w:val="19"/>
              </w:rPr>
              <w:t xml:space="preserve">p</w:t>
            </w:r>
          </w:p>
        </w:tc>
        <w:tc>
          <w:tcPr>
            <w:tcW w:type="dxa" w:w="1170"/>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170"/>
            <w:shd w:fill="EDEDED" w:val="clear"/>
            <w:tcMar>
              <w:top w:type="dxa" w:w="60"/>
              <w:left w:type="dxa" w:w="100"/>
              <w:bottom w:type="dxa" w:w="60"/>
              <w:right w:type="dxa" w:w="100"/>
            </w:tcMar>
          </w:tcPr>
          <w:p>
            <w:pPr>
              <w:spacing w:after="0" w:before="0"/>
            </w:pPr>
            <w:r>
              <w:rPr>
                <w:b/>
                <w:bCs/>
                <w:sz w:val="19"/>
                <w:szCs w:val="19"/>
              </w:rPr>
              <w:t xml:space="preserve">rho²</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1e-1</w:t>
            </w:r>
          </w:p>
        </w:tc>
        <w:tc>
          <w:tcPr>
            <w:tcW w:type="dxa" w:w="1170"/>
            <w:tcMar>
              <w:top w:type="dxa" w:w="60"/>
              <w:left w:type="dxa" w:w="100"/>
              <w:bottom w:type="dxa" w:w="60"/>
              <w:right w:type="dxa" w:w="100"/>
            </w:tcMar>
          </w:tcPr>
          <w:p>
            <w:pPr>
              <w:spacing w:after="0" w:before="0"/>
            </w:pPr>
            <w:r>
              <w:rPr>
                <w:b/>
                <w:bCs/>
                <w:sz w:val="19"/>
                <w:szCs w:val="19"/>
              </w:rPr>
              <w:t xml:space="preserve">360</w:t>
            </w:r>
          </w:p>
        </w:tc>
        <w:tc>
          <w:tcPr>
            <w:tcW w:type="dxa" w:w="1170"/>
            <w:tcMar>
              <w:top w:type="dxa" w:w="60"/>
              <w:left w:type="dxa" w:w="100"/>
              <w:bottom w:type="dxa" w:w="60"/>
              <w:right w:type="dxa" w:w="100"/>
            </w:tcMar>
          </w:tcPr>
          <w:p>
            <w:pPr>
              <w:spacing w:after="0" w:before="0"/>
            </w:pPr>
            <w:r>
              <w:rPr>
                <w:b/>
                <w:bCs/>
                <w:sz w:val="19"/>
                <w:szCs w:val="19"/>
              </w:rPr>
              <w:t xml:space="preserve">0</w:t>
            </w:r>
          </w:p>
        </w:tc>
        <w:tc>
          <w:tcPr>
            <w:tcW w:type="dxa" w:w="1170"/>
            <w:tcMar>
              <w:top w:type="dxa" w:w="60"/>
              <w:left w:type="dxa" w:w="100"/>
              <w:bottom w:type="dxa" w:w="60"/>
              <w:right w:type="dxa" w:w="100"/>
            </w:tcMar>
          </w:tcPr>
          <w:p>
            <w:pPr>
              <w:spacing w:after="0" w:before="0"/>
            </w:pPr>
            <w:r>
              <w:rPr>
                <w:b w:val="false"/>
                <w:bCs w:val="false"/>
                <w:sz w:val="19"/>
                <w:szCs w:val="19"/>
              </w:rPr>
              <w:t xml:space="preserve">4/7200</w:t>
            </w:r>
          </w:p>
        </w:tc>
        <w:tc>
          <w:tcPr>
            <w:tcW w:type="dxa" w:w="1170"/>
            <w:tcMar>
              <w:top w:type="dxa" w:w="60"/>
              <w:left w:type="dxa" w:w="100"/>
              <w:bottom w:type="dxa" w:w="60"/>
              <w:right w:type="dxa" w:w="100"/>
            </w:tcMar>
          </w:tcPr>
          <w:p>
            <w:pPr>
              <w:spacing w:after="0" w:before="0"/>
            </w:pPr>
            <w:r>
              <w:rPr>
                <w:b w:val="false"/>
                <w:bCs w:val="false"/>
                <w:sz w:val="19"/>
                <w:szCs w:val="19"/>
              </w:rPr>
              <w:t xml:space="preserve">+0.1712</w:t>
            </w:r>
          </w:p>
        </w:tc>
        <w:tc>
          <w:tcPr>
            <w:tcW w:type="dxa" w:w="1170"/>
            <w:tcMar>
              <w:top w:type="dxa" w:w="60"/>
              <w:left w:type="dxa" w:w="100"/>
              <w:bottom w:type="dxa" w:w="60"/>
              <w:right w:type="dxa" w:w="100"/>
            </w:tcMar>
          </w:tcPr>
          <w:p>
            <w:pPr>
              <w:spacing w:after="0" w:before="0"/>
            </w:pPr>
            <w:r>
              <w:rPr>
                <w:b w:val="false"/>
                <w:bCs w:val="false"/>
                <w:sz w:val="19"/>
                <w:szCs w:val="19"/>
              </w:rPr>
              <w:t xml:space="preserve">1.11e-03</w:t>
            </w:r>
          </w:p>
        </w:tc>
        <w:tc>
          <w:tcPr>
            <w:tcW w:type="dxa" w:w="1170"/>
            <w:tcMar>
              <w:top w:type="dxa" w:w="60"/>
              <w:left w:type="dxa" w:w="100"/>
              <w:bottom w:type="dxa" w:w="60"/>
              <w:right w:type="dxa" w:w="100"/>
            </w:tcMar>
          </w:tcPr>
          <w:p>
            <w:pPr>
              <w:spacing w:after="0" w:before="0"/>
            </w:pPr>
            <w:r>
              <w:rPr>
                <w:b w:val="false"/>
                <w:bCs w:val="false"/>
                <w:sz w:val="19"/>
                <w:szCs w:val="19"/>
              </w:rPr>
              <w:t xml:space="preserve">[+0.069, +0.270]</w:t>
            </w:r>
          </w:p>
        </w:tc>
        <w:tc>
          <w:tcPr>
            <w:tcW w:type="dxa" w:w="1170"/>
            <w:tcMar>
              <w:top w:type="dxa" w:w="60"/>
              <w:left w:type="dxa" w:w="100"/>
              <w:bottom w:type="dxa" w:w="60"/>
              <w:right w:type="dxa" w:w="100"/>
            </w:tcMar>
          </w:tcPr>
          <w:p>
            <w:pPr>
              <w:spacing w:after="0" w:before="0"/>
            </w:pPr>
            <w:r>
              <w:rPr>
                <w:b w:val="false"/>
                <w:bCs w:val="false"/>
                <w:sz w:val="19"/>
                <w:szCs w:val="19"/>
              </w:rPr>
              <w:t xml:space="preserve">0.0293</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1e-2</w:t>
            </w:r>
          </w:p>
        </w:tc>
        <w:tc>
          <w:tcPr>
            <w:tcW w:type="dxa" w:w="1170"/>
            <w:tcMar>
              <w:top w:type="dxa" w:w="60"/>
              <w:left w:type="dxa" w:w="100"/>
              <w:bottom w:type="dxa" w:w="60"/>
              <w:right w:type="dxa" w:w="100"/>
            </w:tcMar>
          </w:tcPr>
          <w:p>
            <w:pPr>
              <w:spacing w:after="0" w:before="0"/>
            </w:pPr>
            <w:r>
              <w:rPr>
                <w:b w:val="false"/>
                <w:bCs w:val="false"/>
                <w:sz w:val="19"/>
                <w:szCs w:val="19"/>
              </w:rPr>
              <w:t xml:space="preserve">350</w:t>
            </w:r>
          </w:p>
        </w:tc>
        <w:tc>
          <w:tcPr>
            <w:tcW w:type="dxa" w:w="1170"/>
            <w:tcMar>
              <w:top w:type="dxa" w:w="60"/>
              <w:left w:type="dxa" w:w="100"/>
              <w:bottom w:type="dxa" w:w="60"/>
              <w:right w:type="dxa" w:w="100"/>
            </w:tcMar>
          </w:tcPr>
          <w:p>
            <w:pPr>
              <w:spacing w:after="0" w:before="0"/>
            </w:pPr>
            <w:r>
              <w:rPr>
                <w:b w:val="false"/>
                <w:bCs w:val="false"/>
                <w:sz w:val="19"/>
                <w:szCs w:val="19"/>
              </w:rPr>
              <w:t xml:space="preserve">10</w:t>
            </w:r>
          </w:p>
        </w:tc>
        <w:tc>
          <w:tcPr>
            <w:tcW w:type="dxa" w:w="1170"/>
            <w:tcMar>
              <w:top w:type="dxa" w:w="60"/>
              <w:left w:type="dxa" w:w="100"/>
              <w:bottom w:type="dxa" w:w="60"/>
              <w:right w:type="dxa" w:w="100"/>
            </w:tcMar>
          </w:tcPr>
          <w:p>
            <w:pPr>
              <w:spacing w:after="0" w:before="0"/>
            </w:pPr>
            <w:r>
              <w:rPr>
                <w:b w:val="false"/>
                <w:bCs w:val="false"/>
                <w:sz w:val="19"/>
                <w:szCs w:val="19"/>
              </w:rPr>
              <w:t xml:space="preserve">657/7200</w:t>
            </w:r>
          </w:p>
        </w:tc>
        <w:tc>
          <w:tcPr>
            <w:tcW w:type="dxa" w:w="1170"/>
            <w:tcMar>
              <w:top w:type="dxa" w:w="60"/>
              <w:left w:type="dxa" w:w="100"/>
              <w:bottom w:type="dxa" w:w="60"/>
              <w:right w:type="dxa" w:w="100"/>
            </w:tcMar>
          </w:tcPr>
          <w:p>
            <w:pPr>
              <w:spacing w:after="0" w:before="0"/>
            </w:pPr>
            <w:r>
              <w:rPr>
                <w:b w:val="false"/>
                <w:bCs w:val="false"/>
                <w:sz w:val="19"/>
                <w:szCs w:val="19"/>
              </w:rPr>
              <w:t xml:space="preserve">−0.0245</w:t>
            </w:r>
          </w:p>
        </w:tc>
        <w:tc>
          <w:tcPr>
            <w:tcW w:type="dxa" w:w="1170"/>
            <w:tcMar>
              <w:top w:type="dxa" w:w="60"/>
              <w:left w:type="dxa" w:w="100"/>
              <w:bottom w:type="dxa" w:w="60"/>
              <w:right w:type="dxa" w:w="100"/>
            </w:tcMar>
          </w:tcPr>
          <w:p>
            <w:pPr>
              <w:spacing w:after="0" w:before="0"/>
            </w:pPr>
            <w:r>
              <w:rPr>
                <w:b w:val="false"/>
                <w:bCs w:val="false"/>
                <w:sz w:val="19"/>
                <w:szCs w:val="19"/>
              </w:rPr>
              <w:t xml:space="preserve">0.648</w:t>
            </w:r>
          </w:p>
        </w:tc>
        <w:tc>
          <w:tcPr>
            <w:tcW w:type="dxa" w:w="1170"/>
            <w:tcMar>
              <w:top w:type="dxa" w:w="60"/>
              <w:left w:type="dxa" w:w="100"/>
              <w:bottom w:type="dxa" w:w="60"/>
              <w:right w:type="dxa" w:w="100"/>
            </w:tcMar>
          </w:tcPr>
          <w:p>
            <w:pPr>
              <w:spacing w:after="0" w:before="0"/>
            </w:pPr>
            <w:r>
              <w:rPr>
                <w:b w:val="false"/>
                <w:bCs w:val="false"/>
                <w:sz w:val="19"/>
                <w:szCs w:val="19"/>
              </w:rPr>
              <w:t xml:space="preserve">[−0.129, +0.081]</w:t>
            </w:r>
          </w:p>
        </w:tc>
        <w:tc>
          <w:tcPr>
            <w:tcW w:type="dxa" w:w="1170"/>
            <w:tcMar>
              <w:top w:type="dxa" w:w="60"/>
              <w:left w:type="dxa" w:w="100"/>
              <w:bottom w:type="dxa" w:w="60"/>
              <w:right w:type="dxa" w:w="100"/>
            </w:tcMar>
          </w:tcPr>
          <w:p>
            <w:pPr>
              <w:spacing w:after="0" w:before="0"/>
            </w:pPr>
            <w:r>
              <w:rPr>
                <w:b w:val="false"/>
                <w:bCs w:val="false"/>
                <w:sz w:val="19"/>
                <w:szCs w:val="19"/>
              </w:rPr>
              <w:t xml:space="preserve">0.0006</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1e-3</w:t>
            </w:r>
          </w:p>
        </w:tc>
        <w:tc>
          <w:tcPr>
            <w:tcW w:type="dxa" w:w="1170"/>
            <w:tcMar>
              <w:top w:type="dxa" w:w="60"/>
              <w:left w:type="dxa" w:w="100"/>
              <w:bottom w:type="dxa" w:w="60"/>
              <w:right w:type="dxa" w:w="100"/>
            </w:tcMar>
          </w:tcPr>
          <w:p>
            <w:pPr>
              <w:spacing w:after="0" w:before="0"/>
            </w:pPr>
            <w:r>
              <w:rPr>
                <w:b w:val="false"/>
                <w:bCs w:val="false"/>
                <w:sz w:val="19"/>
                <w:szCs w:val="19"/>
              </w:rPr>
              <w:t xml:space="preserve">90</w:t>
            </w:r>
          </w:p>
        </w:tc>
        <w:tc>
          <w:tcPr>
            <w:tcW w:type="dxa" w:w="1170"/>
            <w:tcMar>
              <w:top w:type="dxa" w:w="60"/>
              <w:left w:type="dxa" w:w="100"/>
              <w:bottom w:type="dxa" w:w="60"/>
              <w:right w:type="dxa" w:w="100"/>
            </w:tcMar>
          </w:tcPr>
          <w:p>
            <w:pPr>
              <w:spacing w:after="0" w:before="0"/>
            </w:pPr>
            <w:r>
              <w:rPr>
                <w:b w:val="false"/>
                <w:bCs w:val="false"/>
                <w:sz w:val="19"/>
                <w:szCs w:val="19"/>
              </w:rPr>
              <w:t xml:space="preserve">270</w:t>
            </w:r>
          </w:p>
        </w:tc>
        <w:tc>
          <w:tcPr>
            <w:tcW w:type="dxa" w:w="1170"/>
            <w:tcMar>
              <w:top w:type="dxa" w:w="60"/>
              <w:left w:type="dxa" w:w="100"/>
              <w:bottom w:type="dxa" w:w="60"/>
              <w:right w:type="dxa" w:w="100"/>
            </w:tcMar>
          </w:tcPr>
          <w:p>
            <w:pPr>
              <w:spacing w:after="0" w:before="0"/>
            </w:pPr>
            <w:r>
              <w:rPr>
                <w:b w:val="false"/>
                <w:bCs w:val="false"/>
                <w:sz w:val="19"/>
                <w:szCs w:val="19"/>
              </w:rPr>
              <w:t xml:space="preserve">4574/7200</w:t>
            </w:r>
          </w:p>
        </w:tc>
        <w:tc>
          <w:tcPr>
            <w:tcW w:type="dxa" w:w="1170"/>
            <w:tcMar>
              <w:top w:type="dxa" w:w="60"/>
              <w:left w:type="dxa" w:w="100"/>
              <w:bottom w:type="dxa" w:w="60"/>
              <w:right w:type="dxa" w:w="100"/>
            </w:tcMar>
          </w:tcPr>
          <w:p>
            <w:pPr>
              <w:spacing w:after="0" w:before="0"/>
            </w:pPr>
            <w:r>
              <w:rPr>
                <w:b w:val="false"/>
                <w:bCs w:val="false"/>
                <w:sz w:val="19"/>
                <w:szCs w:val="19"/>
              </w:rPr>
              <w:t xml:space="preserve">−0.3814</w:t>
            </w:r>
          </w:p>
        </w:tc>
        <w:tc>
          <w:tcPr>
            <w:tcW w:type="dxa" w:w="1170"/>
            <w:tcMar>
              <w:top w:type="dxa" w:w="60"/>
              <w:left w:type="dxa" w:w="100"/>
              <w:bottom w:type="dxa" w:w="60"/>
              <w:right w:type="dxa" w:w="100"/>
            </w:tcMar>
          </w:tcPr>
          <w:p>
            <w:pPr>
              <w:spacing w:after="0" w:before="0"/>
            </w:pPr>
            <w:r>
              <w:rPr>
                <w:b w:val="false"/>
                <w:bCs w:val="false"/>
                <w:sz w:val="19"/>
                <w:szCs w:val="19"/>
              </w:rPr>
              <w:t xml:space="preserve">2.09e-04</w:t>
            </w:r>
          </w:p>
        </w:tc>
        <w:tc>
          <w:tcPr>
            <w:tcW w:type="dxa" w:w="1170"/>
            <w:tcMar>
              <w:top w:type="dxa" w:w="60"/>
              <w:left w:type="dxa" w:w="100"/>
              <w:bottom w:type="dxa" w:w="60"/>
              <w:right w:type="dxa" w:w="100"/>
            </w:tcMar>
          </w:tcPr>
          <w:p>
            <w:pPr>
              <w:spacing w:after="0" w:before="0"/>
            </w:pPr>
            <w:r>
              <w:rPr>
                <w:b w:val="false"/>
                <w:bCs w:val="false"/>
                <w:sz w:val="19"/>
                <w:szCs w:val="19"/>
              </w:rPr>
              <w:t xml:space="preserve">[−0.545, −0.189]</w:t>
            </w:r>
          </w:p>
        </w:tc>
        <w:tc>
          <w:tcPr>
            <w:tcW w:type="dxa" w:w="1170"/>
            <w:tcMar>
              <w:top w:type="dxa" w:w="60"/>
              <w:left w:type="dxa" w:w="100"/>
              <w:bottom w:type="dxa" w:w="60"/>
              <w:right w:type="dxa" w:w="100"/>
            </w:tcMar>
          </w:tcPr>
          <w:p>
            <w:pPr>
              <w:spacing w:after="0" w:before="0"/>
            </w:pPr>
            <w:r>
              <w:rPr>
                <w:b w:val="false"/>
                <w:bCs w:val="false"/>
                <w:sz w:val="19"/>
                <w:szCs w:val="19"/>
              </w:rPr>
              <w:t xml:space="preserve">0.1454</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1e-4</w:t>
            </w:r>
          </w:p>
        </w:tc>
        <w:tc>
          <w:tcPr>
            <w:tcW w:type="dxa" w:w="1170"/>
            <w:tcMar>
              <w:top w:type="dxa" w:w="60"/>
              <w:left w:type="dxa" w:w="100"/>
              <w:bottom w:type="dxa" w:w="60"/>
              <w:right w:type="dxa" w:w="100"/>
            </w:tcMar>
          </w:tcPr>
          <w:p>
            <w:pPr>
              <w:spacing w:after="0" w:before="0"/>
            </w:pPr>
            <w:r>
              <w:rPr>
                <w:b w:val="false"/>
                <w:bCs w:val="false"/>
                <w:sz w:val="19"/>
                <w:szCs w:val="19"/>
              </w:rPr>
              <w:t xml:space="preserve">61</w:t>
            </w:r>
          </w:p>
        </w:tc>
        <w:tc>
          <w:tcPr>
            <w:tcW w:type="dxa" w:w="1170"/>
            <w:tcMar>
              <w:top w:type="dxa" w:w="60"/>
              <w:left w:type="dxa" w:w="100"/>
              <w:bottom w:type="dxa" w:w="60"/>
              <w:right w:type="dxa" w:w="100"/>
            </w:tcMar>
          </w:tcPr>
          <w:p>
            <w:pPr>
              <w:spacing w:after="0" w:before="0"/>
            </w:pPr>
            <w:r>
              <w:rPr>
                <w:b w:val="false"/>
                <w:bCs w:val="false"/>
                <w:sz w:val="19"/>
                <w:szCs w:val="19"/>
              </w:rPr>
              <w:t xml:space="preserve">299</w:t>
            </w:r>
          </w:p>
        </w:tc>
        <w:tc>
          <w:tcPr>
            <w:tcW w:type="dxa" w:w="1170"/>
            <w:tcMar>
              <w:top w:type="dxa" w:w="60"/>
              <w:left w:type="dxa" w:w="100"/>
              <w:bottom w:type="dxa" w:w="60"/>
              <w:right w:type="dxa" w:w="100"/>
            </w:tcMar>
          </w:tcPr>
          <w:p>
            <w:pPr>
              <w:spacing w:after="0" w:before="0"/>
            </w:pPr>
            <w:r>
              <w:rPr>
                <w:b w:val="false"/>
                <w:bCs w:val="false"/>
                <w:sz w:val="19"/>
                <w:szCs w:val="19"/>
              </w:rPr>
              <w:t xml:space="preserve">4972/7200</w:t>
            </w:r>
          </w:p>
        </w:tc>
        <w:tc>
          <w:tcPr>
            <w:tcW w:type="dxa" w:w="1170"/>
            <w:tcMar>
              <w:top w:type="dxa" w:w="60"/>
              <w:left w:type="dxa" w:w="100"/>
              <w:bottom w:type="dxa" w:w="60"/>
              <w:right w:type="dxa" w:w="100"/>
            </w:tcMar>
          </w:tcPr>
          <w:p>
            <w:pPr>
              <w:spacing w:after="0" w:before="0"/>
            </w:pPr>
            <w:r>
              <w:rPr>
                <w:b w:val="false"/>
                <w:bCs w:val="false"/>
                <w:sz w:val="19"/>
                <w:szCs w:val="19"/>
              </w:rPr>
              <w:t xml:space="preserve">−0.2938</w:t>
            </w:r>
          </w:p>
        </w:tc>
        <w:tc>
          <w:tcPr>
            <w:tcW w:type="dxa" w:w="1170"/>
            <w:tcMar>
              <w:top w:type="dxa" w:w="60"/>
              <w:left w:type="dxa" w:w="100"/>
              <w:bottom w:type="dxa" w:w="60"/>
              <w:right w:type="dxa" w:w="100"/>
            </w:tcMar>
          </w:tcPr>
          <w:p>
            <w:pPr>
              <w:spacing w:after="0" w:before="0"/>
            </w:pPr>
            <w:r>
              <w:rPr>
                <w:b w:val="false"/>
                <w:bCs w:val="false"/>
                <w:sz w:val="19"/>
                <w:szCs w:val="19"/>
              </w:rPr>
              <w:t xml:space="preserve">2.16e-02</w:t>
            </w:r>
          </w:p>
        </w:tc>
        <w:tc>
          <w:tcPr>
            <w:tcW w:type="dxa" w:w="1170"/>
            <w:tcMar>
              <w:top w:type="dxa" w:w="60"/>
              <w:left w:type="dxa" w:w="100"/>
              <w:bottom w:type="dxa" w:w="60"/>
              <w:right w:type="dxa" w:w="100"/>
            </w:tcMar>
          </w:tcPr>
          <w:p>
            <w:pPr>
              <w:spacing w:after="0" w:before="0"/>
            </w:pPr>
            <w:r>
              <w:rPr>
                <w:b w:val="false"/>
                <w:bCs w:val="false"/>
                <w:sz w:val="19"/>
                <w:szCs w:val="19"/>
              </w:rPr>
              <w:t xml:space="preserve">[−0.508, −0.045]</w:t>
            </w:r>
          </w:p>
        </w:tc>
        <w:tc>
          <w:tcPr>
            <w:tcW w:type="dxa" w:w="1170"/>
            <w:tcMar>
              <w:top w:type="dxa" w:w="60"/>
              <w:left w:type="dxa" w:w="100"/>
              <w:bottom w:type="dxa" w:w="60"/>
              <w:right w:type="dxa" w:w="100"/>
            </w:tcMar>
          </w:tcPr>
          <w:p>
            <w:pPr>
              <w:spacing w:after="0" w:before="0"/>
            </w:pPr>
            <w:r>
              <w:rPr>
                <w:b w:val="false"/>
                <w:bCs w:val="false"/>
                <w:sz w:val="19"/>
                <w:szCs w:val="19"/>
              </w:rPr>
              <w:t xml:space="preserve">0.0863</w:t>
            </w:r>
          </w:p>
        </w:tc>
      </w:tr>
      <w:tr>
        <w:tc>
          <w:tcPr>
            <w:tcW w:type="dxa" w:w="1170"/>
            <w:tcMar>
              <w:top w:type="dxa" w:w="60"/>
              <w:left w:type="dxa" w:w="100"/>
              <w:bottom w:type="dxa" w:w="60"/>
              <w:right w:type="dxa" w:w="100"/>
            </w:tcMar>
          </w:tcPr>
          <w:p>
            <w:pPr>
              <w:spacing w:after="0" w:before="0"/>
            </w:pPr>
            <w:r>
              <w:rPr>
                <w:b w:val="false"/>
                <w:bCs w:val="false"/>
                <w:sz w:val="19"/>
                <w:szCs w:val="19"/>
              </w:rPr>
              <w:t xml:space="preserve">from C †</w:t>
            </w:r>
          </w:p>
        </w:tc>
        <w:tc>
          <w:tcPr>
            <w:tcW w:type="dxa" w:w="1170"/>
            <w:tcMar>
              <w:top w:type="dxa" w:w="60"/>
              <w:left w:type="dxa" w:w="100"/>
              <w:bottom w:type="dxa" w:w="60"/>
              <w:right w:type="dxa" w:w="100"/>
            </w:tcMar>
          </w:tcPr>
          <w:p>
            <w:pPr>
              <w:spacing w:after="0" w:before="0"/>
            </w:pPr>
            <w:r>
              <w:rPr>
                <w:b w:val="false"/>
                <w:bCs w:val="false"/>
                <w:sz w:val="19"/>
                <w:szCs w:val="19"/>
              </w:rPr>
              <w:t xml:space="preserve">289</w:t>
            </w:r>
          </w:p>
        </w:tc>
        <w:tc>
          <w:tcPr>
            <w:tcW w:type="dxa" w:w="1170"/>
            <w:tcMar>
              <w:top w:type="dxa" w:w="60"/>
              <w:left w:type="dxa" w:w="100"/>
              <w:bottom w:type="dxa" w:w="60"/>
              <w:right w:type="dxa" w:w="100"/>
            </w:tcMar>
          </w:tcPr>
          <w:p>
            <w:pPr>
              <w:spacing w:after="0" w:before="0"/>
            </w:pPr>
            <w:r>
              <w:rPr>
                <w:b w:val="false"/>
                <w:bCs w:val="false"/>
                <w:sz w:val="19"/>
                <w:szCs w:val="19"/>
              </w:rPr>
              <w:t xml:space="preserve">71</w:t>
            </w:r>
          </w:p>
        </w:tc>
        <w:tc>
          <w:tcPr>
            <w:tcW w:type="dxa" w:w="1170"/>
            <w:tcMar>
              <w:top w:type="dxa" w:w="60"/>
              <w:left w:type="dxa" w:w="100"/>
              <w:bottom w:type="dxa" w:w="60"/>
              <w:right w:type="dxa" w:w="100"/>
            </w:tcMar>
          </w:tcPr>
          <w:p>
            <w:pPr>
              <w:spacing w:after="0" w:before="0"/>
            </w:pPr>
            <w:r>
              <w:rPr>
                <w:b w:val="false"/>
                <w:bCs w:val="false"/>
                <w:sz w:val="19"/>
                <w:szCs w:val="19"/>
              </w:rPr>
              <w:t xml:space="preserve">2893/7200</w:t>
            </w:r>
          </w:p>
        </w:tc>
        <w:tc>
          <w:tcPr>
            <w:tcW w:type="dxa" w:w="1170"/>
            <w:tcMar>
              <w:top w:type="dxa" w:w="60"/>
              <w:left w:type="dxa" w:w="100"/>
              <w:bottom w:type="dxa" w:w="60"/>
              <w:right w:type="dxa" w:w="100"/>
            </w:tcMar>
          </w:tcPr>
          <w:p>
            <w:pPr>
              <w:spacing w:after="0" w:before="0"/>
            </w:pPr>
            <w:r>
              <w:rPr>
                <w:b w:val="false"/>
                <w:bCs w:val="false"/>
                <w:sz w:val="19"/>
                <w:szCs w:val="19"/>
              </w:rPr>
              <w:t xml:space="preserve">−0.0145</w:t>
            </w:r>
          </w:p>
        </w:tc>
        <w:tc>
          <w:tcPr>
            <w:tcW w:type="dxa" w:w="1170"/>
            <w:tcMar>
              <w:top w:type="dxa" w:w="60"/>
              <w:left w:type="dxa" w:w="100"/>
              <w:bottom w:type="dxa" w:w="60"/>
              <w:right w:type="dxa" w:w="100"/>
            </w:tcMar>
          </w:tcPr>
          <w:p>
            <w:pPr>
              <w:spacing w:after="0" w:before="0"/>
            </w:pPr>
            <w:r>
              <w:rPr>
                <w:b w:val="false"/>
                <w:bCs w:val="false"/>
                <w:sz w:val="19"/>
                <w:szCs w:val="19"/>
              </w:rPr>
              <w:t xml:space="preserve">0.806</w:t>
            </w:r>
          </w:p>
        </w:tc>
        <w:tc>
          <w:tcPr>
            <w:tcW w:type="dxa" w:w="1170"/>
            <w:tcMar>
              <w:top w:type="dxa" w:w="60"/>
              <w:left w:type="dxa" w:w="100"/>
              <w:bottom w:type="dxa" w:w="60"/>
              <w:right w:type="dxa" w:w="100"/>
            </w:tcMar>
          </w:tcPr>
          <w:p>
            <w:pPr>
              <w:spacing w:after="0" w:before="0"/>
            </w:pPr>
            <w:r>
              <w:rPr>
                <w:b w:val="false"/>
                <w:bCs w:val="false"/>
                <w:sz w:val="19"/>
                <w:szCs w:val="19"/>
              </w:rPr>
              <w:t xml:space="preserve">[−0.130, +0.101]</w:t>
            </w:r>
          </w:p>
        </w:tc>
        <w:tc>
          <w:tcPr>
            <w:tcW w:type="dxa" w:w="1170"/>
            <w:tcMar>
              <w:top w:type="dxa" w:w="60"/>
              <w:left w:type="dxa" w:w="100"/>
              <w:bottom w:type="dxa" w:w="60"/>
              <w:right w:type="dxa" w:w="100"/>
            </w:tcMar>
          </w:tcPr>
          <w:p>
            <w:pPr>
              <w:spacing w:after="0" w:before="0"/>
            </w:pPr>
            <w:r>
              <w:rPr>
                <w:b w:val="false"/>
                <w:bCs w:val="false"/>
                <w:sz w:val="19"/>
                <w:szCs w:val="19"/>
              </w:rPr>
              <w:t xml:space="preserve">0.0002</w:t>
            </w:r>
          </w:p>
        </w:tc>
      </w:tr>
    </w:tbl>
    <w:p>
      <w:pPr>
        <w:spacing w:after="160"/>
      </w:pPr>
    </w:p>
    <w:p>
      <w:pPr>
        <w:spacing w:after="140"/>
        <w:jc w:val="left"/>
      </w:pPr>
      <w:r>
        <w:rPr>
          <w:b/>
          <w:bCs/>
        </w:rPr>
        <w:t xml:space="preserve">† The `from C` row was computed under the λ rule D14 has since withdrawn</w:t>
      </w:r>
      <w:r>
        <w:t xml:space="preserve">, 1/(2·C·n). Under the adopted 1/(2C) that column's ceiling breaches fall from </w:t>
      </w:r>
      <w:r>
        <w:rPr>
          <w:b/>
          <w:bCs/>
        </w:rPr>
        <w:t xml:space="preserve">2,893 to 979 of 7,200</w:t>
      </w:r>
      <w:r>
        <w:t xml:space="preserve">, which still leaves it not breach-free. Its rho was </w:t>
      </w:r>
      <w:r>
        <w:rPr>
          <w:b/>
          <w:bCs/>
        </w:rPr>
        <w:t xml:space="preserve">not</w:t>
      </w:r>
      <w:r>
        <w:t xml:space="preserve"> recomputed: the verdict does not turn on it, and D14's outcome-to-verdict mapping authorised reading the breach status and nothing further. The row stands as the figure the published verdict was computed from, labelled, rather than being silently replaced by a number computed after the fact.</w:t>
      </w:r>
    </w:p>
    <w:p>
      <w:pPr>
        <w:spacing w:after="140"/>
        <w:jc w:val="left"/>
      </w:pPr>
      <w:r>
        <w:rPr>
          <w:b/>
          <w:bCs/>
        </w:rPr>
        <w:t xml:space="preserve">Both return `NOT ESTABLISHED (no breach-free lambda)`.</w:t>
      </w:r>
      <w:r>
        <w:t xml:space="preserve"> D5 requires the conclusion to hold at every lambda at which no unit breaches its sqrt(n) ceiling, and no column is breach-free.</w:t>
      </w:r>
    </w:p>
    <w:p>
      <w:pPr>
        <w:spacing w:after="140"/>
        <w:jc w:val="left"/>
      </w:pPr>
      <w:r>
        <w:rPr>
          <w:b/>
          <w:bCs/>
        </w:rPr>
        <w:t xml:space="preserve">What that verdict is, said precisely, because three different statements are easy to confuse here.</w:t>
      </w:r>
      <w:r>
        <w:t xml:space="preserve"> The registered rule returned </w:t>
      </w:r>
      <w:r>
        <w:rPr>
          <w:b/>
          <w:bCs/>
        </w:rPr>
        <w:t xml:space="preserve">no verdict</w:t>
      </w:r>
      <w:r>
        <w:t xml:space="preserve">. That is not the same as the prediction having been tested and failed, and it is not the same as finding no relationship. At lambda = 0.1 the null </w:t>
      </w:r>
      <w:r>
        <w:rPr>
          <w:b/>
          <w:bCs/>
        </w:rPr>
        <w:t xml:space="preserve">is</w:t>
      </w:r>
      <w:r>
        <w:t xml:space="preserve"> rejected, in the direction Huang predicts. The registered rule declined to speak because its precondition — a column in which no unit breaches its ceiling — is met by none of the columns.</w:t>
      </w:r>
    </w:p>
    <w:p>
      <w:pPr>
        <w:spacing w:after="140"/>
        <w:jc w:val="left"/>
      </w:pPr>
      <w:r>
        <w:t xml:space="preserve">Three things a reader needs in order to weigh that.</w:t>
      </w:r>
    </w:p>
    <w:p>
      <w:pPr>
        <w:spacing w:after="140"/>
        <w:jc w:val="left"/>
      </w:pPr>
      <w:r>
        <w:rPr>
          <w:b/>
          <w:bCs/>
        </w:rPr>
        <w:t xml:space="preserve">It turns on four rows.</w:t>
      </w:r>
      <w:r>
        <w:t xml:space="preserve"> At lambda = 0.1 the column is otherwise complete — all 360 units present, none excluded — and fails by </w:t>
      </w:r>
      <w:r>
        <w:rPr>
          <w:b/>
          <w:bCs/>
        </w:rPr>
        <w:t xml:space="preserve">four breaching seeds out of 7,200</w:t>
      </w:r>
      <w:r>
        <w:t xml:space="preserve">, 0.056% of the observations, all from one cell and seed (churn, n=100, selectk, 4 qubits, seed 7). The next-largest g/ceiling ratio anywhere is 0.9150 against those four at 1.075 to 1.093, so the dependence is discontinuous rather than marginal. No tolerance was introduced and no seed excluded.</w:t>
      </w:r>
    </w:p>
    <w:p>
      <w:pPr>
        <w:spacing w:after="140"/>
        <w:jc w:val="left"/>
      </w:pPr>
      <w:r>
        <w:rPr>
          <w:b/>
          <w:bCs/>
        </w:rPr>
        <w:t xml:space="preserve">The permissive reading also fails.</w:t>
      </w:r>
      <w:r>
        <w:t xml:space="preserve"> D5's text admits a second reading under which the rule reduces to agreement across all five columns. That fails too, because the sign of rho reverses: +0.17 at lambda = 0.1 against −0.38 at 1e-3 and −0.29 at 1e-4. Both readings land on the outcome D5 pre-declared for disagreement: g's relationship to observed performance depends on the regularisation chosen, which is a result about the metric.</w:t>
      </w:r>
    </w:p>
    <w:p>
      <w:pPr>
        <w:spacing w:after="140"/>
        <w:jc w:val="left"/>
      </w:pPr>
      <w:r>
        <w:rPr>
          <w:b/>
          <w:bCs/>
        </w:rPr>
        <w:t xml:space="preserve">The substantive number is rho², not the verdict.</w:t>
      </w:r>
      <w:r>
        <w:t xml:space="preserve"> At lambda = 0.1, the only column with a complete unselected population, </w:t>
      </w:r>
      <w:r>
        <w:rPr>
          <w:b/>
          <w:bCs/>
        </w:rPr>
        <w:t xml:space="preserve">rho² = 0.0293</w:t>
      </w:r>
      <w:r>
        <w:t xml:space="preserve">: the geometric difference accounts for under three percent of the rank variance in observed difference. A quantity explaining three percent of rank variance, whose sign moves with a parameter the practitioner chooses, cannot tell a practitioner not to bother. That is a claim about </w:t>
      </w:r>
      <w:r>
        <w:rPr>
          <w:b/>
          <w:bCs/>
        </w:rPr>
        <w:t xml:space="preserve">usability</w:t>
      </w:r>
      <w:r>
        <w:t xml:space="preserve">, not about absence, and it is the finding the registered design called the practically valuable outcome to establish either way.</w:t>
      </w:r>
    </w:p>
    <w:p>
      <w:pPr>
        <w:spacing w:after="140"/>
        <w:jc w:val="left"/>
      </w:pPr>
      <w:r>
        <w:rPr>
          <w:b/>
          <w:bCs/>
        </w:rPr>
        <w:t xml:space="preserve">A third λ rule was evaluated and returned nothing to test.</w:t>
      </w:r>
      <w:r>
        <w:t xml:space="preserve"> Huang's own g_tra selection over his declared grid was specified in advance (D16) and run. It does not select a λ at all on 76.5% of the units, so it yields an incomplete column and is reported as </w:t>
      </w:r>
      <w:r>
        <w:rPr>
          <w:b/>
          <w:bCs/>
        </w:rPr>
        <w:t xml:space="preserve">unresolved</w:t>
      </w:r>
      <w:r>
        <w:t xml:space="preserve"> rather than as a negative result. §6.2a gives the measurement. Counting it, three λ rules have been evaluated and none produces a breach-free column; the third produces no column.</w:t>
      </w:r>
    </w:p>
    <w:p>
      <w:pPr>
        <w:spacing w:after="140"/>
        <w:jc w:val="left"/>
      </w:pPr>
      <w:r>
        <w:rPr>
          <w:b/>
          <w:bCs/>
        </w:rPr>
        <w:t xml:space="preserve">H3 carries two readings and the reader picks.</w:t>
      </w:r>
      <w:r>
        <w:t xml:space="preserve"> Section 9 registers H3 as subordinate to H2 and reported only if H2 is rejected. It was ungated in week 4, for a stated and good reason, and the departure was not recorded until 29 September — after H3's result had been computed and published. A reader who accepts the commit ordering may read H3 as confirmatory under a departure declared late but decided early; a reader who does not should read it as exploratory. The paper does not choose for them.</w:t>
      </w:r>
    </w:p>
    <w:p>
      <w:pPr>
        <w:spacing w:after="120" w:before="120"/>
      </w:pPr>
    </w:p>
    <w:p>
      <w:pPr>
        <w:pStyle w:val="Heading2"/>
        <w:spacing w:after="140" w:before="280"/>
      </w:pPr>
      <w:r>
        <w:rPr>
          <w:b/>
          <w:bCs/>
          <w:color w:val="000000"/>
          <w:sz w:val="23"/>
          <w:szCs w:val="23"/>
        </w:rPr>
        <w:t xml:space="preserve">4.5 The exploratory families</w:t>
      </w:r>
    </w:p>
    <w:p>
      <w:pPr>
        <w:spacing w:after="140"/>
        <w:jc w:val="left"/>
      </w:pPr>
      <w:r>
        <w:t xml:space="preserve">Exploratory throughout, Holm-corrected within each family, and no finding here bears on H1 or H2. Each tested level averages the cells at that level </w:t>
      </w:r>
      <w:r>
        <w:rPr>
          <w:b/>
          <w:bCs/>
        </w:rPr>
        <w:t xml:space="preserve">within each seed</w:t>
      </w:r>
      <w:r>
        <w:t xml:space="preserve"> before testing, because cells at one seed share a train/test split; levels carry 20 paired observations, not pooled rows. </w:t>
      </w:r>
      <w:r>
        <w:rPr>
          <w:i/>
          <w:iCs/>
        </w:rPr>
        <w:t xml:space="preserve">(`results/analysis/exploratory_sweep.json`, `results/analysis/primary_tests.json`)</w:t>
      </w:r>
    </w:p>
    <w:p>
      <w:pPr>
        <w:spacing w:after="80" w:before="20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48000"/>
                    </a:xfrm>
                    <a:prstGeom prst="rect">
                      <a:avLst/>
                    </a:prstGeom>
                  </pic:spPr>
                </pic:pic>
              </a:graphicData>
            </a:graphic>
          </wp:inline>
        </w:drawing>
      </w:r>
    </w:p>
    <w:p>
      <w:pPr>
        <w:spacing w:after="240"/>
        <w:jc w:val="center"/>
      </w:pPr>
      <w:r>
        <w:rPr>
          <w:i/>
          <w:iCs/>
          <w:color w:val="444444"/>
          <w:sz w:val="18"/>
          <w:szCs w:val="18"/>
        </w:rPr>
        <w:t xml:space="preserve">Figure 3 — the churn exploratory families, with Holm-significant levels in the accent colour.</w:t>
      </w:r>
    </w:p>
    <w:p>
      <w:pPr>
        <w:spacing w:after="140"/>
        <w:jc w:val="left"/>
      </w:pPr>
      <w:r>
        <w:rPr>
          <w:b/>
          <w:bCs/>
        </w:rPr>
        <w:t xml:space="preserve">Figure 3</w:t>
      </w:r>
      <w:r>
        <w:t xml:space="preserve"> shows the churn families.</w:t>
      </w:r>
    </w:p>
    <w:p>
      <w:pPr>
        <w:spacing w:after="140"/>
        <w:jc w:val="left"/>
      </w:pPr>
      <w:r>
        <w:rPr>
          <w:b/>
          <w:bCs/>
        </w:rPr>
        <w:t xml:space="preserve">Churn.</w:t>
      </w:r>
      <w:r>
        <w:t xml:space="preserve"> The deficit survives correction under PCA (−0.0385, Holm 0.0189) and SelectKBest (−0.0478, Holm 0.0060) and </w:t>
      </w:r>
      <w:r>
        <w:rPr>
          <w:b/>
          <w:bCs/>
        </w:rPr>
        <w:t xml:space="preserve">not</w:t>
      </w:r>
      <w:r>
        <w:t xml:space="preserve"> under random projection (−0.0084, Holm 0.3884). It survives at both tested training sizes (−0.0268 at 100, −0.0316 at 250; the 50-per-class arm is registered as not for hypothesis testing and is reported descriptively at −0.0315). In the qubit family only 12 survives (−0.0659, Holm 4.77e-05).</w:t>
      </w:r>
    </w:p>
    <w:p>
      <w:pPr>
        <w:spacing w:after="140"/>
        <w:jc w:val="left"/>
      </w:pPr>
      <w:r>
        <w:t xml:space="preserve">Per setting against the best classical kernel, all four lose after correction: angle-r1 −0.0606 (Holm 0.0017), angle-r2 −0.0959 (5.34e-05), iqp-r1 −0.1011 (7.63e-06), iqp-r2 −0.3008 (7.63e-06). </w:t>
      </w:r>
      <w:r>
        <w:rPr>
          <w:b/>
          <w:bCs/>
        </w:rPr>
        <w:t xml:space="preserve">The headline does not depend on the quantum side being allowed to choose</w:t>
      </w:r>
      <w:r>
        <w:t xml:space="preserve">, which is what section 9 required this second reporting mode to show.</w:t>
      </w:r>
    </w:p>
    <w:p>
      <w:pPr>
        <w:spacing w:after="140"/>
        <w:jc w:val="left"/>
      </w:pPr>
      <w:r>
        <w:t xml:space="preserve">Across all 15 cells, two survive Holm: pca/12 at −0.0798 (Holm 0.0012) and selectk/12 at −0.0918 (0.0082).</w:t>
      </w:r>
    </w:p>
    <w:p>
      <w:pPr>
        <w:spacing w:after="140"/>
        <w:jc w:val="left"/>
      </w:pPr>
      <w:r>
        <w:rPr>
          <w:b/>
          <w:bCs/>
        </w:rPr>
        <w:t xml:space="preserve">Fraud.</w:t>
      </w:r>
      <w:r>
        <w:t xml:space="preserve"> Nothing survives anywhere. Largest magnitude +0.0045, no Holm-adjusted p below 0.19. Three figures are </w:t>
      </w:r>
      <w:r>
        <w:rPr>
          <w:b/>
          <w:bCs/>
        </w:rPr>
        <w:t xml:space="preserve">below D2's 1e-3 precision floor and are reported as below the pipeline's resolution rather than as measurements</w:t>
      </w:r>
      <w:r>
        <w:t xml:space="preserve">: qubit 10 at −0.0008, random projection at +0.0003, training size 250 at −0.0000.</w:t>
      </w:r>
    </w:p>
    <w:p>
      <w:pPr>
        <w:spacing w:after="140"/>
        <w:jc w:val="left"/>
      </w:pPr>
      <w:r>
        <w:rPr>
          <w:b/>
          <w:bCs/>
        </w:rPr>
        <w:t xml:space="preserve">Provenance of the per-setting and all-cells families.</w:t>
      </w:r>
      <w:r>
        <w:t xml:space="preserve"> Until 6 October both were printed and never returned, so the only trace of them was three rounded values per level in a tracked log, with no n, median, sd, confidence interval or sensitivity t-test, and no commit, input digest or seed list. They are now persisted with all of those. The figures above are unchanged: stdout was byte-identical across that change on all six arms.</w:t>
      </w:r>
    </w:p>
    <w:p>
      <w:pPr>
        <w:spacing w:after="120" w:before="120"/>
      </w:pPr>
    </w:p>
    <w:p>
      <w:pPr>
        <w:pStyle w:val="Heading2"/>
        <w:spacing w:after="140" w:before="280"/>
      </w:pPr>
      <w:r>
        <w:rPr>
          <w:b/>
          <w:bCs/>
          <w:color w:val="000000"/>
          <w:sz w:val="23"/>
          <w:szCs w:val="23"/>
        </w:rPr>
        <w:t xml:space="preserve">4.6 What these numbers do not support</w:t>
      </w:r>
    </w:p>
    <w:p>
      <w:pPr>
        <w:spacing w:after="140"/>
        <w:jc w:val="left"/>
      </w:pPr>
      <w:r>
        <w:t xml:space="preserve">Stated explicitly because each was reachable and each would have been wrong.</w:t>
      </w:r>
    </w:p>
    <w:p>
      <w:pPr>
        <w:spacing w:after="140"/>
        <w:jc w:val="left"/>
      </w:pPr>
      <w:r>
        <w:rPr>
          <w:b/>
          <w:bCs/>
        </w:rPr>
        <w:t xml:space="preserve">No trend with qubit count.</w:t>
      </w:r>
      <w:r>
        <w:t xml:space="preserve"> The cell-level trend on churn is rho = −0.4692, p = 0.0777 on n = 15 cells — not significant. Only the 12-qubit level survives Holm. "The deficit deepens with qubit count" is not supported, and the unit of analysis here is the cell: an earlier version of a trend statistic in this project correlated 300 records instead of 15 cells and every figure it printed was voided.</w:t>
      </w:r>
    </w:p>
    <w:p>
      <w:pPr>
        <w:spacing w:after="140"/>
        <w:jc w:val="left"/>
      </w:pPr>
      <w:r>
        <w:rPr>
          <w:b/>
          <w:bCs/>
        </w:rPr>
        <w:t xml:space="preserve">No claim about fraud's ROC figures against the AP floor.</w:t>
      </w:r>
      <w:r>
        <w:t xml:space="preserve"> D2's floor is 1e-3 </w:t>
      </w:r>
      <w:r>
        <w:rPr>
          <w:i/>
          <w:iCs/>
        </w:rPr>
        <w:t xml:space="preserve">in average precision</w:t>
      </w:r>
      <w:r>
        <w:t xml:space="preserve">. Fraud's ROC-AUC mean of +0.0001 is numerically smaller but on a different scale, and flagging it would repeat the unit conflation D6 records.</w:t>
      </w:r>
    </w:p>
    <w:p>
      <w:pPr>
        <w:spacing w:after="140"/>
        <w:jc w:val="left"/>
      </w:pPr>
      <w:r>
        <w:rPr>
          <w:b/>
          <w:bCs/>
        </w:rPr>
        <w:t xml:space="preserve">No claim that g carries no signal.</w:t>
      </w:r>
      <w:r>
        <w:t xml:space="preserve"> At lambda = 0.1 the relationship is statistically detectable and in the predicted direction. The claim in §4.4 is that it is not usable as a screen at that effect size with that sign instability, which is a different and narrower statement.</w:t>
      </w:r>
    </w:p>
    <w:p>
      <w:pPr>
        <w:spacing w:after="140"/>
        <w:jc w:val="left"/>
      </w:pPr>
      <w:r>
        <w:rPr>
          <w:b/>
          <w:bCs/>
        </w:rPr>
        <w:t xml:space="preserve">One structural reading, offered as interpretation.</w:t>
      </w:r>
      <w:r>
        <w:t xml:space="preserve"> On churn the deficit is absent exactly where the classical baseline is weakest: random projection is the mapping week 3 measured as climbing most with dimension, 0.3678 to 0.5481, and it is the one mapping where the quantum kernel is not significantly behind. If that holds up it inverts the usual framing, since the regime of interest is supposed to be the one where classical methods already do well. It rests on one dataset and one non-significant contrast.</w:t>
      </w:r>
    </w:p>
    <w:p>
      <w:pPr>
        <w:spacing w:after="120" w:before="120"/>
      </w:pPr>
    </w:p>
    <w:p>
      <w:pPr>
        <w:pStyle w:val="Heading2"/>
        <w:spacing w:after="140" w:before="280"/>
      </w:pPr>
      <w:r>
        <w:rPr>
          <w:b/>
          <w:bCs/>
          <w:color w:val="000000"/>
          <w:sz w:val="23"/>
          <w:szCs w:val="23"/>
        </w:rPr>
        <w:t xml:space="preserve">4.7 Limitations, including two this study created</w:t>
      </w:r>
    </w:p>
    <w:p>
      <w:pPr>
        <w:spacing w:after="140"/>
        <w:jc w:val="left"/>
      </w:pPr>
      <w:r>
        <w:rPr>
          <w:b/>
          <w:bCs/>
        </w:rPr>
        <w:t xml:space="preserve">The artefact was not available, and this conditions every limitation below it.</w:t>
      </w:r>
      <w:r>
        <w:t xml:space="preserve"> The repository was </w:t>
      </w:r>
      <w:r>
        <w:rPr>
          <w:b/>
          <w:bCs/>
        </w:rPr>
        <w:t xml:space="preserve">private from 17 September to 15 October 2026</w:t>
      </w:r>
      <w:r>
        <w:t xml:space="preserve">, the whole of the project's working life. It was found on 15 October, when a Software Heritage save request failed with </w:t>
      </w:r>
      <w:r>
        <w:rPr>
          <w:rFonts w:ascii="Consolas" w:cs="Consolas" w:eastAsia="Consolas" w:hAnsi="Consolas"/>
          <w:sz w:val="19"/>
          <w:szCs w:val="19"/>
        </w:rPr>
        <w:t xml:space="preserve">visit_status: not_found</w:t>
      </w:r>
      <w:r>
        <w:t xml:space="preserve"> and an unauthenticated GitHub query returned 404; the author's pushes had always succeeded because the author is authenticated. </w:t>
      </w:r>
      <w:r>
        <w:rPr>
          <w:b/>
          <w:bCs/>
        </w:rPr>
        <w:t xml:space="preserve">No reader could have checked any claim in this study while it was being made.</w:t>
      </w:r>
    </w:p>
    <w:p>
      <w:pPr>
        <w:spacing w:after="140"/>
        <w:jc w:val="left"/>
      </w:pPr>
      <w:r>
        <w:t xml:space="preserve">The consequence for ordering is the one that matters. D14 required its chosen option and outcome-to-verdict mapping to be "committed and pushed before any recomputed value is examined", and D16 was "specified in full and pushed before it was computed". Both happened. </w:t>
      </w:r>
      <w:r>
        <w:rPr>
          <w:b/>
          <w:bCs/>
        </w:rPr>
        <w:t xml:space="preserve">Neither was public.</w:t>
      </w:r>
      <w:r>
        <w:t xml:space="preserve"> A push to a private remote does leave server-side receipt times the author does not set, which a purely local commit does not, but those times are not exposed to a reader, not verifiable by one and not citable. So every phrasing of the form </w:t>
      </w:r>
      <w:r>
        <w:rPr>
          <w:i/>
          <w:iCs/>
        </w:rPr>
        <w:t xml:space="preserve">declared publicly</w:t>
      </w:r>
      <w:r>
        <w:t xml:space="preserve"> or </w:t>
      </w:r>
      <w:r>
        <w:rPr>
          <w:i/>
          <w:iCs/>
        </w:rPr>
        <w:t xml:space="preserve">published before the run</w:t>
      </w:r>
      <w:r>
        <w:t xml:space="preserve"> is </w:t>
      </w:r>
      <w:r>
        <w:rPr>
          <w:b/>
          <w:bCs/>
        </w:rPr>
        <w:t xml:space="preserve">withdrawn</w:t>
      </w:r>
      <w:r>
        <w:t xml:space="preserve"> in favour of </w:t>
      </w:r>
      <w:r>
        <w:rPr>
          <w:i/>
          <w:iCs/>
        </w:rPr>
        <w:t xml:space="preserve">committed and pushed to a private remote before</w:t>
      </w:r>
      <w:r>
        <w:t xml:space="preserve">, and the pre-commitment discipline here is something the author practised rather than something a reader can check.</w:t>
      </w:r>
    </w:p>
    <w:p>
      <w:pPr>
        <w:spacing w:after="140"/>
        <w:jc w:val="left"/>
      </w:pPr>
      <w:r>
        <w:rPr>
          <w:b/>
          <w:bCs/>
        </w:rPr>
        <w:t xml:space="preserve">Visibility was changed on 15 October 2026</w:t>
      </w:r>
      <w:r>
        <w:t xml:space="preserve">, after two Software Heritage save requests (2558108, 2558127) had failed with </w:t>
      </w:r>
      <w:r>
        <w:rPr>
          <w:rFonts w:ascii="Consolas" w:cs="Consolas" w:eastAsia="Consolas" w:hAnsi="Consolas"/>
          <w:sz w:val="19"/>
          <w:szCs w:val="19"/>
        </w:rPr>
        <w:t xml:space="preserve">visit_status: not_found</w:t>
      </w:r>
      <w:r>
        <w:t xml:space="preserve"> against the private origin. A third request succeeded at </w:t>
      </w:r>
      <w:r>
        <w:rPr>
          <w:b/>
          <w:bCs/>
        </w:rPr>
        <w:t xml:space="preserve">01:33:06 UTC on 15 October 2026</w:t>
      </w:r>
      <w:r>
        <w:t xml:space="preserve">, </w:t>
      </w:r>
      <w:r>
        <w:rPr>
          <w:rFonts w:ascii="Consolas" w:cs="Consolas" w:eastAsia="Consolas" w:hAnsi="Consolas"/>
          <w:sz w:val="19"/>
          <w:szCs w:val="19"/>
        </w:rPr>
        <w:t xml:space="preserve">visit_status: full</w:t>
      </w:r>
      <w:r>
        <w:t xml:space="preserve">. A fourth was taken three minutes later. </w:t>
      </w:r>
      <w:r>
        <w:rPr>
          <w:b/>
          <w:bCs/>
        </w:rPr>
        <w:t xml:space="preserve">There are two snapshots and the reason is structural:</w:t>
      </w:r>
    </w:p>
    <w:p>
      <w:pPr>
        <w:spacing w:after="40" w:before="40"/>
        <w:ind w:left="360"/>
      </w:pPr>
      <w:r>
        <w:rPr>
          <w:rFonts w:ascii="Consolas" w:cs="Consolas" w:eastAsia="Consolas" w:hAnsi="Consolas"/>
          <w:sz w:val="19"/>
          <w:szCs w:val="19"/>
        </w:rPr>
        <w:t xml:space="preserve">swh:1:snp:bdbf43089b1ed77f5ec9307e11f5c255dddc84dd   01:33:06, repository at 5464088</w:t>
      </w:r>
    </w:p>
    <w:p>
      <w:pPr>
        <w:spacing w:after="40" w:before="40"/>
        <w:ind w:left="360"/>
      </w:pPr>
      <w:r>
        <w:rPr>
          <w:rFonts w:ascii="Consolas" w:cs="Consolas" w:eastAsia="Consolas" w:hAnsi="Consolas"/>
          <w:sz w:val="19"/>
          <w:szCs w:val="19"/>
        </w:rPr>
        <w:t xml:space="preserve">swh:1:snp:c19a29f94639c2ea87347ae40a3d949919a75005   01:36:58, includes the commit recording the first</w:t>
      </w:r>
    </w:p>
    <w:p>
      <w:pPr>
        <w:spacing w:after="120"/>
      </w:pPr>
    </w:p>
    <w:p>
      <w:pPr>
        <w:spacing w:after="140"/>
        <w:jc w:val="left"/>
      </w:pPr>
      <w:r>
        <w:rPr>
          <w:b/>
          <w:bCs/>
        </w:rPr>
        <w:t xml:space="preserve">A snapshot cannot contain its own citation.</w:t>
      </w:r>
      <w:r>
        <w:t xml:space="preserve"> The first attests the repository as it stood when visibility changed, before any record of the archive existed; a reader resolving it finds a §4.7 that does not mention it. The second contains the commit that records the first, so it is the one to resolve to read this paragraph as archived. The second is in turn cited by a commit made after it, and </w:t>
      </w:r>
      <w:r>
        <w:rPr>
          <w:b/>
          <w:bCs/>
        </w:rPr>
        <w:t xml:space="preserve">that regress does not terminate</w:t>
      </w:r>
      <w:r>
        <w:t xml:space="preserve"> — it is stopped here by choosing to stop, not by completeness, and the same is true of any self-referential archive citation.</w:t>
      </w:r>
    </w:p>
    <w:p>
      <w:pPr>
        <w:spacing w:after="140"/>
        <w:jc w:val="left"/>
      </w:pPr>
      <w:r>
        <w:rPr>
          <w:b/>
          <w:bCs/>
        </w:rPr>
        <w:t xml:space="preserve">These are the first externally verifiable facts in this study.</w:t>
      </w:r>
      <w:r>
        <w:t xml:space="preserve"> A third party now attests that this repository's content existed in that exact form at or before that instant, at a time no one here controls. Everything below describes what a reader can do from that moment on.</w:t>
      </w:r>
    </w:p>
    <w:p>
      <w:pPr>
        <w:spacing w:after="140"/>
        <w:jc w:val="left"/>
      </w:pPr>
      <w:r>
        <w:rPr>
          <w:b/>
          <w:bCs/>
        </w:rPr>
        <w:t xml:space="preserve">What the snapshot does not do</w:t>
      </w:r>
      <w:r>
        <w:t xml:space="preserve">, stated because an archive identifier invites being read as more than it is. It </w:t>
      </w:r>
      <w:r>
        <w:rPr>
          <w:b/>
          <w:bCs/>
        </w:rPr>
        <w:t xml:space="preserve">backdates nothing</w:t>
      </w:r>
      <w:r>
        <w:t xml:space="preserve">: every result, every deviation record and every pre-commitment in this paper predates it and remains externally unattested. It does </w:t>
      </w:r>
      <w:r>
        <w:rPr>
          <w:b/>
          <w:bCs/>
        </w:rPr>
        <w:t xml:space="preserve">not</w:t>
      </w:r>
      <w:r>
        <w:t xml:space="preserve"> repair D11, and could not: both snapshots capture the public refs as they stood on 15 October, six days before </w:t>
      </w:r>
      <w:r>
        <w:rPr>
          <w:rFonts w:ascii="Consolas" w:cs="Consolas" w:eastAsia="Consolas" w:hAnsi="Consolas"/>
          <w:sz w:val="19"/>
          <w:szCs w:val="19"/>
        </w:rPr>
        <w:t xml:space="preserve">prerewrite-20260925</w:t>
      </w:r>
      <w:r>
        <w:t xml:space="preserve"> was published, so neither archive contains the commits the result records name. Those identifiers resolve from the repository itself and not from the archive. What the snapshots establish is forward-looking only: from 01:33 on 15 October 2026, a claim about this repository's state can point at something outside this machine.</w:t>
      </w:r>
    </w:p>
    <w:p>
      <w:pPr>
        <w:spacing w:after="140"/>
        <w:jc w:val="left"/>
      </w:pPr>
      <w:r>
        <w:rPr>
          <w:b/>
          <w:bCs/>
        </w:rPr>
        <w:t xml:space="preserve">Provenance, and the decision that was open until 21 October 2026.</w:t>
      </w:r>
      <w:r>
        <w:t xml:space="preserve"> Every one of the 15,120 result records stores a </w:t>
      </w:r>
      <w:r>
        <w:rPr>
          <w:rFonts w:ascii="Consolas" w:cs="Consolas" w:eastAsia="Consolas" w:hAnsi="Consolas"/>
          <w:sz w:val="19"/>
          <w:szCs w:val="19"/>
        </w:rPr>
        <w:t xml:space="preserve">git_commit</w:t>
      </w:r>
      <w:r>
        <w:t xml:space="preserve"> that a history rewrite on 25 September 2026 removed from the public repository. The recovered branch </w:t>
      </w:r>
      <w:r>
        <w:rPr>
          <w:rFonts w:ascii="Consolas" w:cs="Consolas" w:eastAsia="Consolas" w:hAnsi="Consolas"/>
          <w:sz w:val="19"/>
          <w:szCs w:val="19"/>
        </w:rPr>
        <w:t xml:space="preserve">prerewrite-20260925</w:t>
      </w:r>
      <w:r>
        <w:t xml:space="preserve"> was </w:t>
      </w:r>
      <w:r>
        <w:rPr>
          <w:b/>
          <w:bCs/>
        </w:rPr>
        <w:t xml:space="preserve">published on 21 October 2026</w:t>
      </w:r>
      <w:r>
        <w:t xml:space="preserve">, tip </w:t>
      </w:r>
      <w:r>
        <w:rPr>
          <w:rFonts w:ascii="Consolas" w:cs="Consolas" w:eastAsia="Consolas" w:hAnsi="Consolas"/>
          <w:sz w:val="19"/>
          <w:szCs w:val="19"/>
        </w:rPr>
        <w:t xml:space="preserve">b5bf0431</w:t>
      </w:r>
      <w:r>
        <w:t xml:space="preserve">, and all five identifiers this study depends on are reachable from it: </w:t>
      </w:r>
      <w:r>
        <w:rPr>
          <w:rFonts w:ascii="Consolas" w:cs="Consolas" w:eastAsia="Consolas" w:hAnsi="Consolas"/>
          <w:sz w:val="19"/>
          <w:szCs w:val="19"/>
        </w:rPr>
        <w:t xml:space="preserve">a8bafbb</w:t>
      </w:r>
      <w:r>
        <w:t xml:space="preserve"> and </w:t>
      </w:r>
      <w:r>
        <w:rPr>
          <w:rFonts w:ascii="Consolas" w:cs="Consolas" w:eastAsia="Consolas" w:hAnsi="Consolas"/>
          <w:sz w:val="19"/>
          <w:szCs w:val="19"/>
        </w:rPr>
        <w:t xml:space="preserve">61f7db9</w:t>
      </w:r>
      <w:r>
        <w:t xml:space="preserve">, which </w:t>
      </w:r>
      <w:r>
        <w:rPr>
          <w:rFonts w:ascii="Consolas" w:cs="Consolas" w:eastAsia="Consolas" w:hAnsi="Consolas"/>
          <w:sz w:val="19"/>
          <w:szCs w:val="19"/>
        </w:rPr>
        <w:t xml:space="preserve">pre-registration.md</w:t>
      </w:r>
      <w:r>
        <w:t xml:space="preserve"> cites as its anchor, and </w:t>
      </w:r>
      <w:r>
        <w:rPr>
          <w:rFonts w:ascii="Consolas" w:cs="Consolas" w:eastAsia="Consolas" w:hAnsi="Consolas"/>
          <w:sz w:val="19"/>
          <w:szCs w:val="19"/>
        </w:rPr>
        <w:t xml:space="preserve">0b796a3</w:t>
      </w:r>
      <w:r>
        <w:t xml:space="preserve">, </w:t>
      </w:r>
      <w:r>
        <w:rPr>
          <w:rFonts w:ascii="Consolas" w:cs="Consolas" w:eastAsia="Consolas" w:hAnsi="Consolas"/>
          <w:sz w:val="19"/>
          <w:szCs w:val="19"/>
        </w:rPr>
        <w:t xml:space="preserve">2cf7ec7</w:t>
      </w:r>
      <w:r>
        <w:t xml:space="preserve"> and </w:t>
      </w:r>
      <w:r>
        <w:rPr>
          <w:rFonts w:ascii="Consolas" w:cs="Consolas" w:eastAsia="Consolas" w:hAnsi="Consolas"/>
          <w:sz w:val="19"/>
          <w:szCs w:val="19"/>
        </w:rPr>
        <w:t xml:space="preserve">0b2aef4</w:t>
      </w:r>
      <w:r>
        <w:t xml:space="preserve">, which the records store. </w:t>
      </w:r>
      <w:r>
        <w:rPr>
          <w:b/>
          <w:bCs/>
        </w:rPr>
        <w:t xml:space="preserve">A reader can now compute the tree of a stored hash directly.</w:t>
      </w:r>
      <w:r>
        <w:t xml:space="preserve"> The annotated tags </w:t>
      </w:r>
      <w:r>
        <w:rPr>
          <w:rFonts w:ascii="Consolas" w:cs="Consolas" w:eastAsia="Consolas" w:hAnsi="Consolas"/>
          <w:sz w:val="19"/>
          <w:szCs w:val="19"/>
        </w:rPr>
        <w:t xml:space="preserve">records-0b796a3</w:t>
      </w:r>
      <w:r>
        <w:t xml:space="preserve">, </w:t>
      </w:r>
      <w:r>
        <w:rPr>
          <w:rFonts w:ascii="Consolas" w:cs="Consolas" w:eastAsia="Consolas" w:hAnsi="Consolas"/>
          <w:sz w:val="19"/>
          <w:szCs w:val="19"/>
        </w:rPr>
        <w:t xml:space="preserve">records-2cf7ec7</w:t>
      </w:r>
      <w:r>
        <w:t xml:space="preserve"> and </w:t>
      </w:r>
      <w:r>
        <w:rPr>
          <w:rFonts w:ascii="Consolas" w:cs="Consolas" w:eastAsia="Consolas" w:hAnsi="Consolas"/>
          <w:sz w:val="19"/>
          <w:szCs w:val="19"/>
        </w:rPr>
        <w:t xml:space="preserve">records-0b2aef4</w:t>
      </w:r>
      <w:r>
        <w:t xml:space="preserve"> remain as a convenience and are no longer the only route; a tag records an assertion, and the assertion is now checkable against the object it is about.</w:t>
      </w:r>
    </w:p>
    <w:p>
      <w:pPr>
        <w:spacing w:after="140"/>
        <w:jc w:val="left"/>
      </w:pPr>
      <w:r>
        <w:rPr>
          <w:b/>
          <w:bCs/>
        </w:rPr>
        <w:t xml:space="preserve">What that closes and what it leaves.</w:t>
      </w:r>
      <w:r>
        <w:t xml:space="preserve"> It closes the binding: a record names a commit, the commit is public, its tree can be computed by anyone. It closes nothing about </w:t>
      </w:r>
      <w:r>
        <w:rPr>
          <w:b/>
          <w:bCs/>
        </w:rPr>
        <w:t xml:space="preserve">ordering</w:t>
      </w:r>
      <w:r>
        <w:t xml:space="preserve">. Commit dates are author-set, both histories are author-controlled, and the two Software Heritage snapshots were taken six days before this branch was public, so neither contains it. A re-run from current HEAD still produces evidence about the current code rather than authenticating the old records. The limitation that remains is the one in the next paragraph, and it is the one that was always the larger of the two.</w:t>
      </w:r>
    </w:p>
    <w:p>
      <w:pPr>
        <w:spacing w:after="140"/>
        <w:jc w:val="left"/>
      </w:pPr>
      <w:r>
        <w:rPr>
          <w:b/>
          <w:bCs/>
        </w:rPr>
        <w:t xml:space="preserve">The cost, stated rather than minimised.</w:t>
      </w:r>
      <w:r>
        <w:t xml:space="preserve"> Publishing restored to the public repository the AI co-authorship trailers the rewrite removed, across the branch's 25 commits. </w:t>
      </w:r>
      <w:r>
        <w:rPr>
          <w:rFonts w:ascii="Consolas" w:cs="Consolas" w:eastAsia="Consolas" w:hAnsi="Consolas"/>
          <w:sz w:val="19"/>
          <w:szCs w:val="19"/>
        </w:rPr>
        <w:t xml:space="preserve">main</w:t>
      </w:r>
      <w:r>
        <w:t xml:space="preserve"> already carried </w:t>
      </w:r>
      <w:r>
        <w:rPr>
          <w:b/>
          <w:bCs/>
        </w:rPr>
        <w:t xml:space="preserve">twenty</w:t>
      </w:r>
      <w:r>
        <w:t xml:space="preserve"> commits with those trailers, reinstated by default in late September and then deliberately left in place and documented rather than rewritten, and this repository's README declares the assistance in prose. The decision therefore conceded in public what the record had already conceded four weeks earlier. It is recorded as an amendment to D11.</w:t>
      </w:r>
    </w:p>
    <w:p>
      <w:pPr>
        <w:spacing w:after="140"/>
        <w:jc w:val="left"/>
      </w:pPr>
      <w:r>
        <w:rPr>
          <w:b/>
          <w:bCs/>
        </w:rPr>
        <w:t xml:space="preserve">No external timestamp, and no external reader either.</w:t>
      </w:r>
      <w:r>
        <w:t xml:space="preserve"> This study is not registered at OSF and has </w:t>
      </w:r>
      <w:r>
        <w:rPr>
          <w:b/>
          <w:bCs/>
        </w:rPr>
        <w:t xml:space="preserve">no Software Heritage snapshot predating its results</w:t>
      </w:r>
      <w:r>
        <w:t xml:space="preserve">. Its ordering evidence is an author-controlled history, rewritten once on 25 September, on a remote that no one else could read until 15 October, with no external attestation at any point. Every ordering claim in this paper, including the claims in D13, D14 and D16 that a decision preceded a result, rests on evidence of that class. </w:t>
      </w:r>
      <w:r>
        <w:rPr>
          <w:b/>
          <w:bCs/>
        </w:rPr>
        <w:t xml:space="preserve">A reader who declines to accept it is left with nothing</w:t>
      </w:r>
      <w:r>
        <w:t xml:space="preserve">, and that is the honest statement of the position rather than a reason to discount the claims selectively.</w:t>
      </w:r>
    </w:p>
    <w:p>
      <w:pPr>
        <w:spacing w:after="140"/>
        <w:jc w:val="left"/>
      </w:pPr>
      <w:r>
        <w:rPr>
          <w:b/>
          <w:bCs/>
        </w:rPr>
        <w:t xml:space="preserve">No hardware.</w:t>
      </w:r>
      <w:r>
        <w:t xml:space="preserve"> The IBM runs registered for weeks 7 to 8 were dropped as infeasible (D12) and no claim in this paper depends on them.</w:t>
      </w:r>
    </w:p>
    <w:p>
      <w:pPr>
        <w:spacing w:after="140"/>
        <w:jc w:val="left"/>
      </w:pPr>
      <w:r>
        <w:rPr>
          <w:b/>
          <w:bCs/>
        </w:rPr>
        <w:t xml:space="preserve">The 50-per-class arm</w:t>
      </w:r>
      <w:r>
        <w:t xml:space="preserve"> resolves 0.1368, three times coarser than the 0.0427 that already disqualified it from hypothesis testing.</w:t>
      </w:r>
    </w:p>
    <w:p>
      <w:pPr>
        <w:spacing w:after="140"/>
        <w:jc w:val="left"/>
      </w:pPr>
      <w:r>
        <w:rPr>
          <w:b/>
          <w:bCs/>
        </w:rPr>
        <w:t xml:space="preserve">One dataset is saturated.</w:t>
      </w:r>
      <w:r>
        <w:t xml:space="preserve"> Fraud's classical baseline sits at 0.9659 normAP at the primary cell and is saturated at every training size tested, so one of the two datasets could not have shown an advantage had one existed.</w:t>
      </w:r>
    </w:p>
    <w:p>
      <w:pPr>
        <w:spacing w:after="140"/>
        <w:jc w:val="left"/>
      </w:pPr>
      <w:r>
        <w:rPr>
          <w:b/>
          <w:bCs/>
        </w:rPr>
        <w:t xml:space="preserve">The figures, and a reversed decision.</w:t>
      </w:r>
      <w:r>
        <w:t xml:space="preserve"> The three PNGs above are </w:t>
      </w:r>
      <w:r>
        <w:rPr>
          <w:b/>
          <w:bCs/>
        </w:rPr>
        <w:t xml:space="preserve">committed</w:t>
      </w:r>
      <w:r>
        <w:t xml:space="preserve">, by name, as exceptions to the </w:t>
      </w:r>
      <w:r>
        <w:rPr>
          <w:rFonts w:ascii="Consolas" w:cs="Consolas" w:eastAsia="Consolas" w:hAnsi="Consolas"/>
          <w:sz w:val="19"/>
          <w:szCs w:val="19"/>
        </w:rPr>
        <w:t xml:space="preserve">.gitignore</w:t>
      </w:r>
      <w:r>
        <w:t xml:space="preserve"> rule that excludes </w:t>
      </w:r>
      <w:r>
        <w:rPr>
          <w:rFonts w:ascii="Consolas" w:cs="Consolas" w:eastAsia="Consolas" w:hAnsi="Consolas"/>
          <w:sz w:val="19"/>
          <w:szCs w:val="19"/>
        </w:rPr>
        <w:t xml:space="preserve">results/figures/*</w:t>
      </w:r>
      <w:r>
        <w:t xml:space="preserve">. An earlier draft excluded them on the ground that outputs are regenerated rather than versioned and that </w:t>
      </w:r>
      <w:r>
        <w:rPr>
          <w:rFonts w:ascii="Consolas" w:cs="Consolas" w:eastAsia="Consolas" w:hAnsi="Consolas"/>
          <w:sz w:val="19"/>
          <w:szCs w:val="19"/>
        </w:rPr>
        <w:t xml:space="preserve">PYTHONPATH=src python scripts/make_figures.py</w:t>
      </w:r>
      <w:r>
        <w:t xml:space="preserve"> reproduces them deterministically from committed artefacts. That reasoning is sound as far as it goes and the regeneration command still works. It was reversed for one reason it did not address: </w:t>
      </w:r>
      <w:r>
        <w:rPr>
          <w:b/>
          <w:bCs/>
        </w:rPr>
        <w:t xml:space="preserve">determinism there rests on an unpinned plotting library</w:t>
      </w:r>
      <w:r>
        <w:t xml:space="preserve">, so a reader on a different matplotlib gets a visually different figure, and a figure a paper references but does not ship is the same defect class as a commit hash that does not resolve. Three PNGs are 319 KB. The SVG sources remain excluded, being regenerable and read by nothing in the paper.</w:t>
      </w:r>
    </w:p>
    <w:p>
      <w:pPr>
        <w:spacing w:after="140"/>
        <w:jc w:val="left"/>
      </w:pPr>
      <w:r>
        <w:rPr>
          <w:b/>
          <w:bCs/>
        </w:rPr>
        <w:t xml:space="preserve">Checks this study has not completed</w:t>
      </w:r>
      <w:r>
        <w:t xml:space="preserve">, listed rather than left implicit.</w:t>
      </w:r>
    </w:p>
    <w:p>
      <w:pPr>
        <w:spacing w:after="140"/>
        <w:jc w:val="left"/>
      </w:pPr>
      <w:r>
        <w:rPr>
          <w:b/>
          <w:bCs/>
        </w:rPr>
        <w:t xml:space="preserve">The mutation harness now reads every test file, and what it reveals is worse than what it fixed.</w:t>
      </w:r>
      <w:r>
        <w:t xml:space="preserve"> Until 15 October it was hardwired to one test file, so mutants for the F20 diagnostic, the λ correction and the exploratory families had to be run by hand. Those four are now in the suite and all </w:t>
      </w:r>
      <w:r>
        <w:rPr>
          <w:b/>
          <w:bCs/>
        </w:rPr>
        <w:t xml:space="preserve">37</w:t>
      </w:r>
      <w:r>
        <w:t xml:space="preserve"> mutants are killed by the test that names each one, across five source files and four test files. But the coverage report was also scanning only the files that already had mutants, which hid every file with none: corrected, it reads </w:t>
      </w:r>
      <w:r>
        <w:rPr>
          <w:b/>
          <w:bCs/>
        </w:rPr>
        <w:t xml:space="preserve">37 of 395 test functions</w:t>
      </w:r>
      <w:r>
        <w:t xml:space="preserve">, not the 34 of 70 the old report implied. </w:t>
      </w:r>
      <w:r>
        <w:rPr>
          <w:b/>
          <w:bCs/>
        </w:rPr>
        <w:t xml:space="preserve">Fifteen of nineteen test files have no mutant at all</w:t>
      </w:r>
      <w:r>
        <w:t xml:space="preserve">, including </w:t>
      </w:r>
      <w:r>
        <w:rPr>
          <w:rFonts w:ascii="Consolas" w:cs="Consolas" w:eastAsia="Consolas" w:hAnsi="Consolas"/>
          <w:sz w:val="19"/>
          <w:szCs w:val="19"/>
        </w:rPr>
        <w:t xml:space="preserve">tests/test_audit.py</w:t>
      </w:r>
      <w:r>
        <w:t xml:space="preserve"> and its 76 functions — the tests for the audit tool §5 is about. So the honest statement is that this project has demonstrated non-vacuity for 9% of its test functions and has not examined the rest.</w:t>
      </w:r>
    </w:p>
    <w:p>
      <w:pPr>
        <w:spacing w:after="140"/>
        <w:jc w:val="left"/>
      </w:pPr>
      <w:r>
        <w:rPr>
          <w:b/>
          <w:bCs/>
        </w:rPr>
        <w:t xml:space="preserve">The one check that had no mutant now has two.</w:t>
      </w:r>
      <w:r>
        <w:t xml:space="preserve"> </w:t>
      </w:r>
      <w:r>
        <w:rPr>
          <w:rFonts w:ascii="Consolas" w:cs="Consolas" w:eastAsia="Consolas" w:hAnsi="Consolas"/>
          <w:sz w:val="19"/>
          <w:szCs w:val="19"/>
        </w:rPr>
        <w:t xml:space="preserve">select_lambda</w:t>
      </w:r>
      <w:r>
        <w:t xml:space="preserve"> in </w:t>
      </w:r>
      <w:r>
        <w:rPr>
          <w:rFonts w:ascii="Consolas" w:cs="Consolas" w:eastAsia="Consolas" w:hAnsi="Consolas"/>
          <w:sz w:val="19"/>
          <w:szCs w:val="19"/>
        </w:rPr>
        <w:t xml:space="preserve">scripts/gtra_sweep.py</w:t>
      </w:r>
      <w:r>
        <w:t xml:space="preserve">, which implements D16's selection rule, was exercised only by that script's own control F and not by pytest. The harness maps each mutant to a pytest node, so a rule with no pytest test cannot have its non-vacuity demonstrated at all, and control F runs inside a sweep that takes hours. </w:t>
      </w:r>
      <w:r>
        <w:rPr>
          <w:rFonts w:ascii="Consolas" w:cs="Consolas" w:eastAsia="Consolas" w:hAnsi="Consolas"/>
          <w:sz w:val="19"/>
          <w:szCs w:val="19"/>
        </w:rPr>
        <w:t xml:space="preserve">tests/test_gtra_sweep.py</w:t>
      </w:r>
      <w:r>
        <w:t xml:space="preserve"> now pins the rule, and two mutants target it: taking the smallest admissible λ rather than the largest, and reading the threshold as strict where D16 fixed it inclusive. Both are killed. One of those tests covers a case control F does not — an admissible set with a hole in it, where an implementation scanning upward for the first violation would agree with control F on every monotone input and still select the wrong λ.</w:t>
      </w:r>
    </w:p>
    <w:p>
      <w:pPr>
        <w:spacing w:after="140"/>
        <w:jc w:val="left"/>
      </w:pPr>
      <w:r>
        <w:rPr>
          <w:b/>
          <w:bCs/>
        </w:rPr>
        <w:t xml:space="preserve">The figures check covers three of this paper's numbers.</w:t>
      </w:r>
      <w:r>
        <w:t xml:space="preserve"> </w:t>
      </w:r>
      <w:r>
        <w:rPr>
          <w:rFonts w:ascii="Consolas" w:cs="Consolas" w:eastAsia="Consolas" w:hAnsi="Consolas"/>
          <w:sz w:val="19"/>
          <w:szCs w:val="19"/>
        </w:rPr>
        <w:t xml:space="preserve">scripts/check_paper_figures.py</w:t>
      </w:r>
      <w:r>
        <w:t xml:space="preserve"> re-derives the churn and fraud primary-cell exclusion bounds from </w:t>
      </w:r>
      <w:r>
        <w:rPr>
          <w:rFonts w:ascii="Consolas" w:cs="Consolas" w:eastAsia="Consolas" w:hAnsi="Consolas"/>
          <w:sz w:val="19"/>
          <w:szCs w:val="19"/>
        </w:rPr>
        <w:t xml:space="preserve">results/audits/d6_table.json</w:t>
      </w:r>
      <w:r>
        <w:t xml:space="preserve">, and D16's share of units with no admissible λ from the 7,200 stored unit records, comparing each at the precision this paper states rather than within a chosen tolerance. Everything else it reports as </w:t>
      </w:r>
      <w:r>
        <w:rPr>
          <w:b/>
          <w:bCs/>
        </w:rPr>
        <w:t xml:space="preserve">not checked</w:t>
      </w:r>
      <w:r>
        <w:t xml:space="preserve">, against a denominator of every decimal figure in this paper, which it counts on each run rather than quoting from here so that the figure cannot go stale the way this section's own items did. The denominator is left unfiltered on purpose: it includes section cross-references, arXiv numbers and DOIs that are not measurements, and filtering those by pattern would be a guess, which is what made the mutation coverage above overstate itself. Among the figures it does </w:t>
      </w:r>
      <w:r>
        <w:rPr>
          <w:b/>
          <w:bCs/>
        </w:rPr>
        <w:t xml:space="preserve">not</w:t>
      </w:r>
      <w:r>
        <w:t xml:space="preserve"> cover are the H2 rank correlation and D16's elasticities, whose quantities have not been mapped to an accessor in any stored record. §5.6 records that this check would not have caught any of the defects that motivated it.</w:t>
      </w:r>
    </w:p>
    <w:p>
      <w:pPr>
        <w:spacing w:after="140"/>
        <w:jc w:val="left"/>
      </w:pPr>
      <w:r>
        <w:rPr>
          <w:b/>
          <w:bCs/>
        </w:rPr>
        <w:t xml:space="preserve">One item unchanged, and two closed since.</w:t>
      </w:r>
      <w:r>
        <w:t xml:space="preserve"> </w:t>
      </w:r>
      <w:r>
        <w:rPr>
          <w:b/>
          <w:bCs/>
        </w:rPr>
        <w:t xml:space="preserve">Two Software Heritage snapshots now exist</w:t>
      </w:r>
      <w:r>
        <w:t xml:space="preserve">, </w:t>
      </w:r>
      <w:r>
        <w:rPr>
          <w:rFonts w:ascii="Consolas" w:cs="Consolas" w:eastAsia="Consolas" w:hAnsi="Consolas"/>
          <w:sz w:val="19"/>
          <w:szCs w:val="19"/>
        </w:rPr>
        <w:t xml:space="preserve">swh:1:snp:bdbf43089b1ed77f5ec9307e11f5c255dddc84dd</w:t>
      </w:r>
      <w:r>
        <w:t xml:space="preserve"> at 01:33:06 and </w:t>
      </w:r>
      <w:r>
        <w:rPr>
          <w:rFonts w:ascii="Consolas" w:cs="Consolas" w:eastAsia="Consolas" w:hAnsi="Consolas"/>
          <w:sz w:val="19"/>
          <w:szCs w:val="19"/>
        </w:rPr>
        <w:t xml:space="preserve">swh:1:snp:c19a29f94639c2ea87347ae40a3d949919a75005</w:t>
      </w:r>
      <w:r>
        <w:t xml:space="preserve"> at 01:36:58 UTC on 15 October 2026, after two earlier requests failed against the private origin. It postdates every result here, so it bounds the provenance gap rather than closing it; the first paragraph of this section states what it does and does not establish.</w:t>
      </w:r>
    </w:p>
    <w:p>
      <w:pPr>
        <w:spacing w:after="140"/>
        <w:jc w:val="left"/>
      </w:pPr>
      <w:r>
        <w:t xml:space="preserve">The other two are closed, and one of them was described wrongly here. The </w:t>
      </w:r>
      <w:r>
        <w:rPr>
          <w:rFonts w:ascii="Consolas" w:cs="Consolas" w:eastAsia="Consolas" w:hAnsi="Consolas"/>
          <w:sz w:val="19"/>
          <w:szCs w:val="19"/>
        </w:rPr>
        <w:t xml:space="preserve">descriptive_only</w:t>
      </w:r>
      <w:r>
        <w:t xml:space="preserve"> rows in the exploratory output now carry the </w:t>
      </w:r>
      <w:r>
        <w:rPr>
          <w:rFonts w:ascii="Consolas" w:cs="Consolas" w:eastAsia="Consolas" w:hAnsi="Consolas"/>
          <w:sz w:val="19"/>
          <w:szCs w:val="19"/>
        </w:rPr>
        <w:t xml:space="preserve">below_d2_floor</w:t>
      </w:r>
      <w:r>
        <w:t xml:space="preserve"> field the tested rows carry. The grid adequacy check was said to have "not been extended since week 9", which misplaced the gap: the measurement was complete and correct in week 3 and reproduces bit-identically under current code, and what was missing was that its adjudication lived only in prose. </w:t>
      </w:r>
      <w:r>
        <w:rPr>
          <w:rFonts w:ascii="Consolas" w:cs="Consolas" w:eastAsia="Consolas" w:hAnsi="Consolas"/>
          <w:sz w:val="19"/>
          <w:szCs w:val="19"/>
        </w:rPr>
        <w:t xml:space="preserve">scripts/check_grid_edges.py</w:t>
      </w:r>
      <w:r>
        <w:t xml:space="preserve"> went on printing the rule week 3 had withdrawn, reporting UNDER-TUNED on fraud where the registered comparison against a shuffled-label null returns adequate on both datasets. The registered comparison is now what the script computes and what its output records; §5.6 counts the episode.</w:t>
      </w:r>
    </w:p>
    <w:p>
      <w:pPr>
        <w:spacing w:after="120" w:before="120"/>
      </w:pPr>
    </w:p>
    <w:p>
      <w:pPr>
        <w:pStyle w:val="Heading1"/>
        <w:pageBreakBefore/>
        <w:spacing w:after="200" w:before="0"/>
      </w:pPr>
      <w:r>
        <w:rPr>
          <w:b/>
          <w:bCs/>
          <w:color w:val="000000"/>
          <w:sz w:val="26"/>
          <w:szCs w:val="26"/>
        </w:rPr>
        <w:t xml:space="preserve">Section 5 — The protocol</w:t>
      </w:r>
    </w:p>
    <w:p>
      <w:pPr>
        <w:spacing w:after="140"/>
        <w:jc w:val="left"/>
      </w:pPr>
      <w:r>
        <w:rPr>
          <w:b/>
          <w:bCs/>
        </w:rPr>
        <w:t xml:space="preserve">Draft, 4 October 2026.</w:t>
      </w:r>
      <w:r>
        <w:t xml:space="preserve"> Written under the framing recorded in D15, which makes this section the paper's contribution rather than its methods appendix.</w:t>
      </w:r>
    </w:p>
    <w:p>
      <w:pPr>
        <w:spacing w:after="140"/>
        <w:jc w:val="left"/>
      </w:pPr>
      <w:r>
        <w:t xml:space="preserve">A comparison of quantum and classical kernels can be run carefully and still mean nothing, because the ways it fails are not visible in its results. This section specifies checks that are, says what each costs, and is explicit about which of them is implemented tooling and which is a procedure performed by hand.</w:t>
      </w:r>
    </w:p>
    <w:p>
      <w:pPr>
        <w:spacing w:after="140"/>
        <w:jc w:val="left"/>
      </w:pPr>
      <w:r>
        <w:t xml:space="preserve">It audits </w:t>
      </w:r>
      <w:r>
        <w:rPr>
          <w:b/>
          <w:bCs/>
        </w:rPr>
        <w:t xml:space="preserve">method, not results</w:t>
      </w:r>
      <w:r>
        <w:t xml:space="preserve">. It never reports which model won. A failure means a conclusion drawn from a file is not supported </w:t>
      </w:r>
      <w:r>
        <w:rPr>
          <w:i/>
          <w:iCs/>
        </w:rPr>
        <w:t xml:space="preserve">by that file</w:t>
      </w:r>
      <w:r>
        <w:t xml:space="preserve">; it does not mean the conclusion is wrong.</w:t>
      </w:r>
    </w:p>
    <w:p>
      <w:pPr>
        <w:spacing w:after="120" w:before="120"/>
      </w:pPr>
    </w:p>
    <w:p>
      <w:pPr>
        <w:pStyle w:val="Heading2"/>
        <w:spacing w:after="140" w:before="280"/>
      </w:pPr>
      <w:r>
        <w:rPr>
          <w:b/>
          <w:bCs/>
          <w:color w:val="000000"/>
          <w:sz w:val="23"/>
          <w:szCs w:val="23"/>
        </w:rPr>
        <w:t xml:space="preserve">5.1 Three parts, and only one of them is a tool</w:t>
      </w:r>
    </w:p>
    <w:p>
      <w:pPr>
        <w:spacing w:after="140"/>
        <w:jc w:val="left"/>
      </w:pPr>
      <w:r>
        <w:t xml:space="preserve">D15 describes this project's contribution as a process for checking equation ordering, implementation fidelity, provenance, and the limits of the resulting evidence. </w:t>
      </w:r>
      <w:r>
        <w:rPr>
          <w:b/>
          <w:bCs/>
        </w:rPr>
        <w:t xml:space="preserve">The implemented protocol covers the fourth and part of the second.</w:t>
      </w:r>
      <w:r>
        <w:t xml:space="preserve"> Saying so first is the point; a section that let the framing imply more tooling than exists would be the error the protocol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part</w:t>
            </w:r>
          </w:p>
        </w:tc>
        <w:tc>
          <w:tcPr>
            <w:tcW w:type="dxa" w:w="2340"/>
            <w:shd w:fill="EDEDED" w:val="clear"/>
            <w:tcMar>
              <w:top w:type="dxa" w:w="60"/>
              <w:left w:type="dxa" w:w="100"/>
              <w:bottom w:type="dxa" w:w="60"/>
              <w:right w:type="dxa" w:w="100"/>
            </w:tcMar>
          </w:tcPr>
          <w:p>
            <w:pPr>
              <w:spacing w:after="0" w:before="0"/>
            </w:pPr>
            <w:r>
              <w:rPr>
                <w:b/>
                <w:bCs/>
                <w:sz w:val="19"/>
                <w:szCs w:val="19"/>
              </w:rPr>
              <w:t xml:space="preserve">what it checks</w:t>
            </w:r>
          </w:p>
        </w:tc>
        <w:tc>
          <w:tcPr>
            <w:tcW w:type="dxa" w:w="2340"/>
            <w:shd w:fill="EDEDED" w:val="clear"/>
            <w:tcMar>
              <w:top w:type="dxa" w:w="60"/>
              <w:left w:type="dxa" w:w="100"/>
              <w:bottom w:type="dxa" w:w="60"/>
              <w:right w:type="dxa" w:w="100"/>
            </w:tcMar>
          </w:tcPr>
          <w:p>
            <w:pPr>
              <w:spacing w:after="0" w:before="0"/>
            </w:pPr>
            <w:r>
              <w:rPr>
                <w:b/>
                <w:bCs/>
                <w:sz w:val="19"/>
                <w:szCs w:val="19"/>
              </w:rPr>
              <w:t xml:space="preserve">status</w:t>
            </w:r>
          </w:p>
        </w:tc>
        <w:tc>
          <w:tcPr>
            <w:tcW w:type="dxa" w:w="2340"/>
            <w:shd w:fill="EDEDED" w:val="clear"/>
            <w:tcMar>
              <w:top w:type="dxa" w:w="60"/>
              <w:left w:type="dxa" w:w="100"/>
              <w:bottom w:type="dxa" w:w="60"/>
              <w:right w:type="dxa" w:w="100"/>
            </w:tcMar>
          </w:tcPr>
          <w:p>
            <w:pPr>
              <w:spacing w:after="0" w:before="0"/>
            </w:pPr>
            <w:r>
              <w:rPr>
                <w:b/>
                <w:bCs/>
                <w:sz w:val="19"/>
                <w:szCs w:val="19"/>
              </w:rPr>
              <w:t xml:space="preserve">exercised on</w:t>
            </w:r>
          </w:p>
        </w:tc>
      </w:tr>
      <w:tr>
        <w:tc>
          <w:tcPr>
            <w:tcW w:type="dxa" w:w="2340"/>
            <w:tcMar>
              <w:top w:type="dxa" w:w="60"/>
              <w:left w:type="dxa" w:w="100"/>
              <w:bottom w:type="dxa" w:w="60"/>
              <w:right w:type="dxa" w:w="100"/>
            </w:tcMar>
          </w:tcPr>
          <w:p>
            <w:pPr>
              <w:spacing w:after="0" w:before="0"/>
            </w:pPr>
            <w:r>
              <w:rPr>
                <w:b/>
                <w:bCs/>
                <w:sz w:val="19"/>
                <w:szCs w:val="19"/>
              </w:rPr>
              <w:t xml:space="preserve">A. The record audit</w:t>
            </w:r>
          </w:p>
        </w:tc>
        <w:tc>
          <w:tcPr>
            <w:tcW w:type="dxa" w:w="2340"/>
            <w:tcMar>
              <w:top w:type="dxa" w:w="60"/>
              <w:left w:type="dxa" w:w="100"/>
              <w:bottom w:type="dxa" w:w="60"/>
              <w:right w:type="dxa" w:w="100"/>
            </w:tcMar>
          </w:tcPr>
          <w:p>
            <w:pPr>
              <w:spacing w:after="0" w:before="0"/>
            </w:pPr>
            <w:r>
              <w:rPr>
                <w:b w:val="false"/>
                <w:bCs w:val="false"/>
                <w:sz w:val="19"/>
                <w:szCs w:val="19"/>
              </w:rPr>
              <w:t xml:space="preserve">what a results file does and does not support</w:t>
            </w:r>
          </w:p>
        </w:tc>
        <w:tc>
          <w:tcPr>
            <w:tcW w:type="dxa" w:w="2340"/>
            <w:tcMar>
              <w:top w:type="dxa" w:w="60"/>
              <w:left w:type="dxa" w:w="100"/>
              <w:bottom w:type="dxa" w:w="60"/>
              <w:right w:type="dxa" w:w="100"/>
            </w:tcMar>
          </w:tcPr>
          <w:p>
            <w:pPr>
              <w:spacing w:after="0" w:before="0"/>
            </w:pPr>
            <w:r>
              <w:rPr>
                <w:b/>
                <w:bCs/>
                <w:sz w:val="19"/>
                <w:szCs w:val="19"/>
              </w:rPr>
              <w:t xml:space="preserve">implemented</w:t>
            </w:r>
            <w:r>
              <w:rPr>
                <w:b w:val="false"/>
                <w:bCs w:val="false"/>
                <w:sz w:val="19"/>
                <w:szCs w:val="19"/>
              </w:rPr>
              <w:t xml:space="preserve">: </w:t>
            </w:r>
            <w:r>
              <w:rPr>
                <w:rFonts w:ascii="Consolas" w:cs="Consolas" w:eastAsia="Consolas" w:hAnsi="Consolas"/>
                <w:b w:val="false"/>
                <w:bCs w:val="false"/>
                <w:sz w:val="19"/>
                <w:szCs w:val="19"/>
              </w:rPr>
              <w:t xml:space="preserve">scripts/audit.py</w:t>
            </w:r>
            <w:r>
              <w:rPr>
                <w:b w:val="false"/>
                <w:bCs w:val="false"/>
                <w:sz w:val="19"/>
                <w:szCs w:val="19"/>
              </w:rPr>
              <w:t xml:space="preserve">, </w:t>
            </w:r>
            <w:r>
              <w:rPr>
                <w:rFonts w:ascii="Consolas" w:cs="Consolas" w:eastAsia="Consolas" w:hAnsi="Consolas"/>
                <w:b w:val="false"/>
                <w:bCs w:val="false"/>
                <w:sz w:val="19"/>
                <w:szCs w:val="19"/>
              </w:rPr>
              <w:t xml:space="preserve">tests/test_audit.py</w:t>
            </w:r>
            <w:r>
              <w:rPr>
                <w:b w:val="false"/>
                <w:bCs w:val="false"/>
                <w:sz w:val="19"/>
                <w:szCs w:val="19"/>
              </w:rPr>
              <w:t xml:space="preserve">, a documented record format and a hook interface</w:t>
            </w:r>
          </w:p>
        </w:tc>
        <w:tc>
          <w:tcPr>
            <w:tcW w:type="dxa" w:w="2340"/>
            <w:tcMar>
              <w:top w:type="dxa" w:w="60"/>
              <w:left w:type="dxa" w:w="100"/>
              <w:bottom w:type="dxa" w:w="60"/>
              <w:right w:type="dxa" w:w="100"/>
            </w:tcMar>
          </w:tcPr>
          <w:p>
            <w:pPr>
              <w:spacing w:after="0" w:before="0"/>
            </w:pPr>
            <w:r>
              <w:rPr>
                <w:b w:val="false"/>
                <w:bCs w:val="false"/>
                <w:sz w:val="19"/>
                <w:szCs w:val="19"/>
              </w:rPr>
              <w:t xml:space="preserve">this project's six arms; one foreign pipeline</w:t>
            </w:r>
          </w:p>
        </w:tc>
      </w:tr>
      <w:tr>
        <w:tc>
          <w:tcPr>
            <w:tcW w:type="dxa" w:w="2340"/>
            <w:tcMar>
              <w:top w:type="dxa" w:w="60"/>
              <w:left w:type="dxa" w:w="100"/>
              <w:bottom w:type="dxa" w:w="60"/>
              <w:right w:type="dxa" w:w="100"/>
            </w:tcMar>
          </w:tcPr>
          <w:p>
            <w:pPr>
              <w:spacing w:after="0" w:before="0"/>
            </w:pPr>
            <w:r>
              <w:rPr>
                <w:b/>
                <w:bCs/>
                <w:sz w:val="19"/>
                <w:szCs w:val="19"/>
              </w:rPr>
              <w:t xml:space="preserve">B. Source to implementation</w:t>
            </w:r>
          </w:p>
        </w:tc>
        <w:tc>
          <w:tcPr>
            <w:tcW w:type="dxa" w:w="2340"/>
            <w:tcMar>
              <w:top w:type="dxa" w:w="60"/>
              <w:left w:type="dxa" w:w="100"/>
              <w:bottom w:type="dxa" w:w="60"/>
              <w:right w:type="dxa" w:w="100"/>
            </w:tcMar>
          </w:tcPr>
          <w:p>
            <w:pPr>
              <w:spacing w:after="0" w:before="0"/>
            </w:pPr>
            <w:r>
              <w:rPr>
                <w:b w:val="false"/>
                <w:bCs w:val="false"/>
                <w:sz w:val="19"/>
                <w:szCs w:val="19"/>
              </w:rPr>
              <w:t xml:space="preserve">that a paper's printed equation, its stated interpretation, and its released code are the same thing</w:t>
            </w:r>
          </w:p>
        </w:tc>
        <w:tc>
          <w:tcPr>
            <w:tcW w:type="dxa" w:w="2340"/>
            <w:tcMar>
              <w:top w:type="dxa" w:w="60"/>
              <w:left w:type="dxa" w:w="100"/>
              <w:bottom w:type="dxa" w:w="60"/>
              <w:right w:type="dxa" w:w="100"/>
            </w:tcMar>
          </w:tcPr>
          <w:p>
            <w:pPr>
              <w:spacing w:after="0" w:before="0"/>
            </w:pPr>
            <w:r>
              <w:rPr>
                <w:b/>
                <w:bCs/>
                <w:sz w:val="19"/>
                <w:szCs w:val="19"/>
              </w:rPr>
              <w:t xml:space="preserve">procedure, not tooling</w:t>
            </w:r>
            <w:r>
              <w:rPr>
                <w:b w:val="false"/>
                <w:bCs w:val="false"/>
                <w:sz w:val="19"/>
                <w:szCs w:val="19"/>
              </w:rPr>
              <w:t xml:space="preserve">. No script.</w:t>
            </w:r>
          </w:p>
        </w:tc>
        <w:tc>
          <w:tcPr>
            <w:tcW w:type="dxa" w:w="2340"/>
            <w:tcMar>
              <w:top w:type="dxa" w:w="60"/>
              <w:left w:type="dxa" w:w="100"/>
              <w:bottom w:type="dxa" w:w="60"/>
              <w:right w:type="dxa" w:w="100"/>
            </w:tcMar>
          </w:tcPr>
          <w:p>
            <w:pPr>
              <w:spacing w:after="0" w:before="0"/>
            </w:pPr>
            <w:r>
              <w:rPr>
                <w:b w:val="false"/>
                <w:bCs w:val="false"/>
                <w:sz w:val="19"/>
                <w:szCs w:val="19"/>
              </w:rPr>
              <w:t xml:space="preserve">two published papers</w:t>
            </w:r>
          </w:p>
        </w:tc>
      </w:tr>
      <w:tr>
        <w:tc>
          <w:tcPr>
            <w:tcW w:type="dxa" w:w="2340"/>
            <w:tcMar>
              <w:top w:type="dxa" w:w="60"/>
              <w:left w:type="dxa" w:w="100"/>
              <w:bottom w:type="dxa" w:w="60"/>
              <w:right w:type="dxa" w:w="100"/>
            </w:tcMar>
          </w:tcPr>
          <w:p>
            <w:pPr>
              <w:spacing w:after="0" w:before="0"/>
            </w:pPr>
            <w:r>
              <w:rPr>
                <w:b/>
                <w:bCs/>
                <w:sz w:val="19"/>
                <w:szCs w:val="19"/>
              </w:rPr>
              <w:t xml:space="preserve">C. Provenance</w:t>
            </w:r>
          </w:p>
        </w:tc>
        <w:tc>
          <w:tcPr>
            <w:tcW w:type="dxa" w:w="2340"/>
            <w:tcMar>
              <w:top w:type="dxa" w:w="60"/>
              <w:left w:type="dxa" w:w="100"/>
              <w:bottom w:type="dxa" w:w="60"/>
              <w:right w:type="dxa" w:w="100"/>
            </w:tcMar>
          </w:tcPr>
          <w:p>
            <w:pPr>
              <w:spacing w:after="0" w:before="0"/>
            </w:pPr>
            <w:r>
              <w:rPr>
                <w:b w:val="false"/>
                <w:bCs w:val="false"/>
                <w:sz w:val="19"/>
                <w:szCs w:val="19"/>
              </w:rPr>
              <w:t xml:space="preserve">that a result's stated origin can be resolved by a reader</w:t>
            </w:r>
          </w:p>
        </w:tc>
        <w:tc>
          <w:tcPr>
            <w:tcW w:type="dxa" w:w="2340"/>
            <w:tcMar>
              <w:top w:type="dxa" w:w="60"/>
              <w:left w:type="dxa" w:w="100"/>
              <w:bottom w:type="dxa" w:w="60"/>
              <w:right w:type="dxa" w:w="100"/>
            </w:tcMar>
          </w:tcPr>
          <w:p>
            <w:pPr>
              <w:spacing w:after="0" w:before="0"/>
            </w:pPr>
            <w:r>
              <w:rPr>
                <w:b/>
                <w:bCs/>
                <w:sz w:val="19"/>
                <w:szCs w:val="19"/>
              </w:rPr>
              <w:t xml:space="preserve">procedure, not tooling</w:t>
            </w:r>
            <w:r>
              <w:rPr>
                <w:b w:val="false"/>
                <w:bCs w:val="false"/>
                <w:sz w:val="19"/>
                <w:szCs w:val="19"/>
              </w:rPr>
              <w:t xml:space="preserve">. No script.</w:t>
            </w:r>
          </w:p>
        </w:tc>
        <w:tc>
          <w:tcPr>
            <w:tcW w:type="dxa" w:w="2340"/>
            <w:tcMar>
              <w:top w:type="dxa" w:w="60"/>
              <w:left w:type="dxa" w:w="100"/>
              <w:bottom w:type="dxa" w:w="60"/>
              <w:right w:type="dxa" w:w="100"/>
            </w:tcMar>
          </w:tcPr>
          <w:p>
            <w:pPr>
              <w:spacing w:after="0" w:before="0"/>
            </w:pPr>
            <w:r>
              <w:rPr>
                <w:b w:val="false"/>
                <w:bCs w:val="false"/>
                <w:sz w:val="19"/>
                <w:szCs w:val="19"/>
              </w:rPr>
              <w:t xml:space="preserve">this project, against itself</w:t>
            </w:r>
          </w:p>
        </w:tc>
      </w:tr>
    </w:tbl>
    <w:p>
      <w:pPr>
        <w:spacing w:after="160"/>
      </w:pPr>
    </w:p>
    <w:p>
      <w:pPr>
        <w:spacing w:after="140"/>
        <w:jc w:val="left"/>
      </w:pPr>
      <w:r>
        <w:t xml:space="preserve">Parts B and C are written up here because they found things, and because a reader deciding whether to repeat them deserves the cost. They are not claimed as software.</w:t>
      </w:r>
    </w:p>
    <w:p>
      <w:pPr>
        <w:spacing w:after="120" w:before="120"/>
      </w:pPr>
    </w:p>
    <w:p>
      <w:pPr>
        <w:pStyle w:val="Heading2"/>
        <w:spacing w:after="140" w:before="280"/>
      </w:pPr>
      <w:r>
        <w:rPr>
          <w:b/>
          <w:bCs/>
          <w:color w:val="000000"/>
          <w:sz w:val="23"/>
          <w:szCs w:val="23"/>
        </w:rPr>
        <w:t xml:space="preserve">5.2 Part A — the record audit</w:t>
      </w:r>
    </w:p>
    <w:p>
      <w:pPr>
        <w:pStyle w:val="Heading3"/>
        <w:spacing w:after="100" w:before="200"/>
      </w:pPr>
      <w:r>
        <w:rPr>
          <w:b/>
          <w:bCs/>
          <w:color w:val="000000"/>
          <w:sz w:val="21"/>
          <w:szCs w:val="21"/>
        </w:rPr>
        <w:t xml:space="preserve">The format</w:t>
      </w:r>
    </w:p>
    <w:p>
      <w:pPr>
        <w:spacing w:after="140"/>
        <w:jc w:val="left"/>
      </w:pPr>
      <w:r>
        <w:t xml:space="preserve">One JSON object per line; a record is one model, scored once, on one train/test split. Nothing in it is specific to quantum kernels. Required: </w:t>
      </w:r>
      <w:r>
        <w:rPr>
          <w:rFonts w:ascii="Consolas" w:cs="Consolas" w:eastAsia="Consolas" w:hAnsi="Consolas"/>
          <w:sz w:val="19"/>
          <w:szCs w:val="19"/>
        </w:rPr>
        <w:t xml:space="preserve">method</w:t>
      </w:r>
      <w:r>
        <w:t xml:space="preserve">, </w:t>
      </w:r>
      <w:r>
        <w:rPr>
          <w:rFonts w:ascii="Consolas" w:cs="Consolas" w:eastAsia="Consolas" w:hAnsi="Consolas"/>
          <w:sz w:val="19"/>
          <w:szCs w:val="19"/>
        </w:rPr>
        <w:t xml:space="preserve">seed</w:t>
      </w:r>
      <w:r>
        <w:t xml:space="preserve">, </w:t>
      </w:r>
      <w:r>
        <w:rPr>
          <w:rFonts w:ascii="Consolas" w:cs="Consolas" w:eastAsia="Consolas" w:hAnsi="Consolas"/>
          <w:sz w:val="19"/>
          <w:szCs w:val="19"/>
        </w:rPr>
        <w:t xml:space="preserve">n_train</w:t>
      </w:r>
      <w:r>
        <w:t xml:space="preserve">, </w:t>
      </w:r>
      <w:r>
        <w:rPr>
          <w:rFonts w:ascii="Consolas" w:cs="Consolas" w:eastAsia="Consolas" w:hAnsi="Consolas"/>
          <w:sz w:val="19"/>
          <w:szCs w:val="19"/>
        </w:rPr>
        <w:t xml:space="preserve">n_test</w:t>
      </w:r>
      <w:r>
        <w:t xml:space="preserve">, </w:t>
      </w:r>
      <w:r>
        <w:rPr>
          <w:rFonts w:ascii="Consolas" w:cs="Consolas" w:eastAsia="Consolas" w:hAnsi="Consolas"/>
          <w:sz w:val="19"/>
          <w:szCs w:val="19"/>
        </w:rPr>
        <w:t xml:space="preserve">test_base_rate</w:t>
      </w:r>
      <w:r>
        <w:t xml:space="preserve">, </w:t>
      </w:r>
      <w:r>
        <w:rPr>
          <w:rFonts w:ascii="Consolas" w:cs="Consolas" w:eastAsia="Consolas" w:hAnsi="Consolas"/>
          <w:sz w:val="19"/>
          <w:szCs w:val="19"/>
        </w:rPr>
        <w:t xml:space="preserve">test_average_precision</w:t>
      </w:r>
      <w:r>
        <w:t xml:space="preserve">, </w:t>
      </w:r>
      <w:r>
        <w:rPr>
          <w:rFonts w:ascii="Consolas" w:cs="Consolas" w:eastAsia="Consolas" w:hAnsi="Consolas"/>
          <w:sz w:val="19"/>
          <w:szCs w:val="19"/>
        </w:rPr>
        <w:t xml:space="preserve">test_roc_auc</w:t>
      </w:r>
      <w:r>
        <w:t xml:space="preserve">. Strongly recommended, with each check degrading to SKIP and naming what its absence makes unanswerable: </w:t>
      </w:r>
      <w:r>
        <w:rPr>
          <w:rFonts w:ascii="Consolas" w:cs="Consolas" w:eastAsia="Consolas" w:hAnsi="Consolas"/>
          <w:sz w:val="19"/>
          <w:szCs w:val="19"/>
        </w:rPr>
        <w:t xml:space="preserve">test_label_fingerprint</w:t>
      </w:r>
      <w:r>
        <w:t xml:space="preserve"> (the test labels hashed </w:t>
      </w:r>
      <w:r>
        <w:rPr>
          <w:b/>
          <w:bCs/>
        </w:rPr>
        <w:t xml:space="preserve">in order</w:t>
      </w:r>
      <w:r>
        <w:t xml:space="preserve">, without which no paired test can be verified, only assumed), </w:t>
      </w:r>
      <w:r>
        <w:rPr>
          <w:rFonts w:ascii="Consolas" w:cs="Consolas" w:eastAsia="Consolas" w:hAnsi="Consolas"/>
          <w:sz w:val="19"/>
          <w:szCs w:val="19"/>
        </w:rPr>
        <w:t xml:space="preserve">shuffled</w:t>
      </w:r>
      <w:r>
        <w:t xml:space="preserve">, </w:t>
      </w:r>
      <w:r>
        <w:rPr>
          <w:rFonts w:ascii="Consolas" w:cs="Consolas" w:eastAsia="Consolas" w:hAnsi="Consolas"/>
          <w:sz w:val="19"/>
          <w:szCs w:val="19"/>
        </w:rPr>
        <w:t xml:space="preserve">final_converged</w:t>
      </w:r>
      <w:r>
        <w:t xml:space="preserve">, </w:t>
      </w:r>
      <w:r>
        <w:rPr>
          <w:rFonts w:ascii="Consolas" w:cs="Consolas" w:eastAsia="Consolas" w:hAnsi="Consolas"/>
          <w:sz w:val="19"/>
          <w:szCs w:val="19"/>
        </w:rPr>
        <w:t xml:space="preserve">inner_score</w:t>
      </w:r>
      <w:r>
        <w:t xml:space="preserve">.</w:t>
      </w:r>
    </w:p>
    <w:p>
      <w:pPr>
        <w:spacing w:after="140"/>
        <w:jc w:val="left"/>
      </w:pPr>
      <w:r>
        <w:t xml:space="preserve">The format is the load-bearing part. </w:t>
      </w:r>
      <w:r>
        <w:rPr>
          <w:b/>
          <w:bCs/>
        </w:rPr>
        <w:t xml:space="preserve">A file that does not record enough to be checked cannot be checked by anyone</w:t>
      </w:r>
      <w:r>
        <w:t xml:space="preserve">, and the claim here is not that a comparison lacking these checks is wrong — it is that nobody, including its authors, can tell.</w:t>
      </w:r>
    </w:p>
    <w:p>
      <w:pPr>
        <w:pStyle w:val="Heading3"/>
        <w:spacing w:after="100" w:before="200"/>
      </w:pPr>
      <w:r>
        <w:rPr>
          <w:b/>
          <w:bCs/>
          <w:color w:val="000000"/>
          <w:sz w:val="21"/>
          <w:szCs w:val="21"/>
        </w:rPr>
        <w:t xml:space="preserve">What it asserts, and what it costs</w:t>
      </w:r>
    </w:p>
    <w:p>
      <w:pPr>
        <w:spacing w:after="140"/>
        <w:jc w:val="left"/>
      </w:pPr>
      <w:r>
        <w:t xml:space="preserve">Tier 1 runs from the records file alone: schema, chance correction, negative control, pairing integrity, solver health, unit of analysis, statistical power, precision floor, multiplicity, tuning symmetry, cross-arm comparison, selection. </w:t>
      </w:r>
      <w:r>
        <w:rPr>
          <w:b/>
          <w:bCs/>
        </w:rPr>
        <w:t xml:space="preserve">Cost: seconds, no access to the original pipeline.</w:t>
      </w:r>
      <w:r>
        <w:t xml:space="preserve"> This is the tier that makes auditing a stranger's comparison cheap.</w:t>
      </w:r>
    </w:p>
    <w:p>
      <w:pPr>
        <w:spacing w:after="140"/>
        <w:jc w:val="left"/>
      </w:pPr>
      <w:r>
        <w:t xml:space="preserve">Tier 2 asks about the kernel, which a results file does not contain, so the pipeline supplies three optional functions — </w:t>
      </w:r>
      <w:r>
        <w:rPr>
          <w:rFonts w:ascii="Consolas" w:cs="Consolas" w:eastAsia="Consolas" w:hAnsi="Consolas"/>
          <w:sz w:val="19"/>
          <w:szCs w:val="19"/>
        </w:rPr>
        <w:t xml:space="preserve">gram</w:t>
      </w:r>
      <w:r>
        <w:t xml:space="preserve">, </w:t>
      </w:r>
      <w:r>
        <w:rPr>
          <w:rFonts w:ascii="Consolas" w:cs="Consolas" w:eastAsia="Consolas" w:hAnsi="Consolas"/>
          <w:sz w:val="19"/>
          <w:szCs w:val="19"/>
        </w:rPr>
        <w:t xml:space="preserve">training_data</w:t>
      </w:r>
      <w:r>
        <w:t xml:space="preserve">, </w:t>
      </w:r>
      <w:r>
        <w:rPr>
          <w:rFonts w:ascii="Consolas" w:cs="Consolas" w:eastAsia="Consolas" w:hAnsi="Consolas"/>
          <w:sz w:val="19"/>
          <w:szCs w:val="19"/>
        </w:rPr>
        <w:t xml:space="preserve">refit</w:t>
      </w:r>
      <w:r>
        <w:t xml:space="preserve"> — and the audit imports nothing of its own. It covers kernel conditioning and classical surrogate equivalence. </w:t>
      </w:r>
      <w:r>
        <w:rPr>
          <w:b/>
          <w:bCs/>
        </w:rPr>
        <w:t xml:space="preserve">Cost: kernel recomputation, which is the dominant expense</w:t>
      </w:r>
      <w:r>
        <w:t xml:space="preserve">; </w:t>
      </w:r>
      <w:r>
        <w:rPr>
          <w:rFonts w:ascii="Consolas" w:cs="Consolas" w:eastAsia="Consolas" w:hAnsi="Consolas"/>
          <w:sz w:val="19"/>
          <w:szCs w:val="19"/>
        </w:rPr>
        <w:t xml:space="preserve">--hook-sample</w:t>
      </w:r>
      <w:r>
        <w:t xml:space="preserve"> is the knob, and readings are indicative by construction. They say </w:t>
      </w:r>
      <w:r>
        <w:rPr>
          <w:i/>
          <w:iCs/>
        </w:rPr>
        <w:t xml:space="preserve">run the full analysis</w:t>
      </w:r>
      <w:r>
        <w:t xml:space="preserve">, not </w:t>
      </w:r>
      <w:r>
        <w:rPr>
          <w:i/>
          <w:iCs/>
        </w:rPr>
        <w:t xml:space="preserve">publish this</w:t>
      </w:r>
      <w:r>
        <w:t xml:space="preserve">.</w:t>
      </w:r>
    </w:p>
    <w:p>
      <w:pPr>
        <w:spacing w:after="140"/>
        <w:jc w:val="left"/>
      </w:pPr>
      <w:r>
        <w:t xml:space="preserve">One check needs a re-run rather than a hook: </w:t>
      </w:r>
      <w:r>
        <w:rPr>
          <w:b/>
          <w:bCs/>
        </w:rPr>
        <w:t xml:space="preserve">grid adequacy against a shuffled null</w:t>
      </w:r>
      <w:r>
        <w:t xml:space="preserve">, because widening a grid raises the best inner score even when nothing is better, so hyperparameter edge flags never justify it on their own. </w:t>
      </w:r>
      <w:r>
        <w:rPr>
          <w:b/>
          <w:bCs/>
        </w:rPr>
        <w:t xml:space="preserve">Cost: a second full execution of the pipeline on permuted labels.</w:t>
      </w:r>
      <w:r>
        <w:t xml:space="preserve"> It is the most expensive check here and the one most often skipped.</w:t>
      </w:r>
    </w:p>
    <w:p>
      <w:pPr>
        <w:pStyle w:val="Heading3"/>
        <w:spacing w:after="100" w:before="200"/>
      </w:pPr>
      <w:r>
        <w:rPr>
          <w:b/>
          <w:bCs/>
          <w:color w:val="000000"/>
          <w:sz w:val="21"/>
          <w:szCs w:val="21"/>
        </w:rPr>
        <w:t xml:space="preserve">What distinguishes these from diagnostics</w:t>
      </w:r>
    </w:p>
    <w:p>
      <w:pPr>
        <w:spacing w:after="140"/>
        <w:jc w:val="left"/>
      </w:pPr>
      <w:r>
        <w:t xml:space="preserve">Published work in this area is statistically careful. Kakavand et al. apply paired Wilcoxon with an exact permutation fallback for small n, Friedman with post-hoc Nemenyi, and both Benjamini-Hochberg and Bonferroni; their kernel diagnostics compute condition number, effective rank, PSD-ness and the full eigenspectrum; their preprocessing is leakage-safe and their two arms share one hyperparameter grid — a symmetry this project's registered design did not have. </w:t>
      </w:r>
      <w:r>
        <w:rPr>
          <w:b/>
          <w:bCs/>
        </w:rPr>
        <w:t xml:space="preserve">That is more statistical care than this project had at the end of week 4</w:t>
      </w:r>
      <w:r>
        <w:t xml:space="preserve">, and the protocol does not claim otherwise.</w:t>
      </w:r>
    </w:p>
    <w:p>
      <w:pPr>
        <w:spacing w:after="140"/>
        <w:jc w:val="left"/>
      </w:pPr>
      <w:r>
        <w:t xml:space="preserve">What is added are </w:t>
      </w:r>
      <w:r>
        <w:rPr>
          <w:b/>
          <w:bCs/>
        </w:rPr>
        <w:t xml:space="preserve">decision rules rather than diagnostics</w:t>
      </w:r>
      <w:r>
        <w:t xml:space="preserve">: a measured reproducibility floor below which a difference is reported as unresolvable rather than small; classical surrogate equivalence expressed in endpoint units rather than as a distance in kernel space; shuffled-label controls adjudicated against both a sigma bar and that floor; cross-arm rather than within-arm power, which differ by 2.3x to 3.9x in this project's own data. Computing a condition number is ordinary. Refusing a verdict on the strength of one is not.</w:t>
      </w:r>
    </w:p>
    <w:p>
      <w:pPr>
        <w:spacing w:after="120" w:before="120"/>
      </w:pPr>
    </w:p>
    <w:p>
      <w:pPr>
        <w:pStyle w:val="Heading2"/>
        <w:spacing w:after="140" w:before="280"/>
      </w:pPr>
      <w:r>
        <w:rPr>
          <w:b/>
          <w:bCs/>
          <w:color w:val="000000"/>
          <w:sz w:val="23"/>
          <w:szCs w:val="23"/>
        </w:rPr>
        <w:t xml:space="preserve">5.3 Part B — source to implementation</w:t>
      </w:r>
    </w:p>
    <w:p>
      <w:pPr>
        <w:spacing w:after="140"/>
        <w:jc w:val="left"/>
      </w:pPr>
      <w:r>
        <w:rPr>
          <w:b/>
          <w:bCs/>
        </w:rPr>
        <w:t xml:space="preserve">No tooling exists for this.</w:t>
      </w:r>
      <w:r>
        <w:t xml:space="preserve"> It is a reading procedure, performed twice, and it found something both times.</w:t>
      </w:r>
    </w:p>
    <w:p>
      <w:pPr>
        <w:spacing w:after="140"/>
        <w:jc w:val="left"/>
      </w:pPr>
      <w:r>
        <w:rPr>
          <w:b/>
          <w:bCs/>
        </w:rPr>
        <w:t xml:space="preserve">The procedure.</w:t>
      </w:r>
      <w:r>
        <w:t xml:space="preserve"> Obtain the paper's source rather than a rendering — for arXiv, the e-print LaTeX. Record the archive and file hashes. Locate the equation as printed, with its subscripts. Locate the prose that assigns its arguments. Locate the corresponding call in the released code. Then compare the three, and label every resulting statement as what the source states, what the implementation does, or what the comparison establishes.</w:t>
      </w:r>
    </w:p>
    <w:p>
      <w:pPr>
        <w:spacing w:after="140"/>
        <w:jc w:val="left"/>
      </w:pPr>
      <w:r>
        <w:rPr>
          <w:b/>
          <w:bCs/>
        </w:rPr>
        <w:t xml:space="preserve">Why source rather than a rendering.</w:t>
      </w:r>
      <w:r>
        <w:t xml:space="preserve"> Earlier attempts in this project to read Huang's Appendix F from PDF renderings returned transcriptions that were internally contradictory on exactly the subscripts at issue, and a claim that the appendix contradicted its own main text was drafted on that basis and withdrawn when the LaTeX was read. </w:t>
      </w:r>
      <w:r>
        <w:rPr>
          <w:b/>
          <w:bCs/>
        </w:rPr>
        <w:t xml:space="preserve">A claim about an equation's index placement is worth no more than the characters it was read from.</w:t>
      </w:r>
    </w:p>
    <w:p>
      <w:pPr>
        <w:spacing w:after="140"/>
        <w:jc w:val="left"/>
      </w:pPr>
      <w:r>
        <w:rPr>
          <w:b/>
          <w:bCs/>
        </w:rPr>
        <w:t xml:space="preserve">Cost.</w:t>
      </w:r>
      <w:r>
        <w:t xml:space="preserve"> One download, the hashes, and an afternoon per paper. No compute. It is the cheapest part of this protocol and it caught the largest thing.</w:t>
      </w:r>
    </w:p>
    <w:p>
      <w:pPr>
        <w:spacing w:after="140"/>
        <w:jc w:val="left"/>
      </w:pPr>
      <w:r>
        <w:rPr>
          <w:b/>
          <w:bCs/>
        </w:rPr>
        <w:t xml:space="preserve">What it found</w:t>
      </w:r>
      <w:r>
        <w:t xml:space="preserve"> is in section 2: that Huang's F19 is the reversed ordered comparison relative to Equation (5), that Flórez Ablan et al. read it the natural way, and that the quantity they compare against √N is therefore </w:t>
      </w:r>
      <w:r>
        <w:rPr>
          <w:rFonts w:ascii="Consolas" w:cs="Consolas" w:eastAsia="Consolas" w:hAnsi="Consolas"/>
          <w:sz w:val="19"/>
          <w:szCs w:val="19"/>
        </w:rPr>
        <w:t xml:space="preserve">g(K_Q‖K_C)</w:t>
      </w:r>
      <w:r>
        <w:t xml:space="preserve"> where the screening quantity is </w:t>
      </w:r>
      <w:r>
        <w:rPr>
          <w:rFonts w:ascii="Consolas" w:cs="Consolas" w:eastAsia="Consolas" w:hAnsi="Consolas"/>
          <w:sz w:val="19"/>
          <w:szCs w:val="19"/>
        </w:rPr>
        <w:t xml:space="preserve">g(K_C‖K_Q)</w:t>
      </w:r>
      <w:r>
        <w:t xml:space="preserve">. It also found, in their released code, ROC-AUC computed on hard predicted labels — making the reported quantity balanced accuracy rather than a ranking measure — and </w:t>
      </w:r>
      <w:r>
        <w:rPr>
          <w:rFonts w:ascii="Consolas" w:cs="Consolas" w:eastAsia="Consolas" w:hAnsi="Consolas"/>
          <w:sz w:val="19"/>
          <w:szCs w:val="19"/>
        </w:rPr>
        <w:t xml:space="preserve">g_tra</w:t>
      </w:r>
      <w:r>
        <w:t xml:space="preserve"> computed throughout and never compared to anything.</w:t>
      </w:r>
    </w:p>
    <w:p>
      <w:pPr>
        <w:spacing w:after="140"/>
        <w:jc w:val="left"/>
      </w:pPr>
      <w:r>
        <w:rPr>
          <w:b/>
          <w:bCs/>
        </w:rPr>
        <w:t xml:space="preserve">What it does not establish.</w:t>
      </w:r>
      <w:r>
        <w:t xml:space="preserve"> Nothing about whether their conclusions are wrong. An ambiguity inherited from an upstream appendix is a scope statement, not an error attributed to the people who inherited it.</w:t>
      </w:r>
    </w:p>
    <w:p>
      <w:pPr>
        <w:spacing w:after="120" w:before="120"/>
      </w:pPr>
    </w:p>
    <w:p>
      <w:pPr>
        <w:pStyle w:val="Heading2"/>
        <w:spacing w:after="140" w:before="280"/>
      </w:pPr>
      <w:r>
        <w:rPr>
          <w:b/>
          <w:bCs/>
          <w:color w:val="000000"/>
          <w:sz w:val="23"/>
          <w:szCs w:val="23"/>
        </w:rPr>
        <w:t xml:space="preserve">5.4 Part C — provenance</w:t>
      </w:r>
    </w:p>
    <w:p>
      <w:pPr>
        <w:spacing w:after="140"/>
        <w:jc w:val="left"/>
      </w:pPr>
      <w:r>
        <w:rPr>
          <w:b/>
          <w:bCs/>
        </w:rPr>
        <w:t xml:space="preserve">No tooling exists for this either.</w:t>
      </w:r>
      <w:r>
        <w:t xml:space="preserve"> The procedure is: take the identifier a result record stores for its own origin and try to resolve it as a stranger would, from the public artefact alone.</w:t>
      </w:r>
    </w:p>
    <w:p>
      <w:pPr>
        <w:spacing w:after="140"/>
        <w:jc w:val="left"/>
      </w:pPr>
      <w:r>
        <w:rPr>
          <w:b/>
          <w:bCs/>
        </w:rPr>
        <w:t xml:space="preserve">Cost.</w:t>
      </w:r>
      <w:r>
        <w:t xml:space="preserve"> Minutes, and it requires no access to anything the authors have not already published — which is the point.</w:t>
      </w:r>
    </w:p>
    <w:p>
      <w:pPr>
        <w:spacing w:after="140"/>
        <w:jc w:val="left"/>
      </w:pPr>
      <w:r>
        <w:rPr>
          <w:b/>
          <w:bCs/>
        </w:rPr>
        <w:t xml:space="preserve">What it found, run against this project.</w:t>
      </w:r>
      <w:r>
        <w:t xml:space="preserve"> Every one of the 15,120 result records stores a </w:t>
      </w:r>
      <w:r>
        <w:rPr>
          <w:rFonts w:ascii="Consolas" w:cs="Consolas" w:eastAsia="Consolas" w:hAnsi="Consolas"/>
          <w:sz w:val="19"/>
          <w:szCs w:val="19"/>
        </w:rPr>
        <w:t xml:space="preserve">git_commit</w:t>
      </w:r>
      <w:r>
        <w:t xml:space="preserve"> that does not exist on the public repository. A history rewrite invalidated all three stored hashes; they resolve only from a branch recovered from a folder that had been queued for deletion. A tree-identity mapping to public counterparts exists, and it reduces what must be taken on the author's word without removing it: a reader can verify that the counterpart carries the stated tree and cannot verify that the stored hash ever did.</w:t>
      </w:r>
    </w:p>
    <w:p>
      <w:pPr>
        <w:spacing w:after="140"/>
        <w:jc w:val="left"/>
      </w:pPr>
      <w:r>
        <w:t xml:space="preserve">The project's own reproducibility section commits that every record stores its commit. </w:t>
      </w:r>
      <w:r>
        <w:rPr>
          <w:b/>
          <w:bCs/>
        </w:rPr>
        <w:t xml:space="preserve">That commitment was satisfied in form and unverifiable in practice for nine days before anyone checked</w:t>
      </w:r>
      <w:r>
        <w:t xml:space="preserve">, and it was checked only because a previous amendment had documented the same trap for different hashes.</w:t>
      </w:r>
    </w:p>
    <w:p>
      <w:pPr>
        <w:spacing w:after="140"/>
        <w:jc w:val="left"/>
      </w:pPr>
      <w:r>
        <w:rPr>
          <w:b/>
          <w:bCs/>
        </w:rPr>
        <w:t xml:space="preserve">The loss, bounded precisely.</w:t>
      </w:r>
      <w:r>
        <w:t xml:space="preserve"> What a reader cannot do is </w:t>
      </w:r>
      <w:r>
        <w:rPr>
          <w:b/>
          <w:bCs/>
        </w:rPr>
        <w:t xml:space="preserve">independently bind a historical result record to the code that generated it</w:t>
      </w:r>
      <w:r>
        <w:t xml:space="preserve">. That is the whole of it, and it is not nothing: they cannot confirm that the analysis code at run time is the code now published, nor diff the two to see what differs.</w:t>
      </w:r>
    </w:p>
    <w:p>
      <w:pPr>
        <w:spacing w:after="140"/>
        <w:jc w:val="left"/>
      </w:pPr>
      <w:r>
        <w:rPr>
          <w:b/>
          <w:bCs/>
        </w:rPr>
        <w:t xml:space="preserve">What remains independently checkable</w:t>
      </w:r>
      <w:r>
        <w:t xml:space="preserve">: every analysis script, in full; the data provenance, which is separate and unaffected, with sources and checksums in </w:t>
      </w:r>
      <w:r>
        <w:rPr>
          <w:rFonts w:ascii="Consolas" w:cs="Consolas" w:eastAsia="Consolas" w:hAnsi="Consolas"/>
          <w:sz w:val="19"/>
          <w:szCs w:val="19"/>
        </w:rPr>
        <w:t xml:space="preserve">data/README.md</w:t>
      </w:r>
      <w:r>
        <w:t xml:space="preserve">; the records themselves, which are intact; and the public half of the tree-identity mapping — that each named counterpart on </w:t>
      </w:r>
      <w:r>
        <w:rPr>
          <w:rFonts w:ascii="Consolas" w:cs="Consolas" w:eastAsia="Consolas" w:hAnsi="Consolas"/>
          <w:sz w:val="19"/>
          <w:szCs w:val="19"/>
        </w:rPr>
        <w:t xml:space="preserve">main</w:t>
      </w:r>
      <w:r>
        <w:t xml:space="preserve"> carries the stated tree.</w:t>
      </w:r>
    </w:p>
    <w:p>
      <w:pPr>
        <w:spacing w:after="140"/>
        <w:jc w:val="left"/>
      </w:pPr>
      <w:r>
        <w:rPr>
          <w:b/>
          <w:bCs/>
        </w:rPr>
        <w:t xml:space="preserve">What a re-run does not do.</w:t>
      </w:r>
      <w:r>
        <w:t xml:space="preserve"> Executing the current pipeline on the current data produces </w:t>
      </w:r>
      <w:r>
        <w:rPr>
          <w:b/>
          <w:bCs/>
        </w:rPr>
        <w:t xml:space="preserve">new evidence about the current code</w:t>
      </w:r>
      <w:r>
        <w:t xml:space="preserve">. It does not authenticate the old records, because agreement would be consistent with the code having changed in ways that do not alter these particular outputs, and disagreement would not distinguish a code change from a data or environment change. A reproduction and an authentication are different operations, and only the first is available here.</w:t>
      </w:r>
    </w:p>
    <w:p>
      <w:pPr>
        <w:spacing w:after="120" w:before="120"/>
      </w:pPr>
    </w:p>
    <w:p>
      <w:pPr>
        <w:pStyle w:val="Heading2"/>
        <w:spacing w:after="140" w:before="280"/>
      </w:pPr>
      <w:r>
        <w:rPr>
          <w:b/>
          <w:bCs/>
          <w:color w:val="000000"/>
          <w:sz w:val="23"/>
          <w:szCs w:val="23"/>
        </w:rPr>
        <w:t xml:space="preserve">5.5 What this protocol does not do</w:t>
      </w:r>
    </w:p>
    <w:p>
      <w:pPr>
        <w:spacing w:after="140"/>
        <w:jc w:val="left"/>
      </w:pPr>
      <w:r>
        <w:t xml:space="preserve">It does not tell you whether a quantum kernel is better. The hook widens what it can see and does not change that: a surrogate reading is about the kernel, never about which model won. It does not detect a wrong kernel implementation, a mis-specified feature map, or a dataset leaking labels through preprocessing. It cannot see analysis performed outside the file it is given. </w:t>
      </w:r>
      <w:r>
        <w:rPr>
          <w:b/>
          <w:bCs/>
        </w:rPr>
        <w:t xml:space="preserve">A clean report means the file supports the kind of claim being made, not that the claim is true.</w:t>
      </w:r>
    </w:p>
    <w:p>
      <w:pPr>
        <w:spacing w:after="140"/>
        <w:jc w:val="left"/>
      </w:pPr>
      <w:r>
        <w:t xml:space="preserve">Parts B and C are not automatable as written. Part B requires judgement about what an equation means; part C requires knowing what a given repository's history has been through.</w:t>
      </w:r>
    </w:p>
    <w:p>
      <w:pPr>
        <w:spacing w:after="120" w:before="120"/>
      </w:pPr>
    </w:p>
    <w:p>
      <w:pPr>
        <w:pStyle w:val="Heading2"/>
        <w:spacing w:after="140" w:before="280"/>
      </w:pPr>
      <w:r>
        <w:rPr>
          <w:b/>
          <w:bCs/>
          <w:color w:val="000000"/>
          <w:sz w:val="23"/>
          <w:szCs w:val="23"/>
        </w:rPr>
        <w:t xml:space="preserve">5.6 The evidence for this protocol is weaker than its instance count suggests</w:t>
      </w:r>
    </w:p>
    <w:p>
      <w:pPr>
        <w:spacing w:after="140"/>
        <w:jc w:val="left"/>
      </w:pPr>
      <w:r>
        <w:t xml:space="preserve">This is the section a reader should weigh most heavily, and it argues against the contribution.</w:t>
      </w:r>
    </w:p>
    <w:p>
      <w:pPr>
        <w:spacing w:after="140"/>
        <w:jc w:val="left"/>
      </w:pPr>
      <w:r>
        <w:rPr>
          <w:b/>
          <w:bCs/>
        </w:rPr>
        <w:t xml:space="preserve">Every Tier 1 and Tier 2 check was written after the defect it catches.</w:t>
      </w:r>
      <w:r>
        <w:t xml:space="preserve"> The protocol's own first section says so: each exists because a specific reading went wrong here, usually after passing review. Seventeen deviation records and a list of caught mistakes are </w:t>
      </w:r>
      <w:r>
        <w:rPr>
          <w:b/>
          <w:bCs/>
        </w:rPr>
        <w:t xml:space="preserve">not</w:t>
      </w:r>
      <w:r>
        <w:t xml:space="preserve"> evidence that a tool catches a stranger's mistakes. They are evidence that this project eventually noticed its own.</w:t>
      </w:r>
    </w:p>
    <w:p>
      <w:pPr>
        <w:spacing w:after="140"/>
        <w:jc w:val="left"/>
      </w:pPr>
      <w:r>
        <w:rPr>
          <w:b/>
          <w:bCs/>
        </w:rPr>
        <w:t xml:space="preserve">The prospective evidence is one case, and what it shows needs stating precisely.</w:t>
      </w:r>
      <w:r>
        <w:t xml:space="preserve"> In week 6 the audit was run against Kakavand et al.'s public Zenodo deposit through an adapter. It produced </w:t>
      </w:r>
      <w:r>
        <w:rPr>
          <w:b/>
          <w:bCs/>
        </w:rPr>
        <w:t xml:space="preserve">one measurement and eight refusals</w:t>
      </w:r>
      <w:r>
        <w:t xml:space="preserve">: kernel conditioning across all six deposited </w:t>
      </w:r>
      <w:r>
        <w:rPr>
          <w:rFonts w:ascii="Consolas" w:cs="Consolas" w:eastAsia="Consolas" w:hAnsi="Consolas"/>
          <w:sz w:val="19"/>
          <w:szCs w:val="19"/>
        </w:rPr>
        <w:t xml:space="preserve">ibm_fez</w:t>
      </w:r>
      <w:r>
        <w:t xml:space="preserve"> Grams, worst 4.5e+05, against this project's own 7.8e+19 to 1.1e+33; and eight statements of what the deposit cannot answer — four required fields absent, so chance correction, power and the precision floor each name their gap; no classical arm in the hardware phase, so cross-arm has nothing to pair; one seed, so unit-of-analysis warns and power cannot speak; no </w:t>
      </w:r>
      <w:r>
        <w:rPr>
          <w:rFonts w:ascii="Consolas" w:cs="Consolas" w:eastAsia="Consolas" w:hAnsi="Consolas"/>
          <w:sz w:val="19"/>
          <w:szCs w:val="19"/>
        </w:rPr>
        <w:t xml:space="preserve">inner_score</w:t>
      </w:r>
      <w:r>
        <w:t xml:space="preserve">, so selection cannot be shown.</w:t>
      </w:r>
    </w:p>
    <w:p>
      <w:pPr>
        <w:spacing w:after="140"/>
        <w:jc w:val="left"/>
      </w:pPr>
      <w:r>
        <w:rPr>
          <w:b/>
          <w:bCs/>
        </w:rPr>
        <w:t xml:space="preserve">It found no defect in their pipeline, and was not looking for one.</w:t>
      </w:r>
      <w:r>
        <w:t xml:space="preserve"> The week-6 record states it directly: </w:t>
      </w:r>
      <w:r>
        <w:rPr>
          <w:i/>
          <w:iCs/>
        </w:rPr>
        <w:t xml:space="preserve">"None of this is a criticism of their work: it is a map of what a reader can and cannot verify from that deposit."</w:t>
      </w:r>
    </w:p>
    <w:p>
      <w:pPr>
        <w:spacing w:after="140"/>
        <w:jc w:val="left"/>
      </w:pPr>
      <w:r>
        <w:rPr>
          <w:b/>
          <w:bCs/>
        </w:rPr>
        <w:t xml:space="preserve">The criterion by which this counts as useful, stated rather than assumed.</w:t>
      </w:r>
      <w:r>
        <w:t xml:space="preserve"> The output is useful if it changes what a reader knows about the deposit's evidential reach. Before the run, a reader could not say which questions those records could answer; after it, they could, in seconds, without the originating pipeline. That criterion is met. </w:t>
      </w:r>
      <w:r>
        <w:rPr>
          <w:b/>
          <w:bCs/>
        </w:rPr>
        <w:t xml:space="preserve">It is a claim about a reader's state of knowledge, not about the quality of the audited work</w:t>
      </w:r>
      <w:r>
        <w:t xml:space="preserve">, and it does not generalise to defect detection, because on the only occasion these checks met foreign records they detected none.</w:t>
      </w:r>
    </w:p>
    <w:p>
      <w:pPr>
        <w:spacing w:after="140"/>
        <w:jc w:val="left"/>
      </w:pPr>
      <w:r>
        <w:t xml:space="preserve">Parts B and C add two cases apiece, but both were performed by the same party that wrote the procedures.</w:t>
      </w:r>
    </w:p>
    <w:p>
      <w:pPr>
        <w:spacing w:after="140"/>
        <w:jc w:val="left"/>
      </w:pPr>
      <w:r>
        <w:rPr>
          <w:b/>
          <w:bCs/>
        </w:rPr>
        <w:t xml:space="preserve">Seven things have gone wrong in public, and they are two different kinds.</w:t>
      </w:r>
      <w:r>
        <w:t xml:space="preserve"> Collapsing them under one word was itself imprecise.</w:t>
      </w:r>
    </w:p>
    <w:p>
      <w:pPr>
        <w:spacing w:after="140"/>
        <w:jc w:val="left"/>
      </w:pPr>
      <w:r>
        <w:rPr>
          <w:i/>
          <w:iCs/>
        </w:rPr>
        <w:t xml:space="preserve">Defects in the instrument (three).</w:t>
      </w:r>
      <w:r>
        <w:t xml:space="preserve"> On its first contact with real records the tool required a field this project's own pipeline never emitted, collapsed fifteen configurations into one, and </w:t>
      </w:r>
      <w:r>
        <w:rPr>
          <w:b/>
          <w:bCs/>
        </w:rPr>
        <w:t xml:space="preserve">silently changed three answers</w:t>
      </w:r>
      <w:r>
        <w:t xml:space="preserve">. The first audit run against real records then found four further defects, </w:t>
      </w:r>
      <w:r>
        <w:rPr>
          <w:b/>
          <w:bCs/>
        </w:rPr>
        <w:t xml:space="preserve">all four in the checks rather than in the records</w:t>
      </w:r>
      <w:r>
        <w:t xml:space="preserve">, with the full test suite passing on every one.</w:t>
      </w:r>
    </w:p>
    <w:p>
      <w:pPr>
        <w:spacing w:after="140"/>
        <w:jc w:val="left"/>
      </w:pPr>
      <w:r>
        <w:t xml:space="preserve">The third is the registered adjudicator of grid adequacy. Section 7 of the pre-registration names </w:t>
      </w:r>
      <w:r>
        <w:rPr>
          <w:rFonts w:ascii="Consolas" w:cs="Consolas" w:eastAsia="Consolas" w:hAnsi="Consolas"/>
          <w:sz w:val="19"/>
          <w:szCs w:val="19"/>
        </w:rPr>
        <w:t xml:space="preserve">scripts/check_grid_edges.py</w:t>
      </w:r>
      <w:r>
        <w:t xml:space="preserve"> as what decides whether a grid is too narrow, and requires the decision to be made against a shuffled-label null. The script computed that null when asked, printed it, and told the reader to do the subtraction by hand, while on a real run printing a verdict derived from the ratio of the gain to the minimum detectable effect. Week 3 had already recorded that ratio as a defect, because the maximum over a grid grows with the number of points searched and so cannot separate an optimum lying outside the grid from a surface too noisy to rank; the threshold week 3 describes as pre-declared existed nowhere in the code. The committed log </w:t>
      </w:r>
      <w:r>
        <w:rPr>
          <w:rFonts w:ascii="Consolas" w:cs="Consolas" w:eastAsia="Consolas" w:hAnsi="Consolas"/>
          <w:sz w:val="19"/>
          <w:szCs w:val="19"/>
        </w:rPr>
        <w:t xml:space="preserve">results/analysis/grid_edges_fraud.log</w:t>
      </w:r>
      <w:r>
        <w:t xml:space="preserve"> therefore carried the verdict </w:t>
      </w:r>
      <w:r>
        <w:rPr>
          <w:b/>
          <w:bCs/>
        </w:rPr>
        <w:t xml:space="preserve">UNDER-TUNED, widen the grids and re-run week 3</w:t>
      </w:r>
      <w:r>
        <w:t xml:space="preserve">, where the registered comparison returns adequate. The correct answer was in the week-3 record throughout and the project acted on it, so no result here rests on the wrong verdict; what was published was an instrument contradicting its own record for three weeks. Found on 18 October 2026 by reading the script, not by any check in this protocol.</w:t>
      </w:r>
    </w:p>
    <w:p>
      <w:pPr>
        <w:spacing w:after="140"/>
        <w:jc w:val="left"/>
      </w:pPr>
      <w:r>
        <w:rPr>
          <w:i/>
          <w:iCs/>
        </w:rPr>
        <w:t xml:space="preserve">Claims its authors made that their own data does not support (four).</w:t>
      </w:r>
      <w:r>
        <w:t xml:space="preserve"> It asserted from the manuscripts that two published benchmarks performed none of five checks; when the deposit behind one was read, </w:t>
      </w:r>
      <w:r>
        <w:rPr>
          <w:b/>
          <w:bCs/>
        </w:rPr>
        <w:t xml:space="preserve">six of seven claims in that paragraph were wrong or misleading</w:t>
      </w:r>
      <w:r>
        <w:t xml:space="preserve">. It declared four checks unrunnable when three were not — one needed nothing at all. And the confirmatory script printed a </w:t>
      </w:r>
      <w:r>
        <w:rPr>
          <w:b/>
          <w:bCs/>
        </w:rPr>
        <w:t xml:space="preserve">superseded exclusion bound for eleven days</w:t>
      </w:r>
      <w:r>
        <w:t xml:space="preserve">: </w:t>
      </w:r>
      <w:r>
        <w:rPr>
          <w:rFonts w:ascii="Consolas" w:cs="Consolas" w:eastAsia="Consolas" w:hAnsi="Consolas"/>
          <w:sz w:val="19"/>
          <w:szCs w:val="19"/>
        </w:rPr>
        <w:t xml:space="preserve">scripts/primary_tests.py</w:t>
      </w:r>
      <w:r>
        <w:t xml:space="preserve"> quoted the registered 0.0059 for fraud's primary cell while every document here quoted D6's corrected 0.0063, the committed analysis log carried the wrong figure, and a regression test asserted it. Nobody re-read the code after writing the correction. It was found on 6 October 2026 while refactoring an unrelated function, by inspection and not by any check in this protocol. And the pre-registration gives the measured advantage of extending a grid on random labels over real ones as </w:t>
      </w:r>
      <w:r>
        <w:rPr>
          <w:b/>
          <w:bCs/>
        </w:rPr>
        <w:t xml:space="preserve">five to seven times</w:t>
      </w:r>
      <w:r>
        <w:t xml:space="preserve">, which is the polynomial-kernel figure: on the RBF kernels the ratio is 2.0 and 35.7, so two of the four measurements fall outside the stated range, one above it and one below. Week 3 had the full four-row table in front of it when that sentence was written. </w:t>
      </w:r>
      <w:r>
        <w:rPr>
          <w:b/>
          <w:bCs/>
        </w:rPr>
        <w:t xml:space="preserve">This fourth one differs in kind from the three before it</w:t>
      </w:r>
      <w:r>
        <w:t xml:space="preserve">, and the difference does not favour it: those asserted things nobody had checked, while this took a measurement that had been made correctly and stated it more broadly than it supported. Nothing in a reader's view distinguishes a generalised measurement from a measured one. The rule that figure supports is unaffected, the direction holding on every kernel and both datasets; D17 records it and the registered document is not edited.</w:t>
      </w:r>
    </w:p>
    <w:p>
      <w:pPr>
        <w:spacing w:after="140"/>
        <w:jc w:val="left"/>
      </w:pPr>
      <w:r>
        <w:rPr>
          <w:b/>
          <w:bCs/>
        </w:rPr>
        <w:t xml:space="preserve">None of the seven is an audited pipeline failing an audit.</w:t>
      </w:r>
      <w:r>
        <w:t xml:space="preserve"> A reader who takes this section as evidence that audited work fails these checks has read it as it was first written and not as it is meant. The two kinds matter differently: the first says the instrument needed repair, the second says its authors committed the error the instrument exists to prevent.</w:t>
      </w:r>
    </w:p>
    <w:p>
      <w:pPr>
        <w:spacing w:after="140"/>
        <w:jc w:val="left"/>
      </w:pPr>
      <w:r>
        <w:rPr>
          <w:b/>
          <w:bCs/>
        </w:rPr>
        <w:t xml:space="preserve">A further item, about Tier 2 rather than about either kind.</w:t>
      </w:r>
      <w:r>
        <w:t xml:space="preserve"> On a partial sample of two of the six foreign Grams, the conditioning check read 1.7e+04 — </w:t>
      </w:r>
      <w:r>
        <w:rPr>
          <w:b/>
          <w:bCs/>
        </w:rPr>
        <w:t xml:space="preserve">understating the worst case by a factor of 26</w:t>
      </w:r>
      <w:r>
        <w:t xml:space="preserve">. Two things should be kept apart here. The numerical miss was corrected only by running the full six. What printing the sample count achieved was narrower: it exposed that coverage was incomplete, so the reading was known to be partial. </w:t>
      </w:r>
      <w:r>
        <w:rPr>
          <w:b/>
          <w:bCs/>
        </w:rPr>
        <w:t xml:space="preserve">It did not establish the true worst case and could not have.</w:t>
      </w:r>
      <w:r>
        <w:t xml:space="preserve"> That is the honest limit of indicative sampling, and it argues for treating </w:t>
      </w:r>
      <w:r>
        <w:rPr>
          <w:rFonts w:ascii="Consolas" w:cs="Consolas" w:eastAsia="Consolas" w:hAnsi="Consolas"/>
          <w:sz w:val="19"/>
          <w:szCs w:val="19"/>
        </w:rPr>
        <w:t xml:space="preserve">--hook-sample</w:t>
      </w:r>
      <w:r>
        <w:t xml:space="preserve"> readings as a prompt to run the full analysis rather than as a figure.</w:t>
      </w:r>
    </w:p>
    <w:p>
      <w:pPr>
        <w:spacing w:after="140"/>
        <w:jc w:val="left"/>
      </w:pPr>
      <w:r>
        <w:rPr>
          <w:b/>
          <w:bCs/>
        </w:rPr>
        <w:t xml:space="preserve">A bounded gap the fifth item exposes, and two more beside it.</w:t>
      </w:r>
      <w:r>
        <w:t xml:space="preserve"> The superseded bound was found by inspection, not by a check. So were two latent defects in this project's own reporting code, found the same day: a Holm family size printed as the literal 4 rather than computed, and a table headed "all cells" that silently skipped cells with too few paired series. Neither of those two ever produced a wrong value, so neither joins the count above; the superseded bound did, so it does. The sixth item above, the grid adjudicator, was found the same way. What all four share is the route. </w:t>
      </w:r>
      <w:r>
        <w:rPr>
          <w:b/>
          <w:bCs/>
        </w:rPr>
        <w:t xml:space="preserve">Tier 1 reads records and Tier 2 reads kernels. Nothing in this protocol reads this project's own analysis and reporting code for claims the data does not support</w:t>
      </w:r>
      <w:r>
        <w:t xml:space="preserve">, which is where all four lived.</w:t>
      </w:r>
    </w:p>
    <w:p>
      <w:pPr>
        <w:spacing w:after="140"/>
        <w:jc w:val="left"/>
      </w:pPr>
      <w:r>
        <w:rPr>
          <w:b/>
          <w:bCs/>
        </w:rPr>
        <w:t xml:space="preserve">What now exists, and what it would not have caught.</w:t>
      </w:r>
      <w:r>
        <w:t xml:space="preserve"> Since 19 October 2026 </w:t>
      </w:r>
      <w:r>
        <w:rPr>
          <w:rFonts w:ascii="Consolas" w:cs="Consolas" w:eastAsia="Consolas" w:hAnsi="Consolas"/>
          <w:sz w:val="19"/>
          <w:szCs w:val="19"/>
        </w:rPr>
        <w:t xml:space="preserve">scripts/check_paper_figures.py</w:t>
      </w:r>
      <w:r>
        <w:t xml:space="preserve"> re-derives figures this paper prints from the stored records, and a test asserts that the exclusion bound </w:t>
      </w:r>
      <w:r>
        <w:rPr>
          <w:rFonts w:ascii="Consolas" w:cs="Consolas" w:eastAsia="Consolas" w:hAnsi="Consolas"/>
          <w:sz w:val="19"/>
          <w:szCs w:val="19"/>
        </w:rPr>
        <w:t xml:space="preserve">scripts/primary_tests.py</w:t>
      </w:r>
      <w:r>
        <w:t xml:space="preserve"> prints matches the copy </w:t>
      </w:r>
      <w:r>
        <w:rPr>
          <w:rFonts w:ascii="Consolas" w:cs="Consolas" w:eastAsia="Consolas" w:hAnsi="Consolas"/>
          <w:sz w:val="19"/>
          <w:szCs w:val="19"/>
        </w:rPr>
        <w:t xml:space="preserve">scripts/audit_sweep.py</w:t>
      </w:r>
      <w:r>
        <w:t xml:space="preserve"> checks against regenerated data. Neither is part of the protocol, and the figures check would have caught </w:t>
      </w:r>
      <w:r>
        <w:rPr>
          <w:b/>
          <w:bCs/>
        </w:rPr>
        <w:t xml:space="preserve">none of the four items above</w:t>
      </w:r>
      <w:r>
        <w:t xml:space="preserve">. All four were divergences between code and record in which this paper's prose was correct or unaffected: the fifth repair had </w:t>
      </w:r>
      <w:r>
        <w:rPr>
          <w:rFonts w:ascii="Consolas" w:cs="Consolas" w:eastAsia="Consolas" w:hAnsi="Consolas"/>
          <w:sz w:val="19"/>
          <w:szCs w:val="19"/>
        </w:rPr>
        <w:t xml:space="preserve">primary_tests.py</w:t>
      </w:r>
      <w:r>
        <w:t xml:space="preserve"> printing 0.0059 while every document here quoted 0.0063, so a check reading the paper against the records would have passed it without comment. What would have caught it is the narrower assertion, the one tying a printed figure to the copy that is checked against data — which exists only because the fifth repair was corrected at its value and not at the structure that produced it. §4.7 states how much of this paper the figures check covers, which is very little.</w:t>
      </w:r>
    </w:p>
    <w:p>
      <w:pPr>
        <w:spacing w:after="140"/>
        <w:jc w:val="left"/>
      </w:pPr>
      <w:r>
        <w:rPr>
          <w:b/>
          <w:bCs/>
        </w:rPr>
        <w:t xml:space="preserve">A further group found by reading and deliberately not counted.</w:t>
      </w:r>
      <w:r>
        <w:t xml:space="preserve"> Three separate generators defaulted to not recording their output: the </w:t>
      </w:r>
      <w:r>
        <w:rPr>
          <w:rFonts w:ascii="Consolas" w:cs="Consolas" w:eastAsia="Consolas" w:hAnsi="Consolas"/>
          <w:sz w:val="19"/>
          <w:szCs w:val="19"/>
        </w:rPr>
        <w:t xml:space="preserve">.docx</w:t>
      </w:r>
      <w:r>
        <w:t xml:space="preserve"> exporter wrote no provenance, </w:t>
      </w:r>
      <w:r>
        <w:rPr>
          <w:rFonts w:ascii="Consolas" w:cs="Consolas" w:eastAsia="Consolas" w:hAnsi="Consolas"/>
          <w:sz w:val="19"/>
          <w:szCs w:val="19"/>
        </w:rPr>
        <w:t xml:space="preserve">scripts/exploratory_sweep.py</w:t>
      </w:r>
      <w:r>
        <w:t xml:space="preserve"> required </w:t>
      </w:r>
      <w:r>
        <w:rPr>
          <w:rFonts w:ascii="Consolas" w:cs="Consolas" w:eastAsia="Consolas" w:hAnsi="Consolas"/>
          <w:sz w:val="19"/>
          <w:szCs w:val="19"/>
        </w:rPr>
        <w:t xml:space="preserve">--out</w:t>
      </w:r>
      <w:r>
        <w:t xml:space="preserve"> with no default, and the paper existed only as section files until an assembler was written for it. An unrecorded output is an absent value rather than a wrong one, so none of these joins the count above. One of them did publish a stale artefact: on 15 October 2026 </w:t>
      </w:r>
      <w:r>
        <w:rPr>
          <w:rFonts w:ascii="Consolas" w:cs="Consolas" w:eastAsia="Consolas" w:hAnsi="Consolas"/>
          <w:sz w:val="19"/>
          <w:szCs w:val="19"/>
        </w:rPr>
        <w:t xml:space="preserve">docs/deviations.docx</w:t>
      </w:r>
      <w:r>
        <w:t xml:space="preserve"> was sixteen days and roughly 1,400 record lines behind its source, because generating the document was a step somebody had to remember. </w:t>
      </w:r>
      <w:r>
        <w:rPr>
          <w:rFonts w:ascii="Consolas" w:cs="Consolas" w:eastAsia="Consolas" w:hAnsi="Consolas"/>
          <w:sz w:val="19"/>
          <w:szCs w:val="19"/>
        </w:rPr>
        <w:t xml:space="preserve">scripts/check_docx_fresh.py</w:t>
      </w:r>
      <w:r>
        <w:t xml:space="preserve"> now stores the SHA-256 of each export's source and fails when it moves. </w:t>
      </w:r>
      <w:r>
        <w:rPr>
          <w:b/>
          <w:bCs/>
        </w:rPr>
        <w:t xml:space="preserve">It does not hash the generator</w:t>
      </w:r>
      <w:r>
        <w:t xml:space="preserve">, so a change there leaves every export reported current while its output would differ, and </w:t>
      </w:r>
      <w:r>
        <w:rPr>
          <w:b/>
          <w:bCs/>
        </w:rPr>
        <w:t xml:space="preserve">it does not look inside the document</w:t>
      </w:r>
      <w:r>
        <w:t xml:space="preserve">, so an export edited by hand after generation also reports current. Both gaps are stated here rather than closed.</w:t>
      </w:r>
    </w:p>
    <w:p>
      <w:pPr>
        <w:spacing w:after="140"/>
        <w:jc w:val="left"/>
      </w:pPr>
      <w:r>
        <w:t xml:space="preserve">That last fact is the honest summary of what this protocol is worth. </w:t>
      </w:r>
      <w:r>
        <w:rPr>
          <w:b/>
          <w:bCs/>
        </w:rPr>
        <w:t xml:space="preserve">A green test suite was not evidence that a measurement tool measured anything</w:t>
      </w:r>
      <w:r>
        <w:t xml:space="preserve">; reading a report on real data was. Any reader adopting these checks should expect the same, and should treat the first run against their own data as a test of the checks rather than of their pipeline.</w:t>
      </w:r>
    </w:p>
    <w:p>
      <w:pPr>
        <w:spacing w:after="120" w:before="120"/>
      </w:pPr>
    </w:p>
    <w:p>
      <w:pPr>
        <w:pStyle w:val="Heading2"/>
        <w:spacing w:after="140" w:before="280"/>
      </w:pPr>
      <w:r>
        <w:rPr>
          <w:b/>
          <w:bCs/>
          <w:color w:val="000000"/>
          <w:sz w:val="23"/>
          <w:szCs w:val="23"/>
        </w:rPr>
        <w:t xml:space="preserve">5.7 The one claim made without qualification</w:t>
      </w:r>
    </w:p>
    <w:p>
      <w:pPr>
        <w:spacing w:after="140"/>
        <w:jc w:val="left"/>
      </w:pPr>
      <w:r>
        <w:t xml:space="preserve">A results file in the format of 5.2 can be audited by a stranger in seconds, without the pipeline that produced it, and the audit will say which questions the file cannot answer. That is a property of the format, not of this project's judgement, and it is the part that does not depend on trusting anything written above.</w:t>
      </w:r>
    </w:p>
    <w:p>
      <w:pPr>
        <w:spacing w:after="120" w:before="120"/>
      </w:pPr>
    </w:p>
    <w:p>
      <w:pPr>
        <w:pStyle w:val="Heading1"/>
        <w:pageBreakBefore/>
        <w:spacing w:after="200" w:before="0"/>
      </w:pPr>
      <w:r>
        <w:rPr>
          <w:b/>
          <w:bCs/>
          <w:color w:val="000000"/>
          <w:sz w:val="26"/>
          <w:szCs w:val="26"/>
        </w:rPr>
        <w:t xml:space="preserve">Section 6 — Discussion</w:t>
      </w:r>
    </w:p>
    <w:p>
      <w:pPr>
        <w:spacing w:after="140"/>
        <w:jc w:val="left"/>
      </w:pPr>
      <w:r>
        <w:rPr>
          <w:b/>
          <w:bCs/>
        </w:rPr>
        <w:t xml:space="preserve">Draft, 10 October 2026.</w:t>
      </w:r>
      <w:r>
        <w:t xml:space="preserve"> Limitations are in §4.7 and are not repeated here.</w:t>
      </w:r>
    </w:p>
    <w:p>
      <w:pPr>
        <w:spacing w:after="140"/>
        <w:jc w:val="left"/>
      </w:pPr>
      <w:r>
        <w:t xml:space="preserve">One distinction runs through this section and is stated once at the top because everything else depends on it. </w:t>
      </w:r>
      <w:r>
        <w:rPr>
          <w:b/>
          <w:bCs/>
        </w:rPr>
        <w:t xml:space="preserve">Refusing an unsupported conclusion and detecting a defect are different operations.</w:t>
      </w:r>
      <w:r>
        <w:t xml:space="preserve"> The first says a file does not license a claim. The second says something in the work is wrong. This project performed the first many times and the second rarely, and conflating them would inflate every result below.</w:t>
      </w:r>
    </w:p>
    <w:p>
      <w:pPr>
        <w:spacing w:after="120" w:before="120"/>
      </w:pPr>
    </w:p>
    <w:p>
      <w:pPr>
        <w:pStyle w:val="Heading2"/>
        <w:spacing w:after="140" w:before="280"/>
      </w:pPr>
      <w:r>
        <w:rPr>
          <w:b/>
          <w:bCs/>
          <w:color w:val="000000"/>
          <w:sz w:val="23"/>
          <w:szCs w:val="23"/>
        </w:rPr>
        <w:t xml:space="preserve">6.1 A null, within a stated scope</w:t>
      </w:r>
    </w:p>
    <w:p>
      <w:pPr>
        <w:spacing w:after="140"/>
        <w:jc w:val="left"/>
      </w:pPr>
      <w:r>
        <w:rPr>
          <w:b/>
          <w:bCs/>
        </w:rPr>
        <w:t xml:space="preserve">What was found.</w:t>
      </w:r>
      <w:r>
        <w:t xml:space="preserve"> No quantum advantage on either dataset at the pre-registered primary cells. On churn the result is stronger than a failure to detect: both endpoints reject and both favour the classical kernel, a median deficit of 0.0659 normAP in the cell chosen because the classical baseline was strongest there. </w:t>
      </w:r>
      <w:r>
        <w:rPr>
          <w:b/>
          <w:bCs/>
        </w:rPr>
        <w:t xml:space="preserve">The margin is narrow and §4.2 states it:</w:t>
      </w:r>
      <w:r>
        <w:t xml:space="preserve"> the effect clears that cell's </w:t>
      </w:r>
      <w:r>
        <w:rPr>
          <w:i/>
          <w:iCs/>
        </w:rPr>
        <w:t xml:space="preserve">true</w:t>
      </w:r>
      <w:r>
        <w:t xml:space="preserve"> minimum detectable effect of 0.0608 by </w:t>
      </w:r>
      <w:r>
        <w:rPr>
          <w:b/>
          <w:bCs/>
        </w:rPr>
        <w:t xml:space="preserve">1.31x</w:t>
      </w:r>
      <w:r>
        <w:t xml:space="preserve">, not the registered 0.0171 it appears to clear by 4.7x, and D6 withdraws any phrasing that reads as comfortably powered. On fraud the test does not reject, and is reported as a bound — an advantage larger than 0.0063 normAP at that cell is excluded at 80% power.</w:t>
      </w:r>
    </w:p>
    <w:p>
      <w:pPr>
        <w:spacing w:after="140"/>
        <w:jc w:val="left"/>
      </w:pPr>
      <w:r>
        <w:t xml:space="preserve">H2 and H3 return NOT ESTABLISHED under the registered decision rule. </w:t>
      </w:r>
      <w:r>
        <w:rPr>
          <w:b/>
          <w:bCs/>
        </w:rPr>
        <w:t xml:space="preserve">That verdict is the rule declining to speak, not a finding that no relationship exists</w:t>
      </w:r>
      <w:r>
        <w:t xml:space="preserve">: no λ column is free of ceiling breaches, so none satisfies the registered precondition. </w:t>
      </w:r>
      <w:r>
        <w:rPr>
          <w:b/>
          <w:bCs/>
        </w:rPr>
        <w:t xml:space="preserve">Three λ rules have now been evaluated</w:t>
      </w:r>
      <w:r>
        <w:t xml:space="preserve"> — the frozen sweep {1e-1, 1e-2, 1e-3, 1e-4}, the corrected C-derived rule λ = 1/(2C), and Huang's own g_tra selection over his declared grid, specified in advance in D16. </w:t>
      </w:r>
      <w:r>
        <w:rPr>
          <w:b/>
          <w:bCs/>
        </w:rPr>
        <w:t xml:space="preserve">The third did not fail to produce a clean column so much as fail to produce a column</w:t>
      </w:r>
      <w:r>
        <w:t xml:space="preserve">, for the reason in §6.2a, and is reported as unresolved rather than negative. At λ = 0.1, the only column where all 360 units survive, the null </w:t>
      </w:r>
      <w:r>
        <w:rPr>
          <w:i/>
          <w:iCs/>
        </w:rPr>
        <w:t xml:space="preserve">is</w:t>
      </w:r>
      <w:r>
        <w:t xml:space="preserve"> rejected and in Huang's predicted direction — rho = +0.1712, p = 1.11e-03, CI [+0.069, +0.270]. The substantive figure is therefore neither the verdict nor the sign but </w:t>
      </w:r>
      <w:r>
        <w:rPr>
          <w:b/>
          <w:bCs/>
        </w:rPr>
        <w:t xml:space="preserve">rho² = 0.0293</w:t>
      </w:r>
      <w:r>
        <w:t xml:space="preserve">: the geometric difference accounts for under three percent of the rank variance in observed difference.</w:t>
      </w:r>
    </w:p>
    <w:p>
      <w:pPr>
        <w:spacing w:after="140"/>
        <w:jc w:val="left"/>
      </w:pPr>
      <w:r>
        <w:rPr>
          <w:b/>
          <w:bCs/>
        </w:rPr>
        <w:t xml:space="preserve">The scope that result lives in.</w:t>
      </w:r>
      <w:r>
        <w:t xml:space="preserve"> Two datasets, one of which is saturated at every training size this study used. Three feature mappings, five qubit counts from 4 to 12, three training sizes from 50 to 250 per class, two embeddings at one and two repetitions, statevector simulation on </w:t>
      </w:r>
      <w:r>
        <w:rPr>
          <w:rFonts w:ascii="Consolas" w:cs="Consolas" w:eastAsia="Consolas" w:hAnsi="Consolas"/>
          <w:sz w:val="19"/>
          <w:szCs w:val="19"/>
        </w:rPr>
        <w:t xml:space="preserve">lightning.qubit</w:t>
      </w:r>
      <w:r>
        <w:t xml:space="preserve">, no hardware. Twenty seeds resampled from one fixed dataset each, which the registration recorded in advance as mildly anti-conservative on fraud.</w:t>
      </w:r>
    </w:p>
    <w:p>
      <w:pPr>
        <w:spacing w:after="140"/>
        <w:jc w:val="left"/>
      </w:pPr>
      <w:r>
        <w:rPr>
          <w:b/>
          <w:bCs/>
        </w:rPr>
        <w:t xml:space="preserve">What this does not establish.</w:t>
      </w:r>
      <w:r>
        <w:t xml:space="preserve"> It does not establish that the geometric difference is generally invalid as a pre-training screen. It was measured on this grid, with this λ treatment, against these kernels, on these two datasets. A metric can be uninformative where it was tested and informative elsewhere, and nothing here distinguishes those cases. </w:t>
      </w:r>
      <w:r>
        <w:rPr>
          <w:b/>
          <w:bCs/>
        </w:rPr>
        <w:t xml:space="preserve">The defensible claim is that on 360 pre-registered units of imbalanced business tabular data, g is not usable as the screen it is offered as</w:t>
      </w:r>
      <w:r>
        <w:t xml:space="preserve"> — a detectable relationship carrying under three percent of rank variance, whose sign depends on a parameter the practitioner chooses, cannot tell anyone not to bother. That is a meaningfully powered negative result about the screening use of the quantity. It is not a claim that the quantity carries no signal, and not a claim about the quantity in general.</w:t>
      </w:r>
    </w:p>
    <w:p>
      <w:pPr>
        <w:spacing w:after="140"/>
        <w:jc w:val="left"/>
      </w:pPr>
      <w:r>
        <w:t xml:space="preserve">Two features of the result deserve weight a reader might otherwise give the verdict. The relationship </w:t>
      </w:r>
      <w:r>
        <w:rPr>
          <w:b/>
          <w:bCs/>
        </w:rPr>
        <w:t xml:space="preserve">reverses sign across the regularisation sweep</w:t>
      </w:r>
      <w:r>
        <w:t xml:space="preserve">, from +0.17 at λ = 0.1 to −0.38 at 1e-3, so g's apparent relationship to performance depends on a parameter the practitioner chooses. And the columns at small λ exclude most units for breaching their own ceiling, so the strongest correlations are computed on the most heavily selected populations.</w:t>
      </w:r>
    </w:p>
    <w:p>
      <w:pPr>
        <w:spacing w:after="120" w:before="120"/>
      </w:pPr>
    </w:p>
    <w:p>
      <w:pPr>
        <w:pStyle w:val="Heading2"/>
        <w:spacing w:after="140" w:before="280"/>
      </w:pPr>
      <w:r>
        <w:rPr>
          <w:b/>
          <w:bCs/>
          <w:color w:val="000000"/>
          <w:sz w:val="23"/>
          <w:szCs w:val="23"/>
        </w:rPr>
        <w:t xml:space="preserve">6.2 Limits on auditability, which is what the checking found</w:t>
      </w:r>
    </w:p>
    <w:p>
      <w:pPr>
        <w:spacing w:after="140"/>
        <w:jc w:val="left"/>
      </w:pPr>
      <w:r>
        <w:t xml:space="preserve">Three bodies of work were read at source and compared against their implementations, and in each case the artefact was internally consistent while the claim about it was not checkable from what had been published.</w:t>
      </w:r>
    </w:p>
    <w:p>
      <w:pPr>
        <w:spacing w:after="140"/>
        <w:jc w:val="left"/>
      </w:pPr>
      <w:r>
        <w:t xml:space="preserve">In Huang's appendix, a regularised quantity is introduced whose ordered arguments are the reverse of the main text's, without being relabelled. In Flórez Ablan et al., that reversal propagates: their equation, their code and their stated interpretation agree with one another, and the quantity they compare against √N is the reverse of the screening quantity. In their released code, ROC-AUC is computed from hard predicted labels, and </w:t>
      </w:r>
      <w:r>
        <w:rPr>
          <w:rFonts w:ascii="Consolas" w:cs="Consolas" w:eastAsia="Consolas" w:hAnsi="Consolas"/>
          <w:sz w:val="19"/>
          <w:szCs w:val="19"/>
        </w:rPr>
        <w:t xml:space="preserve">g_tra</w:t>
      </w:r>
      <w:r>
        <w:t xml:space="preserve"> — the diagnostic their own source quotes as the condition under which g is meaningful — is computed throughout and never compared to anything.</w:t>
      </w:r>
    </w:p>
    <w:p>
      <w:pPr>
        <w:spacing w:after="140"/>
        <w:jc w:val="left"/>
      </w:pPr>
      <w:r>
        <w:rPr>
          <w:b/>
          <w:bCs/>
        </w:rPr>
        <w:t xml:space="preserve">None of these is reported here as an error in their conclusions.</w:t>
      </w:r>
      <w:r>
        <w:t xml:space="preserve"> Each is a statement that a published claim cannot be checked from the published artefact without going to source, and in the orientation case the ambiguity originates upstream of the people who inherited it.</w:t>
      </w:r>
    </w:p>
    <w:p>
      <w:pPr>
        <w:spacing w:after="140"/>
        <w:jc w:val="left"/>
      </w:pPr>
      <w:r>
        <w:t xml:space="preserve">Turned on this project, the same procedure found that </w:t>
      </w:r>
      <w:r>
        <w:rPr>
          <w:b/>
          <w:bCs/>
        </w:rPr>
        <w:t xml:space="preserve">every one of 15,120 result records stores a commit identifier that no reader can resolve</w:t>
      </w:r>
      <w:r>
        <w:t xml:space="preserve">. The limitation is bounded and specific: a reader cannot bind a historical record to the code that produced it. Everything else — the scripts, the data checksums, the records — remains checkable, and a re-run from current code produces new evidence rather than authenticating the old.</w:t>
      </w:r>
    </w:p>
    <w:p>
      <w:pPr>
        <w:spacing w:after="140"/>
        <w:jc w:val="left"/>
      </w:pPr>
      <w:r>
        <w:t xml:space="preserve">The common shape is worth naming. In all four cases nothing was internally inconsistent, and in all four cases a reader working from the public artefact alone could not have established what they would have needed to. </w:t>
      </w:r>
      <w:r>
        <w:rPr>
          <w:b/>
          <w:bCs/>
        </w:rPr>
        <w:t xml:space="preserve">That is the auditability limit this study demonstrates</w:t>
      </w:r>
      <w:r>
        <w:t xml:space="preserve">, and it is a limit on what published materials support, not a finding about anyone's competence.</w:t>
      </w:r>
    </w:p>
    <w:p>
      <w:pPr>
        <w:spacing w:after="120" w:before="120"/>
      </w:pPr>
    </w:p>
    <w:p>
      <w:pPr>
        <w:pStyle w:val="Heading2"/>
        <w:spacing w:after="140" w:before="280"/>
      </w:pPr>
      <w:r>
        <w:rPr>
          <w:b/>
          <w:bCs/>
          <w:color w:val="000000"/>
          <w:sz w:val="23"/>
          <w:szCs w:val="23"/>
        </w:rPr>
        <w:t xml:space="preserve">6.2a Running the source's own λ rule, which neither group had run</w:t>
      </w:r>
    </w:p>
    <w:p>
      <w:pPr>
        <w:spacing w:after="140"/>
        <w:jc w:val="left"/>
      </w:pPr>
      <w:r>
        <w:t xml:space="preserve">Reading at source is what found the three items above. Running what the source printed produced something different in kind: not a limit on what can be checked, but a measurement of the method.</w:t>
      </w:r>
    </w:p>
    <w:p>
      <w:pPr>
        <w:spacing w:after="140"/>
        <w:jc w:val="left"/>
      </w:pPr>
      <w:r>
        <w:rPr>
          <w:b/>
          <w:bCs/>
        </w:rPr>
        <w:t xml:space="preserve">Source states</w:t>
      </w:r>
      <w:r>
        <w:t xml:space="preserve"> that g_gen is reported at the largest λ in the declared grid {1e-5, 1e-4, 1e-3, 1e-2, 0.025, 0.05, 0.1} such that the training error g_tra ≤ 0.045. </w:t>
      </w:r>
      <w:r>
        <w:rPr>
          <w:b/>
          <w:bCs/>
        </w:rPr>
        <w:t xml:space="preserve">Neither group had run it.</w:t>
      </w:r>
      <w:r>
        <w:t xml:space="preserve"> Flórez Ablan et al. compute g_tra throughout their pipeline and never compare it to anything; this study did not compute it at all, substituting a λ derived from the classical arm's C, as they also did, and neither group said so. The procedure was specified in full and published before it was computed, including its outcome-to-verdict mapping and a proof of what the outcome could not be.</w:t>
      </w:r>
    </w:p>
    <w:p>
      <w:pPr>
        <w:spacing w:after="140"/>
        <w:jc w:val="left"/>
      </w:pPr>
      <w:r>
        <w:rPr>
          <w:b/>
          <w:bCs/>
        </w:rPr>
        <w:t xml:space="preserve">What it gives on 7,200 units.</w:t>
      </w:r>
      <w:r>
        <w:t xml:space="preserve"> On </w:t>
      </w:r>
      <w:r>
        <w:rPr>
          <w:b/>
          <w:bCs/>
        </w:rPr>
        <w:t xml:space="preserve">5,507 of them, 76.5%, no λ in the grid satisfies the threshold at all.</w:t>
      </w:r>
      <w:r>
        <w:t xml:space="preserve"> Of the 1,693 that admit one, 348 then put g_gen above its own √N ceiling. </w:t>
      </w:r>
      <w:r>
        <w:rPr>
          <w:b/>
          <w:bCs/>
        </w:rPr>
        <w:t xml:space="preserve">So on 81.3% of the units the source's λ rule and the source's ceiling cannot both be satisfied</w:t>
      </w:r>
      <w:r>
        <w:t xml:space="preserve">, and 1,345 units satisfy both.</w:t>
      </w:r>
    </w:p>
    <w:p>
      <w:pPr>
        <w:spacing w:after="140"/>
        <w:jc w:val="left"/>
      </w:pPr>
      <w:r>
        <w:t xml:space="preserve">The two constraints bound λ from opposite sides, which §2.3 states from the source. This measures the cost of that on imbalanced business tabular data, and the shape is specific: </w:t>
      </w:r>
      <w:r>
        <w:rPr>
          <w:b/>
          <w:bCs/>
        </w:rPr>
        <w:t xml:space="preserve">all 348 breaching rows selected one of the two smallest grid values, and no row selecting λ ≥ 1e-3 breaches</w:t>
      </w:r>
      <w:r>
        <w:t xml:space="preserve">. The rows where the g_tra rule permits only a tiny λ are exactly the rows where the ceiling then fails.</w:t>
      </w:r>
    </w:p>
    <w:p>
      <w:pPr>
        <w:spacing w:after="140"/>
        <w:jc w:val="left"/>
      </w:pPr>
      <w:r>
        <w:t xml:space="preserve">Inadmissibility is uniform rather than concentrated: between 68.9% and 80.6% across every (dataset, qubit-count) combination, and comparable across training sizes and feature mappings. It is a property of this data against this rule, not of one corner of the grid.</w:t>
      </w:r>
    </w:p>
    <w:p>
      <w:pPr>
        <w:spacing w:after="140"/>
        <w:jc w:val="left"/>
      </w:pPr>
      <w:r>
        <w:rPr>
          <w:b/>
          <w:bCs/>
        </w:rPr>
        <w:t xml:space="preserve">What this does not claim.</w:t>
      </w:r>
      <w:r>
        <w:t xml:space="preserve"> Not that the rule is unsatisfiable in general: it was measured on two datasets, one grid, one orientation, statevector simulation and this study's classical kernels. Not that g_gen is therefore unusable, which §6.1 settles separately and on different evidence. And not a verdict on H2 or H3, which stay NOT ESTABLISHED; a rule that declines to select a λ leaves the registered decision rule with nothing to read, which is why this is reported as unresolved rather than as a negative result.</w:t>
      </w:r>
    </w:p>
    <w:p>
      <w:pPr>
        <w:spacing w:after="120" w:before="120"/>
      </w:pPr>
    </w:p>
    <w:p>
      <w:pPr>
        <w:pStyle w:val="Heading2"/>
        <w:spacing w:after="140" w:before="280"/>
      </w:pPr>
      <w:r>
        <w:rPr>
          <w:b/>
          <w:bCs/>
          <w:color w:val="000000"/>
          <w:sz w:val="23"/>
          <w:szCs w:val="23"/>
        </w:rPr>
        <w:t xml:space="preserve">6.3 What the evidence supports about the protocol itself</w:t>
      </w:r>
    </w:p>
    <w:p>
      <w:pPr>
        <w:spacing w:after="140"/>
        <w:jc w:val="left"/>
      </w:pPr>
      <w:r>
        <w:t xml:space="preserve">Little, and the honest accounting is short.</w:t>
      </w:r>
    </w:p>
    <w:p>
      <w:pPr>
        <w:spacing w:after="140"/>
        <w:jc w:val="left"/>
      </w:pPr>
      <w:r>
        <w:rPr>
          <w:b/>
          <w:bCs/>
        </w:rPr>
        <w:t xml:space="preserve">The record format's value is demonstrated, by a stated criterion.</w:t>
      </w:r>
      <w:r>
        <w:t xml:space="preserve"> Applied to a foreign deposit, it produced one measurement and eight refusals in seconds without the originating pipeline. The criterion is whether a reader's knowledge of what that deposit can support changes: before the run they could not say which questions those records answered, afterwards they could. That is met.</w:t>
      </w:r>
    </w:p>
    <w:p>
      <w:pPr>
        <w:spacing w:after="140"/>
        <w:jc w:val="left"/>
      </w:pPr>
      <w:r>
        <w:rPr>
          <w:b/>
          <w:bCs/>
        </w:rPr>
        <w:t xml:space="preserve">The checks' prospective defect-detection is not demonstrated.</w:t>
      </w:r>
      <w:r>
        <w:t xml:space="preserve"> On the only occasion they met records they were not designed around, </w:t>
      </w:r>
      <w:r>
        <w:rPr>
          <w:b/>
          <w:bCs/>
        </w:rPr>
        <w:t xml:space="preserve">they found no defect and were not looking for one</w:t>
      </w:r>
      <w:r>
        <w:t xml:space="preserve">. Eight refusals are eight refusals — the instrument declining to answer — and not eight findings about the audited work. Reading them as the latter is precisely the conflation this section opened by naming.</w:t>
      </w:r>
    </w:p>
    <w:p>
      <w:pPr>
        <w:spacing w:after="140"/>
        <w:jc w:val="left"/>
      </w:pPr>
      <w:r>
        <w:rPr>
          <w:b/>
          <w:bCs/>
        </w:rPr>
        <w:t xml:space="preserve">The retrospective instances are weak evidence.</w:t>
      </w:r>
      <w:r>
        <w:t xml:space="preserve"> Every records-level and kernel-level check was written after the defect it catches. Seventeen deviation records show that this project eventually noticed its own mistakes; they do not show that a tool built from them catches a stranger's.</w:t>
      </w:r>
    </w:p>
    <w:p>
      <w:pPr>
        <w:spacing w:after="140"/>
        <w:jc w:val="left"/>
      </w:pPr>
      <w:r>
        <w:rPr>
          <w:b/>
          <w:bCs/>
        </w:rPr>
        <w:t xml:space="preserve">And the instrument has needed repair.</w:t>
      </w:r>
      <w:r>
        <w:t xml:space="preserve"> Four things have gone wrong in public: two defects in the tool, including a first run on real records whose four defects were all in the checks with the full suite passing; and two claims its authors made without checking, including one paragraph about published benchmarks of which six of seven claims were wrong. A green test suite was not evidence the instrument measured anything; reading a report on real data was.</w:t>
      </w:r>
    </w:p>
    <w:p>
      <w:pPr>
        <w:spacing w:after="140"/>
        <w:jc w:val="left"/>
      </w:pPr>
      <w:r>
        <w:rPr>
          <w:b/>
          <w:bCs/>
        </w:rPr>
        <w:t xml:space="preserve">One prospective check of the audit trail did succeed, and its significance is narrow enough to state exactly.</w:t>
      </w:r>
      <w:r>
        <w:t xml:space="preserve"> On 1 October 2026, before any value was recomputed, this project published an analytical upper bound on the effect of correcting its λ-from-C rule: from the monotonicity of g in λ, at least 5,710 of 7,200 rows would be ceiling-free under the corrected rule and </w:t>
      </w:r>
      <w:r>
        <w:rPr>
          <w:b/>
          <w:bCs/>
        </w:rPr>
        <w:t xml:space="preserve">at most 1,490 could still breach</w:t>
      </w:r>
      <w:r>
        <w:t xml:space="preserve">. The correction was adopted and pushed with its full outcome-to-verdict mapping before the recomputation ran. The recomputation produced </w:t>
      </w:r>
      <w:r>
        <w:rPr>
          <w:b/>
          <w:bCs/>
        </w:rPr>
        <w:t xml:space="preserve">979</w:t>
      </w:r>
      <w:r>
        <w:t xml:space="preserve"> breaches, inside the published interval, and the four λ columns that should not have moved came back bit-identical across six days and a separate run.</w:t>
      </w:r>
    </w:p>
    <w:p>
      <w:pPr>
        <w:spacing w:after="140"/>
        <w:jc w:val="left"/>
      </w:pPr>
      <w:r>
        <w:rPr>
          <w:b/>
          <w:bCs/>
        </w:rPr>
        <w:t xml:space="preserve">What that demonstrates, precisely.</w:t>
      </w:r>
      <w:r>
        <w:t xml:space="preserve"> That a quantitative prediction about this pipeline's own behaviour was recorded publicly in advance and the computation satisfied it. It is evidence for the </w:t>
      </w:r>
      <w:r>
        <w:rPr>
          <w:b/>
          <w:bCs/>
        </w:rPr>
        <w:t xml:space="preserve">audit trail and the internal consistency of the computation</w:t>
      </w:r>
      <w:r>
        <w:t xml:space="preserve"> — that the stored records, the stated monotonicity and the re-run agree, and that the ordering of declaration and result is checkable rather than asserted.</w:t>
      </w:r>
    </w:p>
    <w:p>
      <w:pPr>
        <w:spacing w:after="140"/>
        <w:jc w:val="left"/>
      </w:pPr>
      <w:r>
        <w:rPr>
          <w:b/>
          <w:bCs/>
        </w:rPr>
        <w:t xml:space="preserve">What it does not demonstrate, and the distinction matters more than the result.</w:t>
      </w:r>
      <w:r>
        <w:t xml:space="preserve"> It does not validate the geometric difference as a predictor, because the bound is a statement about ceiling arithmetic and not about g's relationship to performance. It does not establish H2 or H3, which remain NOT ESTABLISHED. It is not prospective defect detection: the prediction was confirmed, so no defect was found, and a satisfied bound is the absence of a surprise rather than the presence of a finding. And it concerns this project's own pipeline, not a stranger's, so it does not touch the gap named above.</w:t>
      </w:r>
    </w:p>
    <w:p>
      <w:pPr>
        <w:spacing w:after="140"/>
        <w:jc w:val="left"/>
      </w:pPr>
      <w:r>
        <w:t xml:space="preserve">So the claim is narrow. </w:t>
      </w:r>
      <w:r>
        <w:rPr>
          <w:b/>
          <w:bCs/>
        </w:rPr>
        <w:t xml:space="preserve">A results file in this format can be audited by a stranger in seconds, and that is a property of the format.</w:t>
      </w:r>
      <w:r>
        <w:t xml:space="preserve"> Whether these particular checks detect errors in work they were not designed around is, on one case, unevidenced either way.</w:t>
      </w:r>
    </w:p>
    <w:p>
      <w:pPr>
        <w:spacing w:after="120" w:before="120"/>
      </w:pPr>
    </w:p>
    <w:p>
      <w:pPr>
        <w:pStyle w:val="Heading2"/>
        <w:spacing w:after="140" w:before="280"/>
      </w:pPr>
      <w:r>
        <w:rPr>
          <w:b/>
          <w:bCs/>
          <w:color w:val="000000"/>
          <w:sz w:val="23"/>
          <w:szCs w:val="23"/>
        </w:rPr>
        <w:t xml:space="preserve">6.4 What would change these conclusions</w:t>
      </w:r>
    </w:p>
    <w:p>
      <w:pPr>
        <w:spacing w:after="140"/>
        <w:jc w:val="left"/>
      </w:pPr>
      <w:r>
        <w:rPr>
          <w:b/>
          <w:bCs/>
        </w:rPr>
        <w:t xml:space="preserve">For the null:</w:t>
      </w:r>
      <w:r>
        <w:t xml:space="preserve"> a dataset where the classical baseline is not saturated and the quantum kernel has headroom to climb; hardware records rather than statevector simulation; and a λ treatment settled from source rather than from the unsourced rule this project used for its supplementary column. The first of these matters most. Fraud is saturated at every training size tested, so one of two datasets could not have shown an advantage had one existed.</w:t>
      </w:r>
    </w:p>
    <w:p>
      <w:pPr>
        <w:spacing w:after="140"/>
        <w:jc w:val="left"/>
      </w:pPr>
      <w:r>
        <w:rPr>
          <w:b/>
          <w:bCs/>
        </w:rPr>
        <w:t xml:space="preserve">For the protocol:</w:t>
      </w:r>
      <w:r>
        <w:t xml:space="preserve"> application by someone who did not write it, to data they did not choose, looking for something they did not already know was there. That is the experiment this project cannot perform on itself, and until it is done the protocol's prospective value rests on one case that found nothing and said so.</w:t>
      </w:r>
    </w:p>
    <w:p>
      <w:pPr>
        <w:spacing w:after="120" w:before="120"/>
      </w:pPr>
    </w:p>
    <w:p>
      <w:pPr>
        <w:pStyle w:val="Heading2"/>
        <w:spacing w:after="140" w:before="280"/>
      </w:pPr>
      <w:r>
        <w:rPr>
          <w:b/>
          <w:bCs/>
          <w:color w:val="000000"/>
          <w:sz w:val="23"/>
          <w:szCs w:val="23"/>
        </w:rPr>
        <w:t xml:space="preserve">6.5 What this study is for</w:t>
      </w:r>
    </w:p>
    <w:p>
      <w:pPr>
        <w:spacing w:after="140"/>
        <w:jc w:val="left"/>
      </w:pPr>
      <w:r>
        <w:t xml:space="preserve">The registered question was whether a cheap pre-training screen tells a practitioner not to bother. On the units tested, it cannot: g carried under three percent of the rank variance, and its sign depended on a regularisation parameter the practitioner picks. A relationship detectable at one column is not a screen. That is useful to know and it is bounded by the grid it was measured on.</w:t>
      </w:r>
    </w:p>
    <w:p>
      <w:pPr>
        <w:spacing w:after="140"/>
        <w:jc w:val="left"/>
      </w:pPr>
      <w:r>
        <w:t xml:space="preserve">The more durable contribution is probably the smaller one. </w:t>
      </w:r>
      <w:r>
        <w:rPr>
          <w:b/>
          <w:bCs/>
        </w:rPr>
        <w:t xml:space="preserve">A comparison can be run carefully, pass its own tests, and still not support the claim made from it</w:t>
      </w:r>
      <w:r>
        <w:t xml:space="preserve"> — and the difference is visible in whether the file it produced lets someone else check. This study's own records failed that test for nine days before anyone looked, which is the strongest argument in it for the format and the weakest possible endorsement of the judgement that produced it.</w:t>
      </w:r>
    </w:p>
    <w:p>
      <w:pPr>
        <w:spacing w:after="120" w:before="120"/>
      </w:pPr>
    </w:p>
    <w:p>
      <w:pPr>
        <w:pStyle w:val="Heading1"/>
        <w:pageBreakBefore/>
        <w:spacing w:after="200" w:before="0"/>
      </w:pPr>
      <w:r>
        <w:rPr>
          <w:b/>
          <w:bCs/>
          <w:color w:val="000000"/>
          <w:sz w:val="26"/>
          <w:szCs w:val="26"/>
        </w:rPr>
        <w:t xml:space="preserve">Section 7 — Deviations</w:t>
      </w:r>
    </w:p>
    <w:p>
      <w:pPr>
        <w:spacing w:after="140"/>
        <w:jc w:val="left"/>
      </w:pPr>
      <w:r>
        <w:t xml:space="preserve">This section is a pointer, not a summary. Summarising a deviations record reintroduces exactly the discretion the record exists to remove, so the authoritative documents are named here and the reader is sent to them.</w:t>
      </w:r>
    </w:p>
    <w:p>
      <w:pPr>
        <w:spacing w:after="120" w:before="120"/>
      </w:pPr>
    </w:p>
    <w:p>
      <w:pPr>
        <w:pStyle w:val="Heading2"/>
        <w:spacing w:after="140" w:before="280"/>
      </w:pPr>
      <w:r>
        <w:rPr>
          <w:b/>
          <w:bCs/>
          <w:color w:val="000000"/>
          <w:sz w:val="23"/>
          <w:szCs w:val="23"/>
        </w:rPr>
        <w:t xml:space="preserve">7.1 The two documents, and the rule between them</w:t>
      </w:r>
    </w:p>
    <w:p>
      <w:pPr>
        <w:spacing w:after="140"/>
        <w:jc w:val="left"/>
      </w:pPr>
      <w:r>
        <w:rPr>
          <w:b/>
          <w:bCs/>
        </w:rPr>
        <w:t xml:space="preserve">`docs/pre-registration.md` v1.0 is the registered design and is never edited.</w:t>
      </w:r>
      <w:r>
        <w:t xml:space="preserve"> Where it is wrong, it stays wrong and the correction lives elsewhere. Three of its statements are known to be false as written — a claim of OSF registration, a claim that two cited commit hashes are on </w:t>
      </w:r>
      <w:r>
        <w:rPr>
          <w:rFonts w:ascii="Consolas" w:cs="Consolas" w:eastAsia="Consolas" w:hAnsi="Consolas"/>
          <w:sz w:val="19"/>
          <w:szCs w:val="19"/>
        </w:rPr>
        <w:t xml:space="preserve">main</w:t>
      </w:r>
      <w:r>
        <w:t xml:space="preserve"> and public, and the whole of its statistical power table — and all three remain in the document with their corrections recorded against them. This is deliberate: a registration that is edited after results are seen is not a registration.</w:t>
      </w:r>
    </w:p>
    <w:p>
      <w:pPr>
        <w:spacing w:after="140"/>
        <w:jc w:val="left"/>
      </w:pPr>
      <w:r>
        <w:rPr>
          <w:b/>
          <w:bCs/>
        </w:rPr>
        <w:t xml:space="preserve">`docs/deviations.md` is authoritative for every change.</w:t>
      </w:r>
      <w:r>
        <w:t xml:space="preserve"> Sixteen records, D1 to D16, several carrying dated amendments. Each states what moved, when it was decided, when it was declared, and whether the affected results had been seen.</w:t>
      </w:r>
    </w:p>
    <w:p>
      <w:pPr>
        <w:spacing w:after="140"/>
        <w:jc w:val="left"/>
      </w:pPr>
      <w:r>
        <w:rPr>
          <w:b/>
          <w:bCs/>
        </w:rPr>
        <w:t xml:space="preserve">Where the two disagree, the deviations record governs</w:t>
      </w:r>
      <w:r>
        <w:t xml:space="preserve">, and the pre-registration's text is the historical object rather than the operative one.</w:t>
      </w:r>
    </w:p>
    <w:p>
      <w:pPr>
        <w:spacing w:after="120" w:before="120"/>
      </w:pPr>
    </w:p>
    <w:p>
      <w:pPr>
        <w:pStyle w:val="Heading2"/>
        <w:spacing w:after="140" w:before="280"/>
      </w:pPr>
      <w:r>
        <w:rPr>
          <w:b/>
          <w:bCs/>
          <w:color w:val="000000"/>
          <w:sz w:val="23"/>
          <w:szCs w:val="23"/>
        </w:rPr>
        <w:t xml:space="preserve">7.2 Where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100"/>
              <w:bottom w:type="dxa" w:w="60"/>
              <w:right w:type="dxa" w:w="100"/>
            </w:tcMar>
          </w:tcPr>
          <w:p>
            <w:pPr>
              <w:spacing w:after="0" w:before="0"/>
            </w:pPr>
            <w:r>
              <w:rPr>
                <w:b/>
                <w:bCs/>
                <w:sz w:val="19"/>
                <w:szCs w:val="19"/>
              </w:rPr>
              <w:t xml:space="preserve">if you want to know</w:t>
            </w:r>
          </w:p>
        </w:tc>
        <w:tc>
          <w:tcPr>
            <w:tcW w:type="dxa" w:w="4680"/>
            <w:shd w:fill="EDEDED" w:val="clear"/>
            <w:tcMar>
              <w:top w:type="dxa" w:w="60"/>
              <w:left w:type="dxa" w:w="100"/>
              <w:bottom w:type="dxa" w:w="60"/>
              <w:right w:type="dxa" w:w="100"/>
            </w:tcMar>
          </w:tcPr>
          <w:p>
            <w:pPr>
              <w:spacing w:after="0" w:before="0"/>
            </w:pPr>
            <w:r>
              <w:rPr>
                <w:b/>
                <w:bCs/>
                <w:sz w:val="19"/>
                <w:szCs w:val="19"/>
              </w:rPr>
              <w:t xml:space="preserve">read</w:t>
            </w:r>
          </w:p>
        </w:tc>
      </w:tr>
      <w:tr>
        <w:tc>
          <w:tcPr>
            <w:tcW w:type="dxa" w:w="4680"/>
            <w:tcMar>
              <w:top w:type="dxa" w:w="60"/>
              <w:left w:type="dxa" w:w="100"/>
              <w:bottom w:type="dxa" w:w="60"/>
              <w:right w:type="dxa" w:w="100"/>
            </w:tcMar>
          </w:tcPr>
          <w:p>
            <w:pPr>
              <w:spacing w:after="0" w:before="0"/>
            </w:pPr>
            <w:r>
              <w:rPr>
                <w:b w:val="false"/>
                <w:bCs w:val="false"/>
                <w:sz w:val="19"/>
                <w:szCs w:val="19"/>
              </w:rPr>
              <w:t xml:space="preserve">what was registered, before anything moved</w:t>
            </w:r>
          </w:p>
        </w:tc>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docs/pre-registration.md</w:t>
            </w:r>
            <w:r>
              <w:rPr>
                <w:b w:val="false"/>
                <w:bCs w:val="false"/>
                <w:sz w:val="19"/>
                <w:szCs w:val="19"/>
              </w:rPr>
              <w:t xml:space="preserve"> v1.0</w:t>
            </w:r>
          </w:p>
        </w:tc>
      </w:tr>
      <w:tr>
        <w:tc>
          <w:tcPr>
            <w:tcW w:type="dxa" w:w="4680"/>
            <w:tcMar>
              <w:top w:type="dxa" w:w="60"/>
              <w:left w:type="dxa" w:w="100"/>
              <w:bottom w:type="dxa" w:w="60"/>
              <w:right w:type="dxa" w:w="100"/>
            </w:tcMar>
          </w:tcPr>
          <w:p>
            <w:pPr>
              <w:spacing w:after="0" w:before="0"/>
            </w:pPr>
            <w:r>
              <w:rPr>
                <w:b w:val="false"/>
                <w:bCs w:val="false"/>
                <w:sz w:val="19"/>
                <w:szCs w:val="19"/>
              </w:rPr>
              <w:t xml:space="preserve">every movement from that design, in one table</w:t>
            </w:r>
          </w:p>
        </w:tc>
        <w:tc>
          <w:tcPr>
            <w:tcW w:type="dxa" w:w="4680"/>
            <w:tcMar>
              <w:top w:type="dxa" w:w="60"/>
              <w:left w:type="dxa" w:w="100"/>
              <w:bottom w:type="dxa" w:w="60"/>
              <w:right w:type="dxa" w:w="100"/>
            </w:tcMar>
          </w:tcPr>
          <w:p>
            <w:pPr>
              <w:spacing w:after="0" w:before="0"/>
            </w:pPr>
            <w:r>
              <w:rPr>
                <w:b/>
                <w:bCs/>
                <w:sz w:val="19"/>
                <w:szCs w:val="19"/>
              </w:rPr>
              <w:t xml:space="preserve">§3.9 of this paper</w:t>
            </w:r>
          </w:p>
        </w:tc>
      </w:tr>
      <w:tr>
        <w:tc>
          <w:tcPr>
            <w:tcW w:type="dxa" w:w="4680"/>
            <w:tcMar>
              <w:top w:type="dxa" w:w="60"/>
              <w:left w:type="dxa" w:w="100"/>
              <w:bottom w:type="dxa" w:w="60"/>
              <w:right w:type="dxa" w:w="100"/>
            </w:tcMar>
          </w:tcPr>
          <w:p>
            <w:pPr>
              <w:spacing w:after="0" w:before="0"/>
            </w:pPr>
            <w:r>
              <w:rPr>
                <w:b w:val="false"/>
                <w:bCs w:val="false"/>
                <w:sz w:val="19"/>
                <w:szCs w:val="19"/>
              </w:rPr>
              <w:t xml:space="preserve">why a given movement was made, and when it was declared</w:t>
            </w:r>
          </w:p>
        </w:tc>
        <w:tc>
          <w:tcPr>
            <w:tcW w:type="dxa" w:w="4680"/>
            <w:tcMar>
              <w:top w:type="dxa" w:w="60"/>
              <w:left w:type="dxa" w:w="100"/>
              <w:bottom w:type="dxa" w:w="60"/>
              <w:right w:type="dxa" w:w="100"/>
            </w:tcMar>
          </w:tcPr>
          <w:p>
            <w:pPr>
              <w:spacing w:after="0" w:before="0"/>
            </w:pPr>
            <w:r>
              <w:rPr>
                <w:b w:val="false"/>
                <w:bCs w:val="false"/>
                <w:sz w:val="19"/>
                <w:szCs w:val="19"/>
              </w:rPr>
              <w:t xml:space="preserve">the numbered record in </w:t>
            </w:r>
            <w:r>
              <w:rPr>
                <w:rFonts w:ascii="Consolas" w:cs="Consolas" w:eastAsia="Consolas" w:hAnsi="Consolas"/>
                <w:b w:val="false"/>
                <w:bCs w:val="false"/>
                <w:sz w:val="19"/>
                <w:szCs w:val="19"/>
              </w:rPr>
              <w:t xml:space="preserve">docs/deviations.md</w:t>
            </w:r>
          </w:p>
        </w:tc>
      </w:tr>
      <w:tr>
        <w:tc>
          <w:tcPr>
            <w:tcW w:type="dxa" w:w="4680"/>
            <w:tcMar>
              <w:top w:type="dxa" w:w="60"/>
              <w:left w:type="dxa" w:w="100"/>
              <w:bottom w:type="dxa" w:w="60"/>
              <w:right w:type="dxa" w:w="100"/>
            </w:tcMar>
          </w:tcPr>
          <w:p>
            <w:pPr>
              <w:spacing w:after="0" w:before="0"/>
            </w:pPr>
            <w:r>
              <w:rPr>
                <w:b w:val="false"/>
                <w:bCs w:val="false"/>
                <w:sz w:val="19"/>
                <w:szCs w:val="19"/>
              </w:rPr>
              <w:t xml:space="preserve">what the record left open, and how it was closed</w:t>
            </w:r>
          </w:p>
        </w:tc>
        <w:tc>
          <w:tcPr>
            <w:tcW w:type="dxa" w:w="4680"/>
            <w:tcMar>
              <w:top w:type="dxa" w:w="60"/>
              <w:left w:type="dxa" w:w="100"/>
              <w:bottom w:type="dxa" w:w="60"/>
              <w:right w:type="dxa" w:w="100"/>
            </w:tcMar>
          </w:tcPr>
          <w:p>
            <w:pPr>
              <w:spacing w:after="0" w:before="0"/>
            </w:pPr>
            <w:r>
              <w:rPr>
                <w:b w:val="false"/>
                <w:bCs w:val="false"/>
                <w:sz w:val="19"/>
                <w:szCs w:val="19"/>
              </w:rPr>
              <w:t xml:space="preserve">§7.3 — one branch, now published</w:t>
            </w:r>
          </w:p>
        </w:tc>
      </w:tr>
    </w:tbl>
    <w:p>
      <w:pPr>
        <w:spacing w:after="160"/>
      </w:pPr>
    </w:p>
    <w:p>
      <w:pPr>
        <w:spacing w:after="140"/>
        <w:jc w:val="left"/>
      </w:pPr>
      <w:r>
        <w:rPr>
          <w:b/>
          <w:bCs/>
        </w:rPr>
        <w:t xml:space="preserve">§3.9 is the index.</w:t>
      </w:r>
      <w:r>
        <w:t xml:space="preserve"> It lists all </w:t>
      </w:r>
      <w:r>
        <w:rPr>
          <w:b/>
          <w:bCs/>
        </w:rPr>
        <w:t xml:space="preserve">eleven</w:t>
      </w:r>
      <w:r>
        <w:t xml:space="preserve"> movements with their direction — which added a constraint, which weakened a claim, which removed planned evidence — and is the fastest route to whether any of them could have manufactured a result. None did: D2, D5, D7 and D8 make the tests harder to pass; D6 and D13 weaken what may be claimed; D12 removes evidence never collected; D15 is editorial; D14 corrected one supplementary column's λ definition and left every verdict where it was; D16 is a follow-up analysis that returned no verdict.</w:t>
      </w:r>
    </w:p>
    <w:p>
      <w:pPr>
        <w:spacing w:after="120" w:before="120"/>
      </w:pPr>
    </w:p>
    <w:p>
      <w:pPr>
        <w:pStyle w:val="Heading2"/>
        <w:spacing w:after="140" w:before="280"/>
      </w:pPr>
      <w:r>
        <w:rPr>
          <w:b/>
          <w:bCs/>
          <w:color w:val="000000"/>
          <w:sz w:val="23"/>
          <w:szCs w:val="23"/>
        </w:rPr>
        <w:t xml:space="preserve">7.3 Two λ records, both now closed, and one decision that is not</w:t>
      </w:r>
    </w:p>
    <w:p>
      <w:pPr>
        <w:spacing w:after="140"/>
        <w:jc w:val="left"/>
      </w:pPr>
      <w:r>
        <w:rPr>
          <w:b/>
          <w:bCs/>
        </w:rPr>
        <w:t xml:space="preserve">D14 is closed.</w:t>
      </w:r>
      <w:r>
        <w:t xml:space="preserve"> It established that this project's λ-from-C helper returned 1/(2·C·n) on an uncited assertion, that Huang prints no such correspondence, and that his Appendix D objective points to 1/(2C). Option (a) was adopted on 4 October 2026 and the helper corrected. Two of its three candidate resolutions could have converted a NOT ESTABLISHED verdict into a substantive one, and it was written after that verdict was known, so its own requirement was that the chosen option and the mapping from each outcome to each verdict be </w:t>
      </w:r>
      <w:r>
        <w:rPr>
          <w:b/>
          <w:bCs/>
        </w:rPr>
        <w:t xml:space="preserve">committed and pushed before any recomputed value was examined</w:t>
      </w:r>
      <w:r>
        <w:t xml:space="preserve">. That is what happened. The recomputation returned outcome </w:t>
      </w:r>
      <w:r>
        <w:rPr>
          <w:b/>
          <w:bCs/>
        </w:rPr>
        <w:t xml:space="preserve">O2</w:t>
      </w:r>
      <w:r>
        <w:t xml:space="preserve">: the supplementary column's ceiling breaches fell from 2,893 to 979 of 7,200, which still leaves it not breach-free, so </w:t>
      </w:r>
      <w:r>
        <w:rPr>
          <w:rFonts w:ascii="Consolas" w:cs="Consolas" w:eastAsia="Consolas" w:hAnsi="Consolas"/>
          <w:sz w:val="19"/>
          <w:szCs w:val="19"/>
        </w:rPr>
        <w:t xml:space="preserve">clean</w:t>
      </w:r>
      <w:r>
        <w:t xml:space="preserve"> stayed empty and </w:t>
      </w:r>
      <w:r>
        <w:rPr>
          <w:b/>
          <w:bCs/>
        </w:rPr>
        <w:t xml:space="preserve">no verdict moved</w:t>
      </w:r>
      <w:r>
        <w:t xml:space="preserve">. The record notes that the correction changed 1,914 rows and was therefore not immaterial; the verdict survived because the registered rule needs a wholly breach-free column.</w:t>
      </w:r>
    </w:p>
    <w:p>
      <w:pPr>
        <w:spacing w:after="140"/>
        <w:jc w:val="left"/>
      </w:pPr>
      <w:r>
        <w:rPr>
          <w:b/>
          <w:bCs/>
        </w:rPr>
        <w:t xml:space="preserve">D16 is closed.</w:t>
      </w:r>
      <w:r>
        <w:t xml:space="preserve"> Huang's own g_tra selection over his declared grid, the only λ procedure his source prints and one neither this study nor the peer-reviewed paper that inherited the quantity had run. Specified in full and pushed before it was computed, including a proof that a breach-free column was impossible. Outcome </w:t>
      </w:r>
      <w:r>
        <w:rPr>
          <w:b/>
          <w:bCs/>
        </w:rPr>
        <w:t xml:space="preserve">B3</w:t>
      </w:r>
      <w:r>
        <w:t xml:space="preserve">: on 76.5% of the units no λ in the grid satisfies his threshold at all, so the column is incomplete and option (b) is </w:t>
      </w:r>
      <w:r>
        <w:rPr>
          <w:b/>
          <w:bCs/>
        </w:rPr>
        <w:t xml:space="preserve">unresolved</w:t>
      </w:r>
      <w:r>
        <w:t xml:space="preserve"> rather than negative. §6.2a reports the measurement. A gate tolerance was loosened during that analysis, and that too was declared and pushed before the outcome was read.</w:t>
      </w:r>
    </w:p>
    <w:p>
      <w:pPr>
        <w:spacing w:after="140"/>
        <w:jc w:val="left"/>
      </w:pPr>
      <w:r>
        <w:rPr>
          <w:b/>
          <w:bCs/>
        </w:rPr>
        <w:t xml:space="preserve">What rests on neither:</w:t>
      </w:r>
      <w:r>
        <w:t xml:space="preserve"> the frozen λ sweep at {1e-1, 1e-2, 1e-3, 1e-4} that carries every result in §4.</w:t>
      </w:r>
    </w:p>
    <w:p>
      <w:pPr>
        <w:spacing w:after="140"/>
        <w:jc w:val="left"/>
      </w:pPr>
      <w:r>
        <w:rPr>
          <w:b/>
          <w:bCs/>
        </w:rPr>
        <w:t xml:space="preserve">The decision that was not a record has been taken.</w:t>
      </w:r>
      <w:r>
        <w:t xml:space="preserve"> </w:t>
      </w:r>
      <w:r>
        <w:rPr>
          <w:rFonts w:ascii="Consolas" w:cs="Consolas" w:eastAsia="Consolas" w:hAnsi="Consolas"/>
          <w:sz w:val="19"/>
          <w:szCs w:val="19"/>
        </w:rPr>
        <w:t xml:space="preserve">prerewrite-20260925</w:t>
      </w:r>
      <w:r>
        <w:t xml:space="preserve">, the recovered branch on which full provenance depended, was </w:t>
      </w:r>
      <w:r>
        <w:rPr>
          <w:b/>
          <w:bCs/>
        </w:rPr>
        <w:t xml:space="preserve">published on 21 October 2026</w:t>
      </w:r>
      <w:r>
        <w:t xml:space="preserve">. Every commit hash stored in the result records now resolves, so no reader has to trust the tag mapping. It also restored to the public repository the AI co-authorship trailers the 25 September rewrite removed, which was the cost D11's fourth amendment weighed; </w:t>
      </w:r>
      <w:r>
        <w:rPr>
          <w:rFonts w:ascii="Consolas" w:cs="Consolas" w:eastAsia="Consolas" w:hAnsi="Consolas"/>
          <w:sz w:val="19"/>
          <w:szCs w:val="19"/>
        </w:rPr>
        <w:t xml:space="preserve">main</w:t>
      </w:r>
      <w:r>
        <w:t xml:space="preserve"> already carried twenty commits bearing them, left in place and documented rather than rewritten. §4.7 states what the publication closes, which is the binding of a record to its code, and what it does not, which is anything about ordering.</w:t>
      </w:r>
    </w:p>
    <w:p>
      <w:pPr>
        <w:spacing w:after="120" w:before="120"/>
      </w:pPr>
    </w:p>
    <w:p>
      <w:pPr>
        <w:pStyle w:val="Heading2"/>
        <w:spacing w:after="140" w:before="280"/>
      </w:pPr>
      <w:r>
        <w:rPr>
          <w:b/>
          <w:bCs/>
          <w:color w:val="000000"/>
          <w:sz w:val="23"/>
          <w:szCs w:val="23"/>
        </w:rPr>
        <w:t xml:space="preserve">7.4 Two records a sceptical reader should go to first</w:t>
      </w:r>
    </w:p>
    <w:p>
      <w:pPr>
        <w:spacing w:after="140"/>
        <w:jc w:val="left"/>
      </w:pPr>
      <w:r>
        <w:rPr>
          <w:b/>
          <w:bCs/>
        </w:rPr>
        <w:t xml:space="preserve">D13</w:t>
      </w:r>
      <w:r>
        <w:t xml:space="preserve">, because H3 was ungated from H2 in week 4 for a stated reason, the departure was recorded in a weekly narrative rather than in </w:t>
      </w:r>
      <w:r>
        <w:rPr>
          <w:rFonts w:ascii="Consolas" w:cs="Consolas" w:eastAsia="Consolas" w:hAnsi="Consolas"/>
          <w:sz w:val="19"/>
          <w:szCs w:val="19"/>
        </w:rPr>
        <w:t xml:space="preserve">deviations.md</w:t>
      </w:r>
      <w:r>
        <w:t xml:space="preserve">, and it was not declared until after H3's result had been computed and published. D13 offers two readings and does not choose between them. </w:t>
      </w:r>
      <w:r>
        <w:rPr>
          <w:b/>
          <w:bCs/>
        </w:rPr>
        <w:t xml:space="preserve">D15 is the second instance of the same failure</w:t>
      </w:r>
      <w:r>
        <w:t xml:space="preserve">, for the paper's framing, declared nine days late.</w:t>
      </w:r>
    </w:p>
    <w:p>
      <w:pPr>
        <w:spacing w:after="140"/>
        <w:jc w:val="left"/>
      </w:pPr>
      <w:r>
        <w:rPr>
          <w:b/>
          <w:bCs/>
        </w:rPr>
        <w:t xml:space="preserve">D11 and its four amendments</w:t>
      </w:r>
      <w:r>
        <w:t xml:space="preserve">, because they govern how much this project's own ordering evidence is worth. There is no external registration and no pre-result external timestamp; the history was rewritten on 25 September 2026; and every result record stores a commit absent from the public repository. The tags </w:t>
      </w:r>
      <w:r>
        <w:rPr>
          <w:rFonts w:ascii="Consolas" w:cs="Consolas" w:eastAsia="Consolas" w:hAnsi="Consolas"/>
          <w:sz w:val="19"/>
          <w:szCs w:val="19"/>
        </w:rPr>
        <w:t xml:space="preserve">records-0b796a3</w:t>
      </w:r>
      <w:r>
        <w:t xml:space="preserve">, </w:t>
      </w:r>
      <w:r>
        <w:rPr>
          <w:rFonts w:ascii="Consolas" w:cs="Consolas" w:eastAsia="Consolas" w:hAnsi="Consolas"/>
          <w:sz w:val="19"/>
          <w:szCs w:val="19"/>
        </w:rPr>
        <w:t xml:space="preserve">records-2cf7ec7</w:t>
      </w:r>
      <w:r>
        <w:t xml:space="preserve"> and </w:t>
      </w:r>
      <w:r>
        <w:rPr>
          <w:rFonts w:ascii="Consolas" w:cs="Consolas" w:eastAsia="Consolas" w:hAnsi="Consolas"/>
          <w:sz w:val="19"/>
          <w:szCs w:val="19"/>
        </w:rPr>
        <w:t xml:space="preserve">records-0b2aef4</w:t>
      </w:r>
      <w:r>
        <w:t xml:space="preserve"> map those identifiers to public counterparts and state in their own messages which half of that correspondence a reader can check.</w:t>
      </w:r>
    </w:p>
    <w:p>
      <w:pPr>
        <w:spacing w:after="140"/>
        <w:jc w:val="left"/>
      </w:pPr>
      <w:r>
        <w:rPr>
          <w:b/>
          <w:bCs/>
        </w:rPr>
        <w:t xml:space="preserve">Every ordering claim in this paper — including the claims in D13, D14, D15 and D16 that a decision preceded a result — rests on evidence of that class</w:t>
      </w:r>
      <w:r>
        <w:t xml:space="preserve">, and on one further fact recorded on 15 October 2026: </w:t>
      </w:r>
      <w:r>
        <w:rPr>
          <w:b/>
          <w:bCs/>
        </w:rPr>
        <w:t xml:space="preserve">the repository was private from 17 September to 15 October</w:t>
      </w:r>
      <w:r>
        <w:t xml:space="preserve">, so none of those pushes was public when it was made. "Committed and pushed before the value was read" is true of all of them and means pushed to a remote only the author could read. A reader who does not accept an author-controlled, once-rewritten, privately-held history as evidence of ordering should discount those claims accordingly, and the records say so rather than leaving it to be noticed.</w:t>
      </w:r>
    </w:p>
    <w:p>
      <w:pPr>
        <w:spacing w:after="120" w:before="120"/>
      </w:pPr>
    </w:p>
    <w:p>
      <w:pPr>
        <w:pStyle w:val="Heading1"/>
        <w:pageBreakBefore/>
        <w:spacing w:after="200" w:before="0"/>
      </w:pPr>
      <w:r>
        <w:rPr>
          <w:b/>
          <w:bCs/>
          <w:color w:val="000000"/>
          <w:sz w:val="26"/>
          <w:szCs w:val="26"/>
        </w:rPr>
        <w:t xml:space="preserve">References</w:t>
      </w:r>
    </w:p>
    <w:p>
      <w:pPr>
        <w:spacing w:after="140"/>
        <w:jc w:val="left"/>
      </w:pPr>
      <w:r>
        <w:rPr>
          <w:b/>
          <w:bCs/>
        </w:rPr>
        <w:t xml:space="preserve">What is and is not verified here.</w:t>
      </w:r>
      <w:r>
        <w:t xml:space="preserve"> The identifiers below — arXiv numbers, DOIs, version dates and the source hashes in §2.6 — are recorded in this repository and checkable against it. Titles, journals and author lists are taken from the citation block in </w:t>
      </w:r>
      <w:r>
        <w:rPr>
          <w:rFonts w:ascii="Consolas" w:cs="Consolas" w:eastAsia="Consolas" w:hAnsi="Consolas"/>
          <w:sz w:val="19"/>
          <w:szCs w:val="19"/>
        </w:rPr>
        <w:t xml:space="preserve">README.md</w:t>
      </w:r>
      <w:r>
        <w:t xml:space="preserve">, which is this repository's only bibliographic record of them; they are </w:t>
      </w:r>
      <w:r>
        <w:rPr>
          <w:b/>
          <w:bCs/>
        </w:rPr>
        <w:t xml:space="preserve">not</w:t>
      </w:r>
      <w:r>
        <w:t xml:space="preserve"> independently transcribed from the sources that were read, and anyone preparing this for submission should check them against the identifiers.</w:t>
      </w:r>
    </w:p>
    <w:p>
      <w:pPr>
        <w:spacing w:after="140"/>
        <w:jc w:val="left"/>
      </w:pPr>
      <w:r>
        <w:t xml:space="preserve">Two corrections to an earlier version of this section, both recorded rather than quietly applied. It claimed that titles and published locators were not recorded in this repository at all, and supplied none for [1] on that basis. That was wrong: </w:t>
      </w:r>
      <w:r>
        <w:rPr>
          <w:rFonts w:ascii="Consolas" w:cs="Consolas" w:eastAsia="Consolas" w:hAnsi="Consolas"/>
          <w:sz w:val="19"/>
          <w:szCs w:val="19"/>
        </w:rPr>
        <w:t xml:space="preserve">README.md</w:t>
      </w:r>
      <w:r>
        <w:t xml:space="preserve"> records them, and the claim was made without searching for them. And this project has dropped a co-author once — an earlier internal document named two authors of [2] where there are three, corrected in </w:t>
      </w:r>
      <w:r>
        <w:rPr>
          <w:rFonts w:ascii="Consolas" w:cs="Consolas" w:eastAsia="Consolas" w:hAnsi="Consolas"/>
          <w:sz w:val="19"/>
          <w:szCs w:val="19"/>
        </w:rPr>
        <w:t xml:space="preserve">docs/florez-ablan-code-check.md</w:t>
      </w:r>
      <w:r>
        <w:t xml:space="preserve"> C1 — which is why the paragraph above says where each field came from instead of presenting all of them as equally checked.</w:t>
      </w:r>
    </w:p>
    <w:p>
      <w:pPr>
        <w:spacing w:after="140"/>
        <w:jc w:val="left"/>
      </w:pPr>
      <w:r>
        <w:rPr>
          <w:b/>
          <w:bCs/>
        </w:rPr>
        <w:t xml:space="preserve">One unresolved inconsistency.</w:t>
      </w:r>
      <w:r>
        <w:t xml:space="preserve"> This repository spells the first author of [2] both as </w:t>
      </w:r>
      <w:r>
        <w:rPr>
          <w:b/>
          <w:bCs/>
        </w:rPr>
        <w:t xml:space="preserve">Flórez-Ablan</w:t>
      </w:r>
      <w:r>
        <w:t xml:space="preserve">, in </w:t>
      </w:r>
      <w:r>
        <w:rPr>
          <w:rFonts w:ascii="Consolas" w:cs="Consolas" w:eastAsia="Consolas" w:hAnsi="Consolas"/>
          <w:sz w:val="19"/>
          <w:szCs w:val="19"/>
        </w:rPr>
        <w:t xml:space="preserve">README.md</w:t>
      </w:r>
      <w:r>
        <w:t xml:space="preserve">, and as </w:t>
      </w:r>
      <w:r>
        <w:rPr>
          <w:b/>
          <w:bCs/>
        </w:rPr>
        <w:t xml:space="preserve">Flórez Ablan</w:t>
      </w:r>
      <w:r>
        <w:t xml:space="preserve">, in §2 of this paper. The hyphenated form is used below because </w:t>
      </w:r>
      <w:r>
        <w:rPr>
          <w:rFonts w:ascii="Consolas" w:cs="Consolas" w:eastAsia="Consolas" w:hAnsi="Consolas"/>
          <w:sz w:val="19"/>
          <w:szCs w:val="19"/>
        </w:rPr>
        <w:t xml:space="preserve">README.md</w:t>
      </w:r>
      <w:r>
        <w:t xml:space="preserve"> is the only bibliographic record here, and </w:t>
      </w:r>
      <w:r>
        <w:rPr>
          <w:b/>
          <w:bCs/>
        </w:rPr>
        <w:t xml:space="preserve">it has not been verified against the published author listing.</w:t>
      </w:r>
      <w:r>
        <w:t xml:space="preserve"> One of the two forms is wrong and this paper does not know which.</w:t>
      </w:r>
    </w:p>
    <w:p>
      <w:pPr>
        <w:spacing w:after="120" w:before="120"/>
      </w:pPr>
    </w:p>
    <w:p>
      <w:pPr>
        <w:spacing w:after="140"/>
        <w:jc w:val="left"/>
      </w:pPr>
      <w:r>
        <w:rPr>
          <w:b/>
          <w:bCs/>
        </w:rPr>
        <w:t xml:space="preserve">[1] Huang et al. (2021).</w:t>
      </w:r>
      <w:r>
        <w:t xml:space="preserve"> </w:t>
      </w:r>
      <w:r>
        <w:rPr>
          <w:i/>
          <w:iCs/>
        </w:rPr>
        <w:t xml:space="preserve">Power of data in quantum machine learning.</w:t>
      </w:r>
      <w:r>
        <w:t xml:space="preserve"> Nature Communications 12:2631. arXiv:2011.01938.</w:t>
      </w:r>
    </w:p>
    <w:p>
      <w:pPr>
        <w:spacing w:after="140"/>
        <w:jc w:val="left"/>
      </w:pPr>
      <w:r>
        <w:t xml:space="preserve">Read from the e-print LaTeX, not from a rendering. Archive SHA-256 </w:t>
      </w:r>
      <w:r>
        <w:rPr>
          <w:rFonts w:ascii="Consolas" w:cs="Consolas" w:eastAsia="Consolas" w:hAnsi="Consolas"/>
          <w:sz w:val="19"/>
          <w:szCs w:val="19"/>
        </w:rPr>
        <w:t xml:space="preserve">b510654c6628…</w:t>
      </w:r>
      <w:r>
        <w:t xml:space="preserve">, </w:t>
      </w:r>
      <w:r>
        <w:rPr>
          <w:rFonts w:ascii="Consolas" w:cs="Consolas" w:eastAsia="Consolas" w:hAnsi="Consolas"/>
          <w:sz w:val="19"/>
          <w:szCs w:val="19"/>
        </w:rPr>
        <w:t xml:space="preserve">maintext.tex</w:t>
      </w:r>
      <w:r>
        <w:t xml:space="preserve"> SHA-256 </w:t>
      </w:r>
      <w:r>
        <w:rPr>
          <w:rFonts w:ascii="Consolas" w:cs="Consolas" w:eastAsia="Consolas" w:hAnsi="Consolas"/>
          <w:sz w:val="19"/>
          <w:szCs w:val="19"/>
        </w:rPr>
        <w:t xml:space="preserve">ceded212c4b0…</w:t>
      </w:r>
      <w:r>
        <w:t xml:space="preserve"> (§2.6). This is the source of Equation (5), of Appendix D's training objective, and of Appendix F's regularised forms F19 and F20 together with the g_tra ≤ 0.045 selection rule. §2.2 derives the orientation of F19 from its λ → 0 limit; §2.3 records that the source is internally inconsistent on whether the threshold is </w:t>
      </w:r>
      <w:r>
        <w:rPr>
          <w:rFonts w:ascii="Consolas" w:cs="Consolas" w:eastAsia="Consolas" w:hAnsi="Consolas"/>
          <w:sz w:val="19"/>
          <w:szCs w:val="19"/>
        </w:rPr>
        <w:t xml:space="preserve">≤</w:t>
      </w:r>
      <w:r>
        <w:t xml:space="preserve"> or </w:t>
      </w:r>
      <w:r>
        <w:rPr>
          <w:rFonts w:ascii="Consolas" w:cs="Consolas" w:eastAsia="Consolas" w:hAnsi="Consolas"/>
          <w:sz w:val="19"/>
          <w:szCs w:val="19"/>
        </w:rPr>
        <w:t xml:space="preserve">&lt;</w:t>
      </w:r>
      <w:r>
        <w:t xml:space="preserve">.</w:t>
      </w:r>
    </w:p>
    <w:p>
      <w:pPr>
        <w:spacing w:after="140"/>
        <w:jc w:val="left"/>
      </w:pPr>
      <w:r>
        <w:rPr>
          <w:b/>
          <w:bCs/>
        </w:rPr>
        <w:t xml:space="preserve">[2] Flórez-Ablan, Roth and Schnabel (2025).</w:t>
      </w:r>
      <w:r>
        <w:t xml:space="preserve"> </w:t>
      </w:r>
      <w:r>
        <w:rPr>
          <w:i/>
          <w:iCs/>
        </w:rPr>
        <w:t xml:space="preserve">On the similarity of bandwidth-tuned quantum kernels and classical kernels.</w:t>
      </w:r>
      <w:r>
        <w:t xml:space="preserve"> Quantum Science and Technology, DOI 10.1088/2058-9565/ade7ad. arXiv:2503.05602, v1 7 March 2025, v3 28 July 2025.</w:t>
      </w:r>
    </w:p>
    <w:p>
      <w:pPr>
        <w:spacing w:after="140"/>
        <w:jc w:val="left"/>
      </w:pPr>
      <w:r>
        <w:t xml:space="preserve">Read from the e-print LaTeX. Archive SHA-256 </w:t>
      </w:r>
      <w:r>
        <w:rPr>
          <w:rFonts w:ascii="Consolas" w:cs="Consolas" w:eastAsia="Consolas" w:hAnsi="Consolas"/>
          <w:sz w:val="19"/>
          <w:szCs w:val="19"/>
        </w:rPr>
        <w:t xml:space="preserve">7ce99d754ecc…</w:t>
      </w:r>
      <w:r>
        <w:t xml:space="preserve">, </w:t>
      </w:r>
      <w:r>
        <w:rPr>
          <w:rFonts w:ascii="Consolas" w:cs="Consolas" w:eastAsia="Consolas" w:hAnsi="Consolas"/>
          <w:sz w:val="19"/>
          <w:szCs w:val="19"/>
        </w:rPr>
        <w:t xml:space="preserve">main.tex</w:t>
      </w:r>
      <w:r>
        <w:t xml:space="preserve"> SHA-256 </w:t>
      </w:r>
      <w:r>
        <w:rPr>
          <w:rFonts w:ascii="Consolas" w:cs="Consolas" w:eastAsia="Consolas" w:hAnsi="Consolas"/>
          <w:sz w:val="19"/>
          <w:szCs w:val="19"/>
        </w:rPr>
        <w:t xml:space="preserve">1903926fe4b5…</w:t>
      </w:r>
      <w:r>
        <w:t xml:space="preserve"> (§2.6). §2.4 establishes from their equation (line 210), their argument assignment (line 213) and their released code that the quantity they compare against √N is the reverse of the screening quantity, and that their paper, equation and implementation are mutually consistent. §2.4 also records that their pipeline computes </w:t>
      </w:r>
      <w:r>
        <w:rPr>
          <w:rFonts w:ascii="Consolas" w:cs="Consolas" w:eastAsia="Consolas" w:hAnsi="Consolas"/>
          <w:sz w:val="19"/>
          <w:szCs w:val="19"/>
        </w:rPr>
        <w:t xml:space="preserve">g_tra</w:t>
      </w:r>
      <w:r>
        <w:t xml:space="preserve"> and never compares it to anything, and that their λ = 1/(2C) with C ∈ [32, 1024] (line 393) substitutes a C-derived λ for the selection rule in [1]. </w:t>
      </w:r>
      <w:r>
        <w:rPr>
          <w:b/>
          <w:bCs/>
        </w:rPr>
        <w:t xml:space="preserve">No claim in this paper asserts an error in their conclusions.</w:t>
      </w:r>
    </w:p>
    <w:p>
      <w:pPr>
        <w:spacing w:after="140"/>
        <w:jc w:val="left"/>
      </w:pPr>
      <w:r>
        <w:rPr>
          <w:b/>
          <w:bCs/>
        </w:rPr>
        <w:t xml:space="preserve">[3] Kakavand, Strohmeyer and Schlotter (2026).</w:t>
      </w:r>
      <w:r>
        <w:t xml:space="preserve"> </w:t>
      </w:r>
      <w:r>
        <w:rPr>
          <w:i/>
          <w:iCs/>
        </w:rPr>
        <w:t xml:space="preserve">Benchmarking Quantum Kernel SVMs Against Classical Baselines on Tabular Data.</w:t>
      </w:r>
      <w:r>
        <w:t xml:space="preserve"> arXiv:2604.18837. Deposit: DOI 10.5281/zenodo.19197916.</w:t>
      </w:r>
    </w:p>
    <w:p>
      <w:pPr>
        <w:spacing w:after="140"/>
        <w:jc w:val="left"/>
      </w:pPr>
      <w:r>
        <w:t xml:space="preserve">The only foreign records this study's audit was run against, in week 6, through </w:t>
      </w:r>
      <w:r>
        <w:rPr>
          <w:rFonts w:ascii="Consolas" w:cs="Consolas" w:eastAsia="Consolas" w:hAnsi="Consolas"/>
          <w:sz w:val="19"/>
          <w:szCs w:val="19"/>
        </w:rPr>
        <w:t xml:space="preserve">scripts/foreign/kakavand_adapter.py</w:t>
      </w:r>
      <w:r>
        <w:t xml:space="preserve">. §5.6 reports what that run produced — one measurement and eight refusals — and states that </w:t>
      </w:r>
      <w:r>
        <w:rPr>
          <w:b/>
          <w:bCs/>
        </w:rPr>
        <w:t xml:space="preserve">it found no defect in their work and was not looking for one.</w:t>
      </w:r>
      <w:r>
        <w:t xml:space="preserve"> §5.6 also records that an earlier paragraph of this project's asserted things about this deposit from the manuscript alone, of which six of seven claims were wrong or misleading once the deposit was read. Their statistical treatment is described in </w:t>
      </w:r>
      <w:r>
        <w:rPr>
          <w:rFonts w:ascii="Consolas" w:cs="Consolas" w:eastAsia="Consolas" w:hAnsi="Consolas"/>
          <w:sz w:val="19"/>
          <w:szCs w:val="19"/>
        </w:rPr>
        <w:t xml:space="preserve">docs/audit-protocol.md</w:t>
      </w:r>
      <w:r>
        <w:t xml:space="preserve"> as more careful than this project's own registered design at the equivalent stage.</w:t>
      </w:r>
    </w:p>
    <w:p>
      <w:pPr>
        <w:spacing w:after="140"/>
        <w:jc w:val="left"/>
      </w:pPr>
      <w:r>
        <w:rPr>
          <w:b/>
          <w:bCs/>
        </w:rPr>
        <w:t xml:space="preserve">[4] Tekeli (2026).</w:t>
      </w:r>
      <w:r>
        <w:t xml:space="preserve"> arXiv:2608.29422, 29 August 2026. </w:t>
      </w:r>
      <w:r>
        <w:rPr>
          <w:b/>
          <w:bCs/>
        </w:rPr>
        <w:t xml:space="preserve">No title is recorded for this source anywhere in this repository</w:t>
      </w:r>
      <w:r>
        <w:t xml:space="preserve">, so none is given here.</w:t>
      </w:r>
    </w:p>
    <w:p>
      <w:pPr>
        <w:spacing w:after="140"/>
        <w:jc w:val="left"/>
      </w:pPr>
      <w:r>
        <w:t xml:space="preserve">Derives in closed form a property of the ZZ feature map that this project checked numerically in </w:t>
      </w:r>
      <w:r>
        <w:rPr>
          <w:rFonts w:ascii="Consolas" w:cs="Consolas" w:eastAsia="Consolas" w:hAnsi="Consolas"/>
          <w:sz w:val="19"/>
          <w:szCs w:val="19"/>
        </w:rPr>
        <w:t xml:space="preserve">scripts/tekeli_check.py</w:t>
      </w:r>
      <w:r>
        <w:t xml:space="preserve">; the check and its boundary are reported in </w:t>
      </w:r>
      <w:r>
        <w:rPr>
          <w:rFonts w:ascii="Consolas" w:cs="Consolas" w:eastAsia="Consolas" w:hAnsi="Consolas"/>
          <w:sz w:val="19"/>
          <w:szCs w:val="19"/>
        </w:rPr>
        <w:t xml:space="preserve">docs/week-06-report.md</w:t>
      </w:r>
      <w:r>
        <w:t xml:space="preserve">. Used as a cross-check on this study's own kernels, not as a source for any claim about the geometric difference.</w:t>
      </w:r>
    </w:p>
    <w:p>
      <w:pPr>
        <w:spacing w:after="120" w:before="120"/>
      </w:pPr>
    </w:p>
    <w:p>
      <w:pPr>
        <w:spacing w:after="140"/>
        <w:jc w:val="left"/>
      </w:pPr>
      <w:r>
        <w:rPr>
          <w:b/>
          <w:bCs/>
        </w:rPr>
        <w:t xml:space="preserve">Datasets.</w:t>
      </w:r>
      <w:r>
        <w:t xml:space="preserve"> Sources, licences and checksums are in </w:t>
      </w:r>
      <w:r>
        <w:rPr>
          <w:rFonts w:ascii="Consolas" w:cs="Consolas" w:eastAsia="Consolas" w:hAnsi="Consolas"/>
          <w:sz w:val="19"/>
          <w:szCs w:val="19"/>
        </w:rPr>
        <w:t xml:space="preserve">data/README.md</w:t>
      </w:r>
      <w:r>
        <w:t xml:space="preserve">. The customer-churn dataset carries a </w:t>
      </w:r>
      <w:r>
        <w:rPr>
          <w:rFonts w:ascii="Consolas" w:cs="Consolas" w:eastAsia="Consolas" w:hAnsi="Consolas"/>
          <w:sz w:val="19"/>
          <w:szCs w:val="19"/>
        </w:rPr>
        <w:t xml:space="preserve">copyright-authors</w:t>
      </w:r>
      <w:r>
        <w:t xml:space="preserve"> licence and </w:t>
      </w:r>
      <w:r>
        <w:rPr>
          <w:b/>
          <w:bCs/>
        </w:rPr>
        <w:t xml:space="preserve">is not redistributed by this repository</w:t>
      </w:r>
      <w:r>
        <w:t xml:space="preserve">; the credit-card fraud dataset likewise is referenced rather than republished. Neither appears in version control.</w:t>
      </w:r>
    </w:p>
    <w:p>
      <w:pPr>
        <w:spacing w:after="140"/>
        <w:jc w:val="left"/>
      </w:pPr>
      <w:r>
        <w:rPr>
          <w:b/>
          <w:bCs/>
        </w:rPr>
        <w:t xml:space="preserve">This study's own artefacts.</w:t>
      </w:r>
      <w:r>
        <w:t xml:space="preserve"> </w:t>
      </w:r>
      <w:r>
        <w:rPr>
          <w:rFonts w:ascii="Consolas" w:cs="Consolas" w:eastAsia="Consolas" w:hAnsi="Consolas"/>
          <w:sz w:val="19"/>
          <w:szCs w:val="19"/>
        </w:rPr>
        <w:t xml:space="preserve">https://github.com/jnchowdary/qml-benchmark-lab</w:t>
      </w:r>
      <w:r>
        <w:t xml:space="preserve">. §4.7 and §7 state what a reader can and cannot verify from it: the scripts, records and data checksums in full, and </w:t>
      </w:r>
      <w:r>
        <w:rPr>
          <w:b/>
          <w:bCs/>
        </w:rPr>
        <w:t xml:space="preserve">not</w:t>
      </w:r>
      <w:r>
        <w:t xml:space="preserve"> the binding between a stored result record and the code that produced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6"/>
      <w:szCs w:val="26"/>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rFonts w:ascii="Calibri" w:cs="Calibri" w:eastAsia="Calibri" w:hAnsi="Calibri"/>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6d404697d989cb3eaae61737e72d67250d8a54.png"/><Relationship Id="rId9" Type="http://schemas.openxmlformats.org/officeDocument/2006/relationships/image" Target="media/49e01ada135d57f1df53ddabbe01e4dab9ee8da7.png"/><Relationship Id="rId10" Type="http://schemas.openxmlformats.org/officeDocument/2006/relationships/image" Target="media/d8d3877a9f4c4463ca86d81e5e2ab4a1305e27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2026-10-21T00:10:07.320Z</dcterms:created>
  <dcterms:modified xsi:type="dcterms:W3CDTF">2026-10-21T00:10:07.325Z</dcterms:modified>
</cp:coreProperties>
</file>

<file path=docProps/custom.xml><?xml version="1.0" encoding="utf-8"?>
<Properties xmlns="http://schemas.openxmlformats.org/officeDocument/2006/custom-properties" xmlns:vt="http://schemas.openxmlformats.org/officeDocument/2006/docPropsVTypes"/>
</file>