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Kumar Jonnalagadda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p>
      <w:pPr>
        <w:pStyle w:val="Heading2"/>
        <w:spacing w:after="100" w:before="200"/>
      </w:pPr>
      <w:r>
        <w:rPr>
          <w:b/>
          <w:bCs/>
          <w:color w:val="000000"/>
          <w:sz w:val="22"/>
          <w:szCs w:val="22"/>
        </w:rPr>
        <w:t xml:space="preserve">Amendment, 29 September 2026: the allocation was never sufficient, and the number was in every record</w:t>
      </w:r>
    </w:p>
    <w:p>
      <w:pPr>
        <w:spacing w:after="140"/>
        <w:jc w:val="left"/>
      </w:pPr>
      <w:r>
        <w:t xml:space="preserve">The open item above is closed. The IBM Quantum Platform dashboard for this account (org "Diarka Quantum", region us-east) shows:</w:t>
      </w:r>
    </w:p>
    <w:p>
      <w:pPr>
        <w:pStyle w:val="ListParagraph"/>
        <w:numPr>
          <w:ilvl w:val="0"/>
          <w:numId w:val="1"/>
        </w:numPr>
        <w:spacing w:after="80"/>
      </w:pPr>
      <w:r>
        <w:t xml:space="preserve">instance </w:t>
      </w:r>
      <w:r>
        <w:rPr>
          <w:rFonts w:ascii="Consolas" w:cs="Consolas" w:eastAsia="Consolas" w:hAnsi="Consolas"/>
          <w:sz w:val="19"/>
          <w:szCs w:val="19"/>
        </w:rPr>
        <w:t xml:space="preserve">open-instance</w:t>
      </w:r>
      <w:r>
        <w:t xml:space="preserve">, plan </w:t>
      </w:r>
      <w:r>
        <w:rPr>
          <w:b/>
          <w:bCs/>
        </w:rPr>
        <w:t xml:space="preserve">open</w:t>
      </w:r>
      <w:r>
        <w:t xml:space="preserve">, </w:t>
      </w:r>
      <w:r>
        <w:rPr>
          <w:b/>
          <w:bCs/>
        </w:rPr>
        <w:t xml:space="preserve">10m 0s (100%) remain</w:t>
      </w:r>
      <w:r>
        <w:t xml:space="preserve"> — ten minutes</w:t>
      </w:r>
    </w:p>
    <w:p>
      <w:pPr>
        <w:spacing w:after="140"/>
        <w:jc w:val="left"/>
      </w:pPr>
      <w:r>
        <w:t xml:space="preserve">of QPU time per month, which is the Open Plan after the March 2026 change that week 1 flagged as unchecked;</w:t>
      </w:r>
    </w:p>
    <w:p>
      <w:pPr>
        <w:pStyle w:val="ListParagraph"/>
        <w:numPr>
          <w:ilvl w:val="0"/>
          <w:numId w:val="1"/>
        </w:numPr>
        <w:spacing w:after="80"/>
      </w:pPr>
      <w:r>
        <w:rPr>
          <w:b/>
          <w:bCs/>
        </w:rPr>
        <w:t xml:space="preserve">"Your trial account expires in 1 day"</w:t>
      </w:r>
      <w:r>
        <w:t xml:space="preserve">;</w:t>
      </w:r>
    </w:p>
    <w:p>
      <w:pPr>
        <w:pStyle w:val="ListParagraph"/>
        <w:numPr>
          <w:ilvl w:val="0"/>
          <w:numId w:val="1"/>
        </w:numPr>
        <w:spacing w:after="80"/>
      </w:pPr>
      <w:r>
        <w:t xml:space="preserve">no workloads ever submitted.</w:t>
      </w:r>
    </w:p>
    <w:p>
      <w:pPr>
        <w:spacing w:after="140"/>
        <w:jc w:val="left"/>
      </w:pPr>
      <w:r>
        <w:rPr>
          <w:b/>
          <w:bCs/>
        </w:rPr>
        <w:t xml:space="preserve">What the registered run would have cost.</w:t>
      </w:r>
      <w:r>
        <w:t xml:space="preserve"> Section 13 asks for hardware runs on the primary cells. Every quantum record in this project already reports the hardware-equivalent figure, because D1 required it: </w:t>
      </w:r>
      <w:r>
        <w:rPr>
          <w:rFonts w:ascii="Consolas" w:cs="Consolas" w:eastAsia="Consolas" w:hAnsi="Consolas"/>
          <w:sz w:val="19"/>
          <w:szCs w:val="19"/>
        </w:rPr>
        <w:t xml:space="preserve">circuit_evaluations</w:t>
      </w:r>
      <w:r>
        <w:t xml:space="preserve"> = 113,575 per record, being 61,075 training pairs (n(n-1)/2 at n_train = 350) plus 52,500 test pairs (150 x 350). Across the registered scope — 4 settings, 20 seeds, 2 datasets — that is</w:t>
      </w:r>
    </w:p>
    <w:p>
      <w:pPr>
        <w:spacing w:after="40" w:before="40"/>
        <w:ind w:left="360"/>
      </w:pPr>
      <w:r>
        <w:rPr>
          <w:rFonts w:ascii="Consolas" w:cs="Consolas" w:eastAsia="Consolas" w:hAnsi="Consolas"/>
          <w:sz w:val="19"/>
          <w:szCs w:val="19"/>
        </w:rPr>
        <w:t xml:space="preserve">18,172,000 circuit executions</w:t>
      </w:r>
    </w:p>
    <w:p>
      <w:pPr>
        <w:spacing w:after="120"/>
      </w:pPr>
    </w:p>
    <w:p>
      <w:pPr>
        <w:spacing w:after="140"/>
        <w:jc w:val="left"/>
      </w:pPr>
      <w:r>
        <w:t xml:space="preserve">against an allocation of 600 seconds per month. At 1 ms of QPU time per circuit that is </w:t>
      </w:r>
      <w:r>
        <w:rPr>
          <w:b/>
          <w:bCs/>
        </w:rPr>
        <w:t xml:space="preserve">5 hours, or 30x the monthly budget</w:t>
      </w:r>
      <w:r>
        <w:t xml:space="preserve">; at 5 ms it is 25 hours and 150x; and at an implausibly optimistic 0.1 ms it is still 3x over. </w:t>
      </w:r>
      <w:r>
        <w:rPr>
          <w:b/>
          <w:bCs/>
        </w:rPr>
        <w:t xml:space="preserve">The registered timeline allocated two weeks to a run the available hardware could never have delivered, at any of those rates.</w:t>
      </w:r>
    </w:p>
    <w:p>
      <w:pPr>
        <w:spacing w:after="140"/>
        <w:jc w:val="left"/>
      </w:pPr>
      <w:r>
        <w:t xml:space="preserve">This was knowable on 17 September from a single page load, which weeks 1, 2 and 3 each said needed doing. It was also knowable from this project's own output: the number that makes the timeline impossible has been printed in every quantum record since week 4, in a field that exists specifically so hardware cost would not be misreported.</w:t>
      </w:r>
    </w:p>
    <w:p>
      <w:pPr>
        <w:spacing w:after="140"/>
        <w:jc w:val="left"/>
      </w:pPr>
      <w:r>
        <w:rPr>
          <w:b/>
          <w:bCs/>
        </w:rPr>
        <w:t xml:space="preserve">What was feasible, and is being declined.</w:t>
      </w:r>
      <w:r>
        <w:t xml:space="preserve"> One (setting, seed) Gram is 113,575 circuits, roughly two minutes at 1 ms, and fits inside the 600 seconds. That would have given </w:t>
      </w:r>
      <w:r>
        <w:rPr>
          <w:rFonts w:ascii="Consolas" w:cs="Consolas" w:eastAsia="Consolas" w:hAnsi="Consolas"/>
          <w:sz w:val="19"/>
          <w:szCs w:val="19"/>
        </w:rPr>
        <w:t xml:space="preserve">docs/audit-protocol.md</w:t>
      </w:r>
      <w:r>
        <w:t xml:space="preserve"> its own hardware records rather than the borrowed </w:t>
      </w:r>
      <w:r>
        <w:rPr>
          <w:rFonts w:ascii="Consolas" w:cs="Consolas" w:eastAsia="Consolas" w:hAnsi="Consolas"/>
          <w:sz w:val="19"/>
          <w:szCs w:val="19"/>
        </w:rPr>
        <w:t xml:space="preserve">ibm_fez</w:t>
      </w:r>
      <w:r>
        <w:t xml:space="preserve"> Grams it audited in week 6. It is not taken: no hardware code exists, the trial lapses tomorrow, and writing a Qiskit Runtime path to a deadline would produce untested code carrying a single exploratory artefact — which is the exact failure mode week 8 spent its day repairing elsewhere in this repository. </w:t>
      </w:r>
      <w:r>
        <w:rPr>
          <w:b/>
          <w:bCs/>
        </w:rPr>
        <w:t xml:space="preserve">The finding is worth more than the artefact would have been</w:t>
      </w:r>
      <w:r>
        <w:t xml:space="preserve">, and this is the finding.</w:t>
      </w:r>
    </w:p>
    <w:p>
      <w:pPr>
        <w:spacing w:after="140"/>
        <w:jc w:val="left"/>
      </w:pPr>
      <w:r>
        <w:rPr>
          <w:b/>
          <w:bCs/>
        </w:rPr>
        <w:t xml:space="preserve">What it changes in the record.</w:t>
      </w:r>
      <w:r>
        <w:t xml:space="preserve"> D12's reasoning above gave the confound and the remaining schedule as the grounds for dropping hardware. Both stand, but they are now secondary: the primary ground is that the registered run was never possible within the allocation this project had. Any statement that hardware was "dropped" should say instead that it was </w:t>
      </w:r>
      <w:r>
        <w:rPr>
          <w:b/>
          <w:bCs/>
        </w:rPr>
        <w:t xml:space="preserve">never feasible as registered</w:t>
      </w:r>
      <w:r>
        <w:t xml:space="preserve">, and that nobody established this for seven weeks despite three weekly records asking.</w:t>
      </w:r>
    </w:p>
    <w:p>
      <w:pPr>
        <w:spacing w:after="140"/>
        <w:jc w:val="left"/>
      </w:pPr>
      <w:r>
        <w:t xml:space="preserve">The gap in the protocol's evidence base named above is unchanged and now permanent for this project: the audit protocol has been exercised against another group's hardware records and never against its own.</w:t>
      </w:r>
    </w:p>
    <w:p>
      <w:pPr>
        <w:pStyle w:val="Heading2"/>
        <w:spacing w:after="100" w:before="200"/>
      </w:pPr>
      <w:r>
        <w:rPr>
          <w:b/>
          <w:bCs/>
          <w:color w:val="000000"/>
          <w:sz w:val="22"/>
          <w:szCs w:val="22"/>
        </w:rPr>
        <w:t xml:space="preserve">Amendment, 29 September 2026: the author's name, and a second edit to the pre-registration</w:t>
      </w:r>
    </w:p>
    <w:p>
      <w:pPr>
        <w:spacing w:after="140"/>
        <w:jc w:val="left"/>
      </w:pPr>
      <w:r>
        <w:rPr>
          <w:rFonts w:ascii="Consolas" w:cs="Consolas" w:eastAsia="Consolas" w:hAnsi="Consolas"/>
          <w:sz w:val="19"/>
          <w:szCs w:val="19"/>
        </w:rPr>
        <w:t xml:space="preserve">docs/pre-registration.md</w:t>
      </w:r>
      <w:r>
        <w:t xml:space="preserve"> has now been edited twice since it was written on 24 September. D11 records the first. This records the second, because a document this project describes as frozen does not get edited silently even for something this small.</w:t>
      </w:r>
    </w:p>
    <w:p>
      <w:pPr>
        <w:spacing w:after="140"/>
        <w:jc w:val="left"/>
      </w:pPr>
      <w:r>
        <w:rPr>
          <w:b/>
          <w:bCs/>
        </w:rPr>
        <w:t xml:space="preserve">What changed.</w:t>
      </w:r>
      <w:r>
        <w:t xml:space="preserve"> The author line read </w:t>
      </w:r>
      <w:r>
        <w:rPr>
          <w:rFonts w:ascii="Consolas" w:cs="Consolas" w:eastAsia="Consolas" w:hAnsi="Consolas"/>
          <w:sz w:val="19"/>
          <w:szCs w:val="19"/>
        </w:rPr>
        <w:t xml:space="preserve">Author: Nagesh Chowdary, Diarka Quantum Ltd.</w:t>
      </w:r>
      <w:r>
        <w:t xml:space="preserve"> and now reads </w:t>
      </w:r>
      <w:r>
        <w:rPr>
          <w:rFonts w:ascii="Consolas" w:cs="Consolas" w:eastAsia="Consolas" w:hAnsi="Consolas"/>
          <w:sz w:val="19"/>
          <w:szCs w:val="19"/>
        </w:rPr>
        <w:t xml:space="preserve">Author: Nagesh Kumar Jonnalagadda, Diarka Quantum Ltd.</w:t>
      </w:r>
      <w:r>
        <w:t xml:space="preserve">, which is the author's name, confirmed by him on 29 September 2026. The same correction was applied to </w:t>
      </w:r>
      <w:r>
        <w:rPr>
          <w:rFonts w:ascii="Consolas" w:cs="Consolas" w:eastAsia="Consolas" w:hAnsi="Consolas"/>
          <w:sz w:val="19"/>
          <w:szCs w:val="19"/>
        </w:rPr>
        <w:t xml:space="preserve">README.md</w:t>
      </w:r>
      <w:r>
        <w:t xml:space="preserve">'s maintainer line and to D5's approval line above.</w:t>
      </w:r>
    </w:p>
    <w:p>
      <w:pPr>
        <w:spacing w:after="140"/>
        <w:jc w:val="left"/>
      </w:pPr>
      <w:r>
        <w:rPr>
          <w:b/>
          <w:bCs/>
        </w:rPr>
        <w:t xml:space="preserve">Why this is not a deviation.</w:t>
      </w:r>
      <w:r>
        <w:t xml:space="preserve"> Nothing about the design, hypotheses, thresholds, decision rules or power figures is touched. An author's own name is a factual attribute of the document in the same category as the OSF claim D11 corrected, and leaving a document asserting the wrong one is not a form of rigour.</w:t>
      </w:r>
    </w:p>
    <w:p>
      <w:pPr>
        <w:spacing w:after="140"/>
        <w:jc w:val="left"/>
      </w:pPr>
      <w:r>
        <w:rPr>
          <w:b/>
          <w:bCs/>
        </w:rPr>
        <w:t xml:space="preserve">The part worth recording.</w:t>
      </w:r>
      <w:r>
        <w:t xml:space="preserve"> Commits in this session and the previous one used </w:t>
      </w:r>
      <w:r>
        <w:rPr>
          <w:rFonts w:ascii="Consolas" w:cs="Consolas" w:eastAsia="Consolas" w:hAnsi="Consolas"/>
          <w:sz w:val="19"/>
          <w:szCs w:val="19"/>
        </w:rPr>
        <w:t xml:space="preserve">Nagesh Jonnalagadda</w:t>
      </w:r>
      <w:r>
        <w:t xml:space="preserve"> while the documents said </w:t>
      </w:r>
      <w:r>
        <w:rPr>
          <w:rFonts w:ascii="Consolas" w:cs="Consolas" w:eastAsia="Consolas" w:hAnsi="Consolas"/>
          <w:sz w:val="19"/>
          <w:szCs w:val="19"/>
        </w:rPr>
        <w:t xml:space="preserve">Nagesh Chowdary</w:t>
      </w:r>
      <w:r>
        <w:t xml:space="preserve">. Week 7 section 8 recorded that discrepancy as an error introduced into the git history and "corrected" the commits to Chowdary from </w:t>
      </w:r>
      <w:r>
        <w:rPr>
          <w:rFonts w:ascii="Consolas" w:cs="Consolas" w:eastAsia="Consolas" w:hAnsi="Consolas"/>
          <w:sz w:val="19"/>
          <w:szCs w:val="19"/>
        </w:rPr>
        <w:t xml:space="preserve">5390514</w:t>
      </w:r>
      <w:r>
        <w:t xml:space="preserve"> onward. </w:t>
      </w:r>
      <w:r>
        <w:rPr>
          <w:b/>
          <w:bCs/>
        </w:rPr>
        <w:t xml:space="preserve">That correction was itself wrong</w:t>
      </w:r>
      <w:r>
        <w:t xml:space="preserve">: neither spelling was the full name, including the one adopted as the fix. A discrepancy was noticed, one side was assumed authoritative without asking, and the assumption was written up as a finding — in a weekly record whose own section 8 is about claims asserted rather than checked. Week 7 section 8 now carries that correction.</w:t>
      </w:r>
    </w:p>
    <w:p>
      <w:pPr>
        <w:spacing w:after="140"/>
        <w:jc w:val="left"/>
      </w:pPr>
      <w:r>
        <w:t xml:space="preserve">Commits before </w:t>
      </w:r>
      <w:r>
        <w:rPr>
          <w:rFonts w:ascii="Consolas" w:cs="Consolas" w:eastAsia="Consolas" w:hAnsi="Consolas"/>
          <w:sz w:val="19"/>
          <w:szCs w:val="19"/>
        </w:rPr>
        <w:t xml:space="preserve">a1e7b57</w:t>
      </w:r>
      <w:r>
        <w:t xml:space="preserve"> stand as written, in both spellings. History is not rewritten here, and the inconsistency in the log is part of the record rather than something to tidy away.</w:t>
      </w:r>
    </w:p>
    <w:p>
      <w:pPr>
        <w:pStyle w:val="Heading2"/>
        <w:spacing w:after="100" w:before="200"/>
      </w:pPr>
      <w:r>
        <w:rPr>
          <w:b/>
          <w:bCs/>
          <w:color w:val="000000"/>
          <w:sz w:val="22"/>
          <w:szCs w:val="22"/>
        </w:rPr>
        <w:t xml:space="preserve">Amendment, 29 September 2026: the history was rewritten, and it destroyed the pre-registration's own citation</w:t>
      </w:r>
    </w:p>
    <w:p>
      <w:pPr>
        <w:spacing w:after="140"/>
        <w:jc w:val="left"/>
      </w:pPr>
      <w:r>
        <w:t xml:space="preserve">The two amendments above understate this. They say commit dates are author-set and that history </w:t>
      </w:r>
      <w:r>
        <w:rPr>
          <w:i/>
          <w:iCs/>
        </w:rPr>
        <w:t xml:space="preserve">can</w:t>
      </w:r>
      <w:r>
        <w:t xml:space="preserve"> be rewritten by a force-push. </w:t>
      </w:r>
      <w:r>
        <w:rPr>
          <w:b/>
          <w:bCs/>
        </w:rPr>
        <w:t xml:space="preserve">It was rewritten</w:t>
      </w:r>
      <w:r>
        <w:t xml:space="preserve">, on 25 September 2026 at around 22:22, and the rewrite invalidated the two commit hashes this pre-registration cites as its anchor.</w:t>
      </w:r>
    </w:p>
    <w:p>
      <w:pPr>
        <w:pStyle w:val="Heading2"/>
        <w:spacing w:after="100" w:before="200"/>
      </w:pPr>
      <w:r>
        <w:rPr>
          <w:b/>
          <w:bCs/>
          <w:color w:val="000000"/>
          <w:sz w:val="22"/>
          <w:szCs w:val="22"/>
        </w:rPr>
        <w:t xml:space="preserve">What was found, and how</w:t>
      </w:r>
    </w:p>
    <w:p>
      <w:pPr>
        <w:spacing w:after="140"/>
        <w:jc w:val="left"/>
      </w:pPr>
      <w:r>
        <w:t xml:space="preserve">While diffing a 311 MB backup folder before deleting it, the backup's HEAD commit </w:t>
      </w:r>
      <w:r>
        <w:rPr>
          <w:rFonts w:ascii="Consolas" w:cs="Consolas" w:eastAsia="Consolas" w:hAnsi="Consolas"/>
          <w:sz w:val="19"/>
          <w:szCs w:val="19"/>
        </w:rPr>
        <w:t xml:space="preserve">b5bf0431</w:t>
      </w:r>
      <w:r>
        <w:t xml:space="preserve"> turned out not to exist in the live repository at all -- </w:t>
      </w:r>
      <w:r>
        <w:rPr>
          <w:rFonts w:ascii="Consolas" w:cs="Consolas" w:eastAsia="Consolas" w:hAnsi="Consolas"/>
          <w:sz w:val="19"/>
          <w:szCs w:val="19"/>
        </w:rPr>
        <w:t xml:space="preserve">git cat-file</w:t>
      </w:r>
      <w:r>
        <w:t xml:space="preserve"> could not find the object. The two hashes named in </w:t>
      </w:r>
      <w:r>
        <w:rPr>
          <w:rFonts w:ascii="Consolas" w:cs="Consolas" w:eastAsia="Consolas" w:hAnsi="Consolas"/>
          <w:sz w:val="19"/>
          <w:szCs w:val="19"/>
        </w:rPr>
        <w:t xml:space="preserve">pre-registration.md</w:t>
      </w:r>
      <w:r>
        <w:t xml:space="preserve"> line 5 were then checked:</w:t>
      </w:r>
    </w:p>
    <w:p>
      <w:pPr>
        <w:spacing w:after="40" w:before="40"/>
        <w:ind w:left="360"/>
      </w:pPr>
      <w:r>
        <w:rPr>
          <w:rFonts w:ascii="Consolas" w:cs="Consolas" w:eastAsia="Consolas" w:hAnsi="Consolas"/>
          <w:sz w:val="19"/>
          <w:szCs w:val="19"/>
        </w:rPr>
        <w:t xml:space="preserve">$ git cat-file -t a8bafbb</w:t>
      </w:r>
    </w:p>
    <w:p>
      <w:pPr>
        <w:spacing w:after="40" w:before="40"/>
        <w:ind w:left="360"/>
      </w:pPr>
      <w:r>
        <w:rPr>
          <w:rFonts w:ascii="Consolas" w:cs="Consolas" w:eastAsia="Consolas" w:hAnsi="Consolas"/>
          <w:sz w:val="19"/>
          <w:szCs w:val="19"/>
        </w:rPr>
        <w:t xml:space="preserve">fatal: Not a valid object name a8bafbb</w:t>
      </w:r>
    </w:p>
    <w:p>
      <w:pPr>
        <w:spacing w:after="40" w:before="40"/>
        <w:ind w:left="360"/>
      </w:pPr>
      <w:r>
        <w:rPr>
          <w:rFonts w:ascii="Consolas" w:cs="Consolas" w:eastAsia="Consolas" w:hAnsi="Consolas"/>
          <w:sz w:val="19"/>
          <w:szCs w:val="19"/>
        </w:rPr>
        <w:t xml:space="preserve">$ git cat-file -t 61f7db9</w:t>
      </w:r>
    </w:p>
    <w:p>
      <w:pPr>
        <w:spacing w:after="40" w:before="40"/>
        <w:ind w:left="360"/>
      </w:pPr>
      <w:r>
        <w:rPr>
          <w:rFonts w:ascii="Consolas" w:cs="Consolas" w:eastAsia="Consolas" w:hAnsi="Consolas"/>
          <w:sz w:val="19"/>
          <w:szCs w:val="19"/>
        </w:rPr>
        <w:t xml:space="preserve">fatal: Not a valid object name 61f7db9</w:t>
      </w:r>
    </w:p>
    <w:p>
      <w:pPr>
        <w:spacing w:after="120"/>
      </w:pPr>
    </w:p>
    <w:p>
      <w:pPr>
        <w:spacing w:after="140"/>
        <w:jc w:val="left"/>
      </w:pPr>
      <w:r>
        <w:t xml:space="preserve">Both are absent. The line reading </w:t>
      </w:r>
      <w:r>
        <w:rPr>
          <w:b/>
          <w:bCs/>
        </w:rPr>
        <w:t xml:space="preserve">"both are on `main` and public"</w:t>
      </w:r>
      <w:r>
        <w:t xml:space="preserve"> was false from 25 September until this record, in the same document and the same paragraph as the OSF claim the first amendment corrects. That is </w:t>
      </w:r>
      <w:r>
        <w:rPr>
          <w:b/>
          <w:bCs/>
        </w:rPr>
        <w:t xml:space="preserve">three false provenance statements</w:t>
      </w:r>
      <w:r>
        <w:t xml:space="preserve"> in a document whose purpose is to establish provenance.</w:t>
      </w:r>
    </w:p>
    <w:p>
      <w:pPr>
        <w:pStyle w:val="Heading2"/>
        <w:spacing w:after="100" w:before="200"/>
      </w:pPr>
      <w:r>
        <w:rPr>
          <w:b/>
          <w:bCs/>
          <w:color w:val="000000"/>
          <w:sz w:val="22"/>
          <w:szCs w:val="22"/>
        </w:rPr>
        <w:t xml:space="preserve">What the rewrite actually was</w:t>
      </w:r>
    </w:p>
    <w:p>
      <w:pPr>
        <w:spacing w:after="140"/>
        <w:jc w:val="left"/>
      </w:pPr>
      <w:r>
        <w:t xml:space="preserve">Every sha differs between the two histories, including the root commit, while messages, order, author, author dates and committer dates are all identical to the second. For a root commit with an identical tree that is only possible if the message body differs, and it does:</w:t>
      </w:r>
    </w:p>
    <w:p>
      <w:pPr>
        <w:pStyle w:val="ListParagraph"/>
        <w:numPr>
          <w:ilvl w:val="0"/>
          <w:numId w:val="1"/>
        </w:numPr>
        <w:spacing w:after="80"/>
      </w:pPr>
      <w:r>
        <w:t xml:space="preserve">pre-rewrite root </w:t>
      </w:r>
      <w:r>
        <w:rPr>
          <w:rFonts w:ascii="Consolas" w:cs="Consolas" w:eastAsia="Consolas" w:hAnsi="Consolas"/>
          <w:sz w:val="19"/>
          <w:szCs w:val="19"/>
        </w:rPr>
        <w:t xml:space="preserve">ef997fa</w:t>
      </w:r>
      <w:r>
        <w:t xml:space="preserve"> ends with </w:t>
      </w:r>
      <w:r>
        <w:rPr>
          <w:rFonts w:ascii="Consolas" w:cs="Consolas" w:eastAsia="Consolas" w:hAnsi="Consolas"/>
          <w:sz w:val="19"/>
          <w:szCs w:val="19"/>
        </w:rPr>
        <w:t xml:space="preserve">Co-Authored-By: Claude Opus 5</w:t>
      </w:r>
      <w:r>
        <w:t xml:space="preserve"> and a</w:t>
      </w:r>
    </w:p>
    <w:p>
      <w:pPr>
        <w:spacing w:after="140"/>
        <w:jc w:val="left"/>
      </w:pPr>
      <w:r>
        <w:rPr>
          <w:rFonts w:ascii="Consolas" w:cs="Consolas" w:eastAsia="Consolas" w:hAnsi="Consolas"/>
          <w:sz w:val="19"/>
          <w:szCs w:val="19"/>
        </w:rPr>
        <w:t xml:space="preserve">Claude-Session:</w:t>
      </w:r>
      <w:r>
        <w:t xml:space="preserve"> line;</w:t>
      </w:r>
    </w:p>
    <w:p>
      <w:pPr>
        <w:pStyle w:val="ListParagraph"/>
        <w:numPr>
          <w:ilvl w:val="0"/>
          <w:numId w:val="1"/>
        </w:numPr>
        <w:spacing w:after="80"/>
      </w:pPr>
      <w:r>
        <w:t xml:space="preserve">current root </w:t>
      </w:r>
      <w:r>
        <w:rPr>
          <w:rFonts w:ascii="Consolas" w:cs="Consolas" w:eastAsia="Consolas" w:hAnsi="Consolas"/>
          <w:sz w:val="19"/>
          <w:szCs w:val="19"/>
        </w:rPr>
        <w:t xml:space="preserve">aada1c3</w:t>
      </w:r>
      <w:r>
        <w:t xml:space="preserve"> ends with </w:t>
      </w:r>
      <w:r>
        <w:rPr>
          <w:rFonts w:ascii="Consolas" w:cs="Consolas" w:eastAsia="Consolas" w:hAnsi="Consolas"/>
          <w:sz w:val="19"/>
          <w:szCs w:val="19"/>
        </w:rPr>
        <w:t xml:space="preserve">Author: Nagesh Jonnalagadda</w:t>
      </w:r>
      <w:r>
        <w:t xml:space="preserve"> and</w:t>
      </w:r>
    </w:p>
    <w:p>
      <w:pPr>
        <w:spacing w:after="140"/>
        <w:jc w:val="left"/>
      </w:pPr>
      <w:r>
        <w:rPr>
          <w:rFonts w:ascii="Consolas" w:cs="Consolas" w:eastAsia="Consolas" w:hAnsi="Consolas"/>
          <w:sz w:val="19"/>
          <w:szCs w:val="19"/>
        </w:rPr>
        <w:t xml:space="preserve">Repository:</w:t>
      </w:r>
      <w:r>
        <w:t xml:space="preserve"> instead.</w:t>
      </w:r>
    </w:p>
    <w:p>
      <w:pPr>
        <w:spacing w:after="140"/>
        <w:jc w:val="left"/>
      </w:pPr>
      <w:r>
        <w:rPr>
          <w:b/>
          <w:bCs/>
        </w:rPr>
        <w:t xml:space="preserve">The rewrite stripped the AI co-authorship trailers from every commit in the history.</w:t>
      </w:r>
      <w:r>
        <w:t xml:space="preserve"> Nothing else changed: the root trees are byte-identical, no blob over 200 KB exists in the old history, no credential-shaped path was ever committed, and </w:t>
      </w:r>
      <w:r>
        <w:rPr>
          <w:rFonts w:ascii="Consolas" w:cs="Consolas" w:eastAsia="Consolas" w:hAnsi="Consolas"/>
          <w:sz w:val="19"/>
          <w:szCs w:val="19"/>
        </w:rPr>
        <w:t xml:space="preserve">data/raw</w:t>
      </w:r>
      <w:r>
        <w:t xml:space="preserve"> was never in version control. The content of this project is provably unaltered by the rewrite.</w:t>
      </w:r>
    </w:p>
    <w:p>
      <w:pPr>
        <w:spacing w:after="140"/>
        <w:jc w:val="left"/>
      </w:pPr>
      <w:r>
        <w:t xml:space="preserve">So a commit-message edit -- cosmetic in intent -- invalidated every hash in the project, including the two the pre-registration depends on, and nobody noticed for four days.</w:t>
      </w:r>
    </w:p>
    <w:p>
      <w:pPr>
        <w:pStyle w:val="Heading2"/>
        <w:spacing w:after="100" w:before="200"/>
      </w:pPr>
      <w:r>
        <w:rPr>
          <w:b/>
          <w:bCs/>
          <w:color w:val="000000"/>
          <w:sz w:val="22"/>
          <w:szCs w:val="22"/>
        </w:rPr>
        <w:t xml:space="preserve">What the assistant did, which made it worse</w:t>
      </w:r>
    </w:p>
    <w:p>
      <w:pPr>
        <w:spacing w:after="140"/>
        <w:jc w:val="left"/>
      </w:pPr>
      <w:r>
        <w:t xml:space="preserve">Commits from 26 to 29 September carry </w:t>
      </w:r>
      <w:r>
        <w:rPr>
          <w:rFonts w:ascii="Consolas" w:cs="Consolas" w:eastAsia="Consolas" w:hAnsi="Consolas"/>
          <w:sz w:val="19"/>
          <w:szCs w:val="19"/>
        </w:rPr>
        <w:t xml:space="preserve">Co-Authored-By: Claude Opus 5</w:t>
      </w:r>
      <w:r>
        <w:t xml:space="preserve"> again. The assistant reinstated by default the exact trailers the rewrite had removed, across roughly thirty commits, without either party noticing. The repository ran two attribution conventions either side of 25 September and nobody chose that.</w:t>
      </w:r>
    </w:p>
    <w:p>
      <w:pPr>
        <w:spacing w:after="140"/>
        <w:jc w:val="left"/>
      </w:pPr>
      <w:r>
        <w:t xml:space="preserve">Resolved 29 September: </w:t>
      </w:r>
      <w:r>
        <w:rPr>
          <w:b/>
          <w:bCs/>
        </w:rPr>
        <w:t xml:space="preserve">prose only</w:t>
      </w:r>
      <w:r>
        <w:t xml:space="preserve">. The README's AI-use section is the declaration; no trailers from this point. The 26 to 29 September stretch is left as it stands and documented rather than rewritten, because rewriting is what caused this record to be necessary.</w:t>
      </w:r>
    </w:p>
    <w:p>
      <w:pPr>
        <w:pStyle w:val="Heading2"/>
        <w:spacing w:after="100" w:before="200"/>
      </w:pPr>
      <w:r>
        <w:rPr>
          <w:b/>
          <w:bCs/>
          <w:color w:val="000000"/>
          <w:sz w:val="22"/>
          <w:szCs w:val="22"/>
        </w:rPr>
        <w:t xml:space="preserve">What is preserved, and what is not claimed</w:t>
      </w:r>
    </w:p>
    <w:p>
      <w:pPr>
        <w:spacing w:after="140"/>
        <w:jc w:val="left"/>
      </w:pPr>
      <w:r>
        <w:t xml:space="preserve">The pre-rewrite history survives as the local branch </w:t>
      </w:r>
      <w:r>
        <w:rPr>
          <w:rFonts w:ascii="Consolas" w:cs="Consolas" w:eastAsia="Consolas" w:hAnsi="Consolas"/>
          <w:sz w:val="19"/>
          <w:szCs w:val="19"/>
        </w:rPr>
        <w:t xml:space="preserve">prerewrite-20260925</w:t>
      </w:r>
      <w:r>
        <w:t xml:space="preserve">, 25 commits, fetched from the backup. Both cited hashes resolve there. It is </w:t>
      </w:r>
      <w:r>
        <w:rPr>
          <w:b/>
          <w:bCs/>
        </w:rPr>
        <w:t xml:space="preserve">not published</w:t>
      </w:r>
      <w:r>
        <w:t xml:space="preserve">: pushing it would restore to the public repository the trailers the rewrite deliberately removed. So the pre-registration now cites hashes that exist on one machine, in a branch recovered by accident from a folder that had been moved to </w:t>
      </w:r>
      <w:r>
        <w:rPr>
          <w:rFonts w:ascii="Consolas" w:cs="Consolas" w:eastAsia="Consolas" w:hAnsi="Consolas"/>
          <w:sz w:val="19"/>
          <w:szCs w:val="19"/>
        </w:rPr>
        <w:t xml:space="preserve">_to_delete</w:t>
      </w:r>
      <w:r>
        <w:t xml:space="preserve"> the same evening.</w:t>
      </w:r>
    </w:p>
    <w:p>
      <w:pPr>
        <w:spacing w:after="140"/>
        <w:jc w:val="left"/>
      </w:pPr>
      <w:r>
        <w:rPr>
          <w:b/>
          <w:bCs/>
        </w:rPr>
        <w:t xml:space="preserve">That is the weakest possible form of the claim and it is stated plainly rather than dressed up.</w:t>
      </w:r>
      <w:r>
        <w:t xml:space="preserve"> Combined with the first two amendments -- no external registration, and no Software Heritage snapshot -- the position is: this project's ordering evidence rests entirely on an author-controlled history that has already been rewritten once, whose original form was nearly deleted tonight and now exists in a single local copy.</w:t>
      </w:r>
    </w:p>
    <w:p>
      <w:pPr>
        <w:pStyle w:val="Heading2"/>
        <w:spacing w:after="100" w:before="200"/>
      </w:pPr>
      <w:r>
        <w:rPr>
          <w:b/>
          <w:bCs/>
          <w:color w:val="000000"/>
          <w:sz w:val="22"/>
          <w:szCs w:val="22"/>
        </w:rPr>
        <w:t xml:space="preserve">What this does not change</w:t>
      </w:r>
    </w:p>
    <w:p>
      <w:pPr>
        <w:spacing w:after="140"/>
        <w:jc w:val="left"/>
      </w:pPr>
      <w:r>
        <w:t xml:space="preserve">No hypothesis, threshold, decision rule, power figure or result. The content is provably identical across the rewrite. What changes is what may be claimed about when things were written, and the honest answer is now: less than D5, D7, D8 and D9 imply, and the reader should weigh those records accordingly.</w:t>
      </w:r>
    </w:p>
    <w:p>
      <w:pPr>
        <w:spacing w:after="140"/>
        <w:jc w:val="left"/>
      </w:pPr>
      <w:r>
        <w:rPr>
          <w:b/>
          <w:bCs/>
        </w:rPr>
        <w:t xml:space="preserve">How it was found is the part worth keeping.</w:t>
      </w:r>
      <w:r>
        <w:t xml:space="preserve"> Not by any check in this project, which has an audit protocol, a mutation harness and 426 tests. By a diff run on a backup folder because deleting 311 MB on an unverified assurance seemed like the kind of unchecked claim the day had already been about, twice.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2026-09-29T20:39:10.130Z</dcterms:created>
  <dcterms:modified xsi:type="dcterms:W3CDTF">2026-09-29T20:39:10.130Z</dcterms:modified>
</cp:coreProperties>
</file>

<file path=docProps/custom.xml><?xml version="1.0" encoding="utf-8"?>
<Properties xmlns="http://schemas.openxmlformats.org/officeDocument/2006/custom-properties" xmlns:vt="http://schemas.openxmlformats.org/officeDocument/2006/docPropsVTypes"/>
</file>