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666666"/>
          <w:sz w:val="16"/>
        </w:rPr>
        <w:t>DRAFT - AI-ASSISTED</w:t>
      </w:r>
    </w:p>
    <w:p>
      <w:pPr>
        <w:autoSpaceDN w:val="0"/>
        <w:autoSpaceDE w:val="0"/>
        <w:widowControl/>
        <w:spacing w:line="240" w:lineRule="auto" w:before="100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90850" cy="1104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0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2" w:lineRule="auto" w:before="376" w:after="0"/>
        <w:ind w:left="28" w:right="0" w:firstLine="0"/>
        <w:jc w:val="left"/>
      </w:pPr>
      <w:r>
        <w:rPr>
          <w:rFonts w:ascii="Larken" w:hAnsi="Larken" w:eastAsia="Larken"/>
          <w:b w:val="0"/>
          <w:i w:val="0"/>
          <w:color w:val="15305D"/>
          <w:sz w:val="52"/>
        </w:rPr>
        <w:t xml:space="preserve">Individual Assessment Coversheet </w:t>
      </w:r>
    </w:p>
    <w:p>
      <w:pPr>
        <w:autoSpaceDN w:val="0"/>
        <w:tabs>
          <w:tab w:pos="2014" w:val="left"/>
        </w:tabs>
        <w:autoSpaceDE w:val="0"/>
        <w:widowControl/>
        <w:spacing w:line="194" w:lineRule="exact" w:before="348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To be attached to the front of the assessment.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Mowbray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Campus: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__________________________________________________________________________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Information Technology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Faculty: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__________________________________________________________________________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ITEPA3-33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Module Code: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__________________________________________________________________________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Individual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Group: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__________________________________________________________________________ </w:t>
      </w:r>
    </w:p>
    <w:p>
      <w:pPr>
        <w:autoSpaceDN w:val="0"/>
        <w:tabs>
          <w:tab w:pos="2014" w:val="left"/>
        </w:tabs>
        <w:autoSpaceDE w:val="0"/>
        <w:widowControl/>
        <w:spacing w:line="152" w:lineRule="exact" w:before="194" w:after="4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Lecturer’s Name: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__________________________________________________________________________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Joshua Nehohwa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Student Full Name: __________________________________________________________________________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EDUV4948467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5203"/>
        <w:gridCol w:w="5203"/>
      </w:tblGrid>
      <w:tr>
        <w:trPr>
          <w:trHeight w:hRule="exact" w:val="286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Student Number: 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__________________________________________________________________________ </w:t>
            </w:r>
          </w:p>
        </w:tc>
      </w:tr>
    </w:tbl>
    <w:p>
      <w:pPr>
        <w:autoSpaceDN w:val="0"/>
        <w:autoSpaceDE w:val="0"/>
        <w:widowControl/>
        <w:spacing w:line="4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469"/>
        <w:gridCol w:w="3469"/>
        <w:gridCol w:w="3469"/>
      </w:tblGrid>
      <w:tr>
        <w:trPr>
          <w:trHeight w:hRule="exact" w:val="288"/>
        </w:trPr>
        <w:tc>
          <w:tcPr>
            <w:tcW w:type="dxa" w:w="355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152f5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Indicate </w:t>
            </w:r>
          </w:p>
        </w:tc>
        <w:tc>
          <w:tcPr>
            <w:tcW w:type="dxa" w:w="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52f5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Yes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52f5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No </w:t>
            </w:r>
          </w:p>
        </w:tc>
      </w:tr>
      <w:tr>
        <w:trPr>
          <w:trHeight w:hRule="exact" w:val="286"/>
        </w:trPr>
        <w:tc>
          <w:tcPr>
            <w:tcW w:type="dxa" w:w="355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152f5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Plagiarism report attached </w:t>
            </w:r>
          </w:p>
        </w:tc>
        <w:tc>
          <w:tcPr>
            <w:tcW w:type="dxa" w:w="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350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Declaration: </w:t>
      </w:r>
    </w:p>
    <w:p>
      <w:pPr>
        <w:autoSpaceDN w:val="0"/>
        <w:autoSpaceDE w:val="0"/>
        <w:widowControl/>
        <w:spacing w:line="180" w:lineRule="exact" w:before="122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 declare that this assessment is my own original work except for source material explicitly acknowledged. I also declare that this assessment or </w:t>
      </w:r>
    </w:p>
    <w:p>
      <w:pPr>
        <w:autoSpaceDN w:val="0"/>
        <w:autoSpaceDE w:val="0"/>
        <w:widowControl/>
        <w:spacing w:line="180" w:lineRule="exact" w:before="96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any other of my original work related to it has not been previously, or is not being simultaneously, submitted for this or any other course. I am </w:t>
      </w:r>
    </w:p>
    <w:p>
      <w:pPr>
        <w:autoSpaceDN w:val="0"/>
        <w:autoSpaceDE w:val="0"/>
        <w:widowControl/>
        <w:spacing w:line="178" w:lineRule="exact" w:before="98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aware of the AI policy and acknowledge that I have not used any AI technology to generate or manipulate data, other than as permitted by the </w:t>
      </w:r>
    </w:p>
    <w:p>
      <w:pPr>
        <w:autoSpaceDN w:val="0"/>
        <w:autoSpaceDE w:val="0"/>
        <w:widowControl/>
        <w:spacing w:line="178" w:lineRule="exact" w:before="98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assessment instructions. I also declare that I am aware of the Institution’s policy and regulations on honesty in academic work as set out in the </w:t>
      </w:r>
    </w:p>
    <w:p>
      <w:pPr>
        <w:autoSpaceDN w:val="0"/>
        <w:autoSpaceDE w:val="0"/>
        <w:widowControl/>
        <w:spacing w:line="178" w:lineRule="exact" w:before="98" w:after="432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Conditions of Enrolment, and of the disciplinary guidelines applicable to breaches of such policy and regulations.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203"/>
        <w:gridCol w:w="5203"/>
      </w:tblGrid>
      <w:tr>
        <w:trPr>
          <w:trHeight w:hRule="exact" w:val="864"/>
        </w:trPr>
        <w:tc>
          <w:tcPr>
            <w:tcW w:type="dxa" w:w="52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Signature </w:t>
            </w:r>
          </w:p>
        </w:tc>
        <w:tc>
          <w:tcPr>
            <w:tcW w:type="dxa" w:w="507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 </w:t>
            </w:r>
          </w:p>
        </w:tc>
      </w:tr>
    </w:tbl>
    <w:p>
      <w:pPr>
        <w:autoSpaceDN w:val="0"/>
        <w:autoSpaceDE w:val="0"/>
        <w:widowControl/>
        <w:spacing w:line="233" w:lineRule="auto" w:before="350" w:after="116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Lecturer’s Comments: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0407"/>
      </w:tblGrid>
      <w:tr>
        <w:trPr>
          <w:trHeight w:hRule="exact" w:val="1772"/>
        </w:trPr>
        <w:tc>
          <w:tcPr>
            <w:tcW w:type="dxa" w:w="10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0407"/>
      </w:tblGrid>
      <w:tr>
        <w:trPr>
          <w:trHeight w:hRule="exact" w:val="580"/>
        </w:trPr>
        <w:tc>
          <w:tcPr>
            <w:tcW w:type="dxa" w:w="10348"/>
            <w:tcBorders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990" w:val="left"/>
              </w:tabs>
              <w:autoSpaceDE w:val="0"/>
              <w:widowControl/>
              <w:spacing w:line="233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Marks Awarded: </w:t>
            </w:r>
            <w:r>
              <w:tab/>
            </w:r>
            <w:r>
              <w:rPr>
                <w:w w:val="98.34712028503418"/>
                <w:rFonts w:ascii="Arial" w:hAnsi="Arial" w:eastAsia="Arial"/>
                <w:b/>
                <w:i w:val="0"/>
                <w:color w:val="000000"/>
                <w:sz w:val="20"/>
              </w:rPr>
              <w:t>%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5203"/>
        <w:gridCol w:w="5203"/>
      </w:tblGrid>
      <w:tr>
        <w:trPr>
          <w:trHeight w:hRule="exact" w:val="860"/>
        </w:trPr>
        <w:tc>
          <w:tcPr>
            <w:tcW w:type="dxa" w:w="5266"/>
            <w:tcBorders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Signature </w:t>
            </w:r>
          </w:p>
        </w:tc>
        <w:tc>
          <w:tcPr>
            <w:tcW w:type="dxa" w:w="507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 </w:t>
            </w:r>
          </w:p>
        </w:tc>
      </w:tr>
    </w:tbl>
    <w:p>
      <w:pPr>
        <w:autoSpaceDN w:val="0"/>
        <w:autoSpaceDE w:val="0"/>
        <w:widowControl/>
        <w:spacing w:line="162" w:lineRule="exact" w:before="456" w:after="0"/>
        <w:ind w:left="28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Eduvos (Pty) Ltd. (formerly Pearson Institute of Higher Education) is registered with the Department of Higher Education and Training as a private higher education </w:t>
      </w:r>
      <w:r>
        <w:rPr>
          <w:rFonts w:ascii="ArialMT" w:hAnsi="ArialMT" w:eastAsia="ArialMT"/>
          <w:b w:val="0"/>
          <w:i w:val="0"/>
          <w:color w:val="000000"/>
          <w:sz w:val="14"/>
        </w:rPr>
        <w:t>institution under the Higher Education Act, 101, of 1997. Registration Certificate number: 2001/HE07/008</w:t>
      </w:r>
    </w:p>
    <w:p>
      <w:pPr>
        <w:sectPr>
          <w:pgSz w:w="11909" w:h="16834"/>
          <w:pgMar w:top="288" w:right="736" w:bottom="352" w:left="7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76" w:right="144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ITEPA3-33 Practical Assignment: EduCore Enterprise </w:t>
      </w:r>
      <w:r>
        <w:rPr>
          <w:rFonts w:ascii="Arial" w:hAnsi="Arial" w:eastAsia="Arial"/>
          <w:b/>
          <w:i w:val="0"/>
          <w:color w:val="000000"/>
          <w:sz w:val="34"/>
        </w:rPr>
        <w:t>Application</w:t>
      </w:r>
    </w:p>
    <w:p>
      <w:pPr>
        <w:autoSpaceDN w:val="0"/>
        <w:autoSpaceDE w:val="0"/>
        <w:widowControl/>
        <w:spacing w:line="200" w:lineRule="exact" w:before="128" w:after="114"/>
        <w:ind w:left="17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Python enterprise application prototype, evidence and design evaluation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332"/>
      </w:tblGrid>
      <w:tr>
        <w:trPr>
          <w:trHeight w:hRule="exact" w:val="400"/>
        </w:trPr>
        <w:tc>
          <w:tcPr>
            <w:tcW w:type="dxa" w:w="1016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555555"/>
                <w:sz w:val="16"/>
              </w:rPr>
              <w:t>WORKING DRAFT - AI ASSISTANCE IS DISCLOSED IN THE REPORT AND AI USE LOG</w:t>
            </w:r>
          </w:p>
        </w:tc>
      </w:tr>
    </w:tbl>
    <w:p>
      <w:pPr>
        <w:autoSpaceDN w:val="0"/>
        <w:autoSpaceDE w:val="0"/>
        <w:widowControl/>
        <w:spacing w:line="209" w:lineRule="auto" w:before="144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Executive summary</w:t>
      </w:r>
    </w:p>
    <w:p>
      <w:pPr>
        <w:autoSpaceDN w:val="0"/>
        <w:autoSpaceDE w:val="0"/>
        <w:widowControl/>
        <w:spacing w:line="270" w:lineRule="exact" w:before="100" w:after="0"/>
        <w:ind w:left="17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EduCore is a Python enterprise-application prototype for a growing South African training provider. It centralises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learners, courses, registrations, assessments and support tickets while demonstrating maintainable object-oriented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design, three enterprise design patterns, thread-safe concurrent processing, structured monitoring, automated testing, </w:t>
      </w:r>
      <w:r>
        <w:rPr>
          <w:rFonts w:ascii="ArialMT" w:hAnsi="ArialMT" w:eastAsia="ArialMT"/>
          <w:b w:val="0"/>
          <w:i w:val="0"/>
          <w:color w:val="000000"/>
          <w:sz w:val="19"/>
        </w:rPr>
        <w:t>profiling and a migration path to microservices.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332"/>
      </w:tblGrid>
      <w:tr>
        <w:trPr>
          <w:trHeight w:hRule="exact" w:val="1400"/>
        </w:trPr>
        <w:tc>
          <w:tcPr>
            <w:tcW w:type="dxa" w:w="10280"/>
            <w:tcBorders>
              <w:start w:sz="8.0" w:val="single" w:color="#B6B6B6"/>
              <w:top w:sz="8.0" w:val="single" w:color="#B6B6B6"/>
              <w:end w:sz="8.0" w:val="single" w:color="#B6B6B6"/>
              <w:bottom w:sz="8.0" w:val="single" w:color="#B6B6B6"/>
            </w:tcBorders>
            <w:shd w:fill="f2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12" w:after="0"/>
              <w:ind w:left="15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The implementation is deliberately modular. Domain entities contain validation and business meaning; services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coordinate workflows; strategies and factories isolate variable behaviour; and Bugzot captures operational evidence.</w:t>
            </w:r>
          </w:p>
          <w:p>
            <w:pPr>
              <w:autoSpaceDN w:val="0"/>
              <w:autoSpaceDE w:val="0"/>
              <w:widowControl/>
              <w:spacing w:line="270" w:lineRule="exact" w:before="0" w:after="0"/>
              <w:ind w:left="150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The final test run completed 32 tests successfully with 92% measured coverage. A contention test confirmed that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concurrent registration never exceeded course capacity and did not create duplicate records.</w:t>
            </w:r>
          </w:p>
        </w:tc>
      </w:tr>
    </w:tbl>
    <w:p>
      <w:pPr>
        <w:autoSpaceDN w:val="0"/>
        <w:autoSpaceDE w:val="0"/>
        <w:widowControl/>
        <w:spacing w:line="209" w:lineRule="auto" w:before="80" w:after="10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3444"/>
        <w:gridCol w:w="3444"/>
        <w:gridCol w:w="3444"/>
      </w:tblGrid>
      <w:tr>
        <w:trPr>
          <w:trHeight w:hRule="exact" w:val="400"/>
        </w:trPr>
        <w:tc>
          <w:tcPr>
            <w:tcW w:type="dxa" w:w="1246"/>
            <w:tcBorders/>
            <w:shd w:fill="11335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46"/>
            </w:tblGrid>
            <w:tr>
              <w:trPr>
                <w:trHeight w:hRule="exact" w:val="380"/>
              </w:trPr>
              <w:tc>
                <w:tcPr>
                  <w:tcW w:type="dxa" w:w="940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4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Section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46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Assessment area</w:t>
            </w:r>
          </w:p>
        </w:tc>
        <w:tc>
          <w:tcPr>
            <w:tcW w:type="dxa" w:w="1248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Marks</w:t>
            </w:r>
          </w:p>
        </w:tc>
      </w:tr>
      <w:tr>
        <w:trPr>
          <w:trHeight w:hRule="exact" w:val="400"/>
        </w:trPr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7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Domain model and design patterns</w:t>
            </w:r>
          </w:p>
        </w:tc>
        <w:tc>
          <w:tcPr>
            <w:tcW w:type="dxa" w:w="12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20</w:t>
            </w:r>
          </w:p>
        </w:tc>
      </w:tr>
      <w:tr>
        <w:trPr>
          <w:trHeight w:hRule="exact" w:val="400"/>
        </w:trPr>
        <w:tc>
          <w:tcPr>
            <w:tcW w:type="dxa" w:w="1246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46"/>
            </w:tblGrid>
            <w:tr>
              <w:trPr>
                <w:trHeight w:hRule="exact" w:val="380"/>
              </w:trPr>
              <w:tc>
                <w:tcPr>
                  <w:tcW w:type="dxa" w:w="72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4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46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Registration, data modelling and concurrency</w:t>
            </w:r>
          </w:p>
        </w:tc>
        <w:tc>
          <w:tcPr>
            <w:tcW w:type="dxa" w:w="124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25</w:t>
            </w:r>
          </w:p>
        </w:tc>
      </w:tr>
      <w:tr>
        <w:trPr>
          <w:trHeight w:hRule="exact" w:val="400"/>
        </w:trPr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7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Bugzot, monitoring and optimisation</w:t>
            </w:r>
          </w:p>
        </w:tc>
        <w:tc>
          <w:tcPr>
            <w:tcW w:type="dxa" w:w="12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20</w:t>
            </w:r>
          </w:p>
        </w:tc>
      </w:tr>
      <w:tr>
        <w:trPr>
          <w:trHeight w:hRule="exact" w:val="400"/>
        </w:trPr>
        <w:tc>
          <w:tcPr>
            <w:tcW w:type="dxa" w:w="1246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46"/>
            </w:tblGrid>
            <w:tr>
              <w:trPr>
                <w:trHeight w:hRule="exact" w:val="380"/>
              </w:trPr>
              <w:tc>
                <w:tcPr>
                  <w:tcW w:type="dxa" w:w="72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4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46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Interface design and evaluation</w:t>
            </w:r>
          </w:p>
        </w:tc>
        <w:tc>
          <w:tcPr>
            <w:tcW w:type="dxa" w:w="124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15</w:t>
            </w:r>
          </w:p>
        </w:tc>
      </w:tr>
      <w:tr>
        <w:trPr>
          <w:trHeight w:hRule="exact" w:val="400"/>
        </w:trPr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7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Testing, profiling and microservices readiness</w:t>
            </w:r>
          </w:p>
        </w:tc>
        <w:tc>
          <w:tcPr>
            <w:tcW w:type="dxa" w:w="12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20</w:t>
            </w:r>
          </w:p>
        </w:tc>
      </w:tr>
      <w:tr>
        <w:trPr>
          <w:trHeight w:hRule="exact" w:val="400"/>
        </w:trPr>
        <w:tc>
          <w:tcPr>
            <w:tcW w:type="dxa" w:w="1246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46"/>
            </w:tblGrid>
            <w:tr>
              <w:trPr>
                <w:trHeight w:hRule="exact" w:val="380"/>
              </w:trPr>
              <w:tc>
                <w:tcPr>
                  <w:tcW w:type="dxa" w:w="100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4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Appendix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46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Execution, AI-use and references</w:t>
            </w:r>
          </w:p>
        </w:tc>
        <w:tc>
          <w:tcPr>
            <w:tcW w:type="dxa" w:w="124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9" w:lineRule="auto" w:before="230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System boundaries</w:t>
      </w:r>
    </w:p>
    <w:p>
      <w:pPr>
        <w:autoSpaceDN w:val="0"/>
        <w:autoSpaceDE w:val="0"/>
        <w:widowControl/>
        <w:spacing w:line="270" w:lineRule="exact" w:before="82" w:after="4614"/>
        <w:ind w:left="176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This submission is a working command-line prototype supported by interface mockups. Persistence remains in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memory so that the assessed enterprise mechanisms are visible and testable. The report distinguishes prototype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behaviour from future production requirements such as an external database, authentication, deployment and </w:t>
      </w:r>
      <w:r>
        <w:rPr>
          <w:rFonts w:ascii="ArialMT" w:hAnsi="ArialMT" w:eastAsia="ArialMT"/>
          <w:b w:val="0"/>
          <w:i w:val="0"/>
          <w:color w:val="000000"/>
          <w:sz w:val="19"/>
        </w:rPr>
        <w:t>distributed infrastructure.</w:t>
      </w:r>
    </w:p>
    <w:p>
      <w:pPr>
        <w:sectPr>
          <w:pgSz w:w="12240" w:h="15840"/>
          <w:pgMar w:top="552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52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nextColumn"/>
          <w:pgSz w:w="12240" w:h="15840"/>
          <w:pgMar w:top="552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1. Deliverable 1: Foundational components</w:t>
      </w:r>
    </w:p>
    <w:p>
      <w:pPr>
        <w:autoSpaceDN w:val="0"/>
        <w:autoSpaceDE w:val="0"/>
        <w:widowControl/>
        <w:spacing w:line="209" w:lineRule="auto" w:before="228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1.1 Domain model implementation</w:t>
      </w:r>
    </w:p>
    <w:p>
      <w:pPr>
        <w:autoSpaceDN w:val="0"/>
        <w:autoSpaceDE w:val="0"/>
        <w:widowControl/>
        <w:spacing w:line="270" w:lineRule="exact" w:before="82" w:after="158"/>
        <w:ind w:left="17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The domain model uses validated dataclasses with explicit state enums. Each class has one central responsibility and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exposes operations that preserve its invariants. Composition and identifier relationships keep entities understandable </w:t>
      </w:r>
      <w:r>
        <w:rPr>
          <w:rFonts w:ascii="ArialMT" w:hAnsi="ArialMT" w:eastAsia="ArialMT"/>
          <w:b w:val="0"/>
          <w:i w:val="0"/>
          <w:color w:val="000000"/>
          <w:sz w:val="19"/>
        </w:rPr>
        <w:t>without tightly coupling every object to every other object.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3444"/>
        <w:gridCol w:w="3444"/>
        <w:gridCol w:w="3444"/>
      </w:tblGrid>
      <w:tr>
        <w:trPr>
          <w:trHeight w:hRule="exact" w:val="400"/>
        </w:trPr>
        <w:tc>
          <w:tcPr>
            <w:tcW w:type="dxa" w:w="1532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Class</w:t>
            </w:r>
          </w:p>
        </w:tc>
        <w:tc>
          <w:tcPr>
            <w:tcW w:type="dxa" w:w="5158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Responsibility and main validation</w:t>
            </w:r>
          </w:p>
        </w:tc>
        <w:tc>
          <w:tcPr>
            <w:tcW w:type="dxa" w:w="3120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Relationship</w:t>
            </w:r>
          </w:p>
        </w:tc>
      </w:tr>
      <w:tr>
        <w:trPr>
          <w:trHeight w:hRule="exact" w:val="600"/>
        </w:trPr>
        <w:tc>
          <w:tcPr>
            <w:tcW w:type="dxa" w:w="15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Learner</w:t>
            </w:r>
          </w:p>
        </w:tc>
        <w:tc>
          <w:tcPr>
            <w:tcW w:type="dxa" w:w="51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Stores identity, normalises email and rejects missing or invalid values.</w:t>
            </w:r>
          </w:p>
        </w:tc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0" w:right="144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A learner participates in registrations and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owns support tickets.</w:t>
            </w:r>
          </w:p>
        </w:tc>
      </w:tr>
      <w:tr>
        <w:trPr>
          <w:trHeight w:hRule="exact" w:val="600"/>
        </w:trPr>
        <w:tc>
          <w:tcPr>
            <w:tcW w:type="dxa" w:w="1532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32"/>
            </w:tblGrid>
            <w:tr>
              <w:trPr>
                <w:trHeight w:hRule="exact" w:val="580"/>
              </w:trPr>
              <w:tc>
                <w:tcPr>
                  <w:tcW w:type="dxa" w:w="106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Course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5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Stores title and a strictly positive integer capacity.</w:t>
            </w:r>
          </w:p>
        </w:tc>
        <w:tc>
          <w:tcPr>
            <w:tcW w:type="dxa" w:w="3120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0" w:right="576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Tracks assessment identifiers and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receives registrations.</w:t>
            </w:r>
          </w:p>
        </w:tc>
      </w:tr>
      <w:tr>
        <w:trPr>
          <w:trHeight w:hRule="exact" w:val="600"/>
        </w:trPr>
        <w:tc>
          <w:tcPr>
            <w:tcW w:type="dxa" w:w="15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Registration</w:t>
            </w:r>
          </w:p>
        </w:tc>
        <w:tc>
          <w:tcPr>
            <w:tcW w:type="dxa" w:w="51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0" w:right="144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Immutable record containing learner, course, status and UTC creation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time.</w:t>
            </w:r>
          </w:p>
        </w:tc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Joins one learner to one course.</w:t>
            </w:r>
          </w:p>
        </w:tc>
      </w:tr>
      <w:tr>
        <w:trPr>
          <w:trHeight w:hRule="exact" w:val="600"/>
        </w:trPr>
        <w:tc>
          <w:tcPr>
            <w:tcW w:type="dxa" w:w="1532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32"/>
            </w:tblGrid>
            <w:tr>
              <w:trPr>
                <w:trHeight w:hRule="exact" w:val="582"/>
              </w:trPr>
              <w:tc>
                <w:tcPr>
                  <w:tcW w:type="dxa" w:w="124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Assessment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5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Validates title, maximum mark and score boundaries.</w:t>
            </w:r>
          </w:p>
        </w:tc>
        <w:tc>
          <w:tcPr>
            <w:tcW w:type="dxa" w:w="3120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0" w:right="144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Belongs to a course and delegates result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calculation to a strategy.</w:t>
            </w:r>
          </w:p>
        </w:tc>
      </w:tr>
      <w:tr>
        <w:trPr>
          <w:trHeight w:hRule="exact" w:val="600"/>
        </w:trPr>
        <w:tc>
          <w:tcPr>
            <w:tcW w:type="dxa" w:w="15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SupportTicket</w:t>
            </w:r>
          </w:p>
        </w:tc>
        <w:tc>
          <w:tcPr>
            <w:tcW w:type="dxa" w:w="51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Controls category, priority and open-to-resolved workflow.</w:t>
            </w:r>
          </w:p>
        </w:tc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0" w:right="576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Belongs to a learner and is created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through the factory.</w:t>
            </w:r>
          </w:p>
        </w:tc>
      </w:tr>
    </w:tbl>
    <w:p>
      <w:pPr>
        <w:autoSpaceDN w:val="0"/>
        <w:autoSpaceDE w:val="0"/>
        <w:widowControl/>
        <w:spacing w:line="384" w:lineRule="exact" w:before="40" w:after="0"/>
        <w:ind w:left="176" w:right="187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Object-oriented principles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-</w:t>
      </w:r>
      <w:r>
        <w:rPr>
          <w:rFonts w:ascii="ArialMT" w:hAnsi="ArialMT" w:eastAsia="ArialMT"/>
          <w:b w:val="0"/>
          <w:i w:val="0"/>
          <w:color w:val="000000"/>
          <w:sz w:val="19"/>
        </w:rPr>
        <w:t>Encapsulation: validation is performed inside domain constructors and state-changing methods.</w:t>
      </w:r>
    </w:p>
    <w:p>
      <w:pPr>
        <w:autoSpaceDN w:val="0"/>
        <w:autoSpaceDE w:val="0"/>
        <w:widowControl/>
        <w:spacing w:line="274" w:lineRule="exact" w:before="116" w:after="0"/>
        <w:ind w:left="1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-</w:t>
      </w:r>
      <w:r>
        <w:rPr>
          <w:rFonts w:ascii="ArialMT" w:hAnsi="ArialMT" w:eastAsia="ArialMT"/>
          <w:b w:val="0"/>
          <w:i w:val="0"/>
          <w:color w:val="000000"/>
          <w:sz w:val="19"/>
        </w:rPr>
        <w:t>Abstraction: assessment calculations depend on the AssessmentStrategy interface rather than a specific algorithm.</w:t>
      </w:r>
    </w:p>
    <w:p>
      <w:pPr>
        <w:autoSpaceDN w:val="0"/>
        <w:autoSpaceDE w:val="0"/>
        <w:widowControl/>
        <w:spacing w:line="390" w:lineRule="exact" w:before="0" w:after="0"/>
        <w:ind w:left="176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-</w:t>
      </w:r>
      <w:r>
        <w:rPr>
          <w:rFonts w:ascii="ArialMT" w:hAnsi="ArialMT" w:eastAsia="ArialMT"/>
          <w:b w:val="0"/>
          <w:i w:val="0"/>
          <w:color w:val="000000"/>
          <w:sz w:val="19"/>
        </w:rPr>
        <w:t>Polymorphism: each strategy provides the same calculate interface but returns its algorithm-specific result.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-</w:t>
      </w:r>
      <w:r>
        <w:rPr>
          <w:rFonts w:ascii="ArialMT" w:hAnsi="ArialMT" w:eastAsia="ArialMT"/>
          <w:b w:val="0"/>
          <w:i w:val="0"/>
          <w:color w:val="000000"/>
          <w:sz w:val="19"/>
        </w:rPr>
        <w:t>Single responsibility: registration workflow, monitoring and entity state are held in separate modules.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332"/>
      </w:tblGrid>
      <w:tr>
        <w:trPr>
          <w:trHeight w:hRule="exact" w:val="354"/>
        </w:trPr>
        <w:tc>
          <w:tcPr>
            <w:tcW w:type="dxa" w:w="1028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8" w:after="0"/>
              <w:ind w:left="16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course.add_assessment(assessment.assessment_id)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332"/>
      </w:tblGrid>
      <w:tr>
        <w:trPr>
          <w:trHeight w:hRule="exact" w:val="190"/>
        </w:trPr>
        <w:tc>
          <w:tcPr>
            <w:tcW w:type="dxa" w:w="798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10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registration = Registration(learner.learner_id, course.course_id)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332"/>
      </w:tblGrid>
      <w:tr>
        <w:trPr>
          <w:trHeight w:hRule="exact" w:val="190"/>
        </w:trPr>
        <w:tc>
          <w:tcPr>
            <w:tcW w:type="dxa" w:w="598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10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ticket.start_work()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332"/>
      </w:tblGrid>
      <w:tr>
        <w:trPr>
          <w:trHeight w:hRule="exact" w:val="244"/>
        </w:trPr>
        <w:tc>
          <w:tcPr>
            <w:tcW w:type="dxa" w:w="586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10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ticket.resolve()</w:t>
            </w:r>
          </w:p>
        </w:tc>
      </w:tr>
    </w:tbl>
    <w:p>
      <w:pPr>
        <w:autoSpaceDN w:val="0"/>
        <w:autoSpaceDE w:val="0"/>
        <w:widowControl/>
        <w:spacing w:line="240" w:lineRule="auto" w:before="1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197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19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112" w:after="0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5"/>
        </w:rPr>
        <w:t>Figure 1. Successful creation of related domain objects and execution of all required patterns.</w:t>
      </w:r>
    </w:p>
    <w:p>
      <w:pPr>
        <w:autoSpaceDN w:val="0"/>
        <w:autoSpaceDE w:val="0"/>
        <w:widowControl/>
        <w:spacing w:line="209" w:lineRule="auto" w:before="268" w:after="98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1.2 Design pattern implementation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3444"/>
        <w:gridCol w:w="3444"/>
        <w:gridCol w:w="3444"/>
      </w:tblGrid>
      <w:tr>
        <w:trPr>
          <w:trHeight w:hRule="exact" w:val="400"/>
        </w:trPr>
        <w:tc>
          <w:tcPr>
            <w:tcW w:type="dxa" w:w="1532"/>
            <w:tcBorders/>
            <w:shd w:fill="11335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32"/>
            </w:tblGrid>
            <w:tr>
              <w:trPr>
                <w:trHeight w:hRule="exact" w:val="380"/>
              </w:trPr>
              <w:tc>
                <w:tcPr>
                  <w:tcW w:type="dxa" w:w="1060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4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Pattern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56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6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Implementation</w:t>
            </w:r>
          </w:p>
        </w:tc>
        <w:tc>
          <w:tcPr>
            <w:tcW w:type="dxa" w:w="4422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6" w:after="0"/>
              <w:ind w:left="118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Enterprise relevance</w:t>
            </w:r>
          </w:p>
        </w:tc>
      </w:tr>
      <w:tr>
        <w:trPr>
          <w:trHeight w:hRule="exact" w:val="580"/>
        </w:trPr>
        <w:tc>
          <w:tcPr>
            <w:tcW w:type="dxa" w:w="15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6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Singleton</w:t>
            </w:r>
          </w:p>
        </w:tc>
        <w:tc>
          <w:tcPr>
            <w:tcW w:type="dxa" w:w="3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20" w:right="288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ApplicationConfig uses a class-level instance and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double-checked lock.</w:t>
            </w:r>
          </w:p>
        </w:tc>
        <w:tc>
          <w:tcPr>
            <w:tcW w:type="dxa" w:w="44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18" w:right="288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All services observe one configuration without repeated file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reads or inconsistent settings.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522"/>
        <w:ind w:left="0" w:right="0"/>
      </w:pPr>
    </w:p>
    <w:p>
      <w:pPr>
        <w:sectPr>
          <w:pgSz w:w="12240" w:h="15840"/>
          <w:pgMar w:top="544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4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nextColumn"/>
          <w:pgSz w:w="12240" w:h="15840"/>
          <w:pgMar w:top="54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3444"/>
        <w:gridCol w:w="3444"/>
        <w:gridCol w:w="3444"/>
      </w:tblGrid>
      <w:tr>
        <w:trPr>
          <w:trHeight w:hRule="exact" w:val="400"/>
        </w:trPr>
        <w:tc>
          <w:tcPr>
            <w:tcW w:type="dxa" w:w="1532"/>
            <w:tcBorders/>
            <w:shd w:fill="11335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32"/>
            </w:tblGrid>
            <w:tr>
              <w:trPr>
                <w:trHeight w:hRule="exact" w:val="378"/>
              </w:trPr>
              <w:tc>
                <w:tcPr>
                  <w:tcW w:type="dxa" w:w="1060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4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Pattern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54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6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Implementation</w:t>
            </w:r>
          </w:p>
        </w:tc>
        <w:tc>
          <w:tcPr>
            <w:tcW w:type="dxa" w:w="4422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6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Enterprise relevance</w:t>
            </w:r>
          </w:p>
        </w:tc>
      </w:tr>
      <w:tr>
        <w:trPr>
          <w:trHeight w:hRule="exact" w:val="600"/>
        </w:trPr>
        <w:tc>
          <w:tcPr>
            <w:tcW w:type="dxa" w:w="15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6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Factory</w:t>
            </w:r>
          </w:p>
        </w:tc>
        <w:tc>
          <w:tcPr>
            <w:tcW w:type="dxa" w:w="38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20" w:right="432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SupportTicketFactory maps ticket categories to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controlled priority defaults.</w:t>
            </w:r>
          </w:p>
        </w:tc>
        <w:tc>
          <w:tcPr>
            <w:tcW w:type="dxa" w:w="44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20" w:right="864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New ticket types can be added without scattering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construction rules through controllers.</w:t>
            </w:r>
          </w:p>
        </w:tc>
      </w:tr>
      <w:tr>
        <w:trPr>
          <w:trHeight w:hRule="exact" w:val="601"/>
        </w:trPr>
        <w:tc>
          <w:tcPr>
            <w:tcW w:type="dxa" w:w="1532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32"/>
            </w:tblGrid>
            <w:tr>
              <w:trPr>
                <w:trHeight w:hRule="exact" w:val="580"/>
              </w:trPr>
              <w:tc>
                <w:tcPr>
                  <w:tcW w:type="dxa" w:w="110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Strategy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54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20" w:right="576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WeightedAverage, BestAttempt and PassFail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implement AssessmentStrategy.</w:t>
            </w:r>
          </w:p>
        </w:tc>
        <w:tc>
          <w:tcPr>
            <w:tcW w:type="dxa" w:w="4422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20" w:right="144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Assessment policy can vary by programme without changing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the Assessment entity or calling workflow.</w:t>
            </w:r>
          </w:p>
        </w:tc>
      </w:tr>
    </w:tbl>
    <w:p>
      <w:pPr>
        <w:autoSpaceDN w:val="0"/>
        <w:autoSpaceDE w:val="0"/>
        <w:widowControl/>
        <w:spacing w:line="270" w:lineRule="exact" w:before="82" w:after="11374"/>
        <w:ind w:left="176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The Singleton lock protects first-time creation if multiple threads request configuration simultaneously. The Factory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rejects unsupported categories, while the Strategy implementations validate score and weight boundaries. The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demonstration proves that both configuration requests return the same object identity and that each algorithm </w:t>
      </w:r>
      <w:r>
        <w:rPr>
          <w:rFonts w:ascii="ArialMT" w:hAnsi="ArialMT" w:eastAsia="ArialMT"/>
          <w:b w:val="0"/>
          <w:i w:val="0"/>
          <w:color w:val="000000"/>
          <w:sz w:val="19"/>
        </w:rPr>
        <w:t>produces a distinct, correct result.</w:t>
      </w:r>
    </w:p>
    <w:p>
      <w:pPr>
        <w:sectPr>
          <w:pgSz w:w="12240" w:h="15840"/>
          <w:pgMar w:top="510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10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nextColumn"/>
          <w:pgSz w:w="12240" w:h="15840"/>
          <w:pgMar w:top="510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2. Deliverable 2: Scalable registration</w:t>
      </w:r>
    </w:p>
    <w:p>
      <w:pPr>
        <w:autoSpaceDN w:val="0"/>
        <w:autoSpaceDE w:val="0"/>
        <w:widowControl/>
        <w:spacing w:line="209" w:lineRule="auto" w:before="228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2.1 Registration processing engine</w:t>
      </w:r>
    </w:p>
    <w:p>
      <w:pPr>
        <w:autoSpaceDN w:val="0"/>
        <w:autoSpaceDE w:val="0"/>
        <w:widowControl/>
        <w:spacing w:line="270" w:lineRule="exact" w:before="82" w:after="158"/>
        <w:ind w:left="176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RegistrationService owns learner and course indexes, confirmed registration records and per-course counters. A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request receives a correlation ID and one explicit outcome: confirmed, rejected_duplicate, rejected_capacity or </w:t>
      </w:r>
      <w:r>
        <w:rPr>
          <w:rFonts w:ascii="ArialMT" w:hAnsi="ArialMT" w:eastAsia="ArialMT"/>
          <w:b w:val="0"/>
          <w:i w:val="0"/>
          <w:color w:val="000000"/>
          <w:sz w:val="19"/>
        </w:rPr>
        <w:t>rejected_invalid. The service therefore supports both accurate records and a complete processing summary.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3444"/>
        <w:gridCol w:w="3444"/>
        <w:gridCol w:w="3444"/>
      </w:tblGrid>
      <w:tr>
        <w:trPr>
          <w:trHeight w:hRule="exact" w:val="400"/>
        </w:trPr>
        <w:tc>
          <w:tcPr>
            <w:tcW w:type="dxa" w:w="1984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Processing stage</w:t>
            </w:r>
          </w:p>
        </w:tc>
        <w:tc>
          <w:tcPr>
            <w:tcW w:type="dxa" w:w="5498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Rule</w:t>
            </w:r>
          </w:p>
        </w:tc>
        <w:tc>
          <w:tcPr>
            <w:tcW w:type="dxa" w:w="2328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Failure outcome</w:t>
            </w:r>
          </w:p>
        </w:tc>
      </w:tr>
      <w:tr>
        <w:trPr>
          <w:trHeight w:hRule="exact" w:val="400"/>
        </w:trPr>
        <w:tc>
          <w:tcPr>
            <w:tcW w:type="dxa" w:w="19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Identity validation</w:t>
            </w:r>
          </w:p>
        </w:tc>
        <w:tc>
          <w:tcPr>
            <w:tcW w:type="dxa" w:w="54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Learner and course must exist; learner must be active.</w:t>
            </w:r>
          </w:p>
        </w:tc>
        <w:tc>
          <w:tcPr>
            <w:tcW w:type="dxa" w:w="23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rejected_invalid</w:t>
            </w:r>
          </w:p>
        </w:tc>
      </w:tr>
      <w:tr>
        <w:trPr>
          <w:trHeight w:hRule="exact" w:val="400"/>
        </w:trPr>
        <w:tc>
          <w:tcPr>
            <w:tcW w:type="dxa" w:w="1984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84"/>
            </w:tblGrid>
            <w:tr>
              <w:trPr>
                <w:trHeight w:hRule="exact" w:val="380"/>
              </w:trPr>
              <w:tc>
                <w:tcPr>
                  <w:tcW w:type="dxa" w:w="144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Uniqueness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9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The learner-course key must not already exist.</w:t>
            </w:r>
          </w:p>
        </w:tc>
        <w:tc>
          <w:tcPr>
            <w:tcW w:type="dxa" w:w="232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rejected_duplicate</w:t>
            </w:r>
          </w:p>
        </w:tc>
      </w:tr>
      <w:tr>
        <w:trPr>
          <w:trHeight w:hRule="exact" w:val="400"/>
        </w:trPr>
        <w:tc>
          <w:tcPr>
            <w:tcW w:type="dxa" w:w="19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Capacity</w:t>
            </w:r>
          </w:p>
        </w:tc>
        <w:tc>
          <w:tcPr>
            <w:tcW w:type="dxa" w:w="54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Confirmed count must remain below course capacity.</w:t>
            </w:r>
          </w:p>
        </w:tc>
        <w:tc>
          <w:tcPr>
            <w:tcW w:type="dxa" w:w="23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rejected_capacity</w:t>
            </w:r>
          </w:p>
        </w:tc>
      </w:tr>
      <w:tr>
        <w:trPr>
          <w:trHeight w:hRule="exact" w:val="400"/>
        </w:trPr>
        <w:tc>
          <w:tcPr>
            <w:tcW w:type="dxa" w:w="1984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84"/>
            </w:tblGrid>
            <w:tr>
              <w:trPr>
                <w:trHeight w:hRule="exact" w:val="380"/>
              </w:trPr>
              <w:tc>
                <w:tcPr>
                  <w:tcW w:type="dxa" w:w="130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Commit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9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Insert the immutable registration and increment the course counter.</w:t>
            </w:r>
          </w:p>
        </w:tc>
        <w:tc>
          <w:tcPr>
            <w:tcW w:type="dxa" w:w="232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confirmed</w:t>
            </w:r>
          </w:p>
        </w:tc>
      </w:tr>
    </w:tbl>
    <w:p>
      <w:pPr>
        <w:autoSpaceDN w:val="0"/>
        <w:autoSpaceDE w:val="0"/>
        <w:widowControl/>
        <w:spacing w:line="270" w:lineRule="exact" w:before="82" w:after="0"/>
        <w:ind w:left="176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The demonstration processes 16 requests, including a deliberate duplicate, against a course with capacity 10.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Because request completion order is deliberately nondeterministic, the duplicate request may win the race and the </w:t>
      </w:r>
      <w:r>
        <w:rPr>
          <w:rFonts w:ascii="ArialMT" w:hAnsi="ArialMT" w:eastAsia="ArialMT"/>
          <w:b w:val="0"/>
          <w:i w:val="0"/>
          <w:color w:val="000000"/>
          <w:sz w:val="19"/>
        </w:rPr>
        <w:t>earlier request may be reported as duplicate; the invariant remains that only one L001-PY701 record exists.</w:t>
      </w:r>
    </w:p>
    <w:p>
      <w:pPr>
        <w:autoSpaceDN w:val="0"/>
        <w:autoSpaceDE w:val="0"/>
        <w:widowControl/>
        <w:spacing w:line="209" w:lineRule="auto" w:before="268" w:after="10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2.2 Scalable data modelling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2583"/>
        <w:gridCol w:w="2583"/>
        <w:gridCol w:w="2583"/>
        <w:gridCol w:w="2583"/>
      </w:tblGrid>
      <w:tr>
        <w:trPr>
          <w:trHeight w:hRule="exact" w:val="400"/>
        </w:trPr>
        <w:tc>
          <w:tcPr>
            <w:tcW w:type="dxa" w:w="1758"/>
            <w:tcBorders/>
            <w:shd w:fill="11335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58"/>
            </w:tblGrid>
            <w:tr>
              <w:trPr>
                <w:trHeight w:hRule="exact" w:val="380"/>
              </w:trPr>
              <w:tc>
                <w:tcPr>
                  <w:tcW w:type="dxa" w:w="1260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4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Approach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60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Lookup</w:t>
            </w:r>
          </w:p>
        </w:tc>
        <w:tc>
          <w:tcPr>
            <w:tcW w:type="dxa" w:w="3630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Advantages</w:t>
            </w:r>
          </w:p>
        </w:tc>
        <w:tc>
          <w:tcPr>
            <w:tcW w:type="dxa" w:w="3062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18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Limitations</w:t>
            </w:r>
          </w:p>
        </w:tc>
      </w:tr>
      <w:tr>
        <w:trPr>
          <w:trHeight w:hRule="exact" w:val="600"/>
        </w:trPr>
        <w:tc>
          <w:tcPr>
            <w:tcW w:type="dxa" w:w="17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List of registrations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O(n)</w:t>
            </w:r>
          </w:p>
        </w:tc>
        <w:tc>
          <w:tcPr>
            <w:tcW w:type="dxa" w:w="36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Simple iteration and insertion.</w:t>
            </w:r>
          </w:p>
        </w:tc>
        <w:tc>
          <w:tcPr>
            <w:tcW w:type="dxa" w:w="30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864" w:firstLine="0"/>
              <w:jc w:val="center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Every duplicate check scans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progressively more records.</w:t>
            </w:r>
          </w:p>
        </w:tc>
      </w:tr>
      <w:tr>
        <w:trPr>
          <w:trHeight w:hRule="exact" w:val="600"/>
        </w:trPr>
        <w:tc>
          <w:tcPr>
            <w:tcW w:type="dxa" w:w="1758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58"/>
            </w:tblGrid>
            <w:tr>
              <w:trPr>
                <w:trHeight w:hRule="exact" w:val="580"/>
              </w:trPr>
              <w:tc>
                <w:tcPr>
                  <w:tcW w:type="dxa" w:w="160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4" w:after="0"/>
                    <w:ind w:left="0" w:right="0" w:firstLine="0"/>
                    <w:jc w:val="center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Dictionary/set index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60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Average O(1)</w:t>
            </w:r>
          </w:p>
        </w:tc>
        <w:tc>
          <w:tcPr>
            <w:tcW w:type="dxa" w:w="3630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0" w:right="288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Fast uniqueness checks and explicit composite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keys.</w:t>
            </w:r>
          </w:p>
        </w:tc>
        <w:tc>
          <w:tcPr>
            <w:tcW w:type="dxa" w:w="3062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18" w:right="288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In-memory state is process-local and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non-durable.</w:t>
            </w:r>
          </w:p>
        </w:tc>
      </w:tr>
      <w:tr>
        <w:trPr>
          <w:trHeight w:hRule="exact" w:val="600"/>
        </w:trPr>
        <w:tc>
          <w:tcPr>
            <w:tcW w:type="dxa" w:w="17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Production database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0" w:right="0" w:firstLine="0"/>
              <w:jc w:val="center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Indexed lookup</w:t>
            </w:r>
          </w:p>
        </w:tc>
        <w:tc>
          <w:tcPr>
            <w:tcW w:type="dxa" w:w="36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0" w:right="288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Durability, transactions, unique constraints and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multi-instance access.</w:t>
            </w:r>
          </w:p>
        </w:tc>
        <w:tc>
          <w:tcPr>
            <w:tcW w:type="dxa" w:w="30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18" w:right="432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Requires schema, deployment and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operational management.</w:t>
            </w:r>
          </w:p>
        </w:tc>
      </w:tr>
    </w:tbl>
    <w:p>
      <w:pPr>
        <w:autoSpaceDN w:val="0"/>
        <w:autoSpaceDE w:val="0"/>
        <w:widowControl/>
        <w:spacing w:line="270" w:lineRule="exact" w:before="82" w:after="5704"/>
        <w:ind w:left="176" w:right="5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The prototype selects dictionaries and sets because they improve processing cost without obscuring the enterprise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concepts being assessed. The same composite key maps naturally to a database unique constraint in a production </w:t>
      </w:r>
      <w:r>
        <w:rPr>
          <w:rFonts w:ascii="ArialMT" w:hAnsi="ArialMT" w:eastAsia="ArialMT"/>
          <w:b w:val="0"/>
          <w:i w:val="0"/>
          <w:color w:val="000000"/>
          <w:sz w:val="19"/>
        </w:rPr>
        <w:t>migration.</w:t>
      </w:r>
    </w:p>
    <w:p>
      <w:pPr>
        <w:sectPr>
          <w:pgSz w:w="12240" w:h="15840"/>
          <w:pgMar w:top="544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4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nextColumn"/>
          <w:pgSz w:w="12240" w:h="15840"/>
          <w:pgMar w:top="54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2.3 Concurrent request processing</w:t>
      </w:r>
    </w:p>
    <w:p>
      <w:pPr>
        <w:autoSpaceDN w:val="0"/>
        <w:autoSpaceDE w:val="0"/>
        <w:widowControl/>
        <w:spacing w:line="190" w:lineRule="exact" w:before="162" w:after="0"/>
        <w:ind w:left="17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ThreadPoolExecutor represents simultaneous registration traffic. An Event releases queued work together, increasing</w:t>
      </w:r>
    </w:p>
    <w:p>
      <w:pPr>
        <w:autoSpaceDN w:val="0"/>
        <w:autoSpaceDE w:val="0"/>
        <w:widowControl/>
        <w:spacing w:line="190" w:lineRule="exact" w:before="8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contention. The critical section is protected by one Lock around duplicate check, capacity check and insertion. Treating</w:t>
      </w:r>
    </w:p>
    <w:p>
      <w:pPr>
        <w:autoSpaceDN w:val="0"/>
        <w:autoSpaceDE w:val="0"/>
        <w:widowControl/>
        <w:spacing w:line="190" w:lineRule="exact" w:before="80" w:after="0"/>
        <w:ind w:left="17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this sequence atomically prevents both check-then-act races and lost capacity updates.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332"/>
      </w:tblGrid>
      <w:tr>
        <w:trPr>
          <w:trHeight w:hRule="exact" w:val="354"/>
        </w:trPr>
        <w:tc>
          <w:tcPr>
            <w:tcW w:type="dxa" w:w="1028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0" w:after="0"/>
              <w:ind w:left="16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with self._lock: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332"/>
      </w:tblGrid>
      <w:tr>
        <w:trPr>
          <w:trHeight w:hRule="exact" w:val="192"/>
        </w:trPr>
        <w:tc>
          <w:tcPr>
            <w:tcW w:type="dxa" w:w="646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0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if key in self._registrations: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332"/>
      </w:tblGrid>
      <w:tr>
        <w:trPr>
          <w:trHeight w:hRule="exact" w:val="190"/>
        </w:trPr>
        <w:tc>
          <w:tcPr>
            <w:tcW w:type="dxa" w:w="616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10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return duplicate_result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332"/>
      </w:tblGrid>
      <w:tr>
        <w:trPr>
          <w:trHeight w:hRule="exact" w:val="190"/>
        </w:trPr>
        <w:tc>
          <w:tcPr>
            <w:tcW w:type="dxa" w:w="746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10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if self._course_counts[course_id] &gt;= course.capacity: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332"/>
      </w:tblGrid>
      <w:tr>
        <w:trPr>
          <w:trHeight w:hRule="exact" w:val="190"/>
        </w:trPr>
        <w:tc>
          <w:tcPr>
            <w:tcW w:type="dxa" w:w="612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10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return capacity_result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332"/>
      </w:tblGrid>
      <w:tr>
        <w:trPr>
          <w:trHeight w:hRule="exact" w:val="190"/>
        </w:trPr>
        <w:tc>
          <w:tcPr>
            <w:tcW w:type="dxa" w:w="686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10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self._registrations[key] = registration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10332"/>
      </w:tblGrid>
      <w:tr>
        <w:trPr>
          <w:trHeight w:hRule="exact" w:val="344"/>
        </w:trPr>
        <w:tc>
          <w:tcPr>
            <w:tcW w:type="dxa" w:w="9808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self._course_counts[course_id] += 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3444"/>
        <w:gridCol w:w="3444"/>
        <w:gridCol w:w="3444"/>
      </w:tblGrid>
      <w:tr>
        <w:trPr>
          <w:trHeight w:hRule="exact" w:val="400"/>
        </w:trPr>
        <w:tc>
          <w:tcPr>
            <w:tcW w:type="dxa" w:w="1758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Risk</w:t>
            </w:r>
          </w:p>
        </w:tc>
        <w:tc>
          <w:tcPr>
            <w:tcW w:type="dxa" w:w="3970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Failure without protection</w:t>
            </w:r>
          </w:p>
        </w:tc>
        <w:tc>
          <w:tcPr>
            <w:tcW w:type="dxa" w:w="4082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18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Control</w:t>
            </w:r>
          </w:p>
        </w:tc>
      </w:tr>
      <w:tr>
        <w:trPr>
          <w:trHeight w:hRule="exact" w:val="600"/>
        </w:trPr>
        <w:tc>
          <w:tcPr>
            <w:tcW w:type="dxa" w:w="17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Duplicate race</w:t>
            </w:r>
          </w:p>
        </w:tc>
        <w:tc>
          <w:tcPr>
            <w:tcW w:type="dxa" w:w="39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0" w:right="0" w:firstLine="0"/>
              <w:jc w:val="center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Two threads both see no existing key and insert twice.</w:t>
            </w:r>
          </w:p>
        </w:tc>
        <w:tc>
          <w:tcPr>
            <w:tcW w:type="dxa" w:w="40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18" w:right="432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Composite-key lookup and lock around check plus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insert.</w:t>
            </w:r>
          </w:p>
        </w:tc>
      </w:tr>
      <w:tr>
        <w:trPr>
          <w:trHeight w:hRule="exact" w:val="600"/>
        </w:trPr>
        <w:tc>
          <w:tcPr>
            <w:tcW w:type="dxa" w:w="1758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58"/>
            </w:tblGrid>
            <w:tr>
              <w:trPr>
                <w:trHeight w:hRule="exact" w:val="582"/>
              </w:trPr>
              <w:tc>
                <w:tcPr>
                  <w:tcW w:type="dxa" w:w="140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Capacity race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70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Several threads see the last available place.</w:t>
            </w:r>
          </w:p>
        </w:tc>
        <w:tc>
          <w:tcPr>
            <w:tcW w:type="dxa" w:w="4082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18" w:right="144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Capacity check and counter increment share the same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lock.</w:t>
            </w:r>
          </w:p>
        </w:tc>
      </w:tr>
      <w:tr>
        <w:trPr>
          <w:trHeight w:hRule="exact" w:val="400"/>
        </w:trPr>
        <w:tc>
          <w:tcPr>
            <w:tcW w:type="dxa" w:w="17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Monitoring race</w:t>
            </w:r>
          </w:p>
        </w:tc>
        <w:tc>
          <w:tcPr>
            <w:tcW w:type="dxa" w:w="39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Events are lost or list state is inconsistent.</w:t>
            </w:r>
          </w:p>
        </w:tc>
        <w:tc>
          <w:tcPr>
            <w:tcW w:type="dxa" w:w="40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0" w:right="0" w:firstLine="0"/>
              <w:jc w:val="center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Bugzot protects its event collection with a separate lock.</w:t>
            </w:r>
          </w:p>
        </w:tc>
      </w:tr>
      <w:tr>
        <w:trPr>
          <w:trHeight w:hRule="exact" w:val="600"/>
        </w:trPr>
        <w:tc>
          <w:tcPr>
            <w:tcW w:type="dxa" w:w="1758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58"/>
            </w:tblGrid>
            <w:tr>
              <w:trPr>
                <w:trHeight w:hRule="exact" w:val="580"/>
              </w:trPr>
              <w:tc>
                <w:tcPr>
                  <w:tcW w:type="dxa" w:w="126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4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Deadlock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70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Workers wait indefinitely.</w:t>
            </w:r>
          </w:p>
        </w:tc>
        <w:tc>
          <w:tcPr>
            <w:tcW w:type="dxa" w:w="4082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18" w:right="288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Short non-nested critical sections; start coordination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uses Event rather than a barrier.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8816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881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114" w:after="3914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5"/>
        </w:rPr>
        <w:t>Figure 2. Sixteen concurrent requests produce ten confirmations, five capacity rejections and one duplicate rejection; the final count equals capacity.</w:t>
      </w:r>
    </w:p>
    <w:p>
      <w:pPr>
        <w:sectPr>
          <w:pgSz w:w="12240" w:h="15840"/>
          <w:pgMar w:top="540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40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nextColumn"/>
          <w:pgSz w:w="12240" w:h="15840"/>
          <w:pgMar w:top="540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3. Deliverable 3: Bugzot monitoring</w:t>
      </w:r>
    </w:p>
    <w:p>
      <w:pPr>
        <w:autoSpaceDN w:val="0"/>
        <w:autoSpaceDE w:val="0"/>
        <w:widowControl/>
        <w:spacing w:line="209" w:lineRule="auto" w:before="228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3.1 Monitoring subsystem</w:t>
      </w:r>
    </w:p>
    <w:p>
      <w:pPr>
        <w:autoSpaceDN w:val="0"/>
        <w:autoSpaceDE w:val="0"/>
        <w:widowControl/>
        <w:spacing w:line="270" w:lineRule="exact" w:before="82" w:after="158"/>
        <w:ind w:left="176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Bugzot records immutable structured events. Each event contains UTC timestamp, severity, component, event type,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outcome, message, correlation ID, learner/course context and optional duration. This provides enough information to </w:t>
      </w:r>
      <w:r>
        <w:rPr>
          <w:rFonts w:ascii="ArialMT" w:hAnsi="ArialMT" w:eastAsia="ArialMT"/>
          <w:b w:val="0"/>
          <w:i w:val="0"/>
          <w:color w:val="000000"/>
          <w:sz w:val="19"/>
        </w:rPr>
        <w:t>trace a request, group operational failures and reproduce the affected business context.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3444"/>
        <w:gridCol w:w="3444"/>
        <w:gridCol w:w="3444"/>
      </w:tblGrid>
      <w:tr>
        <w:trPr>
          <w:trHeight w:hRule="exact" w:val="400"/>
        </w:trPr>
        <w:tc>
          <w:tcPr>
            <w:tcW w:type="dxa" w:w="2268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Event type</w:t>
            </w:r>
          </w:p>
        </w:tc>
        <w:tc>
          <w:tcPr>
            <w:tcW w:type="dxa" w:w="3684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Trigger</w:t>
            </w:r>
          </w:p>
        </w:tc>
        <w:tc>
          <w:tcPr>
            <w:tcW w:type="dxa" w:w="3858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Diagnostic value</w:t>
            </w:r>
          </w:p>
        </w:tc>
      </w:tr>
      <w:tr>
        <w:trPr>
          <w:trHeight w:hRule="exact" w:val="400"/>
        </w:trPr>
        <w:tc>
          <w:tcPr>
            <w:tcW w:type="dxa" w:w="22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validation_failure</w:t>
            </w:r>
          </w:p>
        </w:tc>
        <w:tc>
          <w:tcPr>
            <w:tcW w:type="dxa" w:w="36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Unknown or inactive learner, or unknown course.</w:t>
            </w:r>
          </w:p>
        </w:tc>
        <w:tc>
          <w:tcPr>
            <w:tcW w:type="dxa" w:w="38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Identifies invalid input and affected identifiers.</w:t>
            </w:r>
          </w:p>
        </w:tc>
      </w:tr>
      <w:tr>
        <w:trPr>
          <w:trHeight w:hRule="exact" w:val="600"/>
        </w:trPr>
        <w:tc>
          <w:tcPr>
            <w:tcW w:type="dxa" w:w="2268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68"/>
            </w:tblGrid>
            <w:tr>
              <w:trPr>
                <w:trHeight w:hRule="exact" w:val="580"/>
              </w:trPr>
              <w:tc>
                <w:tcPr>
                  <w:tcW w:type="dxa" w:w="192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duplicate_registration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84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Existing learner-course composite key.</w:t>
            </w:r>
          </w:p>
        </w:tc>
        <w:tc>
          <w:tcPr>
            <w:tcW w:type="dxa" w:w="385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2" w:right="432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Shows attempted duplicate and protects record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accuracy.</w:t>
            </w:r>
          </w:p>
        </w:tc>
      </w:tr>
      <w:tr>
        <w:trPr>
          <w:trHeight w:hRule="exact" w:val="400"/>
        </w:trPr>
        <w:tc>
          <w:tcPr>
            <w:tcW w:type="dxa" w:w="22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course_capacity_violation</w:t>
            </w:r>
          </w:p>
        </w:tc>
        <w:tc>
          <w:tcPr>
            <w:tcW w:type="dxa" w:w="36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Confirmed count equals course capacity.</w:t>
            </w:r>
          </w:p>
        </w:tc>
        <w:tc>
          <w:tcPr>
            <w:tcW w:type="dxa" w:w="38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Supports demand and capacity planning.</w:t>
            </w:r>
          </w:p>
        </w:tc>
      </w:tr>
      <w:tr>
        <w:trPr>
          <w:trHeight w:hRule="exact" w:val="600"/>
        </w:trPr>
        <w:tc>
          <w:tcPr>
            <w:tcW w:type="dxa" w:w="2268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68"/>
            </w:tblGrid>
            <w:tr>
              <w:trPr>
                <w:trHeight w:hRule="exact" w:val="582"/>
              </w:trPr>
              <w:tc>
                <w:tcPr>
                  <w:tcW w:type="dxa" w:w="188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registration_success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84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Registration committed successfully.</w:t>
            </w:r>
          </w:p>
        </w:tc>
        <w:tc>
          <w:tcPr>
            <w:tcW w:type="dxa" w:w="385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2" w:right="432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Supports transaction volume and success-rate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monitoring.</w:t>
            </w:r>
          </w:p>
        </w:tc>
      </w:tr>
    </w:tbl>
    <w:p>
      <w:pPr>
        <w:autoSpaceDN w:val="0"/>
        <w:autoSpaceDE w:val="0"/>
        <w:widowControl/>
        <w:spacing w:line="270" w:lineRule="exact" w:before="82" w:after="0"/>
        <w:ind w:left="176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Events can be exported to CSV for investigation and to JSON for management reporting. Bugzot itself is independent </w:t>
      </w:r>
      <w:r>
        <w:rPr>
          <w:rFonts w:ascii="ArialMT" w:hAnsi="ArialMT" w:eastAsia="ArialMT"/>
          <w:b w:val="0"/>
          <w:i w:val="0"/>
          <w:color w:val="000000"/>
          <w:sz w:val="19"/>
        </w:rPr>
        <w:t>of console presentation, which keeps monitoring reusable.</w:t>
      </w:r>
    </w:p>
    <w:p>
      <w:pPr>
        <w:autoSpaceDN w:val="0"/>
        <w:autoSpaceDE w:val="0"/>
        <w:widowControl/>
        <w:spacing w:line="209" w:lineRule="auto" w:before="268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3.2 Application performance monitoring</w:t>
      </w:r>
    </w:p>
    <w:p>
      <w:pPr>
        <w:autoSpaceDN w:val="0"/>
        <w:autoSpaceDE w:val="0"/>
        <w:widowControl/>
        <w:spacing w:line="270" w:lineRule="exact" w:before="82" w:after="0"/>
        <w:ind w:left="176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The captured run contains 16 events: 10 confirmed and 6 rejected transactions. The success rate is 62.5%. Average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measured processing time is 0.2301 ms, p95 is 0.6481 ms, and observed throughput is 12996.51 transactions per </w:t>
      </w:r>
      <w:r>
        <w:rPr>
          <w:rFonts w:ascii="ArialMT" w:hAnsi="ArialMT" w:eastAsia="ArialMT"/>
          <w:b w:val="0"/>
          <w:i w:val="0"/>
          <w:color w:val="000000"/>
          <w:sz w:val="19"/>
        </w:rPr>
        <w:t>second on this local in-memory workload.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332"/>
      </w:tblGrid>
      <w:tr>
        <w:trPr>
          <w:trHeight w:hRule="exact" w:val="1130"/>
        </w:trPr>
        <w:tc>
          <w:tcPr>
            <w:tcW w:type="dxa" w:w="10280"/>
            <w:tcBorders>
              <w:start w:sz="8.0" w:val="single" w:color="#B6B6B6"/>
              <w:top w:sz="8.0" w:val="single" w:color="#B6B6B6"/>
              <w:end w:sz="8.0" w:val="single" w:color="#B6B6B6"/>
              <w:bottom w:sz="8.0" w:val="single" w:color="#B6B6B6"/>
            </w:tcBorders>
            <w:shd w:fill="f2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12" w:after="0"/>
              <w:ind w:left="15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These figures describe a small simulator run, not production capacity. They are useful as a baseline and for regression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comparison; real deployment testing would use sustained load, external storage and percentile aggregation over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longer windows.</w:t>
            </w:r>
          </w:p>
        </w:tc>
      </w:tr>
    </w:tbl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32245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224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112" w:after="1366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5"/>
        </w:rPr>
        <w:t>Figure 3. Bugzot performance report generated from the registration run.</w:t>
      </w:r>
    </w:p>
    <w:p>
      <w:pPr>
        <w:sectPr>
          <w:pgSz w:w="12240" w:h="15840"/>
          <w:pgMar w:top="544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4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nextColumn"/>
          <w:pgSz w:w="12240" w:h="15840"/>
          <w:pgMar w:top="54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3.3 Performance improvement</w:t>
      </w:r>
    </w:p>
    <w:p>
      <w:pPr>
        <w:autoSpaceDN w:val="0"/>
        <w:autoSpaceDE w:val="0"/>
        <w:widowControl/>
        <w:spacing w:line="270" w:lineRule="exact" w:before="82" w:after="156"/>
        <w:ind w:left="17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The original duplicate-detection candidate scanned a registration list. The root cause is linear search: as the collection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grows, each worst-case membership check compares against every existing registration. The implementation replaces </w:t>
      </w:r>
      <w:r>
        <w:rPr>
          <w:rFonts w:ascii="ArialMT" w:hAnsi="ArialMT" w:eastAsia="ArialMT"/>
          <w:b w:val="0"/>
          <w:i w:val="0"/>
          <w:color w:val="000000"/>
          <w:sz w:val="19"/>
        </w:rPr>
        <w:t>this with a set/dictionary composite-key index, whose hash lookup is constant time on average.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2583"/>
        <w:gridCol w:w="2583"/>
        <w:gridCol w:w="2583"/>
        <w:gridCol w:w="2583"/>
      </w:tblGrid>
      <w:tr>
        <w:trPr>
          <w:trHeight w:hRule="exact" w:val="401"/>
        </w:trPr>
        <w:tc>
          <w:tcPr>
            <w:tcW w:type="dxa" w:w="2268"/>
            <w:tcBorders/>
            <w:shd w:fill="11335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68"/>
            </w:tblGrid>
            <w:tr>
              <w:trPr>
                <w:trHeight w:hRule="exact" w:val="380"/>
              </w:trPr>
              <w:tc>
                <w:tcPr>
                  <w:tcW w:type="dxa" w:w="1400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Metric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12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6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Before: list</w:t>
            </w:r>
          </w:p>
        </w:tc>
        <w:tc>
          <w:tcPr>
            <w:tcW w:type="dxa" w:w="2210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6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After: set</w:t>
            </w:r>
          </w:p>
        </w:tc>
        <w:tc>
          <w:tcPr>
            <w:tcW w:type="dxa" w:w="3120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6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Result</w:t>
            </w:r>
          </w:p>
        </w:tc>
      </w:tr>
      <w:tr>
        <w:trPr>
          <w:trHeight w:hRule="exact" w:val="400"/>
        </w:trPr>
        <w:tc>
          <w:tcPr>
            <w:tcW w:type="dxa" w:w="22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Dataset size</w:t>
            </w:r>
          </w:p>
        </w:tc>
        <w:tc>
          <w:tcPr>
            <w:tcW w:type="dxa" w:w="22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10000</w:t>
            </w:r>
          </w:p>
        </w:tc>
        <w:tc>
          <w:tcPr>
            <w:tcW w:type="dxa" w:w="22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10000</w:t>
            </w:r>
          </w:p>
        </w:tc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Identical inputs</w:t>
            </w:r>
          </w:p>
        </w:tc>
      </w:tr>
      <w:tr>
        <w:trPr>
          <w:trHeight w:hRule="exact" w:val="400"/>
        </w:trPr>
        <w:tc>
          <w:tcPr>
            <w:tcW w:type="dxa" w:w="2268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68"/>
            </w:tblGrid>
            <w:tr>
              <w:trPr>
                <w:trHeight w:hRule="exact" w:val="380"/>
              </w:trPr>
              <w:tc>
                <w:tcPr>
                  <w:tcW w:type="dxa" w:w="180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Repeated lookups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12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2000</w:t>
            </w:r>
          </w:p>
        </w:tc>
        <w:tc>
          <w:tcPr>
            <w:tcW w:type="dxa" w:w="2210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2000</w:t>
            </w:r>
          </w:p>
        </w:tc>
        <w:tc>
          <w:tcPr>
            <w:tcW w:type="dxa" w:w="3120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Identical workload</w:t>
            </w:r>
          </w:p>
        </w:tc>
      </w:tr>
      <w:tr>
        <w:trPr>
          <w:trHeight w:hRule="exact" w:val="400"/>
        </w:trPr>
        <w:tc>
          <w:tcPr>
            <w:tcW w:type="dxa" w:w="22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Measured seconds</w:t>
            </w:r>
          </w:p>
        </w:tc>
        <w:tc>
          <w:tcPr>
            <w:tcW w:type="dxa" w:w="22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0.249514</w:t>
            </w:r>
          </w:p>
        </w:tc>
        <w:tc>
          <w:tcPr>
            <w:tcW w:type="dxa" w:w="22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5.3e-05</w:t>
            </w:r>
          </w:p>
        </w:tc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99.98% faster</w:t>
            </w:r>
          </w:p>
        </w:tc>
      </w:tr>
      <w:tr>
        <w:trPr>
          <w:trHeight w:hRule="exact" w:val="400"/>
        </w:trPr>
        <w:tc>
          <w:tcPr>
            <w:tcW w:type="dxa" w:w="2268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68"/>
            </w:tblGrid>
            <w:tr>
              <w:trPr>
                <w:trHeight w:hRule="exact" w:val="380"/>
              </w:trPr>
              <w:tc>
                <w:tcPr>
                  <w:tcW w:type="dxa" w:w="174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Functional result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12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Target found</w:t>
            </w:r>
          </w:p>
        </w:tc>
        <w:tc>
          <w:tcPr>
            <w:tcW w:type="dxa" w:w="2210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Target found</w:t>
            </w:r>
          </w:p>
        </w:tc>
        <w:tc>
          <w:tcPr>
            <w:tcW w:type="dxa" w:w="3120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Equivalent behaviour</w:t>
            </w:r>
          </w:p>
        </w:tc>
      </w:tr>
    </w:tbl>
    <w:p>
      <w:pPr>
        <w:autoSpaceDN w:val="0"/>
        <w:autoSpaceDE w:val="0"/>
        <w:widowControl/>
        <w:spacing w:line="270" w:lineRule="exact" w:before="82" w:after="0"/>
        <w:ind w:left="17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Repeated runs will vary with hardware and background activity, but the algorithmic advantage remains. The next likely </w:t>
      </w:r>
      <w:r>
        <w:rPr>
          <w:rFonts w:ascii="ArialMT" w:hAnsi="ArialMT" w:eastAsia="ArialMT"/>
          <w:b w:val="0"/>
          <w:i w:val="0"/>
          <w:color w:val="000000"/>
          <w:sz w:val="19"/>
        </w:rPr>
        <w:t>bottleneck in production is database or network latency rather than in-memory lookup.</w:t>
      </w:r>
    </w:p>
    <w:p>
      <w:pPr>
        <w:autoSpaceDN w:val="0"/>
        <w:autoSpaceDE w:val="0"/>
        <w:widowControl/>
        <w:spacing w:line="240" w:lineRule="auto" w:before="15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1968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96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112" w:after="6664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5"/>
        </w:rPr>
        <w:t>Figure 4. Reproducible before-and-after lookup benchmark.</w:t>
      </w:r>
    </w:p>
    <w:p>
      <w:pPr>
        <w:sectPr>
          <w:pgSz w:w="12240" w:h="15840"/>
          <w:pgMar w:top="540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40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nextColumn"/>
          <w:pgSz w:w="12240" w:h="15840"/>
          <w:pgMar w:top="540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4. Deliverable 4: Interface design and evaluation</w:t>
      </w:r>
    </w:p>
    <w:p>
      <w:pPr>
        <w:autoSpaceDN w:val="0"/>
        <w:autoSpaceDE w:val="0"/>
        <w:widowControl/>
        <w:spacing w:line="209" w:lineRule="auto" w:before="228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4.1 User interface design</w:t>
      </w:r>
    </w:p>
    <w:p>
      <w:pPr>
        <w:autoSpaceDN w:val="0"/>
        <w:autoSpaceDE w:val="0"/>
        <w:widowControl/>
        <w:spacing w:line="270" w:lineRule="exact" w:before="82" w:after="158"/>
        <w:ind w:left="17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The proposed desktop-first interface uses persistent role-aware navigation, consistent cards, plain labels and visible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system feedback. Learners receive focused support and registration interactions; administrators receive course </w:t>
      </w:r>
      <w:r>
        <w:rPr>
          <w:rFonts w:ascii="ArialMT" w:hAnsi="ArialMT" w:eastAsia="ArialMT"/>
          <w:b w:val="0"/>
          <w:i w:val="0"/>
          <w:color w:val="000000"/>
          <w:sz w:val="19"/>
        </w:rPr>
        <w:t>management and operational reporting. Required fields use labels and inline errors rather than relying on colour alone.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5166"/>
        <w:gridCol w:w="5166"/>
      </w:tblGrid>
      <w:tr>
        <w:trPr>
          <w:trHeight w:hRule="exact" w:val="400"/>
        </w:trPr>
        <w:tc>
          <w:tcPr>
            <w:tcW w:type="dxa" w:w="2552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Requirement</w:t>
            </w:r>
          </w:p>
        </w:tc>
        <w:tc>
          <w:tcPr>
            <w:tcW w:type="dxa" w:w="7258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Screen and interaction</w:t>
            </w:r>
          </w:p>
        </w:tc>
      </w:tr>
      <w:tr>
        <w:trPr>
          <w:trHeight w:hRule="exact" w:val="400"/>
        </w:trPr>
        <w:tc>
          <w:tcPr>
            <w:tcW w:type="dxa" w:w="25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Learner registration</w:t>
            </w:r>
          </w:p>
        </w:tc>
        <w:tc>
          <w:tcPr>
            <w:tcW w:type="dxa" w:w="72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Validated form with identity, email and course selection plus confirmation guidance.</w:t>
            </w:r>
          </w:p>
        </w:tc>
      </w:tr>
      <w:tr>
        <w:trPr>
          <w:trHeight w:hRule="exact" w:val="400"/>
        </w:trPr>
        <w:tc>
          <w:tcPr>
            <w:tcW w:type="dxa" w:w="2552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52"/>
            </w:tblGrid>
            <w:tr>
              <w:trPr>
                <w:trHeight w:hRule="exact" w:val="380"/>
              </w:trPr>
              <w:tc>
                <w:tcPr>
                  <w:tcW w:type="dxa" w:w="204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Course management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25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Capacity and enrolment table, availability status and controlled edit action.</w:t>
            </w:r>
          </w:p>
        </w:tc>
      </w:tr>
      <w:tr>
        <w:trPr>
          <w:trHeight w:hRule="exact" w:val="400"/>
        </w:trPr>
        <w:tc>
          <w:tcPr>
            <w:tcW w:type="dxa" w:w="25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Support ticket creation</w:t>
            </w:r>
          </w:p>
        </w:tc>
        <w:tc>
          <w:tcPr>
            <w:tcW w:type="dxa" w:w="72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Category, automatically assigned priority, subject, description and response expectation.</w:t>
            </w:r>
          </w:p>
        </w:tc>
      </w:tr>
      <w:tr>
        <w:trPr>
          <w:trHeight w:hRule="exact" w:val="400"/>
        </w:trPr>
        <w:tc>
          <w:tcPr>
            <w:tcW w:type="dxa" w:w="2552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52"/>
            </w:tblGrid>
            <w:tr>
              <w:trPr>
                <w:trHeight w:hRule="exact" w:val="380"/>
              </w:trPr>
              <w:tc>
                <w:tcPr>
                  <w:tcW w:type="dxa" w:w="184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Report viewing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25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Date filter, registration outcome visualisation, system-health summary and export action.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51120" cy="33108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310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114" w:after="4808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5"/>
        </w:rPr>
        <w:t>Figure 5. Administrator dashboard and primary navigation.</w:t>
      </w:r>
    </w:p>
    <w:p>
      <w:pPr>
        <w:sectPr>
          <w:pgSz w:w="12240" w:h="15840"/>
          <w:pgMar w:top="544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4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nextColumn"/>
          <w:pgSz w:w="12240" w:h="15840"/>
          <w:pgMar w:top="54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51120" cy="33108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310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114" w:after="8658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5"/>
        </w:rPr>
        <w:t>Figure 6. Learner-registration form with inline validation.</w:t>
      </w:r>
    </w:p>
    <w:p>
      <w:pPr>
        <w:sectPr>
          <w:pgSz w:w="12240" w:h="15840"/>
          <w:pgMar w:top="514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1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nextColumn"/>
          <w:pgSz w:w="12240" w:h="15840"/>
          <w:pgMar w:top="51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51120" cy="33108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310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114" w:after="0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5"/>
        </w:rPr>
        <w:t>Figure 7. Course capacity and availability management.</w:t>
      </w:r>
    </w:p>
    <w:p>
      <w:pPr>
        <w:autoSpaceDN w:val="0"/>
        <w:autoSpaceDE w:val="0"/>
        <w:widowControl/>
        <w:spacing w:line="240" w:lineRule="auto" w:before="2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51120" cy="33121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312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114" w:after="2962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5"/>
        </w:rPr>
        <w:t>Figure 8. Learner support-ticket creation workflow.</w:t>
      </w:r>
    </w:p>
    <w:p>
      <w:pPr>
        <w:sectPr>
          <w:pgSz w:w="12240" w:h="15840"/>
          <w:pgMar w:top="514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1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nextColumn"/>
          <w:pgSz w:w="12240" w:h="15840"/>
          <w:pgMar w:top="51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51120" cy="33108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310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114" w:after="0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5"/>
        </w:rPr>
        <w:t>Figure 9. Operational report with outcome and health indicators.</w:t>
      </w:r>
    </w:p>
    <w:p>
      <w:pPr>
        <w:autoSpaceDN w:val="0"/>
        <w:autoSpaceDE w:val="0"/>
        <w:widowControl/>
        <w:spacing w:line="209" w:lineRule="auto" w:before="268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4.2 Design decisions and evaluation</w:t>
      </w:r>
    </w:p>
    <w:p>
      <w:pPr>
        <w:autoSpaceDN w:val="0"/>
        <w:autoSpaceDE w:val="0"/>
        <w:widowControl/>
        <w:spacing w:line="270" w:lineRule="exact" w:before="82" w:after="0"/>
        <w:ind w:left="17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Layout and navigation: a persistent left navigation column provides predictable access while the top bar confirms the </w:t>
      </w:r>
      <w:r>
        <w:rPr>
          <w:rFonts w:ascii="ArialMT" w:hAnsi="ArialMT" w:eastAsia="ArialMT"/>
          <w:b w:val="0"/>
          <w:i w:val="0"/>
          <w:color w:val="000000"/>
          <w:sz w:val="19"/>
        </w:rPr>
        <w:t>current role and context. Primary actions use consistent teal buttons and are positioned after the required information.</w:t>
      </w:r>
    </w:p>
    <w:p>
      <w:pPr>
        <w:autoSpaceDN w:val="0"/>
        <w:autoSpaceDE w:val="0"/>
        <w:widowControl/>
        <w:spacing w:line="270" w:lineRule="exact" w:before="120" w:after="156"/>
        <w:ind w:left="17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Validation and usability: errors appear beside the relevant field with specific correction guidance. Capacity is visible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before enrolment, priority is explained, report state is summarised in text, and destructive actions are not placed beside </w:t>
      </w:r>
      <w:r>
        <w:rPr>
          <w:rFonts w:ascii="ArialMT" w:hAnsi="ArialMT" w:eastAsia="ArialMT"/>
          <w:b w:val="0"/>
          <w:i w:val="0"/>
          <w:color w:val="000000"/>
          <w:sz w:val="19"/>
        </w:rPr>
        <w:t>primary actions.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3444"/>
        <w:gridCol w:w="3444"/>
        <w:gridCol w:w="3444"/>
      </w:tblGrid>
      <w:tr>
        <w:trPr>
          <w:trHeight w:hRule="exact" w:val="400"/>
        </w:trPr>
        <w:tc>
          <w:tcPr>
            <w:tcW w:type="dxa" w:w="3402"/>
            <w:tcBorders/>
            <w:shd w:fill="11335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402"/>
            </w:tblGrid>
            <w:tr>
              <w:trPr>
                <w:trHeight w:hRule="exact" w:val="380"/>
              </w:trPr>
              <w:tc>
                <w:tcPr>
                  <w:tcW w:type="dxa" w:w="2080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Strengths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18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6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Limitation</w:t>
            </w:r>
          </w:p>
        </w:tc>
        <w:tc>
          <w:tcPr>
            <w:tcW w:type="dxa" w:w="3290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6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Recommended improvement</w:t>
            </w:r>
          </w:p>
        </w:tc>
      </w:tr>
      <w:tr>
        <w:trPr>
          <w:trHeight w:hRule="exact" w:val="980"/>
        </w:trPr>
        <w:tc>
          <w:tcPr>
            <w:tcW w:type="dxa" w:w="34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20" w:right="432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Consistent visual hierarchy, task-focused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forms, visible validation, role context and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operational feedback.</w:t>
            </w:r>
          </w:p>
        </w:tc>
        <w:tc>
          <w:tcPr>
            <w:tcW w:type="dxa" w:w="31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20" w:right="144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The prototype is desktop-first and has not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been tested with representative users or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assistive technology.</w:t>
            </w:r>
          </w:p>
        </w:tc>
        <w:tc>
          <w:tcPr>
            <w:tcW w:type="dxa" w:w="3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20" w:right="288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Create responsive mobile variants and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perform moderated usability plus WCAG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keyboard/screen-reader testing before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implementation.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5046"/>
        <w:ind w:left="0" w:right="0"/>
      </w:pPr>
    </w:p>
    <w:p>
      <w:pPr>
        <w:sectPr>
          <w:pgSz w:w="12240" w:h="15840"/>
          <w:pgMar w:top="514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1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nextColumn"/>
          <w:pgSz w:w="12240" w:h="15840"/>
          <w:pgMar w:top="51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5. Deliverable 5: Quality and future growth</w:t>
      </w:r>
    </w:p>
    <w:p>
      <w:pPr>
        <w:autoSpaceDN w:val="0"/>
        <w:autoSpaceDE w:val="0"/>
        <w:widowControl/>
        <w:spacing w:line="209" w:lineRule="auto" w:before="228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5.1 Automated testing</w:t>
      </w:r>
    </w:p>
    <w:p>
      <w:pPr>
        <w:autoSpaceDN w:val="0"/>
        <w:autoSpaceDE w:val="0"/>
        <w:widowControl/>
        <w:spacing w:line="270" w:lineRule="exact" w:before="82" w:after="158"/>
        <w:ind w:left="176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Pytest was selected because it provides concise tests, parameterisation, clear failure output and a mature coverage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ecosystem. The 32-test suite covers normal behaviour, boundaries, invalid inputs, every required pattern, business </w:t>
      </w:r>
      <w:r>
        <w:rPr>
          <w:rFonts w:ascii="ArialMT" w:hAnsi="ArialMT" w:eastAsia="ArialMT"/>
          <w:b w:val="0"/>
          <w:i w:val="0"/>
          <w:color w:val="000000"/>
          <w:sz w:val="19"/>
        </w:rPr>
        <w:t>rules, concurrent invariants, structured monitoring and the benchmark harness.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5166"/>
        <w:gridCol w:w="5166"/>
      </w:tblGrid>
      <w:tr>
        <w:trPr>
          <w:trHeight w:hRule="exact" w:val="400"/>
        </w:trPr>
        <w:tc>
          <w:tcPr>
            <w:tcW w:type="dxa" w:w="2268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Test category</w:t>
            </w:r>
          </w:p>
        </w:tc>
        <w:tc>
          <w:tcPr>
            <w:tcW w:type="dxa" w:w="7542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Representative scenarios</w:t>
            </w:r>
          </w:p>
        </w:tc>
      </w:tr>
      <w:tr>
        <w:trPr>
          <w:trHeight w:hRule="exact" w:val="400"/>
        </w:trPr>
        <w:tc>
          <w:tcPr>
            <w:tcW w:type="dxa" w:w="22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Domain validation</w:t>
            </w:r>
          </w:p>
        </w:tc>
        <w:tc>
          <w:tcPr>
            <w:tcW w:type="dxa" w:w="75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Invalid email, empty text, zero/negative capacity, score boundaries and ticket state transition.</w:t>
            </w:r>
          </w:p>
        </w:tc>
      </w:tr>
      <w:tr>
        <w:trPr>
          <w:trHeight w:hRule="exact" w:val="400"/>
        </w:trPr>
        <w:tc>
          <w:tcPr>
            <w:tcW w:type="dxa" w:w="2268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68"/>
            </w:tblGrid>
            <w:tr>
              <w:trPr>
                <w:trHeight w:hRule="exact" w:val="380"/>
              </w:trPr>
              <w:tc>
                <w:tcPr>
                  <w:tcW w:type="dxa" w:w="148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Patterns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42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Singleton identity, four Factory categories, invalid category, three strategies and invalid scores.</w:t>
            </w:r>
          </w:p>
        </w:tc>
      </w:tr>
      <w:tr>
        <w:trPr>
          <w:trHeight w:hRule="exact" w:val="400"/>
        </w:trPr>
        <w:tc>
          <w:tcPr>
            <w:tcW w:type="dxa" w:w="22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Registration</w:t>
            </w:r>
          </w:p>
        </w:tc>
        <w:tc>
          <w:tcPr>
            <w:tcW w:type="dxa" w:w="75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Success, invalid input, duplicate, capacity, summary completeness and concurrent contention.</w:t>
            </w:r>
          </w:p>
        </w:tc>
      </w:tr>
      <w:tr>
        <w:trPr>
          <w:trHeight w:hRule="exact" w:val="400"/>
        </w:trPr>
        <w:tc>
          <w:tcPr>
            <w:tcW w:type="dxa" w:w="2268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68"/>
            </w:tblGrid>
            <w:tr>
              <w:trPr>
                <w:trHeight w:hRule="exact" w:val="380"/>
              </w:trPr>
              <w:tc>
                <w:tcPr>
                  <w:tcW w:type="dxa" w:w="154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Monitoring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42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Context capture, performance aggregation and JSON export.</w:t>
            </w:r>
          </w:p>
        </w:tc>
      </w:tr>
      <w:tr>
        <w:trPr>
          <w:trHeight w:hRule="exact" w:val="400"/>
        </w:trPr>
        <w:tc>
          <w:tcPr>
            <w:tcW w:type="dxa" w:w="22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Performance</w:t>
            </w:r>
          </w:p>
        </w:tc>
        <w:tc>
          <w:tcPr>
            <w:tcW w:type="dxa" w:w="75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List/set benchmark executes equivalent successful lookups.</w:t>
            </w:r>
          </w:p>
        </w:tc>
      </w:tr>
    </w:tbl>
    <w:p>
      <w:pPr>
        <w:autoSpaceDN w:val="0"/>
        <w:autoSpaceDE w:val="0"/>
        <w:widowControl/>
        <w:spacing w:line="270" w:lineRule="exact" w:before="82" w:after="0"/>
        <w:ind w:left="176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The test suite completed with 32 passes and 92% coverage of assessed core modules. The demonstration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orchestration is intentionally omitted from coverage because its behaviour is exercised through the underlying tested </w:t>
      </w:r>
      <w:r>
        <w:rPr>
          <w:rFonts w:ascii="ArialMT" w:hAnsi="ArialMT" w:eastAsia="ArialMT"/>
          <w:b w:val="0"/>
          <w:i w:val="0"/>
          <w:color w:val="000000"/>
          <w:sz w:val="19"/>
        </w:rPr>
        <w:t>services and captured end-to-end output.</w:t>
      </w:r>
    </w:p>
    <w:p>
      <w:pPr>
        <w:autoSpaceDN w:val="0"/>
        <w:autoSpaceDE w:val="0"/>
        <w:widowControl/>
        <w:spacing w:line="240" w:lineRule="auto" w:before="15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7673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767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114" w:after="4214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5"/>
        </w:rPr>
        <w:t>Figure 10. Successful automated test and coverage run.</w:t>
      </w:r>
    </w:p>
    <w:p>
      <w:pPr>
        <w:sectPr>
          <w:pgSz w:w="12240" w:h="15840"/>
          <w:pgMar w:top="544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4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nextColumn"/>
          <w:pgSz w:w="12240" w:h="15840"/>
          <w:pgMar w:top="54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5.2 Application profiling</w:t>
      </w:r>
    </w:p>
    <w:p>
      <w:pPr>
        <w:autoSpaceDN w:val="0"/>
        <w:autoSpaceDE w:val="0"/>
        <w:widowControl/>
        <w:spacing w:line="270" w:lineRule="exact" w:before="82" w:after="0"/>
        <w:ind w:left="176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The application was profiled with Python cProfile using the full demonstration workload. Results were sorted by </w:t>
      </w:r>
      <w:r>
        <w:rPr>
          <w:rFonts w:ascii="ArialMT" w:hAnsi="ArialMT" w:eastAsia="ArialMT"/>
          <w:b w:val="0"/>
          <w:i w:val="0"/>
          <w:color w:val="000000"/>
          <w:sz w:val="19"/>
        </w:rPr>
        <w:t>cumulative time so that work initiated through helper calls remains visible.</w:t>
      </w:r>
    </w:p>
    <w:p>
      <w:pPr>
        <w:autoSpaceDN w:val="0"/>
        <w:autoSpaceDE w:val="0"/>
        <w:widowControl/>
        <w:spacing w:line="270" w:lineRule="exact" w:before="120" w:after="0"/>
        <w:ind w:left="176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Benchmark list membership and demonstration/report setup dominate cumulative time; registration critical sections </w:t>
      </w:r>
      <w:r>
        <w:rPr>
          <w:rFonts w:ascii="ArialMT" w:hAnsi="ArialMT" w:eastAsia="ArialMT"/>
          <w:b w:val="0"/>
          <w:i w:val="0"/>
          <w:color w:val="000000"/>
          <w:sz w:val="19"/>
        </w:rPr>
        <w:t>remain small.</w:t>
      </w:r>
    </w:p>
    <w:p>
      <w:pPr>
        <w:autoSpaceDN w:val="0"/>
        <w:autoSpaceDE w:val="0"/>
        <w:widowControl/>
        <w:spacing w:line="270" w:lineRule="exact" w:before="120" w:after="0"/>
        <w:ind w:left="17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The profile supports the implemented set-based optimisation. Further optimisation should focus on realistic persistence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and report serialisation only after measuring a database-backed workload. Micro-optimising validated entity </w:t>
      </w:r>
      <w:r>
        <w:rPr>
          <w:rFonts w:ascii="ArialMT" w:hAnsi="ArialMT" w:eastAsia="ArialMT"/>
          <w:b w:val="0"/>
          <w:i w:val="0"/>
          <w:color w:val="000000"/>
          <w:sz w:val="19"/>
        </w:rPr>
        <w:t>construction would add complexity without material benefit.</w:t>
      </w:r>
    </w:p>
    <w:p>
      <w:pPr>
        <w:autoSpaceDN w:val="0"/>
        <w:autoSpaceDE w:val="0"/>
        <w:widowControl/>
        <w:spacing w:line="240" w:lineRule="auto" w:before="15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32245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22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112" w:after="6146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5"/>
        </w:rPr>
        <w:t>Figure 11. cProfile results sorted by cumulative time.</w:t>
      </w:r>
    </w:p>
    <w:p>
      <w:pPr>
        <w:sectPr>
          <w:pgSz w:w="12240" w:h="15840"/>
          <w:pgMar w:top="538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38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nextColumn"/>
          <w:pgSz w:w="12240" w:h="15840"/>
          <w:pgMar w:top="538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5.3 Microservices readiness assessment</w:t>
      </w:r>
    </w:p>
    <w:p>
      <w:pPr>
        <w:autoSpaceDN w:val="0"/>
        <w:autoSpaceDE w:val="0"/>
        <w:widowControl/>
        <w:spacing w:line="270" w:lineRule="exact" w:before="82" w:after="156"/>
        <w:ind w:left="176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The modular monolith provides clear candidate boundaries without prematurely introducing distributed-system cost.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Each service should own its data and publish stable contracts. The Registration Service is the consistency boundary </w:t>
      </w:r>
      <w:r>
        <w:rPr>
          <w:rFonts w:ascii="ArialMT" w:hAnsi="ArialMT" w:eastAsia="ArialMT"/>
          <w:b w:val="0"/>
          <w:i w:val="0"/>
          <w:color w:val="000000"/>
          <w:sz w:val="19"/>
        </w:rPr>
        <w:t>for enrolment; Reporting consumes events rather than reading every operational database directly.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3444"/>
        <w:gridCol w:w="3444"/>
        <w:gridCol w:w="3444"/>
      </w:tblGrid>
      <w:tr>
        <w:trPr>
          <w:trHeight w:hRule="exact" w:val="401"/>
        </w:trPr>
        <w:tc>
          <w:tcPr>
            <w:tcW w:type="dxa" w:w="1928"/>
            <w:tcBorders/>
            <w:shd w:fill="11335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8"/>
            </w:tblGrid>
            <w:tr>
              <w:trPr>
                <w:trHeight w:hRule="exact" w:val="380"/>
              </w:trPr>
              <w:tc>
                <w:tcPr>
                  <w:tcW w:type="dxa" w:w="1640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Candidate service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04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6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Responsibility</w:t>
            </w:r>
          </w:p>
        </w:tc>
        <w:tc>
          <w:tcPr>
            <w:tcW w:type="dxa" w:w="3178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6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Independent operation</w:t>
            </w:r>
          </w:p>
        </w:tc>
      </w:tr>
      <w:tr>
        <w:trPr>
          <w:trHeight w:hRule="exact" w:val="600"/>
        </w:trPr>
        <w:tc>
          <w:tcPr>
            <w:tcW w:type="dxa" w:w="19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Learner</w:t>
            </w:r>
          </w:p>
        </w:tc>
        <w:tc>
          <w:tcPr>
            <w:tcW w:type="dxa" w:w="47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Profiles, status and identity validation.</w:t>
            </w:r>
          </w:p>
        </w:tc>
        <w:tc>
          <w:tcPr>
            <w:tcW w:type="dxa" w:w="31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2" w:right="1008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Can manage learner records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independently.</w:t>
            </w:r>
          </w:p>
        </w:tc>
      </w:tr>
      <w:tr>
        <w:trPr>
          <w:trHeight w:hRule="exact" w:val="600"/>
        </w:trPr>
        <w:tc>
          <w:tcPr>
            <w:tcW w:type="dxa" w:w="1928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8"/>
            </w:tblGrid>
            <w:tr>
              <w:trPr>
                <w:trHeight w:hRule="exact" w:val="580"/>
              </w:trPr>
              <w:tc>
                <w:tcPr>
                  <w:tcW w:type="dxa" w:w="126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Course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04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Catalogue, course status and capacity definition.</w:t>
            </w:r>
          </w:p>
        </w:tc>
        <w:tc>
          <w:tcPr>
            <w:tcW w:type="dxa" w:w="317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2" w:right="864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Can publish course availability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independently.</w:t>
            </w:r>
          </w:p>
        </w:tc>
      </w:tr>
      <w:tr>
        <w:trPr>
          <w:trHeight w:hRule="exact" w:val="600"/>
        </w:trPr>
        <w:tc>
          <w:tcPr>
            <w:tcW w:type="dxa" w:w="19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Registration</w:t>
            </w:r>
          </w:p>
        </w:tc>
        <w:tc>
          <w:tcPr>
            <w:tcW w:type="dxa" w:w="47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Uniqueness, capacity reservation and enrolment lifecycle.</w:t>
            </w:r>
          </w:p>
        </w:tc>
        <w:tc>
          <w:tcPr>
            <w:tcW w:type="dxa" w:w="31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2" w:right="576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Operates independently but queries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cached learner/course eligibility.</w:t>
            </w:r>
          </w:p>
        </w:tc>
      </w:tr>
      <w:tr>
        <w:trPr>
          <w:trHeight w:hRule="exact" w:val="600"/>
        </w:trPr>
        <w:tc>
          <w:tcPr>
            <w:tcW w:type="dxa" w:w="1928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8"/>
            </w:tblGrid>
            <w:tr>
              <w:trPr>
                <w:trHeight w:hRule="exact" w:val="582"/>
              </w:trPr>
              <w:tc>
                <w:tcPr>
                  <w:tcW w:type="dxa" w:w="144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Assessment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04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Assessment definitions, attempts and result strategies.</w:t>
            </w:r>
          </w:p>
        </w:tc>
        <w:tc>
          <w:tcPr>
            <w:tcW w:type="dxa" w:w="317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2" w:right="72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Can calculate and publish results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independently.</w:t>
            </w:r>
          </w:p>
        </w:tc>
      </w:tr>
      <w:tr>
        <w:trPr>
          <w:trHeight w:hRule="exact" w:val="600"/>
        </w:trPr>
        <w:tc>
          <w:tcPr>
            <w:tcW w:type="dxa" w:w="19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Support</w:t>
            </w:r>
          </w:p>
        </w:tc>
        <w:tc>
          <w:tcPr>
            <w:tcW w:type="dxa" w:w="47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Ticket categorisation, priority and workflow.</w:t>
            </w:r>
          </w:p>
        </w:tc>
        <w:tc>
          <w:tcPr>
            <w:tcW w:type="dxa" w:w="31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2" w:right="432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Can continue accepting tickets during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reporting outages.</w:t>
            </w:r>
          </w:p>
        </w:tc>
      </w:tr>
      <w:tr>
        <w:trPr>
          <w:trHeight w:hRule="exact" w:val="600"/>
        </w:trPr>
        <w:tc>
          <w:tcPr>
            <w:tcW w:type="dxa" w:w="1928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8"/>
            </w:tblGrid>
            <w:tr>
              <w:trPr>
                <w:trHeight w:hRule="exact" w:val="580"/>
              </w:trPr>
              <w:tc>
                <w:tcPr>
                  <w:tcW w:type="dxa" w:w="134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4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Reporting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04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Bugzot events, metrics and management reports.</w:t>
            </w:r>
          </w:p>
        </w:tc>
        <w:tc>
          <w:tcPr>
            <w:tcW w:type="dxa" w:w="317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288" w:firstLine="0"/>
              <w:jc w:val="center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Consumes events asynchronously and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tolerates temporary producer outages.</w:t>
            </w:r>
          </w:p>
        </w:tc>
      </w:tr>
    </w:tbl>
    <w:p>
      <w:pPr>
        <w:autoSpaceDN w:val="0"/>
        <w:autoSpaceDE w:val="0"/>
        <w:widowControl/>
        <w:spacing w:line="270" w:lineRule="exact" w:before="82" w:after="0"/>
        <w:ind w:left="176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Communication: REST is appropriate for immediate validation and user-facing queries. Events such as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registration-created, assessment-completed and ticket-updated reduce coupling for reporting and notification. Each </w:t>
      </w:r>
      <w:r>
        <w:rPr>
          <w:rFonts w:ascii="ArialMT" w:hAnsi="ArialMT" w:eastAsia="ArialMT"/>
          <w:b w:val="0"/>
          <w:i w:val="0"/>
          <w:color w:val="000000"/>
          <w:sz w:val="19"/>
        </w:rPr>
        <w:t>message requires an idempotency key and correlation ID.</w:t>
      </w:r>
    </w:p>
    <w:p>
      <w:pPr>
        <w:autoSpaceDN w:val="0"/>
        <w:autoSpaceDE w:val="0"/>
        <w:widowControl/>
        <w:spacing w:line="270" w:lineRule="exact" w:before="120" w:after="0"/>
        <w:ind w:left="17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Testing and tracing: unit tests remain within each service; consumer-driven contract tests protect REST and event </w:t>
      </w:r>
      <w:r>
        <w:rPr>
          <w:rFonts w:ascii="ArialMT" w:hAnsi="ArialMT" w:eastAsia="ArialMT"/>
          <w:b w:val="0"/>
          <w:i w:val="0"/>
          <w:color w:val="000000"/>
          <w:sz w:val="19"/>
        </w:rPr>
        <w:t>schemas; integration tests cover key workflows; and distributed traces connect gateway, service and event processing.</w:t>
      </w:r>
    </w:p>
    <w:p>
      <w:pPr>
        <w:autoSpaceDN w:val="0"/>
        <w:autoSpaceDE w:val="0"/>
        <w:widowControl/>
        <w:spacing w:line="190" w:lineRule="exact" w:before="80" w:after="6984"/>
        <w:ind w:left="17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Bugzot becomes the central event and performance view while service-local logs remain available for diagnosis.</w:t>
      </w:r>
    </w:p>
    <w:p>
      <w:pPr>
        <w:sectPr>
          <w:pgSz w:w="12240" w:h="15840"/>
          <w:pgMar w:top="540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40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nextColumn"/>
          <w:pgSz w:w="12240" w:h="15840"/>
          <w:pgMar w:top="540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3937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114" w:after="7672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5"/>
        </w:rPr>
        <w:t>Figure 12. Proposed service boundaries, communication and cross-cutting controls.</w:t>
      </w:r>
    </w:p>
    <w:p>
      <w:pPr>
        <w:sectPr>
          <w:pgSz w:w="12240" w:h="15840"/>
          <w:pgMar w:top="514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1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nextColumn"/>
          <w:pgSz w:w="12240" w:h="15840"/>
          <w:pgMar w:top="51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Conclusion</w:t>
      </w:r>
    </w:p>
    <w:p>
      <w:pPr>
        <w:autoSpaceDN w:val="0"/>
        <w:autoSpaceDE w:val="0"/>
        <w:widowControl/>
        <w:spacing w:line="270" w:lineRule="exact" w:before="100" w:after="0"/>
        <w:ind w:left="17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EduCore demonstrates a maintainable enterprise-programming foundation rather than a collection of isolated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examples. Validated entities and patterns support change; the registration service preserves uniqueness and capacity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under contention; Bugzot provides diagnostic and performance visibility; tests and profiling supply reproducible quality </w:t>
      </w:r>
      <w:r>
        <w:rPr>
          <w:rFonts w:ascii="ArialMT" w:hAnsi="ArialMT" w:eastAsia="ArialMT"/>
          <w:b w:val="0"/>
          <w:i w:val="0"/>
          <w:color w:val="000000"/>
          <w:sz w:val="19"/>
        </w:rPr>
        <w:t>evidence; and the proposed interfaces and service boundaries establish a credible path to future growth.</w:t>
      </w:r>
    </w:p>
    <w:p>
      <w:pPr>
        <w:autoSpaceDN w:val="0"/>
        <w:autoSpaceDE w:val="0"/>
        <w:widowControl/>
        <w:spacing w:line="368" w:lineRule="exact" w:before="130" w:after="0"/>
        <w:ind w:left="176" w:right="4608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Submission verification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-</w:t>
      </w:r>
      <w:r>
        <w:rPr>
          <w:rFonts w:ascii="ArialMT" w:hAnsi="ArialMT" w:eastAsia="ArialMT"/>
          <w:b w:val="0"/>
          <w:i w:val="0"/>
          <w:color w:val="000000"/>
          <w:sz w:val="19"/>
        </w:rPr>
        <w:t>Run python -m pytest --cov=educore and confirm all tests pass.</w:t>
      </w:r>
    </w:p>
    <w:p>
      <w:pPr>
        <w:autoSpaceDN w:val="0"/>
        <w:autoSpaceDE w:val="0"/>
        <w:widowControl/>
        <w:spacing w:line="274" w:lineRule="exact" w:before="116" w:after="0"/>
        <w:ind w:left="1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-</w:t>
      </w:r>
      <w:r>
        <w:rPr>
          <w:rFonts w:ascii="ArialMT" w:hAnsi="ArialMT" w:eastAsia="ArialMT"/>
          <w:b w:val="0"/>
          <w:i w:val="0"/>
          <w:color w:val="000000"/>
          <w:sz w:val="19"/>
        </w:rPr>
        <w:t>Run python -m educore.demo and confirm the final registration count equals course capacity.</w:t>
      </w:r>
    </w:p>
    <w:p>
      <w:pPr>
        <w:autoSpaceDN w:val="0"/>
        <w:autoSpaceDE w:val="0"/>
        <w:widowControl/>
        <w:spacing w:line="274" w:lineRule="exact" w:before="116" w:after="0"/>
        <w:ind w:left="1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-</w:t>
      </w:r>
      <w:r>
        <w:rPr>
          <w:rFonts w:ascii="ArialMT" w:hAnsi="ArialMT" w:eastAsia="ArialMT"/>
          <w:b w:val="0"/>
          <w:i w:val="0"/>
          <w:color w:val="000000"/>
          <w:sz w:val="19"/>
        </w:rPr>
        <w:t>Regenerate reports and compare the current evidence with the figures in this document.</w:t>
      </w:r>
    </w:p>
    <w:p>
      <w:pPr>
        <w:autoSpaceDN w:val="0"/>
        <w:autoSpaceDE w:val="0"/>
        <w:widowControl/>
        <w:spacing w:line="274" w:lineRule="exact" w:before="116" w:after="0"/>
        <w:ind w:left="1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-</w:t>
      </w:r>
      <w:r>
        <w:rPr>
          <w:rFonts w:ascii="ArialMT" w:hAnsi="ArialMT" w:eastAsia="ArialMT"/>
          <w:b w:val="0"/>
          <w:i w:val="0"/>
          <w:color w:val="000000"/>
          <w:sz w:val="19"/>
        </w:rPr>
        <w:t>Review the AI-use disclosure for accuracy and retain the development history.</w:t>
      </w:r>
    </w:p>
    <w:p>
      <w:pPr>
        <w:autoSpaceDN w:val="0"/>
        <w:autoSpaceDE w:val="0"/>
        <w:widowControl/>
        <w:spacing w:line="209" w:lineRule="auto" w:before="252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References</w:t>
      </w:r>
    </w:p>
    <w:p>
      <w:pPr>
        <w:autoSpaceDN w:val="0"/>
        <w:autoSpaceDE w:val="0"/>
        <w:widowControl/>
        <w:spacing w:line="270" w:lineRule="exact" w:before="82" w:after="0"/>
        <w:ind w:left="176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Gamma, E., Helm, R., Johnson, R. and Vlissides, J. (1994). Design Patterns: Elements of Reusable Object-Oriented </w:t>
      </w:r>
      <w:r>
        <w:rPr>
          <w:rFonts w:ascii="ArialMT" w:hAnsi="ArialMT" w:eastAsia="ArialMT"/>
          <w:b w:val="0"/>
          <w:i w:val="0"/>
          <w:color w:val="000000"/>
          <w:sz w:val="19"/>
        </w:rPr>
        <w:t>Software. Addison-Wesley.</w:t>
      </w:r>
    </w:p>
    <w:p>
      <w:pPr>
        <w:autoSpaceDN w:val="0"/>
        <w:autoSpaceDE w:val="0"/>
        <w:widowControl/>
        <w:spacing w:line="270" w:lineRule="exact" w:before="120" w:after="0"/>
        <w:ind w:left="176" w:right="216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Python Software Foundation (2026). concurrent.futures - Launching parallel tasks. Available at: </w:t>
      </w:r>
      <w:r>
        <w:rPr>
          <w:rFonts w:ascii="ArialMT" w:hAnsi="ArialMT" w:eastAsia="ArialMT"/>
          <w:b w:val="0"/>
          <w:i w:val="0"/>
          <w:color w:val="000000"/>
          <w:sz w:val="19"/>
        </w:rPr>
        <w:t>https://docs.python.org/3/library/concurrent.futures.html</w:t>
      </w:r>
    </w:p>
    <w:p>
      <w:pPr>
        <w:autoSpaceDN w:val="0"/>
        <w:autoSpaceDE w:val="0"/>
        <w:widowControl/>
        <w:spacing w:line="270" w:lineRule="exact" w:before="120" w:after="0"/>
        <w:ind w:left="176" w:right="273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Python Software Foundation (2026). threading - Thread-based parallelism. Available at: </w:t>
      </w:r>
      <w:r>
        <w:rPr>
          <w:rFonts w:ascii="ArialMT" w:hAnsi="ArialMT" w:eastAsia="ArialMT"/>
          <w:b w:val="0"/>
          <w:i w:val="0"/>
          <w:color w:val="000000"/>
          <w:sz w:val="19"/>
        </w:rPr>
        <w:t>https://docs.python.org/3/library/threading.html</w:t>
      </w:r>
    </w:p>
    <w:p>
      <w:pPr>
        <w:autoSpaceDN w:val="0"/>
        <w:autoSpaceDE w:val="0"/>
        <w:widowControl/>
        <w:spacing w:line="190" w:lineRule="exact" w:before="200" w:after="0"/>
        <w:ind w:left="17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Python Software Foundation (2026). The Python Profilers. Available at: https://docs.python.org/3/library/profile.html</w:t>
      </w:r>
    </w:p>
    <w:p>
      <w:pPr>
        <w:autoSpaceDN w:val="0"/>
        <w:autoSpaceDE w:val="0"/>
        <w:widowControl/>
        <w:spacing w:line="190" w:lineRule="exact" w:before="200" w:after="0"/>
        <w:ind w:left="17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pytest development team (2026). pytest documentation. Available at: https://docs.pytest.org/</w:t>
      </w:r>
    </w:p>
    <w:p>
      <w:pPr>
        <w:autoSpaceDN w:val="0"/>
        <w:autoSpaceDE w:val="0"/>
        <w:widowControl/>
        <w:spacing w:line="209" w:lineRule="auto" w:before="268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Appendix A: AI-use statement</w:t>
      </w:r>
    </w:p>
    <w:p>
      <w:pPr>
        <w:autoSpaceDN w:val="0"/>
        <w:autoSpaceDE w:val="0"/>
        <w:widowControl/>
        <w:spacing w:line="270" w:lineRule="exact" w:before="82" w:after="0"/>
        <w:ind w:left="17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AI assistance was used for rubric analysis, project scaffolding, implementation support, test design, debugging,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evidence preparation and report structuring. The accompanying AI_USE_LOG.md records the actual prompts and the </w:t>
      </w:r>
      <w:r>
        <w:rPr>
          <w:rFonts w:ascii="ArialMT" w:hAnsi="ArialMT" w:eastAsia="ArialMT"/>
          <w:b w:val="0"/>
          <w:i w:val="0"/>
          <w:color w:val="000000"/>
          <w:sz w:val="19"/>
        </w:rPr>
        <w:t>student's required review and verification actions. AI use must be declared according to the final LMS template.</w:t>
      </w:r>
    </w:p>
    <w:p>
      <w:pPr>
        <w:autoSpaceDN w:val="0"/>
        <w:autoSpaceDE w:val="0"/>
        <w:widowControl/>
        <w:spacing w:line="209" w:lineRule="auto" w:before="268" w:after="54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Appendix B: Reproduction commands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332"/>
      </w:tblGrid>
      <w:tr>
        <w:trPr>
          <w:trHeight w:hRule="exact" w:val="240"/>
        </w:trPr>
        <w:tc>
          <w:tcPr>
            <w:tcW w:type="dxa" w:w="1028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6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python3 -m venv .venv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332"/>
      </w:tblGrid>
      <w:tr>
        <w:trPr>
          <w:trHeight w:hRule="exact" w:val="190"/>
        </w:trPr>
        <w:tc>
          <w:tcPr>
            <w:tcW w:type="dxa" w:w="62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10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source .venv/bin/activate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332"/>
      </w:tblGrid>
      <w:tr>
        <w:trPr>
          <w:trHeight w:hRule="exact" w:val="188"/>
        </w:trPr>
        <w:tc>
          <w:tcPr>
            <w:tcW w:type="dxa" w:w="646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10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python -m pip install '.[dev]'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332"/>
      </w:tblGrid>
      <w:tr>
        <w:trPr>
          <w:trHeight w:hRule="exact" w:val="190"/>
        </w:trPr>
        <w:tc>
          <w:tcPr>
            <w:tcW w:type="dxa" w:w="758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0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python -m pytest --cov=educore --cov-report=term-missing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332"/>
      </w:tblGrid>
      <w:tr>
        <w:trPr>
          <w:trHeight w:hRule="exact" w:val="226"/>
        </w:trPr>
        <w:tc>
          <w:tcPr>
            <w:tcW w:type="dxa" w:w="768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0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python -m educore.demo --report-directory evidence/reports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4276"/>
        <w:ind w:left="0" w:right="0"/>
      </w:pPr>
    </w:p>
    <w:p>
      <w:pPr>
        <w:sectPr>
          <w:pgSz w:w="12240" w:h="15840"/>
          <w:pgMar w:top="544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4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sectPr w:rsidR="00FC693F" w:rsidRPr="0006063C" w:rsidSect="00034616">
      <w:type w:val="nextColumn"/>
      <w:pgSz w:w="12240" w:h="15840"/>
      <w:pgMar w:top="544" w:right="944" w:bottom="268" w:left="964" w:header="720" w:footer="720" w:gutter="0"/>
      <w:cols w:num="2" w:equalWidth="0">
        <w:col w:w="5974" w:space="0"/>
        <w:col w:w="4358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