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666666"/>
          <w:sz w:val="16"/>
        </w:rPr>
        <w:t>DRAFT - AI-ASSISTED</w:t>
      </w:r>
    </w:p>
    <w:p>
      <w:pPr>
        <w:autoSpaceDN w:val="0"/>
        <w:autoSpaceDE w:val="0"/>
        <w:widowControl/>
        <w:spacing w:line="240" w:lineRule="auto" w:before="10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90850" cy="1104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2" w:lineRule="auto" w:before="376" w:after="0"/>
        <w:ind w:left="28" w:right="0" w:firstLine="0"/>
        <w:jc w:val="left"/>
      </w:pPr>
      <w:r>
        <w:rPr>
          <w:rFonts w:ascii="Larken" w:hAnsi="Larken" w:eastAsia="Larken"/>
          <w:b w:val="0"/>
          <w:i w:val="0"/>
          <w:color w:val="15305D"/>
          <w:sz w:val="52"/>
        </w:rPr>
        <w:t xml:space="preserve">Individual Assessment Coversheet </w:t>
      </w:r>
    </w:p>
    <w:p>
      <w:pPr>
        <w:autoSpaceDN w:val="0"/>
        <w:tabs>
          <w:tab w:pos="2014" w:val="left"/>
        </w:tabs>
        <w:autoSpaceDE w:val="0"/>
        <w:widowControl/>
        <w:spacing w:line="194" w:lineRule="exact" w:before="348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 be attached to the front of the assessment.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Mowbray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Campus: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__________________________________________________________________________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Technology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Faculty: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__________________________________________________________________________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ITEPA3-33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Module Code: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__________________________________________________________________________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Individual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Group: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__________________________________________________________________________ </w:t>
      </w:r>
    </w:p>
    <w:p>
      <w:pPr>
        <w:autoSpaceDN w:val="0"/>
        <w:tabs>
          <w:tab w:pos="2014" w:val="left"/>
        </w:tabs>
        <w:autoSpaceDE w:val="0"/>
        <w:widowControl/>
        <w:spacing w:line="152" w:lineRule="exact" w:before="194" w:after="4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Lecturer’s Name: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 xml:space="preserve">__________________________________________________________________________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Joshua Nehohwa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Student Full Name: __________________________________________________________________________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EDUV4948467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5203"/>
        <w:gridCol w:w="5203"/>
      </w:tblGrid>
      <w:tr>
        <w:trPr>
          <w:trHeight w:hRule="exact" w:val="28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Student Number: </w:t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__________________________________________________________________________ </w:t>
            </w:r>
          </w:p>
        </w:tc>
      </w:tr>
    </w:tbl>
    <w:p>
      <w:pPr>
        <w:autoSpaceDN w:val="0"/>
        <w:autoSpaceDE w:val="0"/>
        <w:widowControl/>
        <w:spacing w:line="4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469"/>
        <w:gridCol w:w="3469"/>
        <w:gridCol w:w="3469"/>
      </w:tblGrid>
      <w:tr>
        <w:trPr>
          <w:trHeight w:hRule="exact" w:val="288"/>
        </w:trPr>
        <w:tc>
          <w:tcPr>
            <w:tcW w:type="dxa" w:w="35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152f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Indicate </w:t>
            </w:r>
          </w:p>
        </w:tc>
        <w:tc>
          <w:tcPr>
            <w:tcW w:type="dxa" w:w="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52f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Yes </w:t>
            </w:r>
          </w:p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152f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No </w:t>
            </w:r>
          </w:p>
        </w:tc>
      </w:tr>
      <w:tr>
        <w:trPr>
          <w:trHeight w:hRule="exact" w:val="286"/>
        </w:trPr>
        <w:tc>
          <w:tcPr>
            <w:tcW w:type="dxa" w:w="355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152f5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Plagiarism report attached </w:t>
            </w:r>
          </w:p>
        </w:tc>
        <w:tc>
          <w:tcPr>
            <w:tcW w:type="dxa" w:w="7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350" w:after="0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Declaration: </w:t>
      </w:r>
    </w:p>
    <w:p>
      <w:pPr>
        <w:autoSpaceDN w:val="0"/>
        <w:autoSpaceDE w:val="0"/>
        <w:widowControl/>
        <w:spacing w:line="180" w:lineRule="exact" w:before="122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 declare that this assessment is my own original work except for source material explicitly acknowledged. I also declare that this assessment or </w:t>
      </w:r>
    </w:p>
    <w:p>
      <w:pPr>
        <w:autoSpaceDN w:val="0"/>
        <w:autoSpaceDE w:val="0"/>
        <w:widowControl/>
        <w:spacing w:line="180" w:lineRule="exact" w:before="96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any other of my original work related to it has not been previously, or is not being simultaneously, submitted for this or any other course. I am </w:t>
      </w:r>
    </w:p>
    <w:p>
      <w:pPr>
        <w:autoSpaceDN w:val="0"/>
        <w:autoSpaceDE w:val="0"/>
        <w:widowControl/>
        <w:spacing w:line="178" w:lineRule="exact" w:before="98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aware of the AI policy and acknowledge that I have not used any AI technology to generate or manipulate data, other than as permitted by the </w:t>
      </w:r>
    </w:p>
    <w:p>
      <w:pPr>
        <w:autoSpaceDN w:val="0"/>
        <w:autoSpaceDE w:val="0"/>
        <w:widowControl/>
        <w:spacing w:line="178" w:lineRule="exact" w:before="98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assessment instructions. I also declare that I am aware of the Institution’s policy and regulations on honesty in academic work as set out in the </w:t>
      </w:r>
    </w:p>
    <w:p>
      <w:pPr>
        <w:autoSpaceDN w:val="0"/>
        <w:autoSpaceDE w:val="0"/>
        <w:widowControl/>
        <w:spacing w:line="178" w:lineRule="exact" w:before="98" w:after="432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Conditions of Enrolment, and of the disciplinary guidelines applicable to breaches of such policy and regulations.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203"/>
        <w:gridCol w:w="5203"/>
      </w:tblGrid>
      <w:tr>
        <w:trPr>
          <w:trHeight w:hRule="exact" w:val="864"/>
        </w:trPr>
        <w:tc>
          <w:tcPr>
            <w:tcW w:type="dxa" w:w="527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Signature </w:t>
            </w:r>
          </w:p>
        </w:tc>
        <w:tc>
          <w:tcPr>
            <w:tcW w:type="dxa" w:w="50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233" w:lineRule="auto" w:before="350" w:after="116"/>
        <w:ind w:left="2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Lecturer’s Comments: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407"/>
      </w:tblGrid>
      <w:tr>
        <w:trPr>
          <w:trHeight w:hRule="exact" w:val="1772"/>
        </w:trPr>
        <w:tc>
          <w:tcPr>
            <w:tcW w:type="dxa" w:w="10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407"/>
      </w:tblGrid>
      <w:tr>
        <w:trPr>
          <w:trHeight w:hRule="exact" w:val="580"/>
        </w:trPr>
        <w:tc>
          <w:tcPr>
            <w:tcW w:type="dxa" w:w="10348"/>
            <w:tcBorders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90" w:val="left"/>
              </w:tabs>
              <w:autoSpaceDE w:val="0"/>
              <w:widowControl/>
              <w:spacing w:line="233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Marks Awarded: </w:t>
            </w:r>
            <w:r>
              <w:tab/>
            </w:r>
            <w:r>
              <w:rPr>
                <w:w w:val="98.34712028503418"/>
                <w:rFonts w:ascii="Arial" w:hAnsi="Arial" w:eastAsia="Arial"/>
                <w:b/>
                <w:i w:val="0"/>
                <w:color w:val="000000"/>
                <w:sz w:val="20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5203"/>
        <w:gridCol w:w="5203"/>
      </w:tblGrid>
      <w:tr>
        <w:trPr>
          <w:trHeight w:hRule="exact" w:val="860"/>
        </w:trPr>
        <w:tc>
          <w:tcPr>
            <w:tcW w:type="dxa" w:w="5266"/>
            <w:tcBorders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Signature </w:t>
            </w:r>
          </w:p>
        </w:tc>
        <w:tc>
          <w:tcPr>
            <w:tcW w:type="dxa" w:w="507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</w:tr>
    </w:tbl>
    <w:p>
      <w:pPr>
        <w:autoSpaceDN w:val="0"/>
        <w:autoSpaceDE w:val="0"/>
        <w:widowControl/>
        <w:spacing w:line="162" w:lineRule="exact" w:before="456" w:after="0"/>
        <w:ind w:left="28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Eduvos (Pty) Ltd. (formerly Pearson Institute of Higher Education) is registered with the Department of Higher Education and Training as a private higher education </w:t>
      </w:r>
      <w:r>
        <w:rPr>
          <w:rFonts w:ascii="ArialMT" w:hAnsi="ArialMT" w:eastAsia="ArialMT"/>
          <w:b w:val="0"/>
          <w:i w:val="0"/>
          <w:color w:val="000000"/>
          <w:sz w:val="14"/>
        </w:rPr>
        <w:t>institution under the Higher Education Act, 101, of 1997. Registration Certificate number: 2001/HE07/008</w:t>
      </w:r>
    </w:p>
    <w:p>
      <w:pPr>
        <w:sectPr>
          <w:pgSz w:w="11909" w:h="16834"/>
          <w:pgMar w:top="288" w:right="736" w:bottom="352" w:left="7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76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ITEPA3-33 Practical Assignment: EduCore Enterprise </w:t>
      </w:r>
      <w:r>
        <w:rPr>
          <w:rFonts w:ascii="Arial" w:hAnsi="Arial" w:eastAsia="Arial"/>
          <w:b/>
          <w:i w:val="0"/>
          <w:color w:val="000000"/>
          <w:sz w:val="34"/>
        </w:rPr>
        <w:t>Application</w:t>
      </w:r>
    </w:p>
    <w:p>
      <w:pPr>
        <w:autoSpaceDN w:val="0"/>
        <w:autoSpaceDE w:val="0"/>
        <w:widowControl/>
        <w:spacing w:line="200" w:lineRule="exact" w:before="128" w:after="114"/>
        <w:ind w:left="1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Python enterprise application prototype, evidence and design evaluation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400"/>
        </w:trPr>
        <w:tc>
          <w:tcPr>
            <w:tcW w:type="dxa" w:w="10160"/>
            <w:tcBorders/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55555"/>
                <w:sz w:val="16"/>
              </w:rPr>
              <w:t>WORKING DRAFT - AI ASSISTANCE IS DISCLOSED IN THE REPORT AND AI USE LOG</w:t>
            </w:r>
          </w:p>
        </w:tc>
      </w:tr>
    </w:tbl>
    <w:p>
      <w:pPr>
        <w:autoSpaceDN w:val="0"/>
        <w:autoSpaceDE w:val="0"/>
        <w:widowControl/>
        <w:spacing w:line="209" w:lineRule="auto" w:before="144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Executive summary</w:t>
      </w:r>
    </w:p>
    <w:p>
      <w:pPr>
        <w:autoSpaceDN w:val="0"/>
        <w:autoSpaceDE w:val="0"/>
        <w:widowControl/>
        <w:spacing w:line="270" w:lineRule="exact" w:before="100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EduCore is a Python enterprise-application prototype for a growing South African training provider. It centralises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learners, courses, registrations, assessments and support tickets while demonstrating maintainable object-oriented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design, three enterprise design patterns, thread-safe concurrent processing, structured monitoring, automated testing, </w:t>
      </w:r>
      <w:r>
        <w:rPr>
          <w:rFonts w:ascii="ArialMT" w:hAnsi="ArialMT" w:eastAsia="ArialMT"/>
          <w:b w:val="0"/>
          <w:i w:val="0"/>
          <w:color w:val="000000"/>
          <w:sz w:val="19"/>
        </w:rPr>
        <w:t>profiling and a migration path to microservices.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32"/>
      </w:tblGrid>
      <w:tr>
        <w:trPr>
          <w:trHeight w:hRule="exact" w:val="1400"/>
        </w:trPr>
        <w:tc>
          <w:tcPr>
            <w:tcW w:type="dxa" w:w="10280"/>
            <w:tcBorders>
              <w:start w:sz="8.0" w:val="single" w:color="#B6B6B6"/>
              <w:top w:sz="8.0" w:val="single" w:color="#B6B6B6"/>
              <w:end w:sz="8.0" w:val="single" w:color="#B6B6B6"/>
              <w:bottom w:sz="8.0" w:val="single" w:color="#B6B6B6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2" w:after="0"/>
              <w:ind w:left="15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The implementation is deliberately modular. Domain entities contain validation and business meaning; services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coordinate workflows; strategies and factories isolate variable behaviour; and Bugzot captures operational evidence.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15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The final test run completed 32 tests successfully with 92% measured coverage. A contention test confirmed that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concurrent registration never exceeded course capacity and did not create duplicate records.</w:t>
            </w:r>
          </w:p>
        </w:tc>
      </w:tr>
    </w:tbl>
    <w:p>
      <w:pPr>
        <w:autoSpaceDN w:val="0"/>
        <w:autoSpaceDE w:val="0"/>
        <w:widowControl/>
        <w:spacing w:line="209" w:lineRule="auto" w:before="80" w:after="10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1246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6"/>
            </w:tblGrid>
            <w:tr>
              <w:trPr>
                <w:trHeight w:hRule="exact" w:val="380"/>
              </w:trPr>
              <w:tc>
                <w:tcPr>
                  <w:tcW w:type="dxa" w:w="94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Section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46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Assessment area</w:t>
            </w:r>
          </w:p>
        </w:tc>
        <w:tc>
          <w:tcPr>
            <w:tcW w:type="dxa" w:w="124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Marks</w:t>
            </w:r>
          </w:p>
        </w:tc>
      </w:tr>
      <w:tr>
        <w:trPr>
          <w:trHeight w:hRule="exact" w:val="400"/>
        </w:trPr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7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Domain model and design patterns</w:t>
            </w:r>
          </w:p>
        </w:tc>
        <w:tc>
          <w:tcPr>
            <w:tcW w:type="dxa" w:w="1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20</w:t>
            </w:r>
          </w:p>
        </w:tc>
      </w:tr>
      <w:tr>
        <w:trPr>
          <w:trHeight w:hRule="exact" w:val="400"/>
        </w:trPr>
        <w:tc>
          <w:tcPr>
            <w:tcW w:type="dxa" w:w="1246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6"/>
            </w:tblGrid>
            <w:tr>
              <w:trPr>
                <w:trHeight w:hRule="exact" w:val="380"/>
              </w:trPr>
              <w:tc>
                <w:tcPr>
                  <w:tcW w:type="dxa" w:w="72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46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Registration, data modelling and concurrency</w:t>
            </w:r>
          </w:p>
        </w:tc>
        <w:tc>
          <w:tcPr>
            <w:tcW w:type="dxa" w:w="124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25</w:t>
            </w:r>
          </w:p>
        </w:tc>
      </w:tr>
      <w:tr>
        <w:trPr>
          <w:trHeight w:hRule="exact" w:val="400"/>
        </w:trPr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7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Bugzot, monitoring and optimisation</w:t>
            </w:r>
          </w:p>
        </w:tc>
        <w:tc>
          <w:tcPr>
            <w:tcW w:type="dxa" w:w="1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20</w:t>
            </w:r>
          </w:p>
        </w:tc>
      </w:tr>
      <w:tr>
        <w:trPr>
          <w:trHeight w:hRule="exact" w:val="400"/>
        </w:trPr>
        <w:tc>
          <w:tcPr>
            <w:tcW w:type="dxa" w:w="1246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6"/>
            </w:tblGrid>
            <w:tr>
              <w:trPr>
                <w:trHeight w:hRule="exact" w:val="380"/>
              </w:trPr>
              <w:tc>
                <w:tcPr>
                  <w:tcW w:type="dxa" w:w="72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46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Interface design and evaluation</w:t>
            </w:r>
          </w:p>
        </w:tc>
        <w:tc>
          <w:tcPr>
            <w:tcW w:type="dxa" w:w="124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15</w:t>
            </w:r>
          </w:p>
        </w:tc>
      </w:tr>
      <w:tr>
        <w:trPr>
          <w:trHeight w:hRule="exact" w:val="400"/>
        </w:trPr>
        <w:tc>
          <w:tcPr>
            <w:tcW w:type="dxa" w:w="12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714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Testing, profiling and microservices readiness</w:t>
            </w:r>
          </w:p>
        </w:tc>
        <w:tc>
          <w:tcPr>
            <w:tcW w:type="dxa" w:w="1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20</w:t>
            </w:r>
          </w:p>
        </w:tc>
      </w:tr>
      <w:tr>
        <w:trPr>
          <w:trHeight w:hRule="exact" w:val="400"/>
        </w:trPr>
        <w:tc>
          <w:tcPr>
            <w:tcW w:type="dxa" w:w="1246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6"/>
            </w:tblGrid>
            <w:tr>
              <w:trPr>
                <w:trHeight w:hRule="exact" w:val="380"/>
              </w:trPr>
              <w:tc>
                <w:tcPr>
                  <w:tcW w:type="dxa" w:w="10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Appendix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46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Execution, AI-use and references</w:t>
            </w:r>
          </w:p>
        </w:tc>
        <w:tc>
          <w:tcPr>
            <w:tcW w:type="dxa" w:w="124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9" w:lineRule="auto" w:before="23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System boundaries</w:t>
      </w:r>
    </w:p>
    <w:p>
      <w:pPr>
        <w:autoSpaceDN w:val="0"/>
        <w:autoSpaceDE w:val="0"/>
        <w:widowControl/>
        <w:spacing w:line="270" w:lineRule="exact" w:before="82" w:after="4614"/>
        <w:ind w:left="176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This submission is a working command-line prototype supported by interface mockups. Persistence remains in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memory so that the assessed enterprise mechanisms are visible and testable. The report distinguishes prototype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behaviour from future production requirements such as an external database, authentication, deployment and </w:t>
      </w:r>
      <w:r>
        <w:rPr>
          <w:rFonts w:ascii="ArialMT" w:hAnsi="ArialMT" w:eastAsia="ArialMT"/>
          <w:b w:val="0"/>
          <w:i w:val="0"/>
          <w:color w:val="000000"/>
          <w:sz w:val="19"/>
        </w:rPr>
        <w:t>distributed infrastructure.</w:t>
      </w:r>
    </w:p>
    <w:p>
      <w:pPr>
        <w:sectPr>
          <w:pgSz w:w="12240" w:h="15840"/>
          <w:pgMar w:top="552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52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52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1. Deliverable 1: Foundational components</w:t>
      </w:r>
    </w:p>
    <w:p>
      <w:pPr>
        <w:autoSpaceDN w:val="0"/>
        <w:autoSpaceDE w:val="0"/>
        <w:widowControl/>
        <w:spacing w:line="209" w:lineRule="auto" w:before="22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1.1 Domain model implementation</w:t>
      </w:r>
    </w:p>
    <w:p>
      <w:pPr>
        <w:autoSpaceDN w:val="0"/>
        <w:autoSpaceDE w:val="0"/>
        <w:widowControl/>
        <w:spacing w:line="270" w:lineRule="exact" w:before="82" w:after="158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domain model uses validated dataclasses with explicit state enums. Each class has one central responsibility and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exposes operations that preserve its invariants. Composition and identifier relationships keep entities understandable </w:t>
      </w:r>
      <w:r>
        <w:rPr>
          <w:rFonts w:ascii="ArialMT" w:hAnsi="ArialMT" w:eastAsia="ArialMT"/>
          <w:b w:val="0"/>
          <w:i w:val="0"/>
          <w:color w:val="000000"/>
          <w:sz w:val="19"/>
        </w:rPr>
        <w:t>without tightly coupling every object to every other object.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153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Class</w:t>
            </w:r>
          </w:p>
        </w:tc>
        <w:tc>
          <w:tcPr>
            <w:tcW w:type="dxa" w:w="515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Responsibility and main validation</w:t>
            </w:r>
          </w:p>
        </w:tc>
        <w:tc>
          <w:tcPr>
            <w:tcW w:type="dxa" w:w="312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Relationship</w:t>
            </w:r>
          </w:p>
        </w:tc>
      </w:tr>
      <w:tr>
        <w:trPr>
          <w:trHeight w:hRule="exact" w:val="600"/>
        </w:trPr>
        <w:tc>
          <w:tcPr>
            <w:tcW w:type="dxa" w:w="15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Learner</w:t>
            </w:r>
          </w:p>
        </w:tc>
        <w:tc>
          <w:tcPr>
            <w:tcW w:type="dxa" w:w="51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Stores identity, normalises email and rejects missing or invalid values.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14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 learner participates in registrations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owns support tickets.</w:t>
            </w:r>
          </w:p>
        </w:tc>
      </w:tr>
      <w:tr>
        <w:trPr>
          <w:trHeight w:hRule="exact" w:val="600"/>
        </w:trPr>
        <w:tc>
          <w:tcPr>
            <w:tcW w:type="dxa" w:w="1532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32"/>
            </w:tblGrid>
            <w:tr>
              <w:trPr>
                <w:trHeight w:hRule="exact" w:val="580"/>
              </w:trPr>
              <w:tc>
                <w:tcPr>
                  <w:tcW w:type="dxa" w:w="106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Course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5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Stores title and a strictly positive integer capacity.</w:t>
            </w:r>
          </w:p>
        </w:tc>
        <w:tc>
          <w:tcPr>
            <w:tcW w:type="dxa" w:w="312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576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Tracks assessment identifiers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receives registrations.</w:t>
            </w:r>
          </w:p>
        </w:tc>
      </w:tr>
      <w:tr>
        <w:trPr>
          <w:trHeight w:hRule="exact" w:val="600"/>
        </w:trPr>
        <w:tc>
          <w:tcPr>
            <w:tcW w:type="dxa" w:w="15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Registration</w:t>
            </w:r>
          </w:p>
        </w:tc>
        <w:tc>
          <w:tcPr>
            <w:tcW w:type="dxa" w:w="51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14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Immutable record containing learner, course, status and UTC creation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time.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Joins one learner to one course.</w:t>
            </w:r>
          </w:p>
        </w:tc>
      </w:tr>
      <w:tr>
        <w:trPr>
          <w:trHeight w:hRule="exact" w:val="600"/>
        </w:trPr>
        <w:tc>
          <w:tcPr>
            <w:tcW w:type="dxa" w:w="1532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32"/>
            </w:tblGrid>
            <w:tr>
              <w:trPr>
                <w:trHeight w:hRule="exact" w:val="582"/>
              </w:trPr>
              <w:tc>
                <w:tcPr>
                  <w:tcW w:type="dxa" w:w="12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Assessment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5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Validates title, maximum mark and score boundaries.</w:t>
            </w:r>
          </w:p>
        </w:tc>
        <w:tc>
          <w:tcPr>
            <w:tcW w:type="dxa" w:w="312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14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Belongs to a course and delegates result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calculation to a strategy.</w:t>
            </w:r>
          </w:p>
        </w:tc>
      </w:tr>
      <w:tr>
        <w:trPr>
          <w:trHeight w:hRule="exact" w:val="600"/>
        </w:trPr>
        <w:tc>
          <w:tcPr>
            <w:tcW w:type="dxa" w:w="15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SupportTicket</w:t>
            </w:r>
          </w:p>
        </w:tc>
        <w:tc>
          <w:tcPr>
            <w:tcW w:type="dxa" w:w="51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Controls category, priority and open-to-resolved workflow.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576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Belongs to a learner and is created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through the factory.</w:t>
            </w:r>
          </w:p>
        </w:tc>
      </w:tr>
    </w:tbl>
    <w:p>
      <w:pPr>
        <w:autoSpaceDN w:val="0"/>
        <w:autoSpaceDE w:val="0"/>
        <w:widowControl/>
        <w:spacing w:line="384" w:lineRule="exact" w:before="40" w:after="0"/>
        <w:ind w:left="176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Object-oriented principles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Encapsulation: validation is performed inside domain constructors and state-changing methods.</w:t>
      </w:r>
    </w:p>
    <w:p>
      <w:pPr>
        <w:autoSpaceDN w:val="0"/>
        <w:autoSpaceDE w:val="0"/>
        <w:widowControl/>
        <w:spacing w:line="274" w:lineRule="exact" w:before="116" w:after="0"/>
        <w:ind w:left="1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Abstraction: assessment calculations depend on the AssessmentStrategy interface rather than a specific algorithm.</w:t>
      </w:r>
    </w:p>
    <w:p>
      <w:pPr>
        <w:autoSpaceDN w:val="0"/>
        <w:autoSpaceDE w:val="0"/>
        <w:widowControl/>
        <w:spacing w:line="390" w:lineRule="exact" w:before="0" w:after="0"/>
        <w:ind w:left="176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Polymorphism: each strategy provides the same calculate interface but returns its algorithm-specific result.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Single responsibility: registration workflow, monitoring and entity state are held in separate modules.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32"/>
      </w:tblGrid>
      <w:tr>
        <w:trPr>
          <w:trHeight w:hRule="exact" w:val="354"/>
        </w:trPr>
        <w:tc>
          <w:tcPr>
            <w:tcW w:type="dxa" w:w="102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8" w:after="0"/>
              <w:ind w:left="16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course.add_assessment(assessment.assessment_id)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79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registration = Registration(learner.learner_id, course.course_id)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59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ticket.start_work()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244"/>
        </w:trPr>
        <w:tc>
          <w:tcPr>
            <w:tcW w:type="dxa" w:w="58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ticket.resolve()</w:t>
            </w:r>
          </w:p>
        </w:tc>
      </w:tr>
    </w:tbl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19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19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2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1. Successful creation of related domain objects and execution of all required patterns.</w:t>
      </w:r>
    </w:p>
    <w:p>
      <w:pPr>
        <w:autoSpaceDN w:val="0"/>
        <w:autoSpaceDE w:val="0"/>
        <w:widowControl/>
        <w:spacing w:line="209" w:lineRule="auto" w:before="268" w:after="98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1.2 Design pattern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1532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32"/>
            </w:tblGrid>
            <w:tr>
              <w:trPr>
                <w:trHeight w:hRule="exact" w:val="380"/>
              </w:trPr>
              <w:tc>
                <w:tcPr>
                  <w:tcW w:type="dxa" w:w="106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Pattern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56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Implementation</w:t>
            </w:r>
          </w:p>
        </w:tc>
        <w:tc>
          <w:tcPr>
            <w:tcW w:type="dxa" w:w="442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18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Enterprise relevance</w:t>
            </w:r>
          </w:p>
        </w:tc>
      </w:tr>
      <w:tr>
        <w:trPr>
          <w:trHeight w:hRule="exact" w:val="580"/>
        </w:trPr>
        <w:tc>
          <w:tcPr>
            <w:tcW w:type="dxa" w:w="15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Singleton</w:t>
            </w:r>
          </w:p>
        </w:tc>
        <w:tc>
          <w:tcPr>
            <w:tcW w:type="dxa" w:w="3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ApplicationConfig uses a class-level instance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double-checked lock.</w:t>
            </w:r>
          </w:p>
        </w:tc>
        <w:tc>
          <w:tcPr>
            <w:tcW w:type="dxa" w:w="44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18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All services observe one configuration without repeated file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reads or inconsistent settings.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2"/>
        <w:ind w:left="0" w:right="0"/>
      </w:pPr>
    </w:p>
    <w:p>
      <w:pPr>
        <w:sectPr>
          <w:pgSz w:w="12240" w:h="15840"/>
          <w:pgMar w:top="54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1532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32"/>
            </w:tblGrid>
            <w:tr>
              <w:trPr>
                <w:trHeight w:hRule="exact" w:val="378"/>
              </w:trPr>
              <w:tc>
                <w:tcPr>
                  <w:tcW w:type="dxa" w:w="106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Pattern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54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Implementation</w:t>
            </w:r>
          </w:p>
        </w:tc>
        <w:tc>
          <w:tcPr>
            <w:tcW w:type="dxa" w:w="442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Enterprise relevance</w:t>
            </w:r>
          </w:p>
        </w:tc>
      </w:tr>
      <w:tr>
        <w:trPr>
          <w:trHeight w:hRule="exact" w:val="600"/>
        </w:trPr>
        <w:tc>
          <w:tcPr>
            <w:tcW w:type="dxa" w:w="15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Factory</w:t>
            </w:r>
          </w:p>
        </w:tc>
        <w:tc>
          <w:tcPr>
            <w:tcW w:type="dxa" w:w="38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SupportTicketFactory maps ticket categories to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controlled priority defaults.</w:t>
            </w:r>
          </w:p>
        </w:tc>
        <w:tc>
          <w:tcPr>
            <w:tcW w:type="dxa" w:w="44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86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New ticket types can be added without scattering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construction rules through controllers.</w:t>
            </w:r>
          </w:p>
        </w:tc>
      </w:tr>
      <w:tr>
        <w:trPr>
          <w:trHeight w:hRule="exact" w:val="601"/>
        </w:trPr>
        <w:tc>
          <w:tcPr>
            <w:tcW w:type="dxa" w:w="1532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32"/>
            </w:tblGrid>
            <w:tr>
              <w:trPr>
                <w:trHeight w:hRule="exact" w:val="580"/>
              </w:trPr>
              <w:tc>
                <w:tcPr>
                  <w:tcW w:type="dxa" w:w="11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Strategy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54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576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WeightedAverage, BestAttempt and PassFail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implement AssessmentStrategy.</w:t>
            </w:r>
          </w:p>
        </w:tc>
        <w:tc>
          <w:tcPr>
            <w:tcW w:type="dxa" w:w="442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14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Assessment policy can vary by programme without changing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the Assessment entity or calling workflow.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11374"/>
        <w:ind w:left="176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Singleton lock protects first-time creation if multiple threads request configuration simultaneously. The Factory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rejects unsupported categories, while the Strategy implementations validate score and weight boundaries. The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demonstration proves that both configuration requests return the same object identity and that each algorithm </w:t>
      </w:r>
      <w:r>
        <w:rPr>
          <w:rFonts w:ascii="ArialMT" w:hAnsi="ArialMT" w:eastAsia="ArialMT"/>
          <w:b w:val="0"/>
          <w:i w:val="0"/>
          <w:color w:val="000000"/>
          <w:sz w:val="19"/>
        </w:rPr>
        <w:t>produces a distinct, correct result.</w:t>
      </w:r>
    </w:p>
    <w:p>
      <w:pPr>
        <w:sectPr>
          <w:pgSz w:w="12240" w:h="15840"/>
          <w:pgMar w:top="510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1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1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2. Deliverable 2: Scalable registration</w:t>
      </w:r>
    </w:p>
    <w:p>
      <w:pPr>
        <w:autoSpaceDN w:val="0"/>
        <w:autoSpaceDE w:val="0"/>
        <w:widowControl/>
        <w:spacing w:line="209" w:lineRule="auto" w:before="22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2.1 Registration processing engine</w:t>
      </w:r>
    </w:p>
    <w:p>
      <w:pPr>
        <w:autoSpaceDN w:val="0"/>
        <w:autoSpaceDE w:val="0"/>
        <w:widowControl/>
        <w:spacing w:line="270" w:lineRule="exact" w:before="82" w:after="158"/>
        <w:ind w:left="176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RegistrationService owns learner and course indexes, confirmed registration records and per-course counters. A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request receives a correlation ID and one explicit outcome: confirmed, rejected_duplicate, rejected_capacity or </w:t>
      </w:r>
      <w:r>
        <w:rPr>
          <w:rFonts w:ascii="ArialMT" w:hAnsi="ArialMT" w:eastAsia="ArialMT"/>
          <w:b w:val="0"/>
          <w:i w:val="0"/>
          <w:color w:val="000000"/>
          <w:sz w:val="19"/>
        </w:rPr>
        <w:t>rejected_invalid. The service therefore supports both accurate records and a complete processing summary.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1984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Processing stage</w:t>
            </w:r>
          </w:p>
        </w:tc>
        <w:tc>
          <w:tcPr>
            <w:tcW w:type="dxa" w:w="549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Rule</w:t>
            </w:r>
          </w:p>
        </w:tc>
        <w:tc>
          <w:tcPr>
            <w:tcW w:type="dxa" w:w="232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Failure outcome</w:t>
            </w:r>
          </w:p>
        </w:tc>
      </w:tr>
      <w:tr>
        <w:trPr>
          <w:trHeight w:hRule="exact" w:val="400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Identity validation</w:t>
            </w:r>
          </w:p>
        </w:tc>
        <w:tc>
          <w:tcPr>
            <w:tcW w:type="dxa" w:w="54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Learner and course must exist; learner must be active.</w:t>
            </w:r>
          </w:p>
        </w:tc>
        <w:tc>
          <w:tcPr>
            <w:tcW w:type="dxa" w:w="2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rejected_invalid</w:t>
            </w:r>
          </w:p>
        </w:tc>
      </w:tr>
      <w:tr>
        <w:trPr>
          <w:trHeight w:hRule="exact" w:val="400"/>
        </w:trPr>
        <w:tc>
          <w:tcPr>
            <w:tcW w:type="dxa" w:w="1984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380"/>
              </w:trPr>
              <w:tc>
                <w:tcPr>
                  <w:tcW w:type="dxa" w:w="14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Uniqueness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9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The learner-course key must not already exist.</w:t>
            </w:r>
          </w:p>
        </w:tc>
        <w:tc>
          <w:tcPr>
            <w:tcW w:type="dxa" w:w="232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rejected_duplicate</w:t>
            </w:r>
          </w:p>
        </w:tc>
      </w:tr>
      <w:tr>
        <w:trPr>
          <w:trHeight w:hRule="exact" w:val="400"/>
        </w:trPr>
        <w:tc>
          <w:tcPr>
            <w:tcW w:type="dxa" w:w="19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Capacity</w:t>
            </w:r>
          </w:p>
        </w:tc>
        <w:tc>
          <w:tcPr>
            <w:tcW w:type="dxa" w:w="549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Confirmed count must remain below course capacity.</w:t>
            </w:r>
          </w:p>
        </w:tc>
        <w:tc>
          <w:tcPr>
            <w:tcW w:type="dxa" w:w="2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rejected_capacity</w:t>
            </w:r>
          </w:p>
        </w:tc>
      </w:tr>
      <w:tr>
        <w:trPr>
          <w:trHeight w:hRule="exact" w:val="400"/>
        </w:trPr>
        <w:tc>
          <w:tcPr>
            <w:tcW w:type="dxa" w:w="1984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84"/>
            </w:tblGrid>
            <w:tr>
              <w:trPr>
                <w:trHeight w:hRule="exact" w:val="380"/>
              </w:trPr>
              <w:tc>
                <w:tcPr>
                  <w:tcW w:type="dxa" w:w="13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Commit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9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Insert the immutable registration and increment the course counter.</w:t>
            </w:r>
          </w:p>
        </w:tc>
        <w:tc>
          <w:tcPr>
            <w:tcW w:type="dxa" w:w="232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confirmed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0"/>
        <w:ind w:left="176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demonstration processes 16 requests, including a deliberate duplicate, against a course with capacity 10.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Because request completion order is deliberately nondeterministic, the duplicate request may win the race and the </w:t>
      </w:r>
      <w:r>
        <w:rPr>
          <w:rFonts w:ascii="ArialMT" w:hAnsi="ArialMT" w:eastAsia="ArialMT"/>
          <w:b w:val="0"/>
          <w:i w:val="0"/>
          <w:color w:val="000000"/>
          <w:sz w:val="19"/>
        </w:rPr>
        <w:t>earlier request may be reported as duplicate; the invariant remains that only one L001-PY701 record exists.</w:t>
      </w:r>
    </w:p>
    <w:p>
      <w:pPr>
        <w:autoSpaceDN w:val="0"/>
        <w:autoSpaceDE w:val="0"/>
        <w:widowControl/>
        <w:spacing w:line="209" w:lineRule="auto" w:before="268" w:after="10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2.2 Scalable data modelling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2583"/>
        <w:gridCol w:w="2583"/>
        <w:gridCol w:w="2583"/>
        <w:gridCol w:w="2583"/>
      </w:tblGrid>
      <w:tr>
        <w:trPr>
          <w:trHeight w:hRule="exact" w:val="400"/>
        </w:trPr>
        <w:tc>
          <w:tcPr>
            <w:tcW w:type="dxa" w:w="1758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58"/>
            </w:tblGrid>
            <w:tr>
              <w:trPr>
                <w:trHeight w:hRule="exact" w:val="380"/>
              </w:trPr>
              <w:tc>
                <w:tcPr>
                  <w:tcW w:type="dxa" w:w="126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Approach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6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Lookup</w:t>
            </w:r>
          </w:p>
        </w:tc>
        <w:tc>
          <w:tcPr>
            <w:tcW w:type="dxa" w:w="363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Advantages</w:t>
            </w:r>
          </w:p>
        </w:tc>
        <w:tc>
          <w:tcPr>
            <w:tcW w:type="dxa" w:w="306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18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Limitations</w:t>
            </w:r>
          </w:p>
        </w:tc>
      </w:tr>
      <w:tr>
        <w:trPr>
          <w:trHeight w:hRule="exact" w:val="600"/>
        </w:trPr>
        <w:tc>
          <w:tcPr>
            <w:tcW w:type="dxa" w:w="1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List of registrations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O(n)</w:t>
            </w:r>
          </w:p>
        </w:tc>
        <w:tc>
          <w:tcPr>
            <w:tcW w:type="dxa" w:w="3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Simple iteration and insertion.</w:t>
            </w:r>
          </w:p>
        </w:tc>
        <w:tc>
          <w:tcPr>
            <w:tcW w:type="dxa" w:w="30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864" w:firstLine="0"/>
              <w:jc w:val="center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Every duplicate check scans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progressively more records.</w:t>
            </w:r>
          </w:p>
        </w:tc>
      </w:tr>
      <w:tr>
        <w:trPr>
          <w:trHeight w:hRule="exact" w:val="600"/>
        </w:trPr>
        <w:tc>
          <w:tcPr>
            <w:tcW w:type="dxa" w:w="175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58"/>
            </w:tblGrid>
            <w:tr>
              <w:trPr>
                <w:trHeight w:hRule="exact" w:val="580"/>
              </w:trPr>
              <w:tc>
                <w:tcPr>
                  <w:tcW w:type="dxa" w:w="16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0" w:right="0" w:firstLine="0"/>
                    <w:jc w:val="center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Dictionary/set index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6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Average O(1)</w:t>
            </w:r>
          </w:p>
        </w:tc>
        <w:tc>
          <w:tcPr>
            <w:tcW w:type="dxa" w:w="363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Fast uniqueness checks and explicit composite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keys.</w:t>
            </w:r>
          </w:p>
        </w:tc>
        <w:tc>
          <w:tcPr>
            <w:tcW w:type="dxa" w:w="306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8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In-memory state is process-local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non-durable.</w:t>
            </w:r>
          </w:p>
        </w:tc>
      </w:tr>
      <w:tr>
        <w:trPr>
          <w:trHeight w:hRule="exact" w:val="600"/>
        </w:trPr>
        <w:tc>
          <w:tcPr>
            <w:tcW w:type="dxa" w:w="1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Production database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0" w:right="0" w:firstLine="0"/>
              <w:jc w:val="center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Indexed lookup</w:t>
            </w:r>
          </w:p>
        </w:tc>
        <w:tc>
          <w:tcPr>
            <w:tcW w:type="dxa" w:w="36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0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Durability, transactions, unique constraints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multi-instance access.</w:t>
            </w:r>
          </w:p>
        </w:tc>
        <w:tc>
          <w:tcPr>
            <w:tcW w:type="dxa" w:w="30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8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Requires schema, deployment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operational management.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5704"/>
        <w:ind w:left="176" w:right="51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prototype selects dictionaries and sets because they improve processing cost without obscuring the enterprise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concepts being assessed. The same composite key maps naturally to a database unique constraint in a production </w:t>
      </w:r>
      <w:r>
        <w:rPr>
          <w:rFonts w:ascii="ArialMT" w:hAnsi="ArialMT" w:eastAsia="ArialMT"/>
          <w:b w:val="0"/>
          <w:i w:val="0"/>
          <w:color w:val="000000"/>
          <w:sz w:val="19"/>
        </w:rPr>
        <w:t>migration.</w:t>
      </w:r>
    </w:p>
    <w:p>
      <w:pPr>
        <w:sectPr>
          <w:pgSz w:w="12240" w:h="15840"/>
          <w:pgMar w:top="54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2.3 Concurrent request processing</w:t>
      </w:r>
    </w:p>
    <w:p>
      <w:pPr>
        <w:autoSpaceDN w:val="0"/>
        <w:autoSpaceDE w:val="0"/>
        <w:widowControl/>
        <w:spacing w:line="190" w:lineRule="exact" w:before="162" w:after="0"/>
        <w:ind w:left="1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ThreadPoolExecutor represents simultaneous registration traffic. An Event releases queued work together, increasing</w:t>
      </w:r>
    </w:p>
    <w:p>
      <w:pPr>
        <w:autoSpaceDN w:val="0"/>
        <w:autoSpaceDE w:val="0"/>
        <w:widowControl/>
        <w:spacing w:line="190" w:lineRule="exact" w:before="8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9"/>
        </w:rPr>
        <w:t>contention. The critical section is protected by one Lock around duplicate check, capacity check and insertion. Treating</w:t>
      </w:r>
    </w:p>
    <w:p>
      <w:pPr>
        <w:autoSpaceDN w:val="0"/>
        <w:autoSpaceDE w:val="0"/>
        <w:widowControl/>
        <w:spacing w:line="190" w:lineRule="exact" w:before="80" w:after="0"/>
        <w:ind w:left="1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this sequence atomically prevents both check-then-act races and lost capacity updates.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32"/>
      </w:tblGrid>
      <w:tr>
        <w:trPr>
          <w:trHeight w:hRule="exact" w:val="354"/>
        </w:trPr>
        <w:tc>
          <w:tcPr>
            <w:tcW w:type="dxa" w:w="102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0" w:after="0"/>
              <w:ind w:left="16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with self._lock: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2"/>
        </w:trPr>
        <w:tc>
          <w:tcPr>
            <w:tcW w:type="dxa" w:w="64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if key in self._registrations: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61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return duplicate_result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74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if self._course_counts[course_id] &gt;= course.capacity: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6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return capacity_result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68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self._registrations[key] = registration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10332"/>
      </w:tblGrid>
      <w:tr>
        <w:trPr>
          <w:trHeight w:hRule="exact" w:val="344"/>
        </w:trPr>
        <w:tc>
          <w:tcPr>
            <w:tcW w:type="dxa" w:w="9808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self._course_counts[course_id] += 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175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Risk</w:t>
            </w:r>
          </w:p>
        </w:tc>
        <w:tc>
          <w:tcPr>
            <w:tcW w:type="dxa" w:w="397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Failure without protection</w:t>
            </w:r>
          </w:p>
        </w:tc>
        <w:tc>
          <w:tcPr>
            <w:tcW w:type="dxa" w:w="408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18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Control</w:t>
            </w:r>
          </w:p>
        </w:tc>
      </w:tr>
      <w:tr>
        <w:trPr>
          <w:trHeight w:hRule="exact" w:val="600"/>
        </w:trPr>
        <w:tc>
          <w:tcPr>
            <w:tcW w:type="dxa" w:w="1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Duplicate race</w:t>
            </w:r>
          </w:p>
        </w:tc>
        <w:tc>
          <w:tcPr>
            <w:tcW w:type="dxa" w:w="3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0" w:right="0" w:firstLine="0"/>
              <w:jc w:val="center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Two threads both see no existing key and insert twice.</w:t>
            </w:r>
          </w:p>
        </w:tc>
        <w:tc>
          <w:tcPr>
            <w:tcW w:type="dxa" w:w="40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8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Composite-key lookup and lock around check plus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insert.</w:t>
            </w:r>
          </w:p>
        </w:tc>
      </w:tr>
      <w:tr>
        <w:trPr>
          <w:trHeight w:hRule="exact" w:val="600"/>
        </w:trPr>
        <w:tc>
          <w:tcPr>
            <w:tcW w:type="dxa" w:w="175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58"/>
            </w:tblGrid>
            <w:tr>
              <w:trPr>
                <w:trHeight w:hRule="exact" w:val="582"/>
              </w:trPr>
              <w:tc>
                <w:tcPr>
                  <w:tcW w:type="dxa" w:w="14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Capacity race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7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Several threads see the last available place.</w:t>
            </w:r>
          </w:p>
        </w:tc>
        <w:tc>
          <w:tcPr>
            <w:tcW w:type="dxa" w:w="408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8" w:right="14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Capacity check and counter increment share the same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lock.</w:t>
            </w:r>
          </w:p>
        </w:tc>
      </w:tr>
      <w:tr>
        <w:trPr>
          <w:trHeight w:hRule="exact" w:val="400"/>
        </w:trPr>
        <w:tc>
          <w:tcPr>
            <w:tcW w:type="dxa" w:w="17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Monitoring race</w:t>
            </w:r>
          </w:p>
        </w:tc>
        <w:tc>
          <w:tcPr>
            <w:tcW w:type="dxa" w:w="39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Events are lost or list state is inconsistent.</w:t>
            </w:r>
          </w:p>
        </w:tc>
        <w:tc>
          <w:tcPr>
            <w:tcW w:type="dxa" w:w="40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0" w:right="0" w:firstLine="0"/>
              <w:jc w:val="center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Bugzot protects its event collection with a separate lock.</w:t>
            </w:r>
          </w:p>
        </w:tc>
      </w:tr>
      <w:tr>
        <w:trPr>
          <w:trHeight w:hRule="exact" w:val="600"/>
        </w:trPr>
        <w:tc>
          <w:tcPr>
            <w:tcW w:type="dxa" w:w="175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758"/>
            </w:tblGrid>
            <w:tr>
              <w:trPr>
                <w:trHeight w:hRule="exact" w:val="580"/>
              </w:trPr>
              <w:tc>
                <w:tcPr>
                  <w:tcW w:type="dxa" w:w="126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Deadlock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7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Workers wait indefinitely.</w:t>
            </w:r>
          </w:p>
        </w:tc>
        <w:tc>
          <w:tcPr>
            <w:tcW w:type="dxa" w:w="408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18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Short non-nested critical sections; start coordination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uses Event rather than a barrier.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881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881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3914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2. Sixteen concurrent requests produce ten confirmations, five capacity rejections and one duplicate rejection; the final count equals capacity.</w:t>
      </w:r>
    </w:p>
    <w:p>
      <w:pPr>
        <w:sectPr>
          <w:type w:val="continuous"/>
          <w:pgSz w:w="12240" w:h="15840"/>
          <w:pgMar w:top="540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4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3. Deliverable 3: Bugzot monitoring</w:t>
      </w:r>
    </w:p>
    <w:p>
      <w:pPr>
        <w:autoSpaceDN w:val="0"/>
        <w:autoSpaceDE w:val="0"/>
        <w:widowControl/>
        <w:spacing w:line="209" w:lineRule="auto" w:before="22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3.1 Monitoring subsystem</w:t>
      </w:r>
    </w:p>
    <w:p>
      <w:pPr>
        <w:autoSpaceDN w:val="0"/>
        <w:autoSpaceDE w:val="0"/>
        <w:widowControl/>
        <w:spacing w:line="270" w:lineRule="exact" w:before="82" w:after="158"/>
        <w:ind w:left="1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Bugzot records immutable structured events. Each event contains UTC timestamp, severity, component, event type,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outcome, message, correlation ID, learner/course context and optional duration. This provides enough information to </w:t>
      </w:r>
      <w:r>
        <w:rPr>
          <w:rFonts w:ascii="ArialMT" w:hAnsi="ArialMT" w:eastAsia="ArialMT"/>
          <w:b w:val="0"/>
          <w:i w:val="0"/>
          <w:color w:val="000000"/>
          <w:sz w:val="19"/>
        </w:rPr>
        <w:t>trace a request, group operational failures and reproduce the affected business context.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226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Event type</w:t>
            </w:r>
          </w:p>
        </w:tc>
        <w:tc>
          <w:tcPr>
            <w:tcW w:type="dxa" w:w="3684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Trigger</w:t>
            </w:r>
          </w:p>
        </w:tc>
        <w:tc>
          <w:tcPr>
            <w:tcW w:type="dxa" w:w="385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Diagnostic value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validation_failure</w:t>
            </w:r>
          </w:p>
        </w:tc>
        <w:tc>
          <w:tcPr>
            <w:tcW w:type="dxa" w:w="3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Unknown or inactive learner, or unknown course.</w:t>
            </w:r>
          </w:p>
        </w:tc>
        <w:tc>
          <w:tcPr>
            <w:tcW w:type="dxa" w:w="38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Identifies invalid input and affected identifiers.</w:t>
            </w:r>
          </w:p>
        </w:tc>
      </w:tr>
      <w:tr>
        <w:trPr>
          <w:trHeight w:hRule="exact" w:val="600"/>
        </w:trPr>
        <w:tc>
          <w:tcPr>
            <w:tcW w:type="dxa" w:w="226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580"/>
              </w:trPr>
              <w:tc>
                <w:tcPr>
                  <w:tcW w:type="dxa" w:w="192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duplicate_registration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4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Existing learner-course composite key.</w:t>
            </w:r>
          </w:p>
        </w:tc>
        <w:tc>
          <w:tcPr>
            <w:tcW w:type="dxa" w:w="385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Shows attempted duplicate and protects record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accuracy.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course_capacity_violation</w:t>
            </w:r>
          </w:p>
        </w:tc>
        <w:tc>
          <w:tcPr>
            <w:tcW w:type="dxa" w:w="3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Confirmed count equals course capacity.</w:t>
            </w:r>
          </w:p>
        </w:tc>
        <w:tc>
          <w:tcPr>
            <w:tcW w:type="dxa" w:w="38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Supports demand and capacity planning.</w:t>
            </w:r>
          </w:p>
        </w:tc>
      </w:tr>
      <w:tr>
        <w:trPr>
          <w:trHeight w:hRule="exact" w:val="600"/>
        </w:trPr>
        <w:tc>
          <w:tcPr>
            <w:tcW w:type="dxa" w:w="226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582"/>
              </w:trPr>
              <w:tc>
                <w:tcPr>
                  <w:tcW w:type="dxa" w:w="188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registration_success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4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Registration committed successfully.</w:t>
            </w:r>
          </w:p>
        </w:tc>
        <w:tc>
          <w:tcPr>
            <w:tcW w:type="dxa" w:w="385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Supports transaction volume and success-rate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monitoring.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0"/>
        <w:ind w:left="1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Events can be exported to CSV for investigation and to JSON for management reporting. Bugzot itself is independent </w:t>
      </w:r>
      <w:r>
        <w:rPr>
          <w:rFonts w:ascii="ArialMT" w:hAnsi="ArialMT" w:eastAsia="ArialMT"/>
          <w:b w:val="0"/>
          <w:i w:val="0"/>
          <w:color w:val="000000"/>
          <w:sz w:val="19"/>
        </w:rPr>
        <w:t>of console presentation, which keeps monitoring reusable.</w:t>
      </w:r>
    </w:p>
    <w:p>
      <w:pPr>
        <w:autoSpaceDN w:val="0"/>
        <w:autoSpaceDE w:val="0"/>
        <w:widowControl/>
        <w:spacing w:line="209" w:lineRule="auto" w:before="26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3.2 Application performance monitoring</w:t>
      </w:r>
    </w:p>
    <w:p>
      <w:pPr>
        <w:autoSpaceDN w:val="0"/>
        <w:autoSpaceDE w:val="0"/>
        <w:widowControl/>
        <w:spacing w:line="270" w:lineRule="exact" w:before="82" w:after="0"/>
        <w:ind w:left="1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captured run contains 16 events: 10 confirmed and 6 rejected transactions. The success rate is 62.5%. Average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measured processing time is 0.2301 ms, p95 is 0.6481 ms, and observed throughput is 12996.51 transactions per </w:t>
      </w:r>
      <w:r>
        <w:rPr>
          <w:rFonts w:ascii="ArialMT" w:hAnsi="ArialMT" w:eastAsia="ArialMT"/>
          <w:b w:val="0"/>
          <w:i w:val="0"/>
          <w:color w:val="000000"/>
          <w:sz w:val="19"/>
        </w:rPr>
        <w:t>second on this local in-memory workload.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32"/>
      </w:tblGrid>
      <w:tr>
        <w:trPr>
          <w:trHeight w:hRule="exact" w:val="1130"/>
        </w:trPr>
        <w:tc>
          <w:tcPr>
            <w:tcW w:type="dxa" w:w="10280"/>
            <w:tcBorders>
              <w:start w:sz="8.0" w:val="single" w:color="#B6B6B6"/>
              <w:top w:sz="8.0" w:val="single" w:color="#B6B6B6"/>
              <w:end w:sz="8.0" w:val="single" w:color="#B6B6B6"/>
              <w:bottom w:sz="8.0" w:val="single" w:color="#B6B6B6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2" w:after="0"/>
              <w:ind w:left="15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These figures describe a small simulator run, not production capacity. They are useful as a baseline and for regression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comparison; real deployment testing would use sustained load, external storage and percentile aggregation over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longer windows.</w:t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32245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224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2" w:after="1366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3. Bugzot performance report generated from the registration run.</w:t>
      </w:r>
    </w:p>
    <w:p>
      <w:pPr>
        <w:sectPr>
          <w:pgSz w:w="12240" w:h="15840"/>
          <w:pgMar w:top="54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3.3 Performance improvement</w:t>
      </w:r>
    </w:p>
    <w:p>
      <w:pPr>
        <w:autoSpaceDN w:val="0"/>
        <w:autoSpaceDE w:val="0"/>
        <w:widowControl/>
        <w:spacing w:line="270" w:lineRule="exact" w:before="82" w:after="156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original duplicate-detection candidate scanned a registration list. The root cause is linear search: as the collection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grows, each worst-case membership check compares against every existing registration. The implementation replaces </w:t>
      </w:r>
      <w:r>
        <w:rPr>
          <w:rFonts w:ascii="ArialMT" w:hAnsi="ArialMT" w:eastAsia="ArialMT"/>
          <w:b w:val="0"/>
          <w:i w:val="0"/>
          <w:color w:val="000000"/>
          <w:sz w:val="19"/>
        </w:rPr>
        <w:t>this with a set/dictionary composite-key index, whose hash lookup is constant time on average.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2583"/>
        <w:gridCol w:w="2583"/>
        <w:gridCol w:w="2583"/>
        <w:gridCol w:w="2583"/>
      </w:tblGrid>
      <w:tr>
        <w:trPr>
          <w:trHeight w:hRule="exact" w:val="401"/>
        </w:trPr>
        <w:tc>
          <w:tcPr>
            <w:tcW w:type="dxa" w:w="2268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380"/>
              </w:trPr>
              <w:tc>
                <w:tcPr>
                  <w:tcW w:type="dxa" w:w="140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Metric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1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Before: list</w:t>
            </w:r>
          </w:p>
        </w:tc>
        <w:tc>
          <w:tcPr>
            <w:tcW w:type="dxa" w:w="221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After: set</w:t>
            </w:r>
          </w:p>
        </w:tc>
        <w:tc>
          <w:tcPr>
            <w:tcW w:type="dxa" w:w="312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Result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Dataset size</w:t>
            </w:r>
          </w:p>
        </w:tc>
        <w:tc>
          <w:tcPr>
            <w:tcW w:type="dxa" w:w="22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10000</w:t>
            </w:r>
          </w:p>
        </w:tc>
        <w:tc>
          <w:tcPr>
            <w:tcW w:type="dxa" w:w="2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10000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Identical inputs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380"/>
              </w:trPr>
              <w:tc>
                <w:tcPr>
                  <w:tcW w:type="dxa" w:w="180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Repeated lookups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1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2000</w:t>
            </w:r>
          </w:p>
        </w:tc>
        <w:tc>
          <w:tcPr>
            <w:tcW w:type="dxa" w:w="221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2000</w:t>
            </w:r>
          </w:p>
        </w:tc>
        <w:tc>
          <w:tcPr>
            <w:tcW w:type="dxa" w:w="312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Identical workload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Measured seconds</w:t>
            </w:r>
          </w:p>
        </w:tc>
        <w:tc>
          <w:tcPr>
            <w:tcW w:type="dxa" w:w="22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0.249514</w:t>
            </w:r>
          </w:p>
        </w:tc>
        <w:tc>
          <w:tcPr>
            <w:tcW w:type="dxa" w:w="22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5.3e-05</w:t>
            </w:r>
          </w:p>
        </w:tc>
        <w:tc>
          <w:tcPr>
            <w:tcW w:type="dxa" w:w="3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99.98% faster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380"/>
              </w:trPr>
              <w:tc>
                <w:tcPr>
                  <w:tcW w:type="dxa" w:w="17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Functional result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1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Target found</w:t>
            </w:r>
          </w:p>
        </w:tc>
        <w:tc>
          <w:tcPr>
            <w:tcW w:type="dxa" w:w="221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Target found</w:t>
            </w:r>
          </w:p>
        </w:tc>
        <w:tc>
          <w:tcPr>
            <w:tcW w:type="dxa" w:w="3120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Equivalent behaviour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Repeated runs will vary with hardware and background activity, but the algorithmic advantage remains. The next likely </w:t>
      </w:r>
      <w:r>
        <w:rPr>
          <w:rFonts w:ascii="ArialMT" w:hAnsi="ArialMT" w:eastAsia="ArialMT"/>
          <w:b w:val="0"/>
          <w:i w:val="0"/>
          <w:color w:val="000000"/>
          <w:sz w:val="19"/>
        </w:rPr>
        <w:t>bottleneck in production is database or network latency rather than in-memory lookup.</w:t>
      </w:r>
    </w:p>
    <w:p>
      <w:pPr>
        <w:autoSpaceDN w:val="0"/>
        <w:autoSpaceDE w:val="0"/>
        <w:widowControl/>
        <w:spacing w:line="240" w:lineRule="auto" w:before="1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1968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96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2" w:after="6664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4. Reproducible before-and-after lookup benchmark.</w:t>
      </w:r>
    </w:p>
    <w:p>
      <w:pPr>
        <w:sectPr>
          <w:pgSz w:w="12240" w:h="15840"/>
          <w:pgMar w:top="540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4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4. Deliverable 4: Interface design and evaluation</w:t>
      </w:r>
    </w:p>
    <w:p>
      <w:pPr>
        <w:autoSpaceDN w:val="0"/>
        <w:autoSpaceDE w:val="0"/>
        <w:widowControl/>
        <w:spacing w:line="209" w:lineRule="auto" w:before="22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4.1 User interface design</w:t>
      </w:r>
    </w:p>
    <w:p>
      <w:pPr>
        <w:autoSpaceDN w:val="0"/>
        <w:autoSpaceDE w:val="0"/>
        <w:widowControl/>
        <w:spacing w:line="270" w:lineRule="exact" w:before="82" w:after="158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proposed desktop-first interface uses persistent role-aware navigation, consistent cards, plain labels and visible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system feedback. Learners receive focused support and registration interactions; administrators receive course </w:t>
      </w:r>
      <w:r>
        <w:rPr>
          <w:rFonts w:ascii="ArialMT" w:hAnsi="ArialMT" w:eastAsia="ArialMT"/>
          <w:b w:val="0"/>
          <w:i w:val="0"/>
          <w:color w:val="000000"/>
          <w:sz w:val="19"/>
        </w:rPr>
        <w:t>management and operational reporting. Required fields use labels and inline errors rather than relying on colour alone.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5166"/>
        <w:gridCol w:w="5166"/>
      </w:tblGrid>
      <w:tr>
        <w:trPr>
          <w:trHeight w:hRule="exact" w:val="400"/>
        </w:trPr>
        <w:tc>
          <w:tcPr>
            <w:tcW w:type="dxa" w:w="255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Requirement</w:t>
            </w:r>
          </w:p>
        </w:tc>
        <w:tc>
          <w:tcPr>
            <w:tcW w:type="dxa" w:w="725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Screen and interaction</w:t>
            </w:r>
          </w:p>
        </w:tc>
      </w:tr>
      <w:tr>
        <w:trPr>
          <w:trHeight w:hRule="exact" w:val="400"/>
        </w:trPr>
        <w:tc>
          <w:tcPr>
            <w:tcW w:type="dxa" w:w="25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Learner registration</w:t>
            </w:r>
          </w:p>
        </w:tc>
        <w:tc>
          <w:tcPr>
            <w:tcW w:type="dxa" w:w="72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Validated form with identity, email and course selection plus confirmation guidance.</w:t>
            </w:r>
          </w:p>
        </w:tc>
      </w:tr>
      <w:tr>
        <w:trPr>
          <w:trHeight w:hRule="exact" w:val="400"/>
        </w:trPr>
        <w:tc>
          <w:tcPr>
            <w:tcW w:type="dxa" w:w="2552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52"/>
            </w:tblGrid>
            <w:tr>
              <w:trPr>
                <w:trHeight w:hRule="exact" w:val="380"/>
              </w:trPr>
              <w:tc>
                <w:tcPr>
                  <w:tcW w:type="dxa" w:w="20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Course management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5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Capacity and enrolment table, availability status and controlled edit action.</w:t>
            </w:r>
          </w:p>
        </w:tc>
      </w:tr>
      <w:tr>
        <w:trPr>
          <w:trHeight w:hRule="exact" w:val="400"/>
        </w:trPr>
        <w:tc>
          <w:tcPr>
            <w:tcW w:type="dxa" w:w="25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Support ticket creation</w:t>
            </w:r>
          </w:p>
        </w:tc>
        <w:tc>
          <w:tcPr>
            <w:tcW w:type="dxa" w:w="72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Category, automatically assigned priority, subject, description and response expectation.</w:t>
            </w:r>
          </w:p>
        </w:tc>
      </w:tr>
      <w:tr>
        <w:trPr>
          <w:trHeight w:hRule="exact" w:val="400"/>
        </w:trPr>
        <w:tc>
          <w:tcPr>
            <w:tcW w:type="dxa" w:w="2552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52"/>
            </w:tblGrid>
            <w:tr>
              <w:trPr>
                <w:trHeight w:hRule="exact" w:val="380"/>
              </w:trPr>
              <w:tc>
                <w:tcPr>
                  <w:tcW w:type="dxa" w:w="18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Report viewing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5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Date filter, registration outcome visualisation, system-health summary and export action.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1120" cy="33108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31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4808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5. Administrator dashboard and primary navigation.</w:t>
      </w:r>
    </w:p>
    <w:p>
      <w:pPr>
        <w:sectPr>
          <w:pgSz w:w="12240" w:h="15840"/>
          <w:pgMar w:top="54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1120" cy="33108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31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8658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6. Learner-registration form with inline validation.</w:t>
      </w:r>
    </w:p>
    <w:p>
      <w:pPr>
        <w:sectPr>
          <w:pgSz w:w="12240" w:h="15840"/>
          <w:pgMar w:top="51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1120" cy="33108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31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7. Course capacity and availability management.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1120" cy="33121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31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2962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8. Learner support-ticket creation workflow.</w:t>
      </w:r>
    </w:p>
    <w:p>
      <w:pPr>
        <w:sectPr>
          <w:pgSz w:w="12240" w:h="15840"/>
          <w:pgMar w:top="51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51120" cy="33108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31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9. Operational report with outcome and health indicators.</w:t>
      </w:r>
    </w:p>
    <w:p>
      <w:pPr>
        <w:autoSpaceDN w:val="0"/>
        <w:autoSpaceDE w:val="0"/>
        <w:widowControl/>
        <w:spacing w:line="209" w:lineRule="auto" w:before="26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4.2 Design decisions and evaluation</w:t>
      </w:r>
    </w:p>
    <w:p>
      <w:pPr>
        <w:autoSpaceDN w:val="0"/>
        <w:autoSpaceDE w:val="0"/>
        <w:widowControl/>
        <w:spacing w:line="270" w:lineRule="exact" w:before="82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Layout and navigation: a persistent left navigation column provides predictable access while the top bar confirms the </w:t>
      </w:r>
      <w:r>
        <w:rPr>
          <w:rFonts w:ascii="ArialMT" w:hAnsi="ArialMT" w:eastAsia="ArialMT"/>
          <w:b w:val="0"/>
          <w:i w:val="0"/>
          <w:color w:val="000000"/>
          <w:sz w:val="19"/>
        </w:rPr>
        <w:t>current role and context. Primary actions use consistent teal buttons and are positioned after the required information.</w:t>
      </w:r>
    </w:p>
    <w:p>
      <w:pPr>
        <w:autoSpaceDN w:val="0"/>
        <w:autoSpaceDE w:val="0"/>
        <w:widowControl/>
        <w:spacing w:line="270" w:lineRule="exact" w:before="120" w:after="156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Validation and usability: errors appear beside the relevant field with specific correction guidance. Capacity is visible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before enrolment, priority is explained, report state is summarised in text, and destructive actions are not placed beside </w:t>
      </w:r>
      <w:r>
        <w:rPr>
          <w:rFonts w:ascii="ArialMT" w:hAnsi="ArialMT" w:eastAsia="ArialMT"/>
          <w:b w:val="0"/>
          <w:i w:val="0"/>
          <w:color w:val="000000"/>
          <w:sz w:val="19"/>
        </w:rPr>
        <w:t>primary actions.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0"/>
        </w:trPr>
        <w:tc>
          <w:tcPr>
            <w:tcW w:type="dxa" w:w="3402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402"/>
            </w:tblGrid>
            <w:tr>
              <w:trPr>
                <w:trHeight w:hRule="exact" w:val="380"/>
              </w:trPr>
              <w:tc>
                <w:tcPr>
                  <w:tcW w:type="dxa" w:w="208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Strengths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1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Limitation</w:t>
            </w:r>
          </w:p>
        </w:tc>
        <w:tc>
          <w:tcPr>
            <w:tcW w:type="dxa" w:w="3290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Recommended improvement</w:t>
            </w:r>
          </w:p>
        </w:tc>
      </w:tr>
      <w:tr>
        <w:trPr>
          <w:trHeight w:hRule="exact" w:val="980"/>
        </w:trPr>
        <w:tc>
          <w:tcPr>
            <w:tcW w:type="dxa" w:w="34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Consistent visual hierarchy, task-focused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forms, visible validation, role context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operational feedback.</w:t>
            </w:r>
          </w:p>
        </w:tc>
        <w:tc>
          <w:tcPr>
            <w:tcW w:type="dxa" w:w="311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14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The prototype is desktop-first and has not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been tested with representative users or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assistive technology.</w:t>
            </w:r>
          </w:p>
        </w:tc>
        <w:tc>
          <w:tcPr>
            <w:tcW w:type="dxa" w:w="3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20" w:right="28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Create responsive mobile variants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perform moderated usability plus WCAG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keyboard/screen-reader testing before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implementation.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5046"/>
        <w:ind w:left="0" w:right="0"/>
      </w:pPr>
    </w:p>
    <w:p>
      <w:pPr>
        <w:sectPr>
          <w:pgSz w:w="12240" w:h="15840"/>
          <w:pgMar w:top="51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5. Deliverable 5: Quality and future growth</w:t>
      </w:r>
    </w:p>
    <w:p>
      <w:pPr>
        <w:autoSpaceDN w:val="0"/>
        <w:autoSpaceDE w:val="0"/>
        <w:widowControl/>
        <w:spacing w:line="209" w:lineRule="auto" w:before="22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5.1 Automated testing</w:t>
      </w:r>
    </w:p>
    <w:p>
      <w:pPr>
        <w:autoSpaceDN w:val="0"/>
        <w:autoSpaceDE w:val="0"/>
        <w:widowControl/>
        <w:spacing w:line="270" w:lineRule="exact" w:before="82" w:after="158"/>
        <w:ind w:left="176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Pytest was selected because it provides concise tests, parameterisation, clear failure output and a mature coverage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ecosystem. The 32-test suite covers normal behaviour, boundaries, invalid inputs, every required pattern, business </w:t>
      </w:r>
      <w:r>
        <w:rPr>
          <w:rFonts w:ascii="ArialMT" w:hAnsi="ArialMT" w:eastAsia="ArialMT"/>
          <w:b w:val="0"/>
          <w:i w:val="0"/>
          <w:color w:val="000000"/>
          <w:sz w:val="19"/>
        </w:rPr>
        <w:t>rules, concurrent invariants, structured monitoring and the benchmark harness.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5166"/>
        <w:gridCol w:w="5166"/>
      </w:tblGrid>
      <w:tr>
        <w:trPr>
          <w:trHeight w:hRule="exact" w:val="400"/>
        </w:trPr>
        <w:tc>
          <w:tcPr>
            <w:tcW w:type="dxa" w:w="226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Test category</w:t>
            </w:r>
          </w:p>
        </w:tc>
        <w:tc>
          <w:tcPr>
            <w:tcW w:type="dxa" w:w="7542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Representative scenarios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Domain validation</w:t>
            </w:r>
          </w:p>
        </w:tc>
        <w:tc>
          <w:tcPr>
            <w:tcW w:type="dxa" w:w="75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Invalid email, empty text, zero/negative capacity, score boundaries and ticket state transition.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380"/>
              </w:trPr>
              <w:tc>
                <w:tcPr>
                  <w:tcW w:type="dxa" w:w="148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Patterns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Singleton identity, four Factory categories, invalid category, three strategies and invalid scores.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Registration</w:t>
            </w:r>
          </w:p>
        </w:tc>
        <w:tc>
          <w:tcPr>
            <w:tcW w:type="dxa" w:w="75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Success, invalid input, duplicate, capacity, summary completeness and concurrent contention.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68"/>
            </w:tblGrid>
            <w:tr>
              <w:trPr>
                <w:trHeight w:hRule="exact" w:val="380"/>
              </w:trPr>
              <w:tc>
                <w:tcPr>
                  <w:tcW w:type="dxa" w:w="15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Monitoring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2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Context capture, performance aggregation and JSON export.</w:t>
            </w:r>
          </w:p>
        </w:tc>
      </w:tr>
      <w:tr>
        <w:trPr>
          <w:trHeight w:hRule="exact" w:val="400"/>
        </w:trPr>
        <w:tc>
          <w:tcPr>
            <w:tcW w:type="dxa" w:w="226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Performance</w:t>
            </w:r>
          </w:p>
        </w:tc>
        <w:tc>
          <w:tcPr>
            <w:tcW w:type="dxa" w:w="75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List/set benchmark executes equivalent successful lookups.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0"/>
        <w:ind w:left="1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test suite completed with 32 passes and 92% coverage of assessed core modules. The demonstration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orchestration is intentionally omitted from coverage because its behaviour is exercised through the underlying tested </w:t>
      </w:r>
      <w:r>
        <w:rPr>
          <w:rFonts w:ascii="ArialMT" w:hAnsi="ArialMT" w:eastAsia="ArialMT"/>
          <w:b w:val="0"/>
          <w:i w:val="0"/>
          <w:color w:val="000000"/>
          <w:sz w:val="19"/>
        </w:rPr>
        <w:t>services and captured end-to-end output.</w:t>
      </w:r>
    </w:p>
    <w:p>
      <w:pPr>
        <w:autoSpaceDN w:val="0"/>
        <w:autoSpaceDE w:val="0"/>
        <w:widowControl/>
        <w:spacing w:line="240" w:lineRule="auto" w:before="1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7673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76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4214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10. Successful automated test and coverage run.</w:t>
      </w:r>
    </w:p>
    <w:p>
      <w:pPr>
        <w:sectPr>
          <w:pgSz w:w="12240" w:h="15840"/>
          <w:pgMar w:top="54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5.2 Application profiling</w:t>
      </w:r>
    </w:p>
    <w:p>
      <w:pPr>
        <w:autoSpaceDN w:val="0"/>
        <w:autoSpaceDE w:val="0"/>
        <w:widowControl/>
        <w:spacing w:line="270" w:lineRule="exact" w:before="82" w:after="0"/>
        <w:ind w:left="176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application was profiled with Python cProfile using the full demonstration workload. Results were sorted by </w:t>
      </w:r>
      <w:r>
        <w:rPr>
          <w:rFonts w:ascii="ArialMT" w:hAnsi="ArialMT" w:eastAsia="ArialMT"/>
          <w:b w:val="0"/>
          <w:i w:val="0"/>
          <w:color w:val="000000"/>
          <w:sz w:val="19"/>
        </w:rPr>
        <w:t>cumulative time so that work initiated through helper calls remains visible.</w:t>
      </w:r>
    </w:p>
    <w:p>
      <w:pPr>
        <w:autoSpaceDN w:val="0"/>
        <w:autoSpaceDE w:val="0"/>
        <w:widowControl/>
        <w:spacing w:line="270" w:lineRule="exact" w:before="120" w:after="0"/>
        <w:ind w:left="176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Benchmark list membership and demonstration/report setup dominate cumulative time; registration critical sections </w:t>
      </w:r>
      <w:r>
        <w:rPr>
          <w:rFonts w:ascii="ArialMT" w:hAnsi="ArialMT" w:eastAsia="ArialMT"/>
          <w:b w:val="0"/>
          <w:i w:val="0"/>
          <w:color w:val="000000"/>
          <w:sz w:val="19"/>
        </w:rPr>
        <w:t>remain small.</w:t>
      </w:r>
    </w:p>
    <w:p>
      <w:pPr>
        <w:autoSpaceDN w:val="0"/>
        <w:autoSpaceDE w:val="0"/>
        <w:widowControl/>
        <w:spacing w:line="270" w:lineRule="exact" w:before="120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profile supports the implemented set-based optimisation. Further optimisation should focus on realistic persistence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and report serialisation only after measuring a database-backed workload. Micro-optimising validated entity </w:t>
      </w:r>
      <w:r>
        <w:rPr>
          <w:rFonts w:ascii="ArialMT" w:hAnsi="ArialMT" w:eastAsia="ArialMT"/>
          <w:b w:val="0"/>
          <w:i w:val="0"/>
          <w:color w:val="000000"/>
          <w:sz w:val="19"/>
        </w:rPr>
        <w:t>construction would add complexity without material benefit.</w:t>
      </w:r>
    </w:p>
    <w:p>
      <w:pPr>
        <w:autoSpaceDN w:val="0"/>
        <w:autoSpaceDE w:val="0"/>
        <w:widowControl/>
        <w:spacing w:line="240" w:lineRule="auto" w:before="1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32245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22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2" w:after="6146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11. cProfile results sorted by cumulative time.</w:t>
      </w:r>
    </w:p>
    <w:p>
      <w:pPr>
        <w:sectPr>
          <w:pgSz w:w="12240" w:h="15840"/>
          <w:pgMar w:top="538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38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38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5.3 Microservices readiness assessment</w:t>
      </w:r>
    </w:p>
    <w:p>
      <w:pPr>
        <w:autoSpaceDN w:val="0"/>
        <w:autoSpaceDE w:val="0"/>
        <w:widowControl/>
        <w:spacing w:line="270" w:lineRule="exact" w:before="82" w:after="156"/>
        <w:ind w:left="1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The modular monolith provides clear candidate boundaries without prematurely introducing distributed-system cost.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Each service should own its data and publish stable contracts. The Registration Service is the consistency boundary </w:t>
      </w:r>
      <w:r>
        <w:rPr>
          <w:rFonts w:ascii="ArialMT" w:hAnsi="ArialMT" w:eastAsia="ArialMT"/>
          <w:b w:val="0"/>
          <w:i w:val="0"/>
          <w:color w:val="000000"/>
          <w:sz w:val="19"/>
        </w:rPr>
        <w:t>for enrolment; Reporting consumes events rather than reading every operational database directly.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444"/>
        <w:gridCol w:w="3444"/>
        <w:gridCol w:w="3444"/>
      </w:tblGrid>
      <w:tr>
        <w:trPr>
          <w:trHeight w:hRule="exact" w:val="401"/>
        </w:trPr>
        <w:tc>
          <w:tcPr>
            <w:tcW w:type="dxa" w:w="1928"/>
            <w:tcBorders/>
            <w:shd w:fill="113352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8"/>
            </w:tblGrid>
            <w:tr>
              <w:trPr>
                <w:trHeight w:hRule="exact" w:val="380"/>
              </w:trPr>
              <w:tc>
                <w:tcPr>
                  <w:tcW w:type="dxa" w:w="1640"/>
                  <w:tcBorders/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Candidate service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04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Responsibility</w:t>
            </w:r>
          </w:p>
        </w:tc>
        <w:tc>
          <w:tcPr>
            <w:tcW w:type="dxa" w:w="3178"/>
            <w:tcBorders/>
            <w:shd w:fill="11335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6" w:after="0"/>
              <w:ind w:left="122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Independent operation</w:t>
            </w:r>
          </w:p>
        </w:tc>
      </w:tr>
      <w:tr>
        <w:trPr>
          <w:trHeight w:hRule="exact" w:val="600"/>
        </w:trPr>
        <w:tc>
          <w:tcPr>
            <w:tcW w:type="dxa" w:w="19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Learner</w:t>
            </w:r>
          </w:p>
        </w:tc>
        <w:tc>
          <w:tcPr>
            <w:tcW w:type="dxa" w:w="4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Profiles, status and identity validation.</w:t>
            </w:r>
          </w:p>
        </w:tc>
        <w:tc>
          <w:tcPr>
            <w:tcW w:type="dxa" w:w="31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1008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Can manage learner records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independently.</w:t>
            </w:r>
          </w:p>
        </w:tc>
      </w:tr>
      <w:tr>
        <w:trPr>
          <w:trHeight w:hRule="exact" w:val="600"/>
        </w:trPr>
        <w:tc>
          <w:tcPr>
            <w:tcW w:type="dxa" w:w="192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8"/>
            </w:tblGrid>
            <w:tr>
              <w:trPr>
                <w:trHeight w:hRule="exact" w:val="580"/>
              </w:trPr>
              <w:tc>
                <w:tcPr>
                  <w:tcW w:type="dxa" w:w="126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Course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04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Catalogue, course status and capacity definition.</w:t>
            </w:r>
          </w:p>
        </w:tc>
        <w:tc>
          <w:tcPr>
            <w:tcW w:type="dxa" w:w="317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864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Can publish course availability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independently.</w:t>
            </w:r>
          </w:p>
        </w:tc>
      </w:tr>
      <w:tr>
        <w:trPr>
          <w:trHeight w:hRule="exact" w:val="600"/>
        </w:trPr>
        <w:tc>
          <w:tcPr>
            <w:tcW w:type="dxa" w:w="19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Registration</w:t>
            </w:r>
          </w:p>
        </w:tc>
        <w:tc>
          <w:tcPr>
            <w:tcW w:type="dxa" w:w="4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Uniqueness, capacity reservation and enrolment lifecycle.</w:t>
            </w:r>
          </w:p>
        </w:tc>
        <w:tc>
          <w:tcPr>
            <w:tcW w:type="dxa" w:w="31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576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Operates independently but queries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cached learner/course eligibility.</w:t>
            </w:r>
          </w:p>
        </w:tc>
      </w:tr>
      <w:tr>
        <w:trPr>
          <w:trHeight w:hRule="exact" w:val="600"/>
        </w:trPr>
        <w:tc>
          <w:tcPr>
            <w:tcW w:type="dxa" w:w="192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8"/>
            </w:tblGrid>
            <w:tr>
              <w:trPr>
                <w:trHeight w:hRule="exact" w:val="582"/>
              </w:trPr>
              <w:tc>
                <w:tcPr>
                  <w:tcW w:type="dxa" w:w="14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6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Assessment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04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Assessment definitions, attempts and result strategies.</w:t>
            </w:r>
          </w:p>
        </w:tc>
        <w:tc>
          <w:tcPr>
            <w:tcW w:type="dxa" w:w="317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72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Can calculate and publish results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independently.</w:t>
            </w:r>
          </w:p>
        </w:tc>
      </w:tr>
      <w:tr>
        <w:trPr>
          <w:trHeight w:hRule="exact" w:val="600"/>
        </w:trPr>
        <w:tc>
          <w:tcPr>
            <w:tcW w:type="dxa" w:w="19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Support</w:t>
            </w:r>
          </w:p>
        </w:tc>
        <w:tc>
          <w:tcPr>
            <w:tcW w:type="dxa" w:w="47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Ticket categorisation, priority and workflow.</w:t>
            </w:r>
          </w:p>
        </w:tc>
        <w:tc>
          <w:tcPr>
            <w:tcW w:type="dxa" w:w="31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122" w:right="432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Can continue accepting tickets during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reporting outages.</w:t>
            </w:r>
          </w:p>
        </w:tc>
      </w:tr>
      <w:tr>
        <w:trPr>
          <w:trHeight w:hRule="exact" w:val="600"/>
        </w:trPr>
        <w:tc>
          <w:tcPr>
            <w:tcW w:type="dxa" w:w="1928"/>
            <w:tcBorders/>
            <w:shd w:fill="e9f0f6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8"/>
            </w:tblGrid>
            <w:tr>
              <w:trPr>
                <w:trHeight w:hRule="exact" w:val="580"/>
              </w:trPr>
              <w:tc>
                <w:tcPr>
                  <w:tcW w:type="dxa" w:w="1340"/>
                  <w:tcBorders/>
                  <w:shd w:fill="f6f6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134" w:after="0"/>
                    <w:ind w:left="120" w:right="0" w:firstLine="0"/>
                    <w:jc w:val="left"/>
                  </w:pPr>
                  <w:r>
                    <w:rPr>
                      <w:w w:val="102.66666412353516"/>
                      <w:rFonts w:ascii="ArialMT" w:hAnsi="ArialMT" w:eastAsia="ArialMT"/>
                      <w:b w:val="0"/>
                      <w:i w:val="0"/>
                      <w:color w:val="000000"/>
                      <w:sz w:val="15"/>
                    </w:rPr>
                    <w:t>Reporting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04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4" w:after="0"/>
              <w:ind w:left="120" w:right="0" w:firstLine="0"/>
              <w:jc w:val="left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Bugzot events, metrics and management reports.</w:t>
            </w:r>
          </w:p>
        </w:tc>
        <w:tc>
          <w:tcPr>
            <w:tcW w:type="dxa" w:w="3178"/>
            <w:tcBorders/>
            <w:shd w:fill="e9f0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288" w:firstLine="0"/>
              <w:jc w:val="center"/>
            </w:pP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 xml:space="preserve">Consumes events asynchronously and </w:t>
            </w:r>
            <w:r>
              <w:rPr>
                <w:w w:val="102.66666412353516"/>
                <w:rFonts w:ascii="ArialMT" w:hAnsi="ArialMT" w:eastAsia="ArialMT"/>
                <w:b w:val="0"/>
                <w:i w:val="0"/>
                <w:color w:val="000000"/>
                <w:sz w:val="15"/>
              </w:rPr>
              <w:t>tolerates temporary producer outages.</w:t>
            </w:r>
          </w:p>
        </w:tc>
      </w:tr>
    </w:tbl>
    <w:p>
      <w:pPr>
        <w:autoSpaceDN w:val="0"/>
        <w:autoSpaceDE w:val="0"/>
        <w:widowControl/>
        <w:spacing w:line="270" w:lineRule="exact" w:before="82" w:after="0"/>
        <w:ind w:left="176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Communication: REST is appropriate for immediate validation and user-facing queries. Events such as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registration-created, assessment-completed and ticket-updated reduce coupling for reporting and notification. Each </w:t>
      </w:r>
      <w:r>
        <w:rPr>
          <w:rFonts w:ascii="ArialMT" w:hAnsi="ArialMT" w:eastAsia="ArialMT"/>
          <w:b w:val="0"/>
          <w:i w:val="0"/>
          <w:color w:val="000000"/>
          <w:sz w:val="19"/>
        </w:rPr>
        <w:t>message requires an idempotency key and correlation ID.</w:t>
      </w:r>
    </w:p>
    <w:p>
      <w:pPr>
        <w:autoSpaceDN w:val="0"/>
        <w:autoSpaceDE w:val="0"/>
        <w:widowControl/>
        <w:spacing w:line="270" w:lineRule="exact" w:before="120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Testing and tracing: unit tests remain within each service; consumer-driven contract tests protect REST and event </w:t>
      </w:r>
      <w:r>
        <w:rPr>
          <w:rFonts w:ascii="ArialMT" w:hAnsi="ArialMT" w:eastAsia="ArialMT"/>
          <w:b w:val="0"/>
          <w:i w:val="0"/>
          <w:color w:val="000000"/>
          <w:sz w:val="19"/>
        </w:rPr>
        <w:t>schemas; integration tests cover key workflows; and distributed traces connect gateway, service and event processing.</w:t>
      </w:r>
    </w:p>
    <w:p>
      <w:pPr>
        <w:autoSpaceDN w:val="0"/>
        <w:autoSpaceDE w:val="0"/>
        <w:widowControl/>
        <w:spacing w:line="190" w:lineRule="exact" w:before="80" w:after="6984"/>
        <w:ind w:left="1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Bugzot becomes the central event and performance view while service-local logs remain available for diagnosis.</w:t>
      </w:r>
    </w:p>
    <w:p>
      <w:pPr>
        <w:sectPr>
          <w:pgSz w:w="12240" w:h="15840"/>
          <w:pgMar w:top="540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40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9" w:lineRule="auto" w:before="114" w:after="7672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5"/>
        </w:rPr>
        <w:t>Figure 12. Proposed service boundaries, communication and cross-cutting controls.</w:t>
      </w:r>
    </w:p>
    <w:p>
      <w:pPr>
        <w:sectPr>
          <w:pgSz w:w="12240" w:h="15840"/>
          <w:pgMar w:top="51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p>
      <w:pPr>
        <w:sectPr>
          <w:type w:val="continuous"/>
          <w:pgSz w:w="12240" w:h="15840"/>
          <w:pgMar w:top="51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Conclusion</w:t>
      </w:r>
    </w:p>
    <w:p>
      <w:pPr>
        <w:autoSpaceDN w:val="0"/>
        <w:autoSpaceDE w:val="0"/>
        <w:widowControl/>
        <w:spacing w:line="270" w:lineRule="exact" w:before="100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EduCore demonstrates a maintainable enterprise-programming foundation rather than a collection of isolated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examples. Validated entities and patterns support change; the registration service preserves uniqueness and capacity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under contention; Bugzot provides diagnostic and performance visibility; tests and profiling supply reproducible quality </w:t>
      </w:r>
      <w:r>
        <w:rPr>
          <w:rFonts w:ascii="ArialMT" w:hAnsi="ArialMT" w:eastAsia="ArialMT"/>
          <w:b w:val="0"/>
          <w:i w:val="0"/>
          <w:color w:val="000000"/>
          <w:sz w:val="19"/>
        </w:rPr>
        <w:t>evidence; and the proposed interfaces and service boundaries establish a credible path to future growth.</w:t>
      </w:r>
    </w:p>
    <w:p>
      <w:pPr>
        <w:autoSpaceDN w:val="0"/>
        <w:autoSpaceDE w:val="0"/>
        <w:widowControl/>
        <w:spacing w:line="368" w:lineRule="exact" w:before="130" w:after="0"/>
        <w:ind w:left="176" w:right="4608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Submission verification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Run python -m pytest --cov=educore and confirm all tests pass.</w:t>
      </w:r>
    </w:p>
    <w:p>
      <w:pPr>
        <w:autoSpaceDN w:val="0"/>
        <w:autoSpaceDE w:val="0"/>
        <w:widowControl/>
        <w:spacing w:line="274" w:lineRule="exact" w:before="116" w:after="0"/>
        <w:ind w:left="1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Run python -m educore.demo and confirm the final registration count equals course capacity.</w:t>
      </w:r>
    </w:p>
    <w:p>
      <w:pPr>
        <w:autoSpaceDN w:val="0"/>
        <w:autoSpaceDE w:val="0"/>
        <w:widowControl/>
        <w:spacing w:line="274" w:lineRule="exact" w:before="116" w:after="0"/>
        <w:ind w:left="1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Regenerate reports and compare the current evidence with the figures in this document.</w:t>
      </w:r>
    </w:p>
    <w:p>
      <w:pPr>
        <w:autoSpaceDN w:val="0"/>
        <w:autoSpaceDE w:val="0"/>
        <w:widowControl/>
        <w:spacing w:line="274" w:lineRule="exact" w:before="116" w:after="0"/>
        <w:ind w:left="1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</w:t>
      </w:r>
      <w:r>
        <w:rPr>
          <w:rFonts w:ascii="ArialMT" w:hAnsi="ArialMT" w:eastAsia="ArialMT"/>
          <w:b w:val="0"/>
          <w:i w:val="0"/>
          <w:color w:val="000000"/>
          <w:sz w:val="19"/>
        </w:rPr>
        <w:t>Review the AI-use disclosure for accuracy and retain the development history.</w:t>
      </w:r>
    </w:p>
    <w:p>
      <w:pPr>
        <w:autoSpaceDN w:val="0"/>
        <w:autoSpaceDE w:val="0"/>
        <w:widowControl/>
        <w:spacing w:line="209" w:lineRule="auto" w:before="252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References</w:t>
      </w:r>
    </w:p>
    <w:p>
      <w:pPr>
        <w:autoSpaceDN w:val="0"/>
        <w:autoSpaceDE w:val="0"/>
        <w:widowControl/>
        <w:spacing w:line="270" w:lineRule="exact" w:before="82" w:after="0"/>
        <w:ind w:left="1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Gamma, E., Helm, R., Johnson, R. and Vlissides, J. (1994). Design Patterns: Elements of Reusable Object-Oriented </w:t>
      </w:r>
      <w:r>
        <w:rPr>
          <w:rFonts w:ascii="ArialMT" w:hAnsi="ArialMT" w:eastAsia="ArialMT"/>
          <w:b w:val="0"/>
          <w:i w:val="0"/>
          <w:color w:val="000000"/>
          <w:sz w:val="19"/>
        </w:rPr>
        <w:t>Software. Addison-Wesley.</w:t>
      </w:r>
    </w:p>
    <w:p>
      <w:pPr>
        <w:autoSpaceDN w:val="0"/>
        <w:autoSpaceDE w:val="0"/>
        <w:widowControl/>
        <w:spacing w:line="270" w:lineRule="exact" w:before="120" w:after="0"/>
        <w:ind w:left="176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Python Software Foundation (2026). concurrent.futures - Launching parallel tasks. Available at: </w:t>
      </w:r>
      <w:r>
        <w:rPr>
          <w:rFonts w:ascii="ArialMT" w:hAnsi="ArialMT" w:eastAsia="ArialMT"/>
          <w:b w:val="0"/>
          <w:i w:val="0"/>
          <w:color w:val="000000"/>
          <w:sz w:val="19"/>
        </w:rPr>
        <w:t>https://docs.python.org/3/library/concurrent.futures.html</w:t>
      </w:r>
    </w:p>
    <w:p>
      <w:pPr>
        <w:autoSpaceDN w:val="0"/>
        <w:autoSpaceDE w:val="0"/>
        <w:widowControl/>
        <w:spacing w:line="270" w:lineRule="exact" w:before="120" w:after="0"/>
        <w:ind w:left="176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Python Software Foundation (2026). threading - Thread-based parallelism. Available at: </w:t>
      </w:r>
      <w:r>
        <w:rPr>
          <w:rFonts w:ascii="ArialMT" w:hAnsi="ArialMT" w:eastAsia="ArialMT"/>
          <w:b w:val="0"/>
          <w:i w:val="0"/>
          <w:color w:val="000000"/>
          <w:sz w:val="19"/>
        </w:rPr>
        <w:t>https://docs.python.org/3/library/threading.html</w:t>
      </w:r>
    </w:p>
    <w:p>
      <w:pPr>
        <w:autoSpaceDN w:val="0"/>
        <w:autoSpaceDE w:val="0"/>
        <w:widowControl/>
        <w:spacing w:line="190" w:lineRule="exact" w:before="200" w:after="0"/>
        <w:ind w:left="1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Python Software Foundation (2026). The Python Profilers. Available at: https://docs.python.org/3/library/profile.html</w:t>
      </w:r>
    </w:p>
    <w:p>
      <w:pPr>
        <w:autoSpaceDN w:val="0"/>
        <w:autoSpaceDE w:val="0"/>
        <w:widowControl/>
        <w:spacing w:line="190" w:lineRule="exact" w:before="200" w:after="0"/>
        <w:ind w:left="1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pytest development team (2026). pytest documentation. Available at: https://docs.pytest.org/</w:t>
      </w:r>
    </w:p>
    <w:p>
      <w:pPr>
        <w:autoSpaceDN w:val="0"/>
        <w:autoSpaceDE w:val="0"/>
        <w:widowControl/>
        <w:spacing w:line="209" w:lineRule="auto" w:before="268" w:after="0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Appendix A: AI-use statement</w:t>
      </w:r>
    </w:p>
    <w:p>
      <w:pPr>
        <w:autoSpaceDN w:val="0"/>
        <w:autoSpaceDE w:val="0"/>
        <w:widowControl/>
        <w:spacing w:line="270" w:lineRule="exact" w:before="82" w:after="0"/>
        <w:ind w:left="17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AI assistance was used for rubric analysis, project scaffolding, implementation support, test design, debugging,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evidence preparation and report structuring. The accompanying AI_USE_LOG.md records the actual prompts and the </w:t>
      </w:r>
      <w:r>
        <w:rPr>
          <w:rFonts w:ascii="ArialMT" w:hAnsi="ArialMT" w:eastAsia="ArialMT"/>
          <w:b w:val="0"/>
          <w:i w:val="0"/>
          <w:color w:val="000000"/>
          <w:sz w:val="19"/>
        </w:rPr>
        <w:t>student's required review and verification actions. AI use must be declared according to the final LMS template.</w:t>
      </w:r>
    </w:p>
    <w:p>
      <w:pPr>
        <w:autoSpaceDN w:val="0"/>
        <w:autoSpaceDE w:val="0"/>
        <w:widowControl/>
        <w:spacing w:line="209" w:lineRule="auto" w:before="268" w:after="54"/>
        <w:ind w:left="17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3"/>
        </w:rPr>
        <w:t>Appendix B: Reproduction commands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332"/>
      </w:tblGrid>
      <w:tr>
        <w:trPr>
          <w:trHeight w:hRule="exact" w:val="240"/>
        </w:trPr>
        <w:tc>
          <w:tcPr>
            <w:tcW w:type="dxa" w:w="102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6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python3 -m venv .venv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624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source .venv/bin/activate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88"/>
        </w:trPr>
        <w:tc>
          <w:tcPr>
            <w:tcW w:type="dxa" w:w="64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python -m pip install '.[dev]'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190"/>
        </w:trPr>
        <w:tc>
          <w:tcPr>
            <w:tcW w:type="dxa" w:w="75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python -m pytest --cov=educore --cov-report=term-missing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10332"/>
      </w:tblGrid>
      <w:tr>
        <w:trPr>
          <w:trHeight w:hRule="exact" w:val="226"/>
        </w:trPr>
        <w:tc>
          <w:tcPr>
            <w:tcW w:type="dxa" w:w="768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00" w:right="0" w:firstLine="0"/>
              <w:jc w:val="left"/>
            </w:pPr>
            <w:r>
              <w:rPr>
                <w:w w:val="102.85714013235909"/>
                <w:rFonts w:ascii="Courier" w:hAnsi="Courier" w:eastAsia="Courier"/>
                <w:b w:val="0"/>
                <w:i w:val="0"/>
                <w:color w:val="000000"/>
                <w:sz w:val="14"/>
              </w:rPr>
              <w:t>python -m educore.demo --report-directory evidence/reports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4276"/>
        <w:ind w:left="0" w:right="0"/>
      </w:pPr>
    </w:p>
    <w:p>
      <w:pPr>
        <w:sectPr>
          <w:pgSz w:w="12240" w:h="15840"/>
          <w:pgMar w:top="544" w:right="944" w:bottom="268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ITEPA_PRACTICAL_MOWBRAY_EDUV4948467</w:t>
      </w:r>
    </w:p>
    <w:p>
      <w:pPr>
        <w:sectPr>
          <w:type w:val="continuous"/>
          <w:pgSz w:w="12240" w:h="15840"/>
          <w:pgMar w:top="544" w:right="944" w:bottom="268" w:left="964" w:header="720" w:footer="720" w:gutter="0"/>
          <w:cols w:num="2" w:equalWidth="0">
            <w:col w:w="5974" w:space="0"/>
            <w:col w:w="4358" w:space="0"/>
          </w:cols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666666"/>
          <w:sz w:val="14"/>
        </w:rPr>
        <w:t>DRAFT - AI-ASSISTED</w:t>
      </w:r>
    </w:p>
    <w:sectPr w:rsidR="00FC693F" w:rsidRPr="0006063C" w:rsidSect="00034616">
      <w:type w:val="continuous"/>
      <w:pgSz w:w="12240" w:h="15840"/>
      <w:pgMar w:top="544" w:right="944" w:bottom="268" w:left="964" w:header="720" w:footer="720" w:gutter="0"/>
      <w:cols w:num="2" w:equalWidth="0">
        <w:col w:w="5974" w:space="0"/>
        <w:col w:w="435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