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4"/>
        </w:rPr>
        <w:t>4IR Technologies Individual Assignment</w:t>
      </w:r>
    </w:p>
    <w:p>
      <w:pPr>
        <w:spacing w:after="280"/>
      </w:pPr>
      <w:r>
        <w:rPr>
          <w:color w:val="2E74B5"/>
          <w:sz w:val="28"/>
        </w:rPr>
        <w:t>Three-Brain AI-Assisted Model Draft</w:t>
      </w:r>
    </w:p>
    <w:tbl>
      <w:tblPr>
        <w:tblW w:type="dxa" w:w="936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FF7CC"/>
            <w:tcMar>
              <w:top w:w="140" w:type="dxa"/>
              <w:start w:w="160" w:type="dxa"/>
              <w:bottom w:w="140" w:type="dxa"/>
              <w:end w:w="160" w:type="dxa"/>
            </w:tcMar>
          </w:tcPr>
          <w:p>
            <w:r>
              <w:rPr>
                <w:b/>
                <w:sz w:val="21"/>
              </w:rPr>
              <w:t>Use note: This is a model draft created through the Codex-Claude-Gemini three-brain workflow. Rewrite it in your own voice, verify all sources, and complete the official AI declaration process before submission.</w:t>
            </w:r>
          </w:p>
        </w:tc>
      </w:tr>
    </w:tbl>
    <w:tbl>
      <w:tblPr>
        <w:tblW w:type="dxa" w:w="9360"/>
        <w:jc w:val="left"/>
        <w:tblLayout w:type="fixed"/>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500"/>
        <w:gridCol w:w="6860"/>
      </w:tblGrid>
      <w:tr>
        <w:tc>
          <w:tcPr>
            <w:tcW w:type="dxa" w:w="2500"/>
            <w:tcMar>
              <w:top w:w="100" w:type="dxa"/>
              <w:start w:w="120" w:type="dxa"/>
              <w:bottom w:w="100" w:type="dxa"/>
              <w:end w:w="120" w:type="dxa"/>
            </w:tcMar>
            <w:vAlign w:val="center"/>
            <w:shd w:fill="E8EEF5"/>
          </w:tcPr>
          <w:p>
            <w:r>
              <w:rPr>
                <w:b/>
                <w:color w:val="0B2545"/>
                <w:sz w:val="20"/>
              </w:rPr>
              <w:t>Faculty</w:t>
            </w:r>
          </w:p>
        </w:tc>
        <w:tc>
          <w:tcPr>
            <w:tcW w:type="dxa" w:w="6860"/>
            <w:tcMar>
              <w:top w:w="100" w:type="dxa"/>
              <w:start w:w="120" w:type="dxa"/>
              <w:bottom w:w="100" w:type="dxa"/>
              <w:end w:w="120" w:type="dxa"/>
            </w:tcMar>
            <w:vAlign w:val="center"/>
          </w:tcPr>
          <w:p>
            <w:r>
              <w:rPr>
                <w:sz w:val="20"/>
              </w:rPr>
              <w:t>Information Technology</w:t>
            </w:r>
          </w:p>
        </w:tc>
      </w:tr>
      <w:tr>
        <w:tc>
          <w:tcPr>
            <w:tcW w:type="dxa" w:w="2500"/>
            <w:tcMar>
              <w:top w:w="100" w:type="dxa"/>
              <w:start w:w="120" w:type="dxa"/>
              <w:bottom w:w="100" w:type="dxa"/>
              <w:end w:w="120" w:type="dxa"/>
            </w:tcMar>
            <w:vAlign w:val="center"/>
            <w:shd w:fill="E8EEF5"/>
          </w:tcPr>
          <w:p>
            <w:r>
              <w:rPr>
                <w:b/>
                <w:color w:val="0B2545"/>
                <w:sz w:val="20"/>
              </w:rPr>
              <w:t>Module Code</w:t>
            </w:r>
          </w:p>
        </w:tc>
        <w:tc>
          <w:tcPr>
            <w:tcW w:type="dxa" w:w="6860"/>
            <w:tcMar>
              <w:top w:w="100" w:type="dxa"/>
              <w:start w:w="120" w:type="dxa"/>
              <w:bottom w:w="100" w:type="dxa"/>
              <w:end w:w="120" w:type="dxa"/>
            </w:tcMar>
            <w:vAlign w:val="center"/>
          </w:tcPr>
          <w:p>
            <w:r>
              <w:rPr>
                <w:sz w:val="20"/>
              </w:rPr>
              <w:t>ITTNA3-22</w:t>
            </w:r>
          </w:p>
        </w:tc>
      </w:tr>
      <w:tr>
        <w:tc>
          <w:tcPr>
            <w:tcW w:type="dxa" w:w="2500"/>
            <w:tcMar>
              <w:top w:w="100" w:type="dxa"/>
              <w:start w:w="120" w:type="dxa"/>
              <w:bottom w:w="100" w:type="dxa"/>
              <w:end w:w="120" w:type="dxa"/>
            </w:tcMar>
            <w:vAlign w:val="center"/>
            <w:shd w:fill="E8EEF5"/>
          </w:tcPr>
          <w:p>
            <w:r>
              <w:rPr>
                <w:b/>
                <w:color w:val="0B2545"/>
                <w:sz w:val="20"/>
              </w:rPr>
              <w:t>Module Name</w:t>
            </w:r>
          </w:p>
        </w:tc>
        <w:tc>
          <w:tcPr>
            <w:tcW w:type="dxa" w:w="6860"/>
            <w:tcMar>
              <w:top w:w="100" w:type="dxa"/>
              <w:start w:w="120" w:type="dxa"/>
              <w:bottom w:w="100" w:type="dxa"/>
              <w:end w:w="120" w:type="dxa"/>
            </w:tcMar>
            <w:vAlign w:val="center"/>
          </w:tcPr>
          <w:p>
            <w:r>
              <w:rPr>
                <w:sz w:val="20"/>
              </w:rPr>
              <w:t>4IR Technologies</w:t>
            </w:r>
          </w:p>
        </w:tc>
      </w:tr>
      <w:tr>
        <w:tc>
          <w:tcPr>
            <w:tcW w:type="dxa" w:w="2500"/>
            <w:tcMar>
              <w:top w:w="100" w:type="dxa"/>
              <w:start w:w="120" w:type="dxa"/>
              <w:bottom w:w="100" w:type="dxa"/>
              <w:end w:w="120" w:type="dxa"/>
            </w:tcMar>
            <w:vAlign w:val="center"/>
            <w:shd w:fill="E8EEF5"/>
          </w:tcPr>
          <w:p>
            <w:r>
              <w:rPr>
                <w:b/>
                <w:color w:val="0B2545"/>
                <w:sz w:val="20"/>
              </w:rPr>
              <w:t>Assessment</w:t>
            </w:r>
          </w:p>
        </w:tc>
        <w:tc>
          <w:tcPr>
            <w:tcW w:type="dxa" w:w="6860"/>
            <w:tcMar>
              <w:top w:w="100" w:type="dxa"/>
              <w:start w:w="120" w:type="dxa"/>
              <w:bottom w:w="100" w:type="dxa"/>
              <w:end w:w="120" w:type="dxa"/>
            </w:tcMar>
            <w:vAlign w:val="center"/>
          </w:tcPr>
          <w:p>
            <w:r>
              <w:rPr>
                <w:sz w:val="20"/>
              </w:rPr>
              <w:t>Individual Assignment</w:t>
            </w:r>
          </w:p>
        </w:tc>
      </w:tr>
      <w:tr>
        <w:tc>
          <w:tcPr>
            <w:tcW w:type="dxa" w:w="2500"/>
            <w:tcMar>
              <w:top w:w="100" w:type="dxa"/>
              <w:start w:w="120" w:type="dxa"/>
              <w:bottom w:w="100" w:type="dxa"/>
              <w:end w:w="120" w:type="dxa"/>
            </w:tcMar>
            <w:vAlign w:val="center"/>
            <w:shd w:fill="E8EEF5"/>
          </w:tcPr>
          <w:p>
            <w:r>
              <w:rPr>
                <w:b/>
                <w:color w:val="0B2545"/>
                <w:sz w:val="20"/>
              </w:rPr>
              <w:t>Student</w:t>
            </w:r>
          </w:p>
        </w:tc>
        <w:tc>
          <w:tcPr>
            <w:tcW w:type="dxa" w:w="6860"/>
            <w:tcMar>
              <w:top w:w="100" w:type="dxa"/>
              <w:start w:w="120" w:type="dxa"/>
              <w:bottom w:w="100" w:type="dxa"/>
              <w:end w:w="120" w:type="dxa"/>
            </w:tcMar>
            <w:vAlign w:val="center"/>
          </w:tcPr>
          <w:p>
            <w:r>
              <w:rPr>
                <w:sz w:val="20"/>
              </w:rPr>
              <w:t>[Insert your name and student number]</w:t>
            </w:r>
          </w:p>
        </w:tc>
      </w:tr>
      <w:tr>
        <w:tc>
          <w:tcPr>
            <w:tcW w:type="dxa" w:w="2500"/>
            <w:tcMar>
              <w:top w:w="100" w:type="dxa"/>
              <w:start w:w="120" w:type="dxa"/>
              <w:bottom w:w="100" w:type="dxa"/>
              <w:end w:w="120" w:type="dxa"/>
            </w:tcMar>
            <w:vAlign w:val="center"/>
            <w:shd w:fill="E8EEF5"/>
          </w:tcPr>
          <w:p>
            <w:r>
              <w:rPr>
                <w:b/>
                <w:color w:val="0B2545"/>
                <w:sz w:val="20"/>
              </w:rPr>
              <w:t>Campus</w:t>
            </w:r>
          </w:p>
        </w:tc>
        <w:tc>
          <w:tcPr>
            <w:tcW w:type="dxa" w:w="6860"/>
            <w:tcMar>
              <w:top w:w="100" w:type="dxa"/>
              <w:start w:w="120" w:type="dxa"/>
              <w:bottom w:w="100" w:type="dxa"/>
              <w:end w:w="120" w:type="dxa"/>
            </w:tcMar>
            <w:vAlign w:val="center"/>
          </w:tcPr>
          <w:p>
            <w:r>
              <w:rPr>
                <w:sz w:val="20"/>
              </w:rPr>
              <w:t>[Insert campus name]</w:t>
            </w:r>
          </w:p>
        </w:tc>
      </w:tr>
    </w:tbl>
    <w:p>
      <w:pPr>
        <w:pStyle w:val="Heading1"/>
      </w:pPr>
      <w:r>
        <w:t>Three-Brain Workflow Note</w:t>
      </w:r>
    </w:p>
    <w:p>
      <w:pPr>
        <w:spacing w:after="160" w:line="300" w:lineRule="auto"/>
      </w:pPr>
      <w:r>
        <w:rPr>
          <w:b/>
        </w:rPr>
        <w:t>Codex brain:</w:t>
      </w:r>
      <w:r>
        <w:t xml:space="preserve"> orchestrated the workflow, verified sources, synthesised advisory feedback, wrote the integrated draft, generated the Word document and ran layout verification.</w:t>
      </w:r>
    </w:p>
    <w:p>
      <w:pPr>
        <w:spacing w:after="160" w:line="300" w:lineRule="auto"/>
      </w:pPr>
      <w:r>
        <w:rPr>
          <w:b/>
        </w:rPr>
        <w:t>Claude brain:</w:t>
      </w:r>
      <w:r>
        <w:t xml:space="preserve"> provided adversarial critique of weaknesses, marking risks, citation problems and word allocation.</w:t>
      </w:r>
    </w:p>
    <w:p>
      <w:pPr>
        <w:spacing w:after="160" w:line="300" w:lineRule="auto"/>
      </w:pPr>
      <w:r>
        <w:rPr>
          <w:b/>
        </w:rPr>
        <w:t>Gemini brain:</w:t>
      </w:r>
      <w:r>
        <w:t xml:space="preserve"> provided broad-context advice on examples, structure, South African localisation and non-generic framing.</w:t>
      </w:r>
    </w:p>
    <w:p>
      <w:pPr>
        <w:pStyle w:val="Heading1"/>
      </w:pPr>
      <w:r>
        <w:t>Introduction</w:t>
      </w:r>
    </w:p>
    <w:p>
      <w:pPr>
        <w:spacing w:after="160" w:line="300" w:lineRule="auto"/>
        <w:jc w:val="both"/>
      </w:pPr>
      <w:r>
        <w:t>The Fourth Industrial Revolution (4IR) refers to the fusion of digital, physical, biological and cyber technologies into the systems people use to learn, work, produce, trade and solve social problems. In education, this includes online learning platforms, artificial intelligence, robotics, cloud computing, data analytics, biotechnology and digital collaboration tools. The assignment scenario shows that 4IR is already changing education and work, but it also shows that technology does not remove inequality by itself (Via Afrika, 2020). In Africa and South Africa, the main question is not whether 4IR technologies exist, but whether institutions and communities can access them, understand them and use them for inclusive development. This assignment argues that 4IR can strengthen research, employment, productivity and household income only when access, skills, infrastructure and social inclusion are deliberately built into implementation.</w:t>
      </w:r>
    </w:p>
    <w:p>
      <w:pPr>
        <w:pStyle w:val="Heading1"/>
      </w:pPr>
      <w:r>
        <w:t>1.1 Inequalities Affecting Innovation And Research In African Universities</w:t>
      </w:r>
    </w:p>
    <w:p>
      <w:pPr>
        <w:spacing w:after="160" w:line="300" w:lineRule="auto"/>
        <w:jc w:val="both"/>
      </w:pPr>
      <w:r>
        <w:t>The first inequality is digital access inequality. Many students and researchers can connect to the internet in some form, but they do not all have stable, affordable and research-grade access. This matters because modern innovation depends on more than basic browsing. Researchers need reliable connections for online journals, virtual meetings, cloud computing, large datasets, simulation tools and collaboration with other institutions. Statistics South Africa (2025) shows this gap clearly: in 2025, 85.6% of South African households had some kind of internet access, but only 20.6% had fixed internet at home, while 78.9% accessed the internet through mobile devices. Mobile access is valuable, but it is often expensive for high-volume academic work and less reliable for research that requires continuous connectivity. A practical strategy is for universities to negotiate zero-rated academic platforms and student data packages with network providers. A second strategy is to create extended Wi-Fi zones, device-loan schemes and open digital laboratories so that students from poorer households can still participate in digital research and 4IR learning.</w:t>
      </w:r>
    </w:p>
    <w:p>
      <w:pPr>
        <w:spacing w:after="160" w:line="300" w:lineRule="auto"/>
        <w:jc w:val="both"/>
      </w:pPr>
      <w:r>
        <w:t>The second inequality is research funding and infrastructure inequality. Innovation is not only about ideas; it also requires laboratories, equipment, software, cloud credits, ethical review support, data systems, prototype spaces and technology transfer offices. When African universities lack these resources, researchers may identify strong local solutions but fail to test, publish or commercialise them. UNESCO (2024) states that underinvestment in African higher education research and development limits innovation capacity, especially in health, agriculture and technology, and notes that Africa invests only 0.6% of GDP in research and development compared with a global average of 1.79%. The impact is serious because universities become consumers of imported knowledge rather than producers of local solutions. To address this, governments and industry partners should support shared regional research hubs where universities can access expensive equipment collectively. Universities should also build industry-funded labs and innovation funds that prioritise applied research in African development challenges such as water, energy, education, health and food security.</w:t>
      </w:r>
    </w:p>
    <w:p>
      <w:pPr>
        <w:spacing w:after="160" w:line="300" w:lineRule="auto"/>
        <w:jc w:val="both"/>
      </w:pPr>
      <w:r>
        <w:t>The third inequality is curriculum and skills inequality. Some institutions update their programmes quickly to include artificial intelligence, robotics, data science, cybersecurity, cloud platforms and ethical technology use, while others remain tied to older theoretical curricula. This affects innovation because students may graduate with qualifications but without the practical ability to build, test or manage 4IR solutions. It also affects lecturers, because staff who are not trained in new technologies may struggle to supervise advanced projects. The World Economic Forum (2025) reports that more than 60% of businesses operating in South Africa identify skills gaps as a key barrier to business transformation by 2030, while roles such as AI and Machine Learning Specialists and Robotics Engineers are rising. Universities can respond by co-designing curricula with industry, TVET colleges and community partners. They should also use project-based assessments, hackathons and short professional certificates so that students practise solving real problems instead of only memorising concepts.</w:t>
      </w:r>
    </w:p>
    <w:p>
      <w:pPr>
        <w:spacing w:after="160" w:line="300" w:lineRule="auto"/>
        <w:jc w:val="both"/>
      </w:pPr>
      <w:r>
        <w:t>The fourth inequality is gender and socio-economic exclusion. Students from low-income households, women in STEM, rural learners and historically disadvantaged communities often face weaker school preparation, fewer role models, limited funding and weaker access to professional networks. These barriers reduce innovation because research teams become less diverse and less connected to the communities they are supposed to serve. UNESCO (2024) highlights that gender disparities persist in STEM fields and that women's participation in higher education is important for inclusive growth and sustainable development. UNESCO's Campus Africa initiative also notes that African tertiary enrolment remains low, with an average gross enrolment rate of 9% compared with 42% globally, and that costs remain high for many students and families (UNESCO, 2026). Practical strategies should include targeted scholarships, women-in-STEM mentorship, outreach to under-resourced schools, inclusive innovation competitions and support for students who need transport, data or study equipment. These are not charity measures; they expand the pool of people able to produce local innovation.</w:t>
      </w:r>
    </w:p>
    <w:p>
      <w:pPr>
        <w:spacing w:after="160" w:line="300" w:lineRule="auto"/>
        <w:jc w:val="both"/>
      </w:pPr>
      <w:r>
        <w:t>These four inequalities reinforce each other. Poor connectivity weakens digital skills development, weak funding limits infrastructure, outdated curricula reduce research relevance, and exclusion narrows the range of people contributing ideas. African universities therefore need joined-up interventions that treat 4IR as an institutional transformation challenge rather than a simple technology-purchasing exercise.</w:t>
      </w:r>
    </w:p>
    <w:p>
      <w:pPr>
        <w:pStyle w:val="Heading1"/>
      </w:pPr>
      <w:r>
        <w:t>1.2 Digital Technology Project For An Urban South African Community</w:t>
      </w:r>
    </w:p>
    <w:p>
      <w:pPr>
        <w:spacing w:after="160" w:line="300" w:lineRule="auto"/>
        <w:jc w:val="both"/>
      </w:pPr>
      <w:r>
        <w:t>If I were one of the African leaders selected for the AfricaInLead programme, I would choose digital technology and develop a Mobile-First Urban Digital Skills and Micro-Innovation Hub. The programme's results page shows digital technology as part of its innovation focus, which makes this a suitable choice for the assignment scenario (AfricaInLead, n.d.). The project would target unemployed youth aged 18 to 30 in an urban township or low-income city community, where many young people have phones but lack deeper digital skills, work experience and professional networks. This focus is justified by South Africa's labour market. Statistics South Africa (2026) reports that the national unemployment rate was 32.7% in Q1:2026, while youth aged 15 to 24 faced an unemployment rate of 60.9% and those aged 25 to 34 had a rate of 40.6%. The project would not claim to solve unemployment on its own. Its realistic aim would be to improve employability, build portfolios, support micro-enterprise and connect young people to local work opportunities.</w:t>
      </w:r>
    </w:p>
    <w:p>
      <w:pPr>
        <w:spacing w:after="160" w:line="300" w:lineRule="auto"/>
        <w:jc w:val="both"/>
      </w:pPr>
      <w:r>
        <w:t>The hub would operate as a practical training and production space rather than a normal classroom. Learners would complete short modules in coding basics, digital marketing, data literacy, cybersecurity awareness, cloud collaboration, AI-supported learning and entrepreneurship. The design would be mobile-first because Stats SA data shows that mobile internet access is much more common than fixed home internet (Statistics South Africa, 2025). Lessons would therefore use low-bandwidth tools, downloadable resources and smartphone-friendly platforms. After basic training, learners would work in teams on community projects. Examples include a simple stock tracker for a spaza shop, a booking page for a salon or mechanic, a social media package for a small business, or a dashboard for a local NGO. This gives learners evidence of ability instead of only a certificate.</w:t>
      </w:r>
    </w:p>
    <w:p>
      <w:pPr>
        <w:spacing w:after="160" w:line="300" w:lineRule="auto"/>
        <w:jc w:val="both"/>
      </w:pPr>
      <w:r>
        <w:t>The community impact would come from linking youth training with local business needs. Small businesses often need digital support but cannot afford professional agencies. The hub could provide affordable services while learners gain supervised experience. A township bakery might need a menu and ordering form, a tutor might need a simple website, and a community organisation might need a database of beneficiaries. These projects turn 4IR from an abstract concept into visible local value. They also respond to the skills gap identified by the World Economic Forum (2025), which notes that South African businesses see skills gaps as a major barrier to transformation. The hub's success should be measured through completed portfolios, number of client projects, internships, freelance income, new micro-businesses and learners who return as mentors. The key measure should not be how many students attended, but how many can demonstrate useful digital capability afterwards.</w:t>
      </w:r>
    </w:p>
    <w:p>
      <w:pPr>
        <w:spacing w:after="160" w:line="300" w:lineRule="auto"/>
        <w:jc w:val="both"/>
      </w:pPr>
      <w:r>
        <w:t>The project would also include digital ethics and safety as a core theme. Learners would be taught not to copy AI-generated content blindly, not to misuse customer data, and not to expose small businesses to cyber risks through weak passwords or poor privacy practices. This matters because a 4IR project should build trust as well as skills. If local businesses trust the hub, they are more likely to offer real projects, testimonials and paid work to future cohorts.</w:t>
      </w:r>
    </w:p>
    <w:p>
      <w:pPr>
        <w:spacing w:after="160" w:line="300" w:lineRule="auto"/>
        <w:jc w:val="both"/>
      </w:pPr>
      <w:r>
        <w:t>Mentorship would make the project sustainable. The first layer would be peer mentoring: the strongest graduates from each cohort would return as assistant facilitators for the next cohort. The second layer would involve university students, lecturers and local technology professionals who provide technical coaching. The third layer would involve business mentors who help learners price services, communicate with clients and manage basic finances. Monthly showcase days would allow learners to present projects to community members, employers and possible funders. In year two, the hub could license its training materials to schools, libraries or NGOs and create satellite learning groups. In year three, alumni could lead specialised tracks in web design, data support, digital marketing or cybersecurity awareness. This train-the-trainer model fits the AfricaInLead idea of leaders mentoring the next generation rather than keeping knowledge within one group.</w:t>
      </w:r>
    </w:p>
    <w:p>
      <w:pPr>
        <w:pStyle w:val="Heading1"/>
      </w:pPr>
      <w:r>
        <w:t>1.3 Comparing Japan And South Africa On Robotics</w:t>
      </w:r>
    </w:p>
    <w:p>
      <w:pPr>
        <w:spacing w:after="160" w:line="300" w:lineRule="auto"/>
        <w:jc w:val="both"/>
      </w:pPr>
      <w:r>
        <w:t>Japan and South Africa both face labour-market pressure, but the pressures are almost opposite in nature. Japan's problem is a shortage of workers in key sectors such as logistics, caused by population ageing, demanding work conditions and worktime regulations. South Africa's problem is high unemployment, especially among young people, combined with skills mismatch and inequality. This difference changes the purpose of robotics. In Japan, robots can fill gaps where there are too few workers or where workers are overburdened. In South Africa, robots must be used more carefully: they should improve safety, productivity and competitiveness while also creating pathways into skilled technical work. The comparison therefore cannot be reduced to whether robots are good or bad. The better question is under what conditions robotics creates social and economic value.</w:t>
      </w:r>
    </w:p>
    <w:p>
      <w:pPr>
        <w:spacing w:after="160" w:line="300" w:lineRule="auto"/>
        <w:jc w:val="both"/>
      </w:pPr>
      <w:r>
        <w:t>In Japan, robotics is strongly connected to labour shortage and productivity pressure. The International Federation of Robotics (2024) explains that Japan's 2024 overtime regulations for truck drivers create labour-shortage pressure and that robotics can help with loading, unloading and warehousing tasks. The World Economic Forum (2021) gives a Japan-specific example, noting that Japan's transport sector productivity was almost 25% below the average for all Japanese industries and that a labour shortfall of 140,000 people in 2020 was expected to grow to 280,000 by 2030. In that context, delivery robots, warehouse automation and AI-enabled logistics systems can help the economy maintain service levels despite fewer available workers. Robotics is therefore mainly a labour-substitution and labour-support tool in Japan. It fills shortages, reduces pressure on overworked employees and supports last-mile delivery in a hyper-ageing society.</w:t>
      </w:r>
    </w:p>
    <w:p>
      <w:pPr>
        <w:spacing w:after="160" w:line="300" w:lineRule="auto"/>
        <w:jc w:val="both"/>
      </w:pPr>
      <w:r>
        <w:t>South Africa's context is different because unemployment is already high. Statistics South Africa (2026) reports a national unemployment rate of 32.7% in Q1:2026, with youth unemployment much higher. This means that a South African robotics strategy cannot simply copy Japan's approach. If robots are introduced only to reduce wage costs, workers may experience automation as a direct threat. However, rejecting robotics completely would also be short-sighted because South Africa faces safety risks, productivity gaps, infrastructure problems and global competition. The country needs a worker-augmentation model. In this model, robots take on dangerous, repetitive or high-precision tasks while people are trained for supervision, maintenance, programming, data analysis and system support. The goal is not to protect every existing task forever, but to make technological change create better work rather than fewer opportunities.</w:t>
      </w:r>
    </w:p>
    <w:p>
      <w:pPr>
        <w:spacing w:after="160" w:line="300" w:lineRule="auto"/>
        <w:jc w:val="both"/>
      </w:pPr>
      <w:r>
        <w:t>The similarity between the two countries is that both need more efficient and safer workplaces. The difference is the social meaning of automation. In Japan, robotics responds to a shortage of labour; in South Africa, robotics must respond to unemployment and skills development at the same time. The International Federation of Robotics (2024) notes that industrial and service robots can relieve workers of dirty, dull and dangerous tasks and help close productivity gaps. That principle is useful for South Africa if it is linked to reskilling. The World Economic Forum (2025) reports that South African firms identify skills gaps as a major transformation barrier and that robotics-related roles are rising. Therefore, robotics should be introduced with training programmes in TVET colleges, universities and workplace academies. The comparison shows that technology policy must fit labour-market reality.</w:t>
      </w:r>
    </w:p>
    <w:p>
      <w:pPr>
        <w:spacing w:after="160" w:line="300" w:lineRule="auto"/>
        <w:jc w:val="both"/>
      </w:pPr>
      <w:r>
        <w:t>Robotics could benefit South Africa in several sectors despite unemployment. In mining, remote-controlled and automated systems can remove workers from dangerous underground conditions and reduce exposure to rockfalls, heat and toxic environments. In agriculture, drones and sensor-based systems can monitor crops, water use and disease, supporting food security and climate adaptation. In logistics and warehousing, automated stock movement and scanning can reduce delays and help businesses compete in e-commerce, while creating demand for technicians who maintain equipment. In healthcare, robots could assist with repetitive delivery tasks in hospitals, allowing nurses to spend more time on patient care. In manufacturing, robotics can improve quality control, reduce waste and help local firms meet export standards. These examples show that the strongest argument for robotics in South Africa is not replacing people, but improving high-risk and low-productivity environments while building new technical support roles.</w:t>
      </w:r>
    </w:p>
    <w:p>
      <w:pPr>
        <w:spacing w:after="160" w:line="300" w:lineRule="auto"/>
        <w:jc w:val="both"/>
      </w:pPr>
      <w:r>
        <w:t>Another reason South Africa should not reject robotics is that late adoption can also carry economic risks. If local firms avoid automation completely, they may become less competitive against producers in countries that use robotics to improve quality, speed and consistency. That can reduce investment and weaken long-term employment. The better approach is selective adoption in sectors where robotics solves a clear problem and where workers can be moved into better roles. For example, a warehouse robot may reduce manual carrying, but the surrounding system still needs people to manage inventory, maintain equipment, interpret data and deal with customers. This is why robotics policy should focus on the whole value chain, not only the machine itself.</w:t>
      </w:r>
    </w:p>
    <w:p>
      <w:pPr>
        <w:spacing w:after="160" w:line="300" w:lineRule="auto"/>
        <w:jc w:val="both"/>
      </w:pPr>
      <w:r>
        <w:t>The condition for success is policy discipline. Companies that automate should be expected to invest in reskilling and worker transition plans. Government incentives should favour firms that create local maintenance, installation and component-supply opportunities instead of only importing complete systems. Universities and TVET colleges should offer short courses in robotics maintenance, mechatronics, sensors, data logging and machine safety. Workers and unions should be included in automation planning so that adoption is transparent and does not become a hidden retrenchment strategy. Japan shows how robots can help when workers are scarce. South Africa needs a different model: robotics should be treated as part of inclusive industrial upgrading, where productivity gains are linked to human development.</w:t>
      </w:r>
    </w:p>
    <w:p>
      <w:pPr>
        <w:pStyle w:val="Heading1"/>
      </w:pPr>
      <w:r>
        <w:t>1.4 Sharing Economy And Disposable Income</w:t>
      </w:r>
    </w:p>
    <w:p>
      <w:pPr>
        <w:spacing w:after="160" w:line="300" w:lineRule="auto"/>
        <w:jc w:val="both"/>
      </w:pPr>
      <w:r>
        <w:t>The sharing economy refers to digital or community-based systems that allow people to rent, lend, share or exchange access to underutilised assets. These assets can include spare rooms, cars, tools, bicycles, books, Wi-Fi, solar charging capacity or skills. Filippas, Horton and Zeckhauser (2020) define sharing-economy markets as internet-based markets that enable consumer-owners to rent durable goods to non-owners. Disposable income is the money households have available after taxes and essential expenses, and it can increase in two ways: households can earn more income or reduce costs. Sharing underutilised assets can support both mechanisms. It can help asset owners earn money from idle resources, while users avoid the high upfront cost of buying something they only need temporarily.</w:t>
      </w:r>
    </w:p>
    <w:p>
      <w:pPr>
        <w:spacing w:after="160" w:line="300" w:lineRule="auto"/>
        <w:jc w:val="both"/>
      </w:pPr>
      <w:r>
        <w:t>For asset owners, the sharing economy turns idle capacity into income. A spare room that is empty most of the year, a car parked during work hours, a drill used only a few times a month or a bicycle sitting unused all represent economic value that is not being fully used. Through sharing platforms or community systems, owners can rent these assets and earn extra cash. Knott-Craig (2018) argues that 4IR allows underutilised assets to be shared on a needs basis and monetised by the owner, reducing marginal costs and improving access. In household terms, this additional income can help pay for groceries, transport, school fees, electricity, data, debt or savings. The important point is that the asset already exists, so the owner does not need to start a completely new business to earn from it. This is why sharing can improve disposable income for households that own usable assets.</w:t>
      </w:r>
    </w:p>
    <w:p>
      <w:pPr>
        <w:spacing w:after="160" w:line="300" w:lineRule="auto"/>
        <w:jc w:val="both"/>
      </w:pPr>
      <w:r>
        <w:t>For users, the sharing economy increases disposable income by reducing the need for expensive purchases. A person doing a once-off handyman job may need a drill, ladder or pressure washer, but buying all the tools would reduce or eliminate the profit from the job. Renting tools for a day lowers the barrier to entry. A student may use a shared bicycle or ride-hailing service instead of buying and maintaining a car. A small business may rent equipment for a temporary project rather than taking on debt. In each case, temporary access leaves more money available after essential costs. This is especially important in South Africa, where many households cannot afford large upfront purchases. The sharing economy can therefore support informal work, side hustles and small business activity by allowing people to access productive assets without owning them.</w:t>
      </w:r>
    </w:p>
    <w:p>
      <w:pPr>
        <w:spacing w:after="160" w:line="300" w:lineRule="auto"/>
        <w:jc w:val="both"/>
      </w:pPr>
      <w:r>
        <w:t>The sharing economy can also have community-level effects. A tool library in a township could allow residents to borrow equipment for repairs and small construction jobs. A shared Wi-Fi hotspot could reduce data costs for learners and job seekers. A community bicycle scheme could support local mobility for workers and delivery riders. Skills can also be shared: tutoring, coding, sewing, repairs, farming advice and digital marketing can be exchanged or sold through platforms. The assignment scenario gives examples such as Airbnb, cars, tools, books and bicycles, showing that 4IR platforms can turn access into income and savings. In a South African context, these examples are practical because households often face both income pressure and high costs. A well-run sharing system can therefore increase disposable income by combining extra earnings, lower purchase costs and better access to services.</w:t>
      </w:r>
    </w:p>
    <w:p>
      <w:pPr>
        <w:spacing w:after="160" w:line="300" w:lineRule="auto"/>
        <w:jc w:val="both"/>
      </w:pPr>
      <w:r>
        <w:t>The disposable-income benefit can also be understood through household budgeting. If a household earns an extra R800 in a month by renting a room or a tool, that money can reduce pressure on groceries, transport or electricity. If another household avoids spending several thousand rand on a once-off asset by renting it, its remaining cash can be used for school materials, data or debt repayment. These examples show why the sharing economy is not only about convenience. It changes the timing and size of household expenses, which can matter greatly for families that live close to the edge of their monthly budgets.</w:t>
      </w:r>
    </w:p>
    <w:p>
      <w:pPr>
        <w:spacing w:after="160" w:line="300" w:lineRule="auto"/>
        <w:jc w:val="both"/>
      </w:pPr>
      <w:r>
        <w:t>However, a distinction answer must not romanticise the sharing economy. It does not benefit everyone equally. Households that already own valuable assets are more likely to earn from sharing, while poorer households may participate mainly as users. Platform fees, insurance, safety risks, property damage, tax obligations and unfair ratings can reduce the income that owners actually keep. Digital exclusion is another risk because people without smartphones, data or digital literacy may be left out. Filippas, Horton and Zeckhauser (2020) also note that sharing markets may expand consumption and surplus but do not always reduce ownership, meaning the benefits are not automatic or frictionless. For sharing to improve disposable income fairly, communities need trust, affordable connectivity, clear rules, consumer protection and safety mechanisms. Sharing underutilised assets can therefore raise disposable income, but only when access and fairness are designed into the system.</w:t>
      </w:r>
    </w:p>
    <w:p>
      <w:pPr>
        <w:pStyle w:val="Heading1"/>
      </w:pPr>
      <w:r>
        <w:t>Conclusion</w:t>
      </w:r>
    </w:p>
    <w:p>
      <w:pPr>
        <w:spacing w:after="160" w:line="300" w:lineRule="auto"/>
        <w:jc w:val="both"/>
      </w:pPr>
      <w:r>
        <w:t>The 4IR offers real opportunities for African universities, communities, businesses and households, but the benefits depend on inclusive implementation. Universities need digital access, research infrastructure, relevant curricula and wider participation if they are to produce meaningful innovation. Digital technology projects can help urban youth build portfolios, income pathways and mentorship networks when they are grounded in local problems. Robotics can benefit South Africa if it is used to improve safety and productivity while creating skilled support roles rather than simply replacing workers. The sharing economy can increase disposable income by helping households earn from underutilised assets and reduce purchase costs. Overall, 4IR should be treated as a human-centred development strategy, not just a collection of advanced technologies.</w:t>
      </w:r>
    </w:p>
    <w:p>
      <w:pPr>
        <w:pStyle w:val="Heading1"/>
      </w:pPr>
      <w:r>
        <w:t>Reference List</w:t>
      </w:r>
    </w:p>
    <w:p>
      <w:pPr>
        <w:spacing w:after="160" w:line="300" w:lineRule="auto"/>
        <w:ind w:hanging="360" w:left="360"/>
      </w:pPr>
      <w:r>
        <w:t>AfricaInLead. n.d. Results. Available at: https://community.africainlead.net/mod/page/view.php?id=89 [Accessed 4 June 2026].</w:t>
      </w:r>
    </w:p>
    <w:p>
      <w:pPr>
        <w:spacing w:after="160" w:line="300" w:lineRule="auto"/>
        <w:ind w:hanging="360" w:left="360"/>
      </w:pPr>
      <w:r>
        <w:t>Filippas, A., Horton, J.J. and Zeckhauser, R.J. 2020. Owning, Using, and Renting: Some Simple Economics of the Sharing Economy. Management Science, 66(9), pp.4152-4172. Available at: https://www.hks.harvard.edu/publications/owning-using-and-renting-some-simple-economics-sharing-economy-0 [Accessed 4 June 2026].</w:t>
      </w:r>
    </w:p>
    <w:p>
      <w:pPr>
        <w:spacing w:after="160" w:line="300" w:lineRule="auto"/>
        <w:ind w:hanging="360" w:left="360"/>
      </w:pPr>
      <w:r>
        <w:t>International Federation of Robotics. 2024. Robots Help to Solve Japan's 2024 Problem. Available at: https://ifr.org/news/robots-help-to-solve-japans-2024-problem/ [Accessed 4 June 2026].</w:t>
      </w:r>
    </w:p>
    <w:p>
      <w:pPr>
        <w:spacing w:after="160" w:line="300" w:lineRule="auto"/>
        <w:ind w:hanging="360" w:left="360"/>
      </w:pPr>
      <w:r>
        <w:t>Knott-Craig, A. 2018. How 4IR will benefit South Africa (Part 2). Available at: https://www.bizcommunity.com/Article/196/706/183302.html [Accessed 4 June 2026].</w:t>
      </w:r>
    </w:p>
    <w:p>
      <w:pPr>
        <w:spacing w:after="160" w:line="300" w:lineRule="auto"/>
        <w:ind w:hanging="360" w:left="360"/>
      </w:pPr>
      <w:r>
        <w:t>Statistics South Africa. 2025. General Household Survey, 2025. Available at: https://www.statssa.gov.za/publications/P0318/P03182025.pdf [Accessed 4 June 2026].</w:t>
      </w:r>
    </w:p>
    <w:p>
      <w:pPr>
        <w:spacing w:after="160" w:line="300" w:lineRule="auto"/>
        <w:ind w:hanging="360" w:left="360"/>
      </w:pPr>
      <w:r>
        <w:t>Statistics South Africa. 2026. South Africa's Youth and the Labour Market in Q1 2026. Available at: https://www.statssa.gov.za/?p=19526 [Accessed 4 June 2026].</w:t>
      </w:r>
    </w:p>
    <w:p>
      <w:pPr>
        <w:spacing w:after="160" w:line="300" w:lineRule="auto"/>
        <w:ind w:hanging="360" w:left="360"/>
      </w:pPr>
      <w:r>
        <w:t>UNESCO. 2024. What you need to know about higher education in Africa. Available at: https://www.unesco.org/sdg4education2030/en/articles/what-you-need-know-about-higher-education-africa [Accessed 4 June 2026].</w:t>
      </w:r>
    </w:p>
    <w:p>
      <w:pPr>
        <w:spacing w:after="160" w:line="300" w:lineRule="auto"/>
        <w:ind w:hanging="360" w:left="360"/>
      </w:pPr>
      <w:r>
        <w:t>UNESCO. 2026. What you need to know about Campus Africa. Available at: https://www.unesco.org/en/higher-education/campus-africa/need-know [Accessed 4 June 2026].</w:t>
      </w:r>
    </w:p>
    <w:p>
      <w:pPr>
        <w:spacing w:after="160" w:line="300" w:lineRule="auto"/>
        <w:ind w:hanging="360" w:left="360"/>
      </w:pPr>
      <w:r>
        <w:t>Via Afrika. 2020. Getting to teaching in the 4IR. Via Afrika Teaching in the 4IR, 2 March. Available at: https://podcasts.apple.com/za/podcast/getting-to-teaching-in-the-4ir/id1502105632?i=1000467874712 [Accessed 4 June 2026].</w:t>
      </w:r>
    </w:p>
    <w:p>
      <w:pPr>
        <w:spacing w:after="160" w:line="300" w:lineRule="auto"/>
        <w:ind w:hanging="360" w:left="360"/>
      </w:pPr>
      <w:r>
        <w:t>World Economic Forum. 2021. Robots can help Japan solve its 'last-mile' crisis in logistics. Available at: https://www.weforum.org/stories/2021/07/robots-can-help-japan-solve-its-last-mile-crisis-in-logistics-here-s-how/ [Accessed 4 June 2026].</w:t>
      </w:r>
    </w:p>
    <w:p>
      <w:pPr>
        <w:spacing w:after="160" w:line="300" w:lineRule="auto"/>
        <w:ind w:hanging="360" w:left="360"/>
      </w:pPr>
      <w:r>
        <w:t>World Economic Forum. 2025. The Future of Jobs Report 2025: Region, economy and industry insights. Available at: https://www.weforum.org/publications/the-future-of-jobs-report-2025/in-full/5-region-economy-and-industry-insights/ [Accessed 4 June 2026].</w:t>
      </w:r>
    </w:p>
    <w:p>
      <w:pPr>
        <w:pStyle w:val="Heading1"/>
      </w:pPr>
      <w:r>
        <w:t>Appendix A: AI Declaration Draft</w:t>
      </w:r>
    </w:p>
    <w:p>
      <w:pPr>
        <w:spacing w:after="160" w:line="300" w:lineRule="auto"/>
      </w:pPr>
      <w:r>
        <w:t>Adapt this wording to match the official Eduvos AI declaration form. Do not submit this appendix if your LMS requires a separate AI declaration form only.</w:t>
      </w:r>
    </w:p>
    <w:p>
      <w:pPr>
        <w:spacing w:after="160" w:line="300" w:lineRule="auto"/>
      </w:pPr>
      <w:r>
        <w:rPr>
          <w:b/>
        </w:rPr>
        <w:t>AI tools used:</w:t>
      </w:r>
      <w:r>
        <w:t xml:space="preserve"> Codex/ChatGPT as the primary drafting and document-building tool; Claude CLI for adversarial critique; Gemini CLI for broad-context advisory review; Codex sub-agents for research and marker-style checking.</w:t>
      </w:r>
    </w:p>
    <w:p>
      <w:pPr>
        <w:spacing w:after="160" w:line="300" w:lineRule="auto"/>
      </w:pPr>
      <w:r>
        <w:rPr>
          <w:b/>
        </w:rPr>
        <w:t>Purpose of use:</w:t>
      </w:r>
      <w:r>
        <w:t xml:space="preserve"> AI was used to interpret the assignment brief, organise the answer structure, check rubric alignment, identify source and citation risks, generate a model draft, and format the Word document.</w:t>
      </w:r>
    </w:p>
    <w:p>
      <w:pPr>
        <w:spacing w:after="160" w:line="300" w:lineRule="auto"/>
      </w:pPr>
      <w:r>
        <w:rPr>
          <w:b/>
        </w:rPr>
        <w:t>Extent of use:</w:t>
      </w:r>
      <w:r>
        <w:t xml:space="preserve"> AI output was treated as an assisted draft and review aid. The final submission should be rewritten, verified against sources, edited in the student's own voice, and declared according to Eduvos requirements.</w:t>
      </w:r>
    </w:p>
    <w:p>
      <w:pPr>
        <w:spacing w:after="160" w:line="300" w:lineRule="auto"/>
      </w:pPr>
      <w:r>
        <w:rPr>
          <w:b/>
        </w:rPr>
        <w:t>Student responsibility:</w:t>
      </w:r>
      <w:r>
        <w:t xml:space="preserve"> I take responsibility for the final submitted work, including factual accuracy, source use, citation consistency, originality and compliance with the official AI declaration process.</w:t>
      </w:r>
    </w:p>
    <w:p>
      <w:pPr>
        <w:pStyle w:val="Heading1"/>
      </w:pPr>
      <w:r>
        <w:t>Final Rewrite Checklist</w:t>
      </w:r>
    </w:p>
    <w:p>
      <w:pPr>
        <w:pStyle w:val="ListBullet"/>
        <w:spacing w:after="80"/>
      </w:pPr>
      <w:r>
        <w:t>Rewrite the model draft in your own academic voice before submission.</w:t>
      </w:r>
    </w:p>
    <w:p>
      <w:pPr>
        <w:pStyle w:val="ListBullet"/>
        <w:spacing w:after="80"/>
      </w:pPr>
      <w:r>
        <w:t>Replace placeholders with your campus, name and student number.</w:t>
      </w:r>
    </w:p>
    <w:p>
      <w:pPr>
        <w:pStyle w:val="ListBullet"/>
        <w:spacing w:after="80"/>
      </w:pPr>
      <w:r>
        <w:t>Check that each in-text citation appears in the reference list and that each reference is used.</w:t>
      </w:r>
    </w:p>
    <w:p>
      <w:pPr>
        <w:pStyle w:val="ListBullet"/>
        <w:spacing w:after="80"/>
      </w:pPr>
      <w:r>
        <w:t>Verify the final word count according to your lecturer's rules.</w:t>
      </w:r>
    </w:p>
    <w:p>
      <w:pPr>
        <w:pStyle w:val="ListBullet"/>
        <w:spacing w:after="80"/>
      </w:pPr>
      <w:r>
        <w:t>Complete the official AI declaration form and upload it if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Three-brain AI-assisted model draft for rewriting and declaration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ITTNA3-22 4IR Technologies | Three-Brain Model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