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onsolas" w:cs="Consolas" w:eastAsia="Consolas" w:hAnsi="Consolas"/>
          <w:b/>
          <w:bCs/>
          <w:color w:val="00A6A0"/>
          <w:sz w:val="16"/>
          <w:szCs w:val="16"/>
        </w:rPr>
        <w:t xml:space="preserve">ROOTS INSIGHTS</w:t>
      </w:r>
    </w:p>
    <w:p>
      <w:pPr>
        <w:spacing w:after="40" w:before="200"/>
      </w:pPr>
      <w:r>
        <w:rPr>
          <w:rFonts w:ascii="Georgia" w:cs="Georgia" w:eastAsia="Georgia" w:hAnsi="Georgia"/>
          <w:b/>
          <w:bCs/>
          <w:color w:val="0A1628"/>
          <w:sz w:val="56"/>
          <w:szCs w:val="56"/>
        </w:rPr>
        <w:t xml:space="preserve">PP-CODEC FORGE</w:t>
      </w:r>
    </w:p>
    <w:p>
      <w:pPr>
        <w:spacing w:after="200" w:before="80"/>
      </w:pPr>
      <w:r>
        <w:rPr>
          <w:rFonts w:ascii="Georgia" w:cs="Georgia" w:eastAsia="Georgia" w:hAnsi="Georgia"/>
          <w:i/>
          <w:iCs/>
          <w:color w:val="007A76"/>
          <w:sz w:val="28"/>
          <w:szCs w:val="28"/>
        </w:rPr>
        <w:t xml:space="preserve">Rapport de Validation des Simulations Numériques</w:t>
      </w:r>
    </w:p>
    <w:p>
      <w:pPr>
        <w:spacing w:after="40" w:before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Phase P5 — Synthèse des Phases P1 à P4</w:t>
      </w:r>
    </w:p>
    <w:p>
      <w:pPr>
        <w:spacing w:after="40" w:before="80"/>
      </w:pPr>
      <w:r>
        <w:rPr>
          <w:rFonts w:ascii="Consolas" w:cs="Consolas" w:eastAsia="Consolas" w:hAnsi="Consolas"/>
          <w:color w:val="6B7280"/>
          <w:sz w:val="14"/>
          <w:szCs w:val="14"/>
        </w:rPr>
        <w:t xml:space="preserve">Dr. J. Nembé — LIBREVILLE | SINGAPOUR | SAN FRANCISCO</w:t>
      </w:r>
    </w:p>
    <w:p>
      <w:pPr>
        <w:spacing w:after="400" w:before="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Mars 2026 — Confidentiel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Mesuré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Générateurs validés (P1)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95%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98.6%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MDL K* accuracy n=256 (P3)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90%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Framework heuristic (P3bis)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92%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Family heuristic (P3bis)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90%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78.9%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Gain compression vs L₁ (P3)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2×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3.92×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Hellinger convergence (P4)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γ &gt; 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γ̂ = 0.53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Borne Thm 6.4 (domaine valide)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90%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91.7%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B-spline K6 famille dominante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émergence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55.6%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rapport synthétise les résultats de 5 phases de simulations numériques exhaustives (P1-P4 + P3bis) pour le méta-codec PP-CODEC fondé sur les processus ponctuels marqués. Les simulations valident empiriquement les fondements théoriques du codec (docB) et calibrent les heuristiques embarquées.</w:t>
      </w:r>
    </w:p>
    <w:p>
      <w:pPr>
        <w:pStyle w:val="Heading2"/>
      </w:pPr>
      <w:r>
        <w:t xml:space="preserve">Résultats clés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6 générateurs de processus de Poisson non homogènes sont validés à 98.6% (142/144 tests).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sélecteur MDL atteint 100% d'accuracy à n=256 (bloc 16×16), contre 54% à n=1 — la taille d'échantillon est critique.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B-splines cubiques (K=6) dominent comme famille d'estimation optimale pour 55.6% des configurations non-homogènes.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gain de compression MDL vs codage brut (L₁) est de 3.92× en moyenne, avec un maximum de 6.88×.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L'arbre de décision framework est trivial (2 comparaisons, 100% accuracy) et directement embarquable en 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convergence Hellinger est confirmée (taux γ̂ = 0.53, 100% des modèles convergent), validant le Théorème 6.4.</w:t>
      </w:r>
    </w:p>
    <w:p>
      <w:r>
        <w:br w:type="page"/>
      </w:r>
    </w:p>
    <w:p>
      <w:pPr>
        <w:pStyle w:val="Heading1"/>
      </w:pPr>
      <w:r>
        <w:t xml:space="preserve">2. Validation des Générateurs (Phase P1)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 modèles d'intensité implémentés avec inversion analytique ou numérique. Algorithme 3.1 de docD.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1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α(t)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Inversion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Err. comptage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Err. inversion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Homogène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λ₀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0.05-1.2%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~10⁻¹⁵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Linéaire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 + 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0.12-2.5%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~10⁻¹⁴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Sinusoïdale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λ₀(1+A·sin(ωt))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0.1-1.0%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~10⁻¹¹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Exponentielle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λ₀·e^{βt}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0.12-3.8%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~10⁻¹⁴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Logarithmique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λ₀·log(1+γt)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0.3-3.0%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~10⁻¹¹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Puissance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λ₀·t^p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0.26-2.8%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~10⁻¹⁴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Résultat : 142/144 tests passés (98.6%). Les 2 échecs résiduels sont des corrélations RNG mark/temps dans le test χ² (p &lt; 0.002), documentés comme FIND-S03.</w:t>
      </w:r>
    </w:p>
    <w:p>
      <w:r>
        <w:br w:type="page"/>
      </w:r>
    </w:p>
    <w:p>
      <w:pPr>
        <w:pStyle w:val="Heading1"/>
      </w:pPr>
      <w:r>
        <w:t xml:space="preserve">3. Estimation MLE et Sélection MDL (Phases P2-P3)</w:t>
      </w:r>
    </w:p>
    <w:p>
      <w:pPr>
        <w:pStyle w:val="Heading2"/>
      </w:pPr>
      <w:r>
        <w:t xml:space="preserve">3.1 Impact de la taille d'échantillon 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Résultat fondamental : le MDL ne fonctionne correctement qu'avec n ≥ 64 observations indépendantes. Un bloc 16×16 (n=256) fournit assez de données pour 100% d'accuracy.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n=64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n=256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MDL K* accuracy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83.3%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Médiane H²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4.93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0.29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0.28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Famille dominante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histogram_K32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bspline_K6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bspline_K6</w:t>
            </w:r>
          </w:p>
        </w:tc>
      </w:tr>
    </w:tbl>
    <w:p>
      <w:pPr>
        <w:pStyle w:val="Heading2"/>
      </w:pPr>
      <w:r>
        <w:t xml:space="preserve">3.2 Les 6 familles d'estimation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Toutes les familles sont réellement implémentées et validées 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à n=256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F0 Constant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α̂ = N/r (MLE exact)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Roundtrip exact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16.7% (homogène)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F1 Histogramme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α̂_k = N_k/(n·|I_k|)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Proposition 6.4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8.3% (sinusoïdal r=256)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F2 B-spline cubique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scipy BSpline + NNLS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PoU = 0.0, non-négatif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55.6% — DOMINANT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F3 Trigonométrique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Fourier tronqué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Coefficients MLE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4.2% (sinusoïdal r=32)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F4a Haar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Multi-résolution + seuillage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Dénoising correct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0% (dominé par bspline)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F4b Daubechies D4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Filtres QMF D4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Roundtrip err = 10⁻¹⁵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4.2% (linéaire r=32)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La B-spline cubique K=6 est la famille optimale pour la majorité des intensités non-homogènes. Les Daubechies gagnent uniquement pour r ≤ 32 (support compact). Les trigonométriques gagnent pour les oscillations pures.</w:t>
      </w:r>
    </w:p>
    <w:p>
      <w:r>
        <w:br w:type="page"/>
      </w:r>
    </w:p>
    <w:p>
      <w:pPr>
        <w:pStyle w:val="Heading1"/>
      </w:pPr>
      <w:r>
        <w:t xml:space="preserve">4. Heuristiques Calibrées (Phase P3bis)</w:t>
      </w:r>
    </w:p>
    <w:p>
      <w:pPr>
        <w:pStyle w:val="Heading2"/>
      </w:pPr>
      <w:r>
        <w:t xml:space="preserve">4.1 Arbre de décision Framework (100% accuracy)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L'arbre se réduit à 2 comparaisons numériques, O(1) 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if m ≤ 5: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b/>
                <w:bCs/>
                <w:color w:val="00A6A0"/>
                <w:sz w:val="20"/>
                <w:szCs w:val="20"/>
              </w:rPr>
              <w:t xml:space="preserve">    → VECTOR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else if λ_avg ≤ 0.67: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b/>
                <w:bCs/>
                <w:color w:val="00A6A0"/>
                <w:sz w:val="20"/>
                <w:szCs w:val="20"/>
              </w:rPr>
              <w:t xml:space="preserve">    → MARKED (point process)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b/>
                <w:bCs/>
                <w:color w:val="00A6A0"/>
                <w:sz w:val="20"/>
                <w:szCs w:val="20"/>
              </w:rPr>
              <w:t xml:space="preserve">    → VECTOR</w:t>
            </w:r>
          </w:p>
        </w:tc>
      </w:tr>
    </w:tbl>
    <w:p>
      <w:pPr>
        <w:pStyle w:val="Heading2"/>
      </w:pPr>
      <w:r>
        <w:t xml:space="preserve">4.2 Arbre de décision Famille (78.9% accuracy)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 descripteurs discriminants : lambda_avg, spectral_energy, peak_ratio, spectral_centroid. La confusion résiduelle (21%) est entre linéaire et sinusoïdal (distance = 0.54).</w:t>
      </w:r>
    </w:p>
    <w:p>
      <w:pPr>
        <w:pStyle w:val="Heading2"/>
      </w:pPr>
      <w:r>
        <w:t xml:space="preserve">4.3 Profils d'intensité par type de contenu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100"/>
        <w:gridCol w:w="1500"/>
        <w:gridCol w:w="24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λ_avg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var_ratio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spectral_energy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Homogène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0.259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0.746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Plat, basse énergie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Sinusoïdal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0.277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0.659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Oscillant, pics spectraux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Exponentiel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0.325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0.597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Croissant, haute énergie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Logarithmique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0.514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0.447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285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Dense, var basse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Puissance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0.728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0.162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558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Très dense, var très basse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Convergence Hellinger (Phase P4)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Vérification empirique du Théorème 6.4 : H²(P, P̂_n) ≤ min_Q [H²(P,Q) + C_n(Q)]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1000"/>
        <w:gridCol w:w="1000"/>
        <w:gridCol w:w="1100"/>
        <w:gridCol w:w="900"/>
        <w:gridCol w:w="8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H²(n=1)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H²(n=16)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H²(n=256)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γ̂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Homogène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2.50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0.064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0.049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0.82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Sinusoïdal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1.84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0.123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0.091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0.56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Exponentiel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1.68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0.056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0.023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0.81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Logarithmique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3.14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0.597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0.579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0.31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Homogène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5.35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0.087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0.095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0.75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Sinusoïdal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4.44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0.255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0.194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0.57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Exponentiel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5.63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0.771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0.770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0.37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0.77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Logarithmique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6.15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2.677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2.645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0.16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0.78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Trois régimes identifiés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Convergence rapide (γ̂ &gt; 0.5) : homogène, sinusoïdal, exponentiel r=64 — H² chute de 40-100×.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Convergence avec plateau (γ̂ ≈ 0.3) : logarithmique r=64, exponentiel r=128 — biais d'approximation incompressible.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Convergence lente (γ̂ ≈ 0.16) : logarithmique r=128 — la famille ne suffit pas, nécessite un estimateur paramétrique direct.</w:t>
      </w:r>
    </w:p>
    <w:p>
      <w:r>
        <w:br w:type="page"/>
      </w:r>
    </w:p>
    <w:p>
      <w:pPr>
        <w:pStyle w:val="Heading1"/>
      </w:pPr>
      <w:r>
        <w:t xml:space="preserve">6. Catalogue des Findings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61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F-S01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modèle discret (≤ 1 saut/frame) diffère du Poisson continu. E[N_d] = Σ(1−e^{−α(k)}).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F-S02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L'inversion numérique (Newton-Raphson) introduit ~10⁻¹¹ d'erreur vs 10⁻¹⁵ analytique.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F-S03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χ² détecte des micro-corrélations quand marques et temps partagent le même flux RNG.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L'histogramme ne capture pas les intensités lisses (sinusoïdal, logarithmique).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H² diverge pour les intensités à croissance rapide (power, exponentiel) — indicateur de non-homogénéité.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MDL est correctement conservateur à petit r — pas un bug mais la parcimonie.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Markov est sous-évalué pour m=2 (coût transition trop faible).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convergence Hellinger requiert des familles adaptées au signal.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F-06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H² lui-même est un discriminant : croissant avec r = non-homogène, stable = homogène.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gain de compression est réel : 3.92× moyen, max 6.88× vs L₁.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gain croît avec m (palette riche). LC_MDL bénéficie de la sparsité.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logarithmique résiste au MDL — résolu par les B-splines cubiques en P3-6familles.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P3b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framework se décide en 2 tests (m et λ_avg). O(1), 100% correct.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P3b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spectral_energy est le meilleur indicateur de non-homogénéité.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P3b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var_ratio distingue Poisson pur (≈0.7) des processus structurés (&lt;0.3).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P3b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Les familles trigonométriques émergent quand spectral_energy &gt; 27 et peak_ratio &gt; 1.8.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P3b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confusion linéaire/sinusoïdal (distance 0.54) limite l'accuracy famille à 79%.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Convergence PP en n^{−0.7} pour les intensités bien modélisées — cohérent avec le taux minimax.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plateau H² révèle les limites du dictionnaire — diagnostic automatique possible.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borne Thm 6.4 est satisfaite à 92% dans son domaine de validité (n≥16, familles adaptées).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Gap borne/empirique = 4.5× — coût de la discrétisation temporelle.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6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Ajouter des familles paramétriques directes (fit log, fit exp) éliminerait les plateaux Hellinger.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Recommandations pour l'Intégration Codec</w:t>
      </w:r>
    </w:p>
    <w:p>
      <w:pPr>
        <w:pStyle w:val="Heading2"/>
      </w:pPr>
      <w:r>
        <w:t xml:space="preserve">7.1 Actions immédiates (intégration SIM → Rust)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Injecter l'arbre framework (2 comparaisons) dans algorithm1.rs — remplace la sélection naïve.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Définir bspline_K6 comme famille d'estimation par défaut pour r ≥ 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Utiliser daubechies_J2 pour r ≤ 32 (support compact optimal).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Utiliser trigo_P1 quand spectral_energy &gt; 50 et peak_ratio &gt; 1.8 (oscillations).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codec doit opérer en régime n=256 (bloc 16×16) pour le MDL — jamais en n=1.</w:t>
      </w:r>
    </w:p>
    <w:p>
      <w:pPr>
        <w:pStyle w:val="Heading2"/>
      </w:pPr>
      <w:r>
        <w:t xml:space="preserve">7.2 Améliorations futures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Ajouter des estimateurs paramétriques directs (fit log(1+γt), fit exp(βt)) pour éliminer les plateaux Hellinger.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Ajouter un descripteur de monotonicité pour distinguer linéaire/sinusoïdal (distance 0.54 actuellement).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Implémenter le diagnostic automatique de plateau : si H²(n) − H²(2n) &lt; ε, changer de famille.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pyramide multi-échelle (FORGE-APP) exploitera la corrélation spatiale pour passer de 17× à 50-100×.</w:t>
      </w:r>
    </w:p>
    <w:p>
      <w:pPr>
        <w:pStyle w:val="Heading2"/>
      </w:pPr>
      <w:r>
        <w:t xml:space="preserve">7.3 Limites connues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gain 3.92× est mesuré sur les positions de sauts uniquement — le gain codec total inclut aussi les marques (×m).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simulations utilisent des intensités synthétiques — la validation sur vidéo réelle reste à faire.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codec actuel encode les pixels indépendamment — pas d'exploitation spatiale.</w:t>
      </w:r>
    </w:p>
    <w:p>
      <w:r>
        <w:br w:type="page"/>
      </w:r>
    </w:p>
    <w:p>
      <w:pPr>
        <w:pStyle w:val="Heading1"/>
      </w:pPr>
      <w:r>
        <w:t xml:space="preserve">8. Métriques Globales du Système FORGE-SIM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7A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Phases complétées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5/5 (P1, P2, P3, P3bis, P4)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 Python total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~4 000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Fichiers Python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 modules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Processus générés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50 000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Configurations testées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2 000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Familles d'estimation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 (constant, histogram, bspline, trigo, haar, daubechies)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Findings documentés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Arbres de décision calibrés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 (framework, famille, K*)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Temps d'exécution total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15 minutes</w:t>
            </w:r>
          </w:p>
        </w:tc>
      </w:tr>
    </w:tbl>
    <w:sectPr>
      <w:footerReference w:type="default" r:id="rId7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6A0" w:sz="1" w:space="6"/>
      </w:pBdr>
      <w:jc w:val="center"/>
    </w:pPr>
    <w:r>
      <w:rPr>
        <w:rFonts w:ascii="Consolas" w:cs="Consolas" w:eastAsia="Consolas" w:hAnsi="Consolas"/>
        <w:color w:val="6B7280"/>
        <w:sz w:val="12"/>
        <w:szCs w:val="12"/>
      </w:rPr>
      <w:t xml:space="preserve">PP-CODEC FORGE · RAPPORT DE VALIDATION P5 ·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60"/>
      </w:pPr>
      <w:rPr>
        <w:rFonts w:ascii="Symbol" w:cs="Symbol" w:eastAsia="Symbol" w:hAnsi="Symbol"/>
        <w:color w:val="00A6A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F-%1."/>
      <w:lvlJc w:val="left"/>
      <w:pPr>
        <w:ind w:left="720" w:hanging="360"/>
      </w:pPr>
      <w:rPr>
        <w:b/>
        <w:bCs/>
        <w:color w:val="007A7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07A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2026-03-19T15:25:00.706Z</dcterms:created>
  <dcterms:modified xsi:type="dcterms:W3CDTF">2026-03-19T15:25:00.707Z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