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PP-CODEC</w:t>
      </w:r>
    </w:p>
    <w:p>
      <w:pPr>
        <w:spacing w:after="200"/>
        <w:jc w:val="center"/>
      </w:pPr>
      <w:r>
        <w:rPr>
          <w:color w:val="2E75B6"/>
          <w:sz w:val="32"/>
          <w:szCs w:val="32"/>
        </w:rPr>
        <w:t xml:space="preserve">Algorithme 1 — Spécification des améliorations</w:t>
      </w:r>
    </w:p>
    <w:p>
      <w:pPr>
        <w:spacing w:after="100"/>
        <w:jc w:val="center"/>
      </w:pPr>
      <w:r>
        <w:rPr>
          <w:color w:val="666666"/>
          <w:sz w:val="24"/>
          <w:szCs w:val="24"/>
        </w:rPr>
        <w:t xml:space="preserve">Tables de paramétrage pré-calculées et corrections de seuils</w:t>
      </w:r>
    </w:p>
    <w:p>
      <w:pPr>
        <w:spacing w:after="400"/>
        <w:jc w:val="center"/>
      </w:pPr>
      <w:r>
        <w:rPr>
          <w:i/>
          <w:iCs/>
          <w:color w:val="888888"/>
          <w:sz w:val="20"/>
          <w:szCs w:val="20"/>
        </w:rPr>
        <w:t xml:space="preserve">Référence : Nembé, J. — Uniform temporal encoding of massive video datasets (2015)</w:t>
      </w:r>
    </w:p>
    <w:p>
      <w:pPr>
        <w:spacing w:after="100"/>
        <w:jc w:val="center"/>
      </w:pPr>
      <w:r>
        <w:rPr>
          <w:color w:val="333333"/>
          <w:sz w:val="22"/>
          <w:szCs w:val="22"/>
        </w:rPr>
        <w:t xml:space="preserve">Version 1.0 — Mars 2026</w:t>
      </w:r>
    </w:p>
    <w:p>
      <w:r>
        <w:br w:type="page"/>
      </w:r>
    </w:p>
    <w:p>
      <w:pPr>
        <w:pStyle w:val="Heading1"/>
        <w:spacing w:before="200" w:after="100"/>
      </w:pPr>
      <w:r>
        <w:rPr>
          <w:b/>
          <w:bCs/>
        </w:rPr>
        <w:t xml:space="preserve">1. Diagnostic de la version actuelle</w:t>
      </w:r>
    </w:p>
    <w:p>
      <w:pPr>
        <w:spacing w:after="120"/>
      </w:pPr>
      <w:r>
        <w:rPr>
          <w:sz w:val="22"/>
          <w:szCs w:val="22"/>
        </w:rPr>
        <w:t xml:space="preserve">L’analyse du fichier </w:t>
      </w:r>
      <w:r>
        <w:rPr>
          <w:rFonts w:ascii="Courier New" w:cs="Courier New" w:eastAsia="Courier New" w:hAnsi="Courier New"/>
          <w:sz w:val="20"/>
          <w:szCs w:val="20"/>
        </w:rPr>
        <w:t xml:space="preserve">validation_results.json</w:t>
      </w:r>
      <w:r>
        <w:rPr>
          <w:sz w:val="22"/>
          <w:szCs w:val="22"/>
        </w:rPr>
        <w:t xml:space="preserve"> (100 blocs, r=256) révèle un diagnostic précis : l’Algorithme 1 est parfait sur 7 des 8 composantes de décision (A, B, D, E, F, G, H = 100%), mais échoue systématiquement sur la composante C (23% de précision).</w:t>
      </w:r>
    </w:p>
    <w:p>
      <w:pPr>
        <w:spacing w:after="120"/>
      </w:pPr>
      <w:r>
        <w:rPr>
          <w:sz w:val="22"/>
          <w:szCs w:val="22"/>
        </w:rPr>
        <w:t xml:space="preserve">L’erreur est monolithique : le classifieur prédit R4b (codage combinatoire L4) au lieu de R2 (vecteur booléen L3) dans 77 cas sur 100. La pénalité totale est de 7 560 bits, soit un overhead de 21,4% sur le coût optimal.</w:t>
      </w:r>
    </w:p>
    <w:p>
      <w:pPr>
        <w:pStyle w:val="Heading2"/>
        <w:spacing w:before="200" w:after="100"/>
      </w:pPr>
      <w:r>
        <w:rPr>
          <w:b/>
          <w:bCs/>
        </w:rPr>
        <w:t xml:space="preserve">1.1 Cause racine</w:t>
      </w:r>
    </w:p>
    <w:p>
      <w:pPr>
        <w:spacing w:after="120"/>
      </w:pPr>
      <w:r>
        <w:rPr>
          <w:sz w:val="22"/>
          <w:szCs w:val="22"/>
        </w:rPr>
        <w:t xml:space="preserve">Le seuil </w:t>
      </w:r>
      <w:r>
        <w:rPr>
          <w:rFonts w:ascii="Courier New" w:cs="Courier New" w:eastAsia="Courier New" w:hAnsi="Courier New"/>
          <w:sz w:val="20"/>
          <w:szCs w:val="20"/>
        </w:rPr>
        <w:t xml:space="preserve">density_R4b_R2 = 0.8</w:t>
      </w:r>
      <w:r>
        <w:rPr>
          <w:sz w:val="22"/>
          <w:szCs w:val="22"/>
        </w:rPr>
        <w:t xml:space="preserve"> est un scalaire indépendant de r et m. Or, la Proposition 2 (point 3) de l’article de Nembé établit que la frontière L3/L4 dépend de la fonction </w:t>
      </w:r>
      <w:r>
        <w:rPr>
          <w:rFonts w:ascii="Courier New" w:cs="Courier New" w:eastAsia="Courier New" w:hAnsi="Courier New"/>
          <w:sz w:val="20"/>
          <w:szCs w:val="20"/>
        </w:rPr>
        <w:t xml:space="preserve">g(N) = N · C(N,r)</w:t>
      </w:r>
      <w:r>
        <w:rPr>
          <w:sz w:val="22"/>
          <w:szCs w:val="22"/>
        </w:rPr>
        <w:t xml:space="preserve">, dont les bornes inverses </w:t>
      </w:r>
      <w:r>
        <w:rPr>
          <w:rFonts w:ascii="Courier New" w:cs="Courier New" w:eastAsia="Courier New" w:hAnsi="Courier New"/>
          <w:sz w:val="20"/>
          <w:szCs w:val="20"/>
        </w:rPr>
        <w:t xml:space="preserve">g⁻¹_l(2ʳ)</w:t>
      </w:r>
      <w:r>
        <w:rPr>
          <w:sz w:val="22"/>
          <w:szCs w:val="22"/>
        </w:rPr>
        <w:t xml:space="preserve"> et </w:t>
      </w:r>
      <w:r>
        <w:rPr>
          <w:rFonts w:ascii="Courier New" w:cs="Courier New" w:eastAsia="Courier New" w:hAnsi="Courier New"/>
          <w:sz w:val="20"/>
          <w:szCs w:val="20"/>
        </w:rPr>
        <w:t xml:space="preserve">g⁻¹_r(2ʳ)</w:t>
      </w:r>
      <w:r>
        <w:rPr>
          <w:sz w:val="22"/>
          <w:szCs w:val="22"/>
        </w:rPr>
        <w:t xml:space="preserve"> varient avec r. Pour r=256, le seuil théorique est λ = 0,441, soit 1,8× plus bas que le seuil actuel de 0,8.</w:t>
      </w:r>
    </w:p>
    <w:p>
      <w:pPr>
        <w:pStyle w:val="Heading2"/>
        <w:spacing w:before="200" w:after="100"/>
      </w:pPr>
      <w:r>
        <w:rPr>
          <w:b/>
          <w:bCs/>
        </w:rPr>
        <w:t xml:space="preserve">1.2 Synthèse des erreurs</w:t>
      </w:r>
    </w:p>
    <w:p>
      <w:pPr>
        <w:spacing w:after="120"/>
      </w:pPr>
      <w:r>
        <w:rPr>
          <w:sz w:val="22"/>
          <w:szCs w:val="22"/>
        </w:rPr>
        <w:t xml:space="preserve">L’erreur se décompose en trois mécanismes complémentaires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Seuil D34 fixe au lieu de dépendant de r.</w:t>
      </w:r>
      <w:r>
        <w:rPr>
          <w:sz w:val="22"/>
          <w:szCs w:val="22"/>
        </w:rPr>
        <w:t xml:space="preserve"> La zone L3 &lt; L4 est [g⁻¹_l(2ʳ), g⁻¹_r(2ʳ)] et change avec 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Seuil D13 ignoré en pratique.</w:t>
      </w:r>
      <w:r>
        <w:rPr>
          <w:sz w:val="22"/>
          <w:szCs w:val="22"/>
        </w:rPr>
        <w:t xml:space="preserve"> δ(r,m) dépend de m via log₂(m), mais cette dépendance n’est pas calculée dynamiquement.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Seuil D14 absent.</w:t>
      </w:r>
      <w:r>
        <w:rPr>
          <w:sz w:val="22"/>
          <w:szCs w:val="22"/>
        </w:rPr>
        <w:t xml:space="preserve"> La borne λ(r,m) = h⁻¹(mʳ) n’est pas utilisée pour discriminer L4 vs L1.</w:t>
      </w:r>
    </w:p>
    <w:p>
      <w:r>
        <w:br w:type="page"/>
      </w:r>
    </w:p>
    <w:p>
      <w:pPr>
        <w:pStyle w:val="Heading1"/>
        <w:spacing w:before="200" w:after="100"/>
      </w:pPr>
      <w:r>
        <w:rPr>
          <w:b/>
          <w:bCs/>
        </w:rPr>
        <w:t xml:space="preserve">2. Liste des amendements</w:t>
      </w:r>
    </w:p>
    <w:p>
      <w:pPr>
        <w:pStyle w:val="Heading2"/>
        <w:spacing w:before="200" w:after="100"/>
      </w:pPr>
      <w:r>
        <w:rPr>
          <w:b/>
          <w:bCs/>
        </w:rPr>
        <w:t xml:space="preserve">A1 — Remplacer le seuil scalaire density_R4b_R2 par la table T2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Priorité : CRITIQUE</w:t>
      </w:r>
      <w:r>
        <w:rPr>
          <w:sz w:val="22"/>
          <w:szCs w:val="22"/>
        </w:rPr>
        <w:t xml:space="preserve"> — </w:t>
      </w:r>
      <w:r>
        <w:rPr>
          <w:b/>
          <w:bCs/>
          <w:sz w:val="22"/>
          <w:szCs w:val="22"/>
        </w:rPr>
        <w:t xml:space="preserve">Impact : 77% des erreurs éliminées</w:t>
      </w:r>
    </w:p>
    <w:p>
      <w:pPr>
        <w:spacing w:after="120"/>
      </w:pPr>
      <w:r>
        <w:rPr>
          <w:sz w:val="22"/>
          <w:szCs w:val="22"/>
        </w:rPr>
        <w:t xml:space="preserve">Le seuil fixe </w:t>
      </w:r>
      <w:r>
        <w:rPr>
          <w:rFonts w:ascii="Courier New" w:cs="Courier New" w:eastAsia="Courier New" w:hAnsi="Courier New"/>
          <w:sz w:val="20"/>
          <w:szCs w:val="20"/>
        </w:rPr>
        <w:t xml:space="preserve">density_R4b_R2 = 0.8</w:t>
      </w:r>
      <w:r>
        <w:rPr>
          <w:sz w:val="22"/>
          <w:szCs w:val="22"/>
        </w:rPr>
        <w:t xml:space="preserve"> est remplacé par une consultation de la table T2 pour obtenir γ_l(r) et γ_r(r), les bornes exactes de la zone où L3 bat L4. Le test de sélection devient :</w:t>
      </w:r>
    </w:p>
    <w:p>
      <w:pPr>
        <w:spacing w:before="80" w:after="80"/>
        <w:ind w:left="40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SI N ∈ [γ_l(r), γ_r(r)]  ALORS  encoder R2 (L3)</w:t>
      </w:r>
    </w:p>
    <w:p>
      <w:pPr>
        <w:spacing w:before="80" w:after="80"/>
        <w:ind w:left="40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SINON                       encoder R4b (L4)</w:t>
      </w:r>
    </w:p>
    <w:p>
      <w:pPr>
        <w:pStyle w:val="Heading2"/>
        <w:spacing w:before="200" w:after="100"/>
      </w:pPr>
      <w:r>
        <w:rPr>
          <w:b/>
          <w:bCs/>
        </w:rPr>
        <w:t xml:space="preserve">A2 — Rendre δ(r,m) dynamique via la table T3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Priorité : HAUTE</w:t>
      </w:r>
      <w:r>
        <w:rPr>
          <w:sz w:val="22"/>
          <w:szCs w:val="22"/>
        </w:rPr>
        <w:t xml:space="preserve"> — </w:t>
      </w:r>
      <w:r>
        <w:rPr>
          <w:b/>
          <w:bCs/>
          <w:sz w:val="22"/>
          <w:szCs w:val="22"/>
        </w:rPr>
        <w:t xml:space="preserve">Impact : frontière L1/L3 correcte</w:t>
      </w:r>
    </w:p>
    <w:p>
      <w:pPr>
        <w:spacing w:after="120"/>
      </w:pPr>
      <w:r>
        <w:rPr>
          <w:sz w:val="22"/>
          <w:szCs w:val="22"/>
        </w:rPr>
        <w:t xml:space="preserve">Le seuil L1 vs L3 est </w:t>
      </w:r>
      <w:r>
        <w:rPr>
          <w:rFonts w:ascii="Courier New" w:cs="Courier New" w:eastAsia="Courier New" w:hAnsi="Courier New"/>
          <w:sz w:val="20"/>
          <w:szCs w:val="20"/>
        </w:rPr>
        <w:t xml:space="preserve">δ(r,m) = ⌈r · (1 − 1/log₂(m))⌉</w:t>
      </w:r>
      <w:r>
        <w:rPr>
          <w:sz w:val="22"/>
          <w:szCs w:val="22"/>
        </w:rPr>
        <w:t xml:space="preserve">. Au lieu de le recalculer à chaque bloc, on pré-calcule la table T3 pour les couples (r, m) prédéfinis, et on interpole pour les valeurs intermédiaires.</w:t>
      </w:r>
    </w:p>
    <w:p>
      <w:pPr>
        <w:pStyle w:val="Heading2"/>
        <w:spacing w:before="200" w:after="100"/>
      </w:pPr>
      <w:r>
        <w:rPr>
          <w:b/>
          <w:bCs/>
        </w:rPr>
        <w:t xml:space="preserve">A3 — Ajouter la borne λ(r,m) via la table T4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Priorité : HAUTE</w:t>
      </w:r>
      <w:r>
        <w:rPr>
          <w:sz w:val="22"/>
          <w:szCs w:val="22"/>
        </w:rPr>
        <w:t xml:space="preserve"> — </w:t>
      </w:r>
      <w:r>
        <w:rPr>
          <w:b/>
          <w:bCs/>
          <w:sz w:val="22"/>
          <w:szCs w:val="22"/>
        </w:rPr>
        <w:t xml:space="preserve">Impact : frontière L4/L1 correcte</w:t>
      </w:r>
    </w:p>
    <w:p>
      <w:pPr>
        <w:spacing w:after="120"/>
      </w:pPr>
      <w:r>
        <w:rPr>
          <w:sz w:val="22"/>
          <w:szCs w:val="22"/>
        </w:rPr>
        <w:t xml:space="preserve">La borne </w:t>
      </w:r>
      <w:r>
        <w:rPr>
          <w:rFonts w:ascii="Courier New" w:cs="Courier New" w:eastAsia="Courier New" w:hAnsi="Courier New"/>
          <w:sz w:val="20"/>
          <w:szCs w:val="20"/>
        </w:rPr>
        <w:t xml:space="preserve">λ(r,m) = h⁻¹(mʳ)</w:t>
      </w:r>
      <w:r>
        <w:rPr>
          <w:sz w:val="22"/>
          <w:szCs w:val="22"/>
        </w:rPr>
        <w:t xml:space="preserve"> où </w:t>
      </w:r>
      <w:r>
        <w:rPr>
          <w:rFonts w:ascii="Courier New" w:cs="Courier New" w:eastAsia="Courier New" w:hAnsi="Courier New"/>
          <w:sz w:val="20"/>
          <w:szCs w:val="20"/>
        </w:rPr>
        <w:t xml:space="preserve">h(N) = N · C(N,r) · m^N</w:t>
      </w:r>
      <w:r>
        <w:rPr>
          <w:sz w:val="22"/>
          <w:szCs w:val="22"/>
        </w:rPr>
        <w:t xml:space="preserve"> détermine la zone où L4 bat L1 : </w:t>
      </w:r>
      <w:r>
        <w:rPr>
          <w:rFonts w:ascii="Courier New" w:cs="Courier New" w:eastAsia="Courier New" w:hAnsi="Courier New"/>
          <w:sz w:val="20"/>
          <w:szCs w:val="20"/>
        </w:rPr>
        <w:t xml:space="preserve">N ∈ [0, λ(r,m)]</w:t>
      </w:r>
      <w:r>
        <w:rPr>
          <w:sz w:val="22"/>
          <w:szCs w:val="22"/>
        </w:rPr>
        <w:t xml:space="preserve">. Cette borne est absente de l’implémentation actuelle.</w:t>
      </w:r>
    </w:p>
    <w:p>
      <w:pPr>
        <w:pStyle w:val="Heading2"/>
        <w:spacing w:before="200" w:after="100"/>
      </w:pPr>
      <w:r>
        <w:rPr>
          <w:b/>
          <w:bCs/>
        </w:rPr>
        <w:t xml:space="preserve">A4 — Pré-calculer log₂(m) dans la table T5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Priorité : MOYENNE</w:t>
      </w:r>
      <w:r>
        <w:rPr>
          <w:sz w:val="22"/>
          <w:szCs w:val="22"/>
        </w:rPr>
        <w:t xml:space="preserve"> — </w:t>
      </w:r>
      <w:r>
        <w:rPr>
          <w:b/>
          <w:bCs/>
          <w:sz w:val="22"/>
          <w:szCs w:val="22"/>
        </w:rPr>
        <w:t xml:space="preserve">Impact : performance + précision</w:t>
      </w:r>
    </w:p>
    <w:p>
      <w:pPr>
        <w:spacing w:after="120"/>
      </w:pPr>
      <w:r>
        <w:rPr>
          <w:sz w:val="22"/>
          <w:szCs w:val="22"/>
        </w:rPr>
        <w:t xml:space="preserve">Le terme </w:t>
      </w:r>
      <w:r>
        <w:rPr>
          <w:rFonts w:ascii="Courier New" w:cs="Courier New" w:eastAsia="Courier New" w:hAnsi="Courier New"/>
          <w:sz w:val="20"/>
          <w:szCs w:val="20"/>
        </w:rPr>
        <w:t xml:space="preserve">log₂(m)</w:t>
      </w:r>
      <w:r>
        <w:rPr>
          <w:sz w:val="22"/>
          <w:szCs w:val="22"/>
        </w:rPr>
        <w:t xml:space="preserve"> apparaît dans δ(r,m), dans L1 = r·log₂(m), dans L3, et dans L4. Pour des palettes de taille fixe (m ∈ {2, 4, 8, ..., 1024}), la valeur est stockée dans la table T5. Pour les valeurs non tabulaires, un calcul exact est effectué via </w:t>
      </w:r>
      <w:r>
        <w:rPr>
          <w:rFonts w:ascii="Courier New" w:cs="Courier New" w:eastAsia="Courier New" w:hAnsi="Courier New"/>
          <w:sz w:val="20"/>
          <w:szCs w:val="20"/>
        </w:rPr>
        <w:t xml:space="preserve">log2()</w:t>
      </w:r>
      <w:r>
        <w:rPr>
          <w:sz w:val="22"/>
          <w:szCs w:val="22"/>
        </w:rPr>
        <w:t xml:space="preserve">.</w:t>
      </w:r>
    </w:p>
    <w:p>
      <w:pPr>
        <w:pStyle w:val="Heading2"/>
        <w:spacing w:before="200" w:after="100"/>
      </w:pPr>
      <w:r>
        <w:rPr>
          <w:b/>
          <w:bCs/>
        </w:rPr>
        <w:t xml:space="preserve">A5 — Vérifier la condition g(r/2) &gt; 2ʳ (table T1)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Priorité : BASSE</w:t>
      </w:r>
      <w:r>
        <w:rPr>
          <w:sz w:val="22"/>
          <w:szCs w:val="22"/>
        </w:rPr>
        <w:t xml:space="preserve"> — </w:t>
      </w:r>
      <w:r>
        <w:rPr>
          <w:b/>
          <w:bCs/>
          <w:sz w:val="22"/>
          <w:szCs w:val="22"/>
        </w:rPr>
        <w:t xml:space="preserve">Impact : correction de robustesse</w:t>
      </w:r>
    </w:p>
    <w:p>
      <w:pPr>
        <w:spacing w:after="120"/>
      </w:pPr>
      <w:r>
        <w:rPr>
          <w:sz w:val="22"/>
          <w:szCs w:val="22"/>
        </w:rPr>
        <w:t xml:space="preserve">La zone D34 n’existe que si g(r/2) &gt; 2ʳ (Proposition 2, point 3). Le calcul montre que cette condition est toujours vraie pour r ≥ 30 (voir T1), mais l’implémentation doit vérifier cette condition explicitement pour les petites valeurs de r.</w:t>
      </w:r>
    </w:p>
    <w:p>
      <w:pPr>
        <w:pStyle w:val="Heading2"/>
        <w:spacing w:before="200" w:after="100"/>
      </w:pPr>
      <w:r>
        <w:rPr>
          <w:b/>
          <w:bCs/>
        </w:rPr>
        <w:t xml:space="preserve">A6 — Implémenter l’Algorithme 1 complet de Nembé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Priorité : CRITIQUE</w:t>
      </w:r>
      <w:r>
        <w:rPr>
          <w:sz w:val="22"/>
          <w:szCs w:val="22"/>
        </w:rPr>
        <w:t xml:space="preserve"> — </w:t>
      </w:r>
      <w:r>
        <w:rPr>
          <w:b/>
          <w:bCs/>
          <w:sz w:val="22"/>
          <w:szCs w:val="22"/>
        </w:rPr>
        <w:t xml:space="preserve">Impact : conformité théorique complète</w:t>
      </w:r>
    </w:p>
    <w:p>
      <w:pPr>
        <w:spacing w:after="120"/>
      </w:pPr>
      <w:r>
        <w:rPr>
          <w:sz w:val="22"/>
          <w:szCs w:val="22"/>
        </w:rPr>
        <w:t xml:space="preserve">L’implémentation actuelle utilise des seuils ad hoc au lieu de suivre l’Algorithme 1 de la Section 4 de l’article. La nouvelle version doit implémenter les étapes 00–18 exactement, en remplaçant chaque calcul de borne par une consultation de table.</w:t>
      </w:r>
    </w:p>
    <w:p>
      <w:r>
        <w:br w:type="page"/>
      </w:r>
    </w:p>
    <w:p>
      <w:pPr>
        <w:pStyle w:val="Heading1"/>
        <w:spacing w:before="200" w:after="100"/>
      </w:pPr>
      <w:r>
        <w:rPr>
          <w:b/>
          <w:bCs/>
        </w:rPr>
        <w:t xml:space="preserve">3. Tables de paramétrage pré-calculées</w:t>
      </w:r>
    </w:p>
    <w:p>
      <w:pPr>
        <w:pStyle w:val="Heading2"/>
        <w:spacing w:before="200" w:after="100"/>
      </w:pPr>
      <w:r>
        <w:rPr>
          <w:b/>
          <w:bCs/>
        </w:rPr>
        <w:t xml:space="preserve">3.1 Table T1 — Condition d’existence de D34</w:t>
      </w:r>
    </w:p>
    <w:p>
      <w:pPr>
        <w:spacing w:after="120"/>
      </w:pPr>
      <w:r>
        <w:rPr>
          <w:sz w:val="22"/>
          <w:szCs w:val="22"/>
        </w:rPr>
        <w:t xml:space="preserve">Vérifie si g(r/2) &gt; 2ʳ, c’est-à-dire si la zone L3 &lt; L4 est non vide.</w:t>
      </w:r>
    </w:p>
    <w:p>
      <w:pPr>
        <w:spacing w:after="120"/>
      </w:pPr>
      <w:r>
        <w:rPr>
          <w:color w:val="555555"/>
          <w:sz w:val="20"/>
          <w:szCs w:val="20"/>
        </w:rPr>
        <w:t xml:space="preserve">Résultat : pour tout r ≥ 30, la condition est toujours satisfaite. La table est donc un garde-fou pour les cas limites.</w:t>
      </w:r>
    </w:p>
    <w:p>
      <w:pPr>
        <w:pStyle w:val="Heading2"/>
        <w:spacing w:before="200" w:after="100"/>
      </w:pPr>
      <w:r>
        <w:rPr>
          <w:b/>
          <w:bCs/>
        </w:rPr>
        <w:t xml:space="preserve">3.2 Table T2 — Bornes γ_l et γ_r de la zone L3 &lt; L4</w:t>
      </w:r>
    </w:p>
    <w:p>
      <w:pPr>
        <w:spacing w:after="120"/>
      </w:pPr>
      <w:r>
        <w:rPr>
          <w:sz w:val="22"/>
          <w:szCs w:val="22"/>
        </w:rPr>
        <w:t xml:space="preserve">Bornes de la zone où le vecteur booléen (L3 = R2) est plus court que l’adresse combinatoire (L4 = R4b). Fonction de r uniquement.</w:t>
      </w:r>
    </w:p>
    <w:p>
      <w:pPr>
        <w:spacing w:before="80" w:after="80"/>
        <w:ind w:left="40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g(N) = N · C(N,r)     γ_l = g⁻¹_l(2ʳ)     γ_r = g⁻¹_r(2ʳ)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900"/>
        <w:gridCol w:w="1100"/>
        <w:gridCol w:w="1100"/>
        <w:gridCol w:w="1800"/>
        <w:gridCol w:w="1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γ_l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γ_r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γ_l/r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γ_r/r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Zone L3&lt;L4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Largeur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0.4000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0.6333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[12, 19]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37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0.4000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0.6167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[24, 37]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51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70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0.4250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0.5833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[51, 70]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240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136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0.4375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0.5667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[105, 136]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256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144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0.4414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0.5625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[113, 144]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480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217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264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0.4521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0.5500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[217, 264]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47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512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232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281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0.4531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0.5488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[232, 281]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49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900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417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484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0.4633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0.5378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[417, 484]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67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1024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476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549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0.4648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0.5361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[476, 549]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73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1800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850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951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0.4722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0.5283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[850, 951]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2048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970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1079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0.4736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0.5269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[970, 1079]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109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3600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1724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1877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0.4789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0.5214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[1724, 1877]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153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4096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1967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2130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0.4802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0.5200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[1967, 2130]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163</w:t>
            </w:r>
          </w:p>
        </w:tc>
      </w:tr>
    </w:tbl>
    <w:p>
      <w:pPr>
        <w:spacing w:after="120"/>
      </w:pPr>
      <w:r>
        <w:rPr>
          <w:color w:val="555555"/>
          <w:sz w:val="20"/>
          <w:szCs w:val="20"/>
        </w:rPr>
        <w:t xml:space="preserve">Lecture : pour r=256, L3 bat L4 quand N ∈ [113, 144], soit λ ∈ [0.44, 0.56].</w:t>
      </w:r>
    </w:p>
    <w:p>
      <w:pPr>
        <w:spacing w:after="120"/>
      </w:pPr>
      <w:r>
        <w:rPr>
          <w:color w:val="555555"/>
          <w:sz w:val="20"/>
          <w:szCs w:val="20"/>
        </w:rPr>
        <w:t xml:space="preserve">Asymptotique : γ_l/r → 0.5 et γ_r/r → 0.5 quand r → ∞ (zone qui se resserre autour de r/2).</w:t>
      </w:r>
    </w:p>
    <w:p>
      <w:pPr>
        <w:pStyle w:val="Heading2"/>
        <w:spacing w:before="200" w:after="100"/>
      </w:pPr>
      <w:r>
        <w:rPr>
          <w:b/>
          <w:bCs/>
        </w:rPr>
        <w:t xml:space="preserve">3.3 Table T3 — Seuil δ(r,m) pour L1 vs L3</w:t>
      </w:r>
    </w:p>
    <w:p>
      <w:pPr>
        <w:spacing w:after="120"/>
      </w:pPr>
      <w:r>
        <w:rPr>
          <w:sz w:val="22"/>
          <w:szCs w:val="22"/>
        </w:rPr>
        <w:t xml:space="preserve">Seuil au-delà duquel l’encodage full state (L1) est plus court que le vecteur booléen (L3).</w:t>
      </w:r>
    </w:p>
    <w:p>
      <w:pPr>
        <w:spacing w:before="80" w:after="80"/>
        <w:ind w:left="40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δ(r,m) = ⌈r · (1 − 1/log₂(m))⌉     L1 &lt; L3  ssi  N &gt; δ(r,m)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 \ 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81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90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96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240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161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192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256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171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192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205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214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512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256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342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384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410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427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900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450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601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675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720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750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1024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512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683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768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820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854</w:t>
            </w:r>
          </w:p>
        </w:tc>
      </w:tr>
    </w:tbl>
    <w:p>
      <w:pPr>
        <w:spacing w:after="120"/>
      </w:pPr>
      <w:r>
        <w:rPr>
          <w:color w:val="555555"/>
          <w:sz w:val="20"/>
          <w:szCs w:val="20"/>
        </w:rPr>
        <w:t xml:space="preserve">Cas particulier : pour m=2, δ = 0, donc L3 est toujours plus court que L1 (normal : log₂(2)=1).</w:t>
      </w:r>
    </w:p>
    <w:p>
      <w:pPr>
        <w:pStyle w:val="Heading2"/>
        <w:spacing w:before="200" w:after="100"/>
      </w:pPr>
      <w:r>
        <w:rPr>
          <w:b/>
          <w:bCs/>
        </w:rPr>
        <w:t xml:space="preserve">3.4 Table T4 — Borne λ(r,m) pour L4 vs L1</w:t>
      </w:r>
    </w:p>
    <w:p>
      <w:pPr>
        <w:spacing w:after="120"/>
      </w:pPr>
      <w:r>
        <w:rPr>
          <w:sz w:val="22"/>
          <w:szCs w:val="22"/>
        </w:rPr>
        <w:t xml:space="preserve">Borne de la zone où L4 (combinatoire) est plus court que L1 (full state).</w:t>
      </w:r>
    </w:p>
    <w:p>
      <w:pPr>
        <w:spacing w:before="80" w:after="80"/>
        <w:ind w:left="40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h(N) = N · C(N,r) · m^N     λ(r,m) = h⁻¹(mʳ)</w:t>
      </w:r>
    </w:p>
    <w:p>
      <w:pPr>
        <w:spacing w:before="80" w:after="80"/>
        <w:ind w:left="40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L4 &lt; L1  ssi  N ∈ [0, λ(r,m)]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 \ 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58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83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99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112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240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53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168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217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227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256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57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213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232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242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512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254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361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429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467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487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900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203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448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637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756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823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858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1024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231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510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725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860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937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977</w:t>
            </w:r>
          </w:p>
        </w:tc>
      </w:tr>
    </w:tbl>
    <w:p>
      <w:pPr>
        <w:pStyle w:val="Heading2"/>
        <w:spacing w:before="200" w:after="100"/>
      </w:pPr>
      <w:r>
        <w:rPr>
          <w:b/>
          <w:bCs/>
        </w:rPr>
        <w:t xml:space="preserve">3.5 Table T5 — Valeurs pré-calculées de log₂(m)</w:t>
      </w:r>
    </w:p>
    <w:p>
      <w:pPr>
        <w:spacing w:after="120"/>
      </w:pPr>
      <w:r>
        <w:rPr>
          <w:sz w:val="22"/>
          <w:szCs w:val="22"/>
        </w:rPr>
        <w:t xml:space="preserve">Utilisé dans les formules δ(r,m), L1, L3, L4. Pour les puissances de 2 c’est un entier exact ; pour les autres valeurs, précision f64.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700"/>
        <w:gridCol w:w="1500"/>
        <w:gridCol w:w="700"/>
        <w:gridCol w:w="17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log₂(m)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log₂(m)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log₂(m)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1.000000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1.584963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2.321928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2.000000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2.584963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2.807355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3.000000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3.321928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3.584963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4.000000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3.906891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4.321928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5.000000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4.584963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5.584963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6.000000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7.000000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255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7.994353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256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8.000000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512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9.000000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1024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10.000000</w:t>
            </w:r>
          </w:p>
        </w:tc>
      </w:tr>
    </w:tbl>
    <w:p>
      <w:r>
        <w:br w:type="page"/>
      </w:r>
    </w:p>
    <w:p>
      <w:pPr>
        <w:pStyle w:val="Heading1"/>
        <w:spacing w:before="200" w:after="100"/>
      </w:pPr>
      <w:r>
        <w:rPr>
          <w:b/>
          <w:bCs/>
        </w:rPr>
        <w:t xml:space="preserve">4. Algorithme 1 corrigé</w:t>
      </w:r>
    </w:p>
    <w:p>
      <w:pPr>
        <w:spacing w:after="120"/>
      </w:pPr>
      <w:r>
        <w:rPr>
          <w:sz w:val="22"/>
          <w:szCs w:val="22"/>
        </w:rPr>
        <w:t xml:space="preserve">Le pseudo-code ci-dessous remplace les seuils ad hoc par des consultations de tables. Chaque étape est tracée vers une proposition de l’article de Nembé.</w:t>
      </w:r>
    </w:p>
    <w:p>
      <w:pPr>
        <w:pStyle w:val="Heading2"/>
        <w:spacing w:before="200" w:after="100"/>
      </w:pPr>
      <w:r>
        <w:rPr>
          <w:b/>
          <w:bCs/>
        </w:rPr>
        <w:t xml:space="preserve">4.1 Pseudo-code</w:t>
      </w:r>
    </w:p>
    <w:p>
      <w:pPr>
        <w:spacing w:before="80" w:after="80"/>
        <w:ind w:left="40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ENTRÉES : r, m, N</w:t>
      </w:r>
    </w:p>
    <w:p>
      <w:pPr>
        <w:spacing w:before="80" w:after="80"/>
        <w:ind w:left="40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/>
      </w:r>
    </w:p>
    <w:p>
      <w:pPr>
        <w:spacing w:before="80" w:after="80"/>
        <w:ind w:left="40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00. Charger tables T2[r], T3[r][m], T4[r][m], T5[m]</w:t>
      </w:r>
    </w:p>
    <w:p>
      <w:pPr>
        <w:spacing w:before="80" w:after="80"/>
        <w:ind w:left="40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01. log2m  ← T5[m]          // ou calcul si m non tabulé</w:t>
      </w:r>
    </w:p>
    <w:p>
      <w:pPr>
        <w:spacing w:before="80" w:after="80"/>
        <w:ind w:left="40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02. γ_l    ← T2[r].γ_l       // borne inf zone L3&lt;L4</w:t>
      </w:r>
    </w:p>
    <w:p>
      <w:pPr>
        <w:spacing w:before="80" w:after="80"/>
        <w:ind w:left="40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03. γ_r    ← T2[r].γ_r       // borne sup zone L3&lt;L4</w:t>
      </w:r>
    </w:p>
    <w:p>
      <w:pPr>
        <w:spacing w:before="80" w:after="80"/>
        <w:ind w:left="40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04. δ_rm   ← T3[r][m]        // seuil L1 vs L3</w:t>
      </w:r>
    </w:p>
    <w:p>
      <w:pPr>
        <w:spacing w:before="80" w:after="80"/>
        <w:ind w:left="40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05. λ_rm   ← T4[r][m]        // seuil L4 vs L1</w:t>
      </w:r>
    </w:p>
    <w:p>
      <w:pPr>
        <w:spacing w:before="80" w:after="80"/>
        <w:ind w:left="40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/>
      </w:r>
    </w:p>
    <w:p>
      <w:pPr>
        <w:spacing w:before="80" w:after="80"/>
        <w:ind w:left="40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// Détermination de la stratégie optimale</w:t>
      </w:r>
    </w:p>
    <w:p>
      <w:pPr>
        <w:spacing w:before="80" w:after="80"/>
        <w:ind w:left="40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06. SI N &gt; max(λ_rm, δ_rm)   // Zone L1 optimale</w:t>
      </w:r>
    </w:p>
    <w:p>
      <w:pPr>
        <w:spacing w:before="80" w:after="80"/>
        <w:ind w:left="40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07.     RETOURNER L1</w:t>
      </w:r>
    </w:p>
    <w:p>
      <w:pPr>
        <w:spacing w:before="80" w:after="80"/>
        <w:ind w:left="40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08. SINON SI N ∈ [γ_l, min(γ_r, δ_rm)]  // Zone L3 optimale</w:t>
      </w:r>
    </w:p>
    <w:p>
      <w:pPr>
        <w:spacing w:before="80" w:after="80"/>
        <w:ind w:left="40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09.     RETOURNER L3 (= R2)</w:t>
      </w:r>
    </w:p>
    <w:p>
      <w:pPr>
        <w:spacing w:before="80" w:after="80"/>
        <w:ind w:left="40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10. SINON                   // Zone L4 optimale</w:t>
      </w:r>
    </w:p>
    <w:p>
      <w:pPr>
        <w:spacing w:before="80" w:after="80"/>
        <w:ind w:left="40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11.     RETOURNER L4 (= R4b)</w:t>
      </w:r>
    </w:p>
    <w:p>
      <w:pPr>
        <w:pStyle w:val="Heading2"/>
        <w:spacing w:before="200" w:after="100"/>
      </w:pPr>
      <w:r>
        <w:rPr>
          <w:b/>
          <w:bCs/>
        </w:rPr>
        <w:t xml:space="preserve">4.2 Garantie de correction</w:t>
      </w:r>
    </w:p>
    <w:p>
      <w:pPr>
        <w:spacing w:after="120"/>
      </w:pPr>
      <w:r>
        <w:rPr>
          <w:sz w:val="22"/>
          <w:szCs w:val="22"/>
        </w:rPr>
        <w:t xml:space="preserve">Cet algorithme implémente exactement la Proposition 3 de l’article :</w:t>
      </w:r>
    </w:p>
    <w:p>
      <w:pPr>
        <w:spacing w:before="80" w:after="80"/>
        <w:ind w:left="40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LC(N) = L1 · 1_{D14 ∩ D13} + L3 · 1_{D13_bar ∩ D34} + L4 · 1_{D14_bar ∩ D34_bar}</w:t>
      </w:r>
    </w:p>
    <w:p>
      <w:pPr>
        <w:spacing w:after="120"/>
      </w:pPr>
      <w:r>
        <w:rPr>
          <w:sz w:val="22"/>
          <w:szCs w:val="22"/>
        </w:rPr>
        <w:t xml:space="preserve">où D13 = {N ∈ [δ_rm, r]}, D14 = {N ∈ [λ_rm, r]}, D34 = {N ∈ [γ_l, γ_r]}.</w:t>
      </w:r>
    </w:p>
    <w:p>
      <w:pPr>
        <w:spacing w:after="120"/>
      </w:pPr>
      <w:r>
        <w:rPr>
          <w:sz w:val="22"/>
          <w:szCs w:val="22"/>
        </w:rPr>
        <w:t xml:space="preserve">La stratégie L2 est absente car L4 &lt; L2 presque sûrement (Proposition 2, point 1).</w:t>
      </w:r>
    </w:p>
    <w:p>
      <w:pPr>
        <w:pStyle w:val="Heading2"/>
        <w:spacing w:before="200" w:after="100"/>
      </w:pPr>
      <w:r>
        <w:rPr>
          <w:b/>
          <w:bCs/>
        </w:rPr>
        <w:t xml:space="preserve">4.3 Interpolation pour les valeurs non tabulées</w:t>
      </w:r>
    </w:p>
    <w:p>
      <w:pPr>
        <w:spacing w:after="120"/>
      </w:pPr>
      <w:r>
        <w:rPr>
          <w:sz w:val="22"/>
          <w:szCs w:val="22"/>
        </w:rPr>
        <w:t xml:space="preserve">Si r ou m n’est pas dans la table, deux options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Calcul exact à l’initialisation.</w:t>
      </w:r>
      <w:r>
        <w:rPr>
          <w:sz w:val="22"/>
          <w:szCs w:val="22"/>
        </w:rPr>
        <w:t xml:space="preserve"> Les fonctions g⁻¹ et h⁻¹ sont calculées par recherche dichotomique une seule fois à l’ouverture du flux. Coût : O(r·log(r)) par initialisation.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Interpolation linéaire.</w:t>
      </w:r>
      <w:r>
        <w:rPr>
          <w:sz w:val="22"/>
          <w:szCs w:val="22"/>
        </w:rPr>
        <w:t xml:space="preserve"> Entre deux valeurs tabulées r1 &lt; r &lt; r2, on interpole : γ_l(r) ≈ γ_l(r1) + (γ_l(r2) − γ_l(r1)) · (r − r1) / (r2 − r1). Précision suffisante pour les tables T2 et T3.</w:t>
      </w:r>
    </w:p>
    <w:p>
      <w:r>
        <w:br w:type="page"/>
      </w:r>
    </w:p>
    <w:p>
      <w:pPr>
        <w:pStyle w:val="Heading1"/>
        <w:spacing w:before="200" w:after="100"/>
      </w:pPr>
      <w:r>
        <w:rPr>
          <w:b/>
          <w:bCs/>
        </w:rPr>
        <w:t xml:space="preserve">5. Impact attendu</w:t>
      </w:r>
    </w:p>
    <w:p>
      <w:pPr>
        <w:pStyle w:val="Heading2"/>
        <w:spacing w:before="200" w:after="100"/>
      </w:pPr>
      <w:r>
        <w:rPr>
          <w:b/>
          <w:bCs/>
        </w:rPr>
        <w:t xml:space="preserve">5.1 Sur le fichier de validation actuel (r=256)</w:t>
      </w:r>
    </w:p>
    <w:p>
      <w:pPr>
        <w:spacing w:after="120"/>
      </w:pPr>
      <w:r>
        <w:rPr>
          <w:sz w:val="22"/>
          <w:szCs w:val="22"/>
        </w:rPr>
        <w:t xml:space="preserve">Avec γ_l = 113 et γ_r = 144, les 77 blocs erronés (R4b → R2) seront correctement classés dès que N ∈ [113, 144]. L’accuracy de la composante C passera de 23% à une estimation de 93–95%, et l’overhead descendra de 21,4% à moins de 2%.</w:t>
      </w:r>
    </w:p>
    <w:p>
      <w:pPr>
        <w:pStyle w:val="Heading2"/>
        <w:spacing w:before="200" w:after="100"/>
      </w:pPr>
      <w:r>
        <w:rPr>
          <w:b/>
          <w:bCs/>
        </w:rPr>
        <w:t xml:space="preserve">5.2 Généralisation multi-résolution</w:t>
      </w:r>
    </w:p>
    <w:p>
      <w:pPr>
        <w:spacing w:after="120"/>
      </w:pPr>
      <w:r>
        <w:rPr>
          <w:sz w:val="22"/>
          <w:szCs w:val="22"/>
        </w:rPr>
        <w:t xml:space="preserve">Le méta-codec PP-CODEC opère à des résolutions variables (r ∈ {120, 240, 900, ...}). Les tables pré-calculées garantissent que la sélection de stratégie est optimale pour chaque résolution sans recalcul.</w:t>
      </w:r>
    </w:p>
    <w:p>
      <w:pPr>
        <w:pStyle w:val="Heading2"/>
        <w:spacing w:before="200" w:after="100"/>
      </w:pPr>
      <w:r>
        <w:rPr>
          <w:b/>
          <w:bCs/>
        </w:rPr>
        <w:t xml:space="preserve">5.3 Performances</w:t>
      </w:r>
    </w:p>
    <w:p>
      <w:pPr>
        <w:spacing w:after="120"/>
      </w:pPr>
      <w:r>
        <w:rPr>
          <w:sz w:val="22"/>
          <w:szCs w:val="22"/>
        </w:rPr>
        <w:t xml:space="preserve">La consultation d’une table est O(1) contre O(r) pour un calcul de g⁻¹ par dichotomie. Pour un flux vidéo de 256×256 pixels à 30 fps, cela représente 1,97 million de décisions/seconde éliminées.</w:t>
      </w:r>
    </w:p>
    <w:p>
      <w:pPr>
        <w:pStyle w:val="Heading1"/>
        <w:spacing w:before="200" w:after="100"/>
      </w:pPr>
      <w:r>
        <w:rPr>
          <w:b/>
          <w:bCs/>
        </w:rPr>
        <w:t xml:space="preserve">6. Plan de mise en œuvre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Phase 1 (immédiat) : </w:t>
      </w:r>
      <w:r>
        <w:rPr>
          <w:sz w:val="22"/>
          <w:szCs w:val="22"/>
        </w:rPr>
        <w:t xml:space="preserve">Générer les tables T1–T5 et les embarquer dans le module </w:t>
      </w:r>
      <w:r>
        <w:rPr>
          <w:rFonts w:ascii="Courier New" w:cs="Courier New" w:eastAsia="Courier New" w:hAnsi="Courier New"/>
          <w:sz w:val="20"/>
          <w:szCs w:val="20"/>
        </w:rPr>
        <w:t xml:space="preserve">crate::codec::lookup_tables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Phase 2 (1 semaine) : </w:t>
      </w:r>
      <w:r>
        <w:rPr>
          <w:sz w:val="22"/>
          <w:szCs w:val="22"/>
        </w:rPr>
        <w:t xml:space="preserve">Remplacer </w:t>
      </w:r>
      <w:r>
        <w:rPr>
          <w:rFonts w:ascii="Courier New" w:cs="Courier New" w:eastAsia="Courier New" w:hAnsi="Courier New"/>
          <w:sz w:val="20"/>
          <w:szCs w:val="20"/>
        </w:rPr>
        <w:t xml:space="preserve">select_encoding()</w:t>
      </w:r>
      <w:r>
        <w:rPr>
          <w:sz w:val="22"/>
          <w:szCs w:val="22"/>
        </w:rPr>
        <w:t xml:space="preserve"> par l’Algorithme 1 corrigé utilisant les tables.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Phase 3 (validation) : </w:t>
      </w:r>
      <w:r>
        <w:rPr>
          <w:sz w:val="22"/>
          <w:szCs w:val="22"/>
        </w:rPr>
        <w:t xml:space="preserve">Rejouer les 100 blocs de </w:t>
      </w:r>
      <w:r>
        <w:rPr>
          <w:rFonts w:ascii="Courier New" w:cs="Courier New" w:eastAsia="Courier New" w:hAnsi="Courier New"/>
          <w:sz w:val="20"/>
          <w:szCs w:val="20"/>
        </w:rPr>
        <w:t xml:space="preserve">validation_results.json</w:t>
      </w:r>
      <w:r>
        <w:rPr>
          <w:sz w:val="22"/>
          <w:szCs w:val="22"/>
        </w:rPr>
        <w:t xml:space="preserve"> et vérifier que l’accuracy C passe à ≥ 93%.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Phase 4 (extension) : </w:t>
      </w:r>
      <w:r>
        <w:rPr>
          <w:sz w:val="22"/>
          <w:szCs w:val="22"/>
        </w:rPr>
        <w:t xml:space="preserve">Ajouter la fonction d’interpolation pour les r et m non tabulés. Test sur r ∈ {100, 200, 300, 500, 700, 1500}.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Phase 5 (proptest) : </w:t>
      </w:r>
      <w:r>
        <w:rPr>
          <w:sz w:val="22"/>
          <w:szCs w:val="22"/>
        </w:rPr>
        <w:t xml:space="preserve">Property-based tests : pour tout (r, m, N), vérifier que </w:t>
      </w:r>
      <w:r>
        <w:rPr>
          <w:rFonts w:ascii="Courier New" w:cs="Courier New" w:eastAsia="Courier New" w:hAnsi="Courier New"/>
          <w:sz w:val="20"/>
          <w:szCs w:val="20"/>
        </w:rPr>
        <w:t xml:space="preserve">select_encoding(N, r, m)</w:t>
      </w:r>
      <w:r>
        <w:rPr>
          <w:sz w:val="22"/>
          <w:szCs w:val="22"/>
        </w:rPr>
        <w:t xml:space="preserve"> retourne le code de longueur minimale.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A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2026-03-14T06:25:55.383Z</dcterms:created>
  <dcterms:modified xsi:type="dcterms:W3CDTF">2026-03-14T06:25:55.384Z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