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C4219" w14:textId="373E2C52" w:rsidR="00D30F41" w:rsidRDefault="00D30F41" w:rsidP="004B1AE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bookmarkStart w:id="0" w:name="_GoBack"/>
      <w:bookmarkEnd w:id="0"/>
      <w:r w:rsidRPr="00D30F41">
        <w:rPr>
          <w:rFonts w:ascii="Calibri" w:eastAsia="Times New Roman" w:hAnsi="Calibri" w:cs="Calibri"/>
          <w:b/>
          <w:bCs/>
          <w:sz w:val="28"/>
          <w:szCs w:val="28"/>
        </w:rPr>
        <w:t>Proposal to redefine the “dominant critical soil” to use in the CART sheet and rill erosion assessment to align with standard conservation planning procedures.</w:t>
      </w:r>
    </w:p>
    <w:p w14:paraId="67372459" w14:textId="3C1DFEB4" w:rsidR="00D30F41" w:rsidRPr="00D30F41" w:rsidRDefault="00D30F41" w:rsidP="004B1AE0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</w:rPr>
      </w:pPr>
      <w:r w:rsidRPr="00D30F41">
        <w:rPr>
          <w:rFonts w:ascii="Calibri" w:eastAsia="Times New Roman" w:hAnsi="Calibri" w:cs="Calibri"/>
          <w:sz w:val="28"/>
          <w:szCs w:val="28"/>
        </w:rPr>
        <w:t>February 20, 2020</w:t>
      </w:r>
    </w:p>
    <w:p w14:paraId="6CCA121B" w14:textId="77777777" w:rsidR="00D30F41" w:rsidRDefault="00D30F41" w:rsidP="004B1AE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3F2D61E" w14:textId="14D2B10A" w:rsidR="00D30F41" w:rsidRPr="00D30F41" w:rsidRDefault="00D30F41" w:rsidP="004B1AE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See </w:t>
      </w:r>
      <w:r w:rsidRPr="00D30F41">
        <w:rPr>
          <w:rFonts w:ascii="Calibri" w:eastAsia="Times New Roman" w:hAnsi="Calibri" w:cs="Calibri"/>
          <w:b/>
          <w:bCs/>
          <w:sz w:val="24"/>
          <w:szCs w:val="24"/>
        </w:rPr>
        <w:t>USDA-NRCS. CART Version 1.0 Resource Concern Assessment. January 27, 2020. Document Version 1.1. </w:t>
      </w:r>
    </w:p>
    <w:p w14:paraId="760D22A6" w14:textId="77777777" w:rsidR="00D30F41" w:rsidRPr="00D30F41" w:rsidRDefault="00D30F41" w:rsidP="004B1AE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D30F41">
        <w:rPr>
          <w:rFonts w:ascii="Calibri" w:eastAsia="Times New Roman" w:hAnsi="Calibri" w:cs="Calibri"/>
          <w:b/>
          <w:bCs/>
          <w:sz w:val="24"/>
          <w:szCs w:val="24"/>
        </w:rPr>
        <w:t>Current description of the dominant critical soil. p. 18-19.</w:t>
      </w:r>
    </w:p>
    <w:p w14:paraId="70F72DC4" w14:textId="77777777" w:rsidR="00D30F41" w:rsidRPr="00D30F41" w:rsidRDefault="00D30F41" w:rsidP="004B1AE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“Where K is the soil erodibility factor of the surface horizon of the dominant critical soil component. The dominant critical soil component is determined as the soil with the highest surface K factor and is a major map unit component (</w:t>
      </w:r>
      <w:proofErr w:type="spellStart"/>
      <w:r w:rsidRPr="00D30F41">
        <w:rPr>
          <w:rFonts w:ascii="Calibri" w:eastAsia="Times New Roman" w:hAnsi="Calibri" w:cs="Calibri"/>
          <w:sz w:val="24"/>
          <w:szCs w:val="24"/>
        </w:rPr>
        <w:t>majorcompflag</w:t>
      </w:r>
      <w:proofErr w:type="spellEnd"/>
      <w:r w:rsidRPr="00D30F41">
        <w:rPr>
          <w:rFonts w:ascii="Calibri" w:eastAsia="Times New Roman" w:hAnsi="Calibri" w:cs="Calibri"/>
          <w:sz w:val="24"/>
          <w:szCs w:val="24"/>
        </w:rPr>
        <w:t>=True) that is greater than 10% of the PLU. In case of a K factor tie, choose the soil component among the set having the highest percent of the PLU. K is obtained from the SSURGO data base data element for soil erodibility factor (</w:t>
      </w:r>
      <w:proofErr w:type="spellStart"/>
      <w:proofErr w:type="gramStart"/>
      <w:r w:rsidRPr="00D30F41">
        <w:rPr>
          <w:rFonts w:ascii="Calibri" w:eastAsia="Times New Roman" w:hAnsi="Calibri" w:cs="Calibri"/>
          <w:sz w:val="24"/>
          <w:szCs w:val="24"/>
        </w:rPr>
        <w:t>chorizon.kffact</w:t>
      </w:r>
      <w:proofErr w:type="spellEnd"/>
      <w:proofErr w:type="gramEnd"/>
      <w:r w:rsidRPr="00D30F41">
        <w:rPr>
          <w:rFonts w:ascii="Calibri" w:eastAsia="Times New Roman" w:hAnsi="Calibri" w:cs="Calibri"/>
          <w:sz w:val="24"/>
          <w:szCs w:val="24"/>
        </w:rPr>
        <w:t>).”</w:t>
      </w:r>
    </w:p>
    <w:p w14:paraId="38788087" w14:textId="77777777" w:rsidR="000C2C9E" w:rsidRPr="000C2C9E" w:rsidRDefault="000C2C9E" w:rsidP="004B1AE0">
      <w:pPr>
        <w:spacing w:after="0"/>
        <w:rPr>
          <w:vanish/>
        </w:rPr>
      </w:pPr>
      <w:r w:rsidRPr="000C2C9E">
        <w:rPr>
          <w:vanish/>
        </w:rPr>
        <w:t>Conservation Assessment Ranking ToolResource Concern Assessment 19 | Pagesurface K factor and is a major map unit component (majorcompflag=True) that is greater than 10% of the PLU. In case of a K factor tie, choose the soil component among the set having the highest percent of the PLU. K is obtained from the SSURGO data base data element for soil erodibility factor (chorizon.kffact).</w:t>
      </w:r>
    </w:p>
    <w:p w14:paraId="01E784C7" w14:textId="77777777" w:rsidR="000C2C9E" w:rsidRPr="000C2C9E" w:rsidRDefault="000C2C9E" w:rsidP="004B1AE0">
      <w:pPr>
        <w:spacing w:after="0"/>
        <w:rPr>
          <w:vanish/>
        </w:rPr>
      </w:pPr>
      <w:r w:rsidRPr="000C2C9E">
        <w:rPr>
          <w:vanish/>
        </w:rPr>
        <w:t xml:space="preserve">The dominant critical soil component is determined as the soil with the highest </w:t>
      </w:r>
    </w:p>
    <w:p w14:paraId="29DD6F95" w14:textId="77777777" w:rsidR="000C2C9E" w:rsidRPr="000C2C9E" w:rsidRDefault="000C2C9E" w:rsidP="004B1AE0">
      <w:pPr>
        <w:spacing w:after="0"/>
        <w:rPr>
          <w:vanish/>
        </w:rPr>
      </w:pPr>
      <w:r w:rsidRPr="000C2C9E">
        <w:rPr>
          <w:vanish/>
        </w:rPr>
        <w:t>Conservation Assessment Ranking ToolResource Concern Assessment 19 | Pagesurface K factor and is a major map unit component (majorcompflag=True) that is greater than 10% of the PLU. In case of a K factor tie, choose the soil component among the set having the highest percent of the PLU. K is obtained from the SSURGO data base data element for soil erodibility factor (chorizon.kffact).</w:t>
      </w:r>
    </w:p>
    <w:p w14:paraId="4737F289" w14:textId="77777777" w:rsidR="00D30F41" w:rsidRPr="00D30F41" w:rsidRDefault="00D30F41" w:rsidP="004B1AE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 </w:t>
      </w:r>
    </w:p>
    <w:p w14:paraId="48605D5E" w14:textId="77777777" w:rsidR="00D30F41" w:rsidRPr="00D30F41" w:rsidRDefault="00D30F41" w:rsidP="004B1AE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D30F41">
        <w:rPr>
          <w:rFonts w:ascii="Calibri" w:eastAsia="Times New Roman" w:hAnsi="Calibri" w:cs="Calibri"/>
          <w:b/>
          <w:bCs/>
          <w:sz w:val="24"/>
          <w:szCs w:val="24"/>
        </w:rPr>
        <w:t>I propose deleting the description above and adding:</w:t>
      </w:r>
    </w:p>
    <w:p w14:paraId="33EAB2B2" w14:textId="77777777" w:rsidR="00D30F41" w:rsidRPr="00D30F41" w:rsidRDefault="00D30F41" w:rsidP="004B1AE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A “dominant critical” soil component is used as a proxy to assess sheet and rill erosion for the whole field. The “critical” soil components are the most at risk to be degraded by sheet and rill erosion using K*(LS)/T (</w:t>
      </w:r>
      <w:proofErr w:type="spellStart"/>
      <w:r w:rsidRPr="00D30F41">
        <w:rPr>
          <w:rFonts w:ascii="Calibri" w:eastAsia="Times New Roman" w:hAnsi="Calibri" w:cs="Calibri"/>
          <w:sz w:val="24"/>
          <w:szCs w:val="24"/>
        </w:rPr>
        <w:t>EI</w:t>
      </w:r>
      <w:r w:rsidRPr="00D30F41">
        <w:rPr>
          <w:rFonts w:ascii="Calibri" w:eastAsia="Times New Roman" w:hAnsi="Calibri" w:cs="Calibri"/>
          <w:sz w:val="24"/>
          <w:szCs w:val="24"/>
          <w:vertAlign w:val="subscript"/>
        </w:rPr>
        <w:t>wt</w:t>
      </w:r>
      <w:proofErr w:type="spellEnd"/>
      <w:r w:rsidRPr="00D30F41">
        <w:rPr>
          <w:rFonts w:ascii="Calibri" w:eastAsia="Times New Roman" w:hAnsi="Calibri" w:cs="Calibri"/>
          <w:sz w:val="24"/>
          <w:szCs w:val="24"/>
        </w:rPr>
        <w:t>) to estimate. The chosen soil should also represent a significant enough area or portion of the field (dominant), at least 10%, on which to base planning. Thus, the “dominant critical” soil is determined by:</w:t>
      </w:r>
    </w:p>
    <w:p w14:paraId="0507F2F8" w14:textId="77777777" w:rsidR="00D30F41" w:rsidRDefault="00D30F41" w:rsidP="004B1AE0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Calculating the K*(LS)/T for each soil component.</w:t>
      </w:r>
    </w:p>
    <w:p w14:paraId="10874A2A" w14:textId="77777777" w:rsidR="00D30F41" w:rsidRDefault="00D30F41" w:rsidP="004B1AE0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Sorting the soil components from the most critical to the least critica</w:t>
      </w:r>
      <w:r>
        <w:rPr>
          <w:rFonts w:ascii="Calibri" w:eastAsia="Times New Roman" w:hAnsi="Calibri" w:cs="Calibri"/>
          <w:sz w:val="24"/>
          <w:szCs w:val="24"/>
        </w:rPr>
        <w:t>l.</w:t>
      </w:r>
    </w:p>
    <w:p w14:paraId="372DDDFF" w14:textId="77777777" w:rsidR="00D30F41" w:rsidRDefault="00D30F41" w:rsidP="004B1AE0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Determining the area in acres of each soil component.</w:t>
      </w:r>
    </w:p>
    <w:p w14:paraId="72524B4C" w14:textId="7B2B9502" w:rsidR="00D30F41" w:rsidRDefault="00D30F41" w:rsidP="004B1AE0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Sequentially adding the soil component areas starting with the most critical to produce the cumulative area of that component and all more at</w:t>
      </w:r>
      <w:r w:rsidR="00B80FC5">
        <w:rPr>
          <w:rFonts w:ascii="Calibri" w:eastAsia="Times New Roman" w:hAnsi="Calibri" w:cs="Calibri"/>
          <w:sz w:val="24"/>
          <w:szCs w:val="24"/>
        </w:rPr>
        <w:t>-</w:t>
      </w:r>
      <w:r w:rsidRPr="00D30F41">
        <w:rPr>
          <w:rFonts w:ascii="Calibri" w:eastAsia="Times New Roman" w:hAnsi="Calibri" w:cs="Calibri"/>
          <w:sz w:val="24"/>
          <w:szCs w:val="24"/>
        </w:rPr>
        <w:t>risk components, and</w:t>
      </w:r>
    </w:p>
    <w:p w14:paraId="04EB0F2A" w14:textId="17E975A0" w:rsidR="00D30F41" w:rsidRPr="00D30F41" w:rsidRDefault="00D30F41" w:rsidP="004B1AE0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Selecting the first component in which the cumulative area represents 10% of the field.</w:t>
      </w:r>
    </w:p>
    <w:p w14:paraId="070141FE" w14:textId="77777777" w:rsidR="00D30F41" w:rsidRDefault="00D30F41" w:rsidP="004B1AE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3AD7CAE4" w14:textId="77777777" w:rsidR="00EF6F46" w:rsidRDefault="00EF6F46" w:rsidP="004B1AE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2E8529C1" w14:textId="64FCFEB7" w:rsidR="00EF6F46" w:rsidRPr="00EF6F46" w:rsidRDefault="00EF6F46" w:rsidP="004B1AE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EF6F46">
        <w:rPr>
          <w:rFonts w:ascii="Calibri" w:eastAsia="Times New Roman" w:hAnsi="Calibri" w:cs="Calibri"/>
          <w:b/>
          <w:bCs/>
          <w:sz w:val="24"/>
          <w:szCs w:val="24"/>
        </w:rPr>
        <w:t>Optional additional language:</w:t>
      </w:r>
    </w:p>
    <w:p w14:paraId="5BE91982" w14:textId="038F60E7" w:rsidR="00D30F41" w:rsidRDefault="00D30F41" w:rsidP="004B1AE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 xml:space="preserve">Typically, during the on-site field inventory, other factors may be considered such as proximity to water when sheet and rill erosion are used to assess the risk to water quality. Or the on-site inventory may make it clear that that the steep areas of the field require </w:t>
      </w:r>
      <w:r w:rsidRPr="00D30F41">
        <w:rPr>
          <w:rFonts w:ascii="Calibri" w:eastAsia="Times New Roman" w:hAnsi="Calibri" w:cs="Calibri"/>
          <w:sz w:val="24"/>
          <w:szCs w:val="24"/>
        </w:rPr>
        <w:lastRenderedPageBreak/>
        <w:t>different treatment than flatter areas</w:t>
      </w:r>
      <w:r w:rsidR="00B80FC5">
        <w:rPr>
          <w:rFonts w:ascii="Calibri" w:eastAsia="Times New Roman" w:hAnsi="Calibri" w:cs="Calibri"/>
          <w:sz w:val="24"/>
          <w:szCs w:val="24"/>
        </w:rPr>
        <w:t xml:space="preserve"> and should be assessed separately</w:t>
      </w:r>
      <w:r w:rsidRPr="00D30F41">
        <w:rPr>
          <w:rFonts w:ascii="Calibri" w:eastAsia="Times New Roman" w:hAnsi="Calibri" w:cs="Calibri"/>
          <w:sz w:val="24"/>
          <w:szCs w:val="24"/>
        </w:rPr>
        <w:t xml:space="preserve">. The on-site </w:t>
      </w:r>
      <w:r w:rsidR="00B80FC5">
        <w:rPr>
          <w:rFonts w:ascii="Calibri" w:eastAsia="Times New Roman" w:hAnsi="Calibri" w:cs="Calibri"/>
          <w:sz w:val="24"/>
          <w:szCs w:val="24"/>
        </w:rPr>
        <w:t>inventory</w:t>
      </w:r>
      <w:r w:rsidRPr="00D30F41">
        <w:rPr>
          <w:rFonts w:ascii="Calibri" w:eastAsia="Times New Roman" w:hAnsi="Calibri" w:cs="Calibri"/>
          <w:sz w:val="24"/>
          <w:szCs w:val="24"/>
        </w:rPr>
        <w:t xml:space="preserve"> may provide reasons to override the CART assessment.</w:t>
      </w:r>
    </w:p>
    <w:p w14:paraId="4F3363C8" w14:textId="249AFDE8" w:rsidR="00D30F41" w:rsidRDefault="00D30F41" w:rsidP="004B1AE0">
      <w:pPr>
        <w:spacing w:after="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14:paraId="4F7553E3" w14:textId="7A974C9E" w:rsidR="00D30F41" w:rsidRPr="00D30F41" w:rsidRDefault="00D30F41" w:rsidP="004B1AE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D30F41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Further explanation:</w:t>
      </w:r>
    </w:p>
    <w:p w14:paraId="2DB19FA6" w14:textId="77777777" w:rsidR="00D30F41" w:rsidRPr="00D30F41" w:rsidRDefault="00D30F41" w:rsidP="004B1AE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30F41">
        <w:rPr>
          <w:rFonts w:ascii="Calibri" w:eastAsia="Times New Roman" w:hAnsi="Calibri" w:cs="Calibri"/>
          <w:sz w:val="24"/>
          <w:szCs w:val="24"/>
        </w:rPr>
        <w:t>Determining the dominant critical soil could mean producing a table like this: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5"/>
        <w:gridCol w:w="2850"/>
        <w:gridCol w:w="1359"/>
        <w:gridCol w:w="1310"/>
        <w:gridCol w:w="1211"/>
      </w:tblGrid>
      <w:tr w:rsidR="00D30F41" w:rsidRPr="00D30F41" w14:paraId="74487E9F" w14:textId="77777777" w:rsidTr="00D30F41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6209E" w14:textId="77777777" w:rsidR="004B1AE0" w:rsidRDefault="004B1AE0" w:rsidP="004B1AE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2466000" w14:textId="2FB7319D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30F41">
              <w:rPr>
                <w:rFonts w:ascii="Calibri" w:eastAsia="Times New Roman" w:hAnsi="Calibri" w:cs="Calibri"/>
                <w:sz w:val="24"/>
                <w:szCs w:val="24"/>
              </w:rPr>
              <w:t>Soil Component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D986C" w14:textId="77777777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K*(LS)/T for</w:t>
            </w:r>
          </w:p>
          <w:p w14:paraId="402D3875" w14:textId="77777777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the component</w:t>
            </w:r>
          </w:p>
          <w:p w14:paraId="21DBB673" w14:textId="77777777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(sorted most at risk to least)</w:t>
            </w:r>
          </w:p>
        </w:tc>
        <w:tc>
          <w:tcPr>
            <w:tcW w:w="1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2BCE" w14:textId="77777777" w:rsid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  <w:p w14:paraId="04F31A5F" w14:textId="7D8F014F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Acres of component</w:t>
            </w:r>
          </w:p>
          <w:p w14:paraId="7D4751A6" w14:textId="020D6242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1B346" w14:textId="77777777" w:rsid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  <w:p w14:paraId="341454C7" w14:textId="60BE939C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Cumulative acres</w:t>
            </w:r>
          </w:p>
          <w:p w14:paraId="0B05195B" w14:textId="567F35B9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A7D87" w14:textId="77777777" w:rsid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  <w:p w14:paraId="5DAA8156" w14:textId="6F312AF9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</w:t>
            </w:r>
            <w:r w:rsidRPr="00D30F41">
              <w:rPr>
                <w:rFonts w:ascii="Calibri" w:eastAsia="Times New Roman" w:hAnsi="Calibri" w:cs="Calibri"/>
              </w:rPr>
              <w:t>umulative</w:t>
            </w:r>
          </w:p>
          <w:p w14:paraId="7130B2CE" w14:textId="77777777" w:rsidR="00D30F41" w:rsidRPr="00D30F41" w:rsidRDefault="00D30F41" w:rsidP="004B1A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percent</w:t>
            </w:r>
          </w:p>
        </w:tc>
      </w:tr>
      <w:tr w:rsidR="00D30F41" w:rsidRPr="00D30F41" w14:paraId="52CF0C1F" w14:textId="77777777" w:rsidTr="00D30F41"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E8849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F0900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10 (not sure the scale of these numbers)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90C7B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0AF77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82779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3%</w:t>
            </w:r>
          </w:p>
        </w:tc>
      </w:tr>
      <w:tr w:rsidR="00D30F41" w:rsidRPr="00D30F41" w14:paraId="2400AB63" w14:textId="77777777" w:rsidTr="00D30F41"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0DFD2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75DF8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CD57A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66FC1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A0F11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5%</w:t>
            </w:r>
          </w:p>
        </w:tc>
      </w:tr>
      <w:tr w:rsidR="00D30F41" w:rsidRPr="00D30F41" w14:paraId="02F25B93" w14:textId="77777777" w:rsidTr="00D30F41"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BAEE2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30F41">
              <w:rPr>
                <w:rFonts w:ascii="Calibri" w:eastAsia="Times New Roman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0FD99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DCD31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5BF3F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  <w:b/>
                <w:bCs/>
              </w:rPr>
              <w:t>13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6A3B0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30F41">
              <w:rPr>
                <w:rFonts w:ascii="Calibri" w:eastAsia="Times New Roman" w:hAnsi="Calibri" w:cs="Calibri"/>
                <w:b/>
                <w:bCs/>
                <w:color w:val="FF0000"/>
              </w:rPr>
              <w:t>13%</w:t>
            </w:r>
          </w:p>
        </w:tc>
      </w:tr>
      <w:tr w:rsidR="00D30F41" w:rsidRPr="00D30F41" w14:paraId="011B5E18" w14:textId="77777777" w:rsidTr="00D30F41"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FD891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3F511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D551B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6D508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7873A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45%</w:t>
            </w:r>
          </w:p>
        </w:tc>
      </w:tr>
      <w:tr w:rsidR="00D30F41" w:rsidRPr="00D30F41" w14:paraId="4A3C701E" w14:textId="77777777" w:rsidTr="00D30F41"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55DAB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71D47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AD597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0EB2A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AA298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 </w:t>
            </w:r>
          </w:p>
        </w:tc>
      </w:tr>
      <w:tr w:rsidR="00D30F41" w:rsidRPr="00D30F41" w14:paraId="1D3979F2" w14:textId="77777777" w:rsidTr="00D30F41"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61302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3DA9C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69D4A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CFB39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E7D4B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 </w:t>
            </w:r>
          </w:p>
        </w:tc>
      </w:tr>
      <w:tr w:rsidR="00D30F41" w:rsidRPr="00D30F41" w14:paraId="654ADDBA" w14:textId="77777777" w:rsidTr="00D30F41"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7E845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6711C" w14:textId="77777777" w:rsidR="00D30F41" w:rsidRPr="00D30F41" w:rsidRDefault="00D30F41" w:rsidP="004B1A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E3B67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--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9BE67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A430C" w14:textId="77777777" w:rsidR="00D30F41" w:rsidRPr="00D30F41" w:rsidRDefault="00D30F41" w:rsidP="004B1AE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0F41">
              <w:rPr>
                <w:rFonts w:ascii="Calibri" w:eastAsia="Times New Roman" w:hAnsi="Calibri" w:cs="Calibri"/>
              </w:rPr>
              <w:t>100%</w:t>
            </w:r>
          </w:p>
        </w:tc>
      </w:tr>
    </w:tbl>
    <w:p w14:paraId="04291585" w14:textId="19A24A69" w:rsidR="00D30F41" w:rsidRPr="00D30F41" w:rsidRDefault="00D30F41" w:rsidP="004B1AE0">
      <w:pPr>
        <w:spacing w:after="0" w:line="240" w:lineRule="auto"/>
        <w:rPr>
          <w:rFonts w:ascii="Calibri" w:eastAsia="Times New Roman" w:hAnsi="Calibri" w:cs="Calibri"/>
        </w:rPr>
      </w:pPr>
      <w:r w:rsidRPr="00D30F41">
        <w:rPr>
          <w:rFonts w:ascii="Calibri" w:eastAsia="Times New Roman" w:hAnsi="Calibri" w:cs="Calibri"/>
        </w:rPr>
        <w:t xml:space="preserve">Soil component 3 plus the more at-risk soils represent at least 10% of the field. Thus, soil component 3 is the dominant critical soil and used to assess sheet and rill erosion. </w:t>
      </w:r>
    </w:p>
    <w:p w14:paraId="095950CC" w14:textId="77777777" w:rsidR="00967B2F" w:rsidRDefault="00967B2F" w:rsidP="004B1AE0">
      <w:pPr>
        <w:spacing w:after="0"/>
      </w:pPr>
    </w:p>
    <w:p w14:paraId="01979052" w14:textId="61BBC564" w:rsidR="00D30F41" w:rsidRDefault="00967B2F" w:rsidP="004B1AE0">
      <w:pPr>
        <w:spacing w:after="0"/>
      </w:pPr>
      <w:r>
        <w:rPr>
          <w:b/>
          <w:bCs/>
        </w:rPr>
        <w:t xml:space="preserve">Why this change is needed. </w:t>
      </w:r>
      <w:r>
        <w:t>(more analysis can be provided if needed)</w:t>
      </w:r>
    </w:p>
    <w:p w14:paraId="39F3AE26" w14:textId="7B97E623" w:rsidR="00967B2F" w:rsidRDefault="00967B2F" w:rsidP="004B1AE0">
      <w:pPr>
        <w:spacing w:after="0"/>
      </w:pPr>
      <w:r>
        <w:t>The slope (LS) is a more critical influence on sheet and rill erosion risk than the K factor. Sheet and rill conservation training teaches to look for the steepest and longest slopes to choose the proxy soil to evaluate sheet and rill erosion for a field. K informs the choice of a proxy soil on the slope, distinguishing among soils with similar slopes. And T can be critical if there are some shallow soils in the PLU with very low tolerance to erosion. If only K is used, a soil which is very prone to erosion and degradation, but on flat ground could be used as a proxy over a lesser prone soil on a steep slope. This would produce an incorrect assessment of the sheet and rill resource concern in a field and the subsequent loss in productivity.</w:t>
      </w:r>
    </w:p>
    <w:p w14:paraId="0D64CF9E" w14:textId="6F7DA076" w:rsidR="004B1AE0" w:rsidRDefault="004B1AE0" w:rsidP="004B1AE0">
      <w:pPr>
        <w:spacing w:after="0"/>
      </w:pPr>
    </w:p>
    <w:p w14:paraId="4181B452" w14:textId="7A8C4C30" w:rsidR="004B1AE0" w:rsidRPr="004B1AE0" w:rsidRDefault="004B1AE0" w:rsidP="004B1AE0">
      <w:pPr>
        <w:spacing w:after="0"/>
        <w:rPr>
          <w:b/>
          <w:bCs/>
        </w:rPr>
      </w:pPr>
      <w:r>
        <w:rPr>
          <w:b/>
          <w:bCs/>
        </w:rPr>
        <w:t>Other Notes</w:t>
      </w:r>
    </w:p>
    <w:p w14:paraId="19386961" w14:textId="745D21B0" w:rsidR="004B1AE0" w:rsidRDefault="004B1AE0" w:rsidP="004B1AE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Missing from this discussion is an explanation of why K might be appropriate to determine the dominant critical soil. When I looked at the issue a few years back, I did not find an explanation as to why the K factor </w:t>
      </w:r>
      <w:r w:rsidR="002743E5">
        <w:rPr>
          <w:rFonts w:eastAsiaTheme="minorEastAsia"/>
          <w:noProof/>
        </w:rPr>
        <w:t xml:space="preserve">alone </w:t>
      </w:r>
      <w:r>
        <w:rPr>
          <w:rFonts w:eastAsiaTheme="minorEastAsia"/>
          <w:noProof/>
        </w:rPr>
        <w:t>might be appropriate to determine the proxy</w:t>
      </w:r>
      <w:r w:rsidR="002743E5">
        <w:rPr>
          <w:rFonts w:eastAsiaTheme="minorEastAsia"/>
          <w:noProof/>
        </w:rPr>
        <w:t xml:space="preserve">. No state </w:t>
      </w:r>
      <w:r w:rsidR="00AA0E82">
        <w:rPr>
          <w:rFonts w:eastAsiaTheme="minorEastAsia"/>
          <w:noProof/>
        </w:rPr>
        <w:t>in the region</w:t>
      </w:r>
      <w:r w:rsidR="002743E5">
        <w:rPr>
          <w:rFonts w:eastAsiaTheme="minorEastAsia"/>
          <w:noProof/>
        </w:rPr>
        <w:t xml:space="preserve"> used it. I</w:t>
      </w:r>
      <w:r>
        <w:rPr>
          <w:rFonts w:eastAsiaTheme="minorEastAsia"/>
          <w:noProof/>
        </w:rPr>
        <w:t>t</w:t>
      </w:r>
      <w:r w:rsidR="00AA0E82">
        <w:rPr>
          <w:rFonts w:eastAsiaTheme="minorEastAsia"/>
          <w:noProof/>
        </w:rPr>
        <w:t xml:space="preserve"> was used</w:t>
      </w:r>
      <w:r>
        <w:rPr>
          <w:rFonts w:eastAsiaTheme="minorEastAsia"/>
          <w:noProof/>
        </w:rPr>
        <w:t xml:space="preserve"> in the Resource Stewardship Evaluation Tool (RSET) and the Integrated Erosion Tool (IET).</w:t>
      </w:r>
    </w:p>
    <w:p w14:paraId="2302C65A" w14:textId="7353D14F" w:rsidR="00967B2F" w:rsidRDefault="00967B2F" w:rsidP="004B1AE0">
      <w:pPr>
        <w:spacing w:after="0"/>
      </w:pPr>
    </w:p>
    <w:p w14:paraId="7191B7E9" w14:textId="1DDC7A13" w:rsidR="004B1AE0" w:rsidRDefault="004B1AE0" w:rsidP="004B1AE0">
      <w:pPr>
        <w:spacing w:after="0"/>
      </w:pPr>
      <w:r>
        <w:t xml:space="preserve">See </w:t>
      </w:r>
      <w:hyperlink r:id="rId5" w:history="1">
        <w:r w:rsidRPr="004B1AE0">
          <w:rPr>
            <w:rStyle w:val="Hyperlink"/>
          </w:rPr>
          <w:t>Dominant Critical Area: Basic Planning Concepts for RUSLE2</w:t>
        </w:r>
      </w:hyperlink>
      <w:r>
        <w:t xml:space="preserve"> for Wisconsin guidance.</w:t>
      </w:r>
    </w:p>
    <w:p w14:paraId="4A75CF35" w14:textId="02BAED69" w:rsidR="00D30F41" w:rsidRDefault="00D30F41" w:rsidP="004B1AE0">
      <w:pPr>
        <w:spacing w:after="0"/>
      </w:pPr>
    </w:p>
    <w:p w14:paraId="3CB5CAA3" w14:textId="65C118C7" w:rsidR="00D30F41" w:rsidRDefault="00D30F41" w:rsidP="004B1AE0">
      <w:pPr>
        <w:spacing w:after="0"/>
      </w:pPr>
      <w:r>
        <w:t>Eric G. Hurley, State Resource Conservationist</w:t>
      </w:r>
    </w:p>
    <w:p w14:paraId="0EC3C667" w14:textId="77777777" w:rsidR="00D30F41" w:rsidRDefault="00D30F41" w:rsidP="004B1AE0">
      <w:pPr>
        <w:spacing w:after="0"/>
      </w:pPr>
      <w:r>
        <w:t>Natural Resources Conservation Service</w:t>
      </w:r>
    </w:p>
    <w:p w14:paraId="079F0ECD" w14:textId="77777777" w:rsidR="00D30F41" w:rsidRDefault="00D30F41" w:rsidP="004B1AE0">
      <w:pPr>
        <w:spacing w:after="0"/>
      </w:pPr>
      <w:r>
        <w:t>8030 Excelsior Drive, Suite 200</w:t>
      </w:r>
    </w:p>
    <w:p w14:paraId="7C07767B" w14:textId="77777777" w:rsidR="00D30F41" w:rsidRDefault="00D30F41" w:rsidP="004B1AE0">
      <w:pPr>
        <w:spacing w:after="0"/>
      </w:pPr>
      <w:r>
        <w:t>Madison, WI 53717</w:t>
      </w:r>
    </w:p>
    <w:p w14:paraId="45594CBC" w14:textId="77777777" w:rsidR="00D30F41" w:rsidRDefault="00D30F41" w:rsidP="004B1AE0">
      <w:pPr>
        <w:spacing w:after="0"/>
      </w:pPr>
      <w:r>
        <w:t>608-662-4422 x.258</w:t>
      </w:r>
    </w:p>
    <w:p w14:paraId="208555E7" w14:textId="5FC3DD84" w:rsidR="00D30F41" w:rsidRPr="000C2C9E" w:rsidRDefault="00D30F41" w:rsidP="004B1AE0">
      <w:pPr>
        <w:spacing w:after="0"/>
      </w:pPr>
      <w:r>
        <w:lastRenderedPageBreak/>
        <w:t>eric.hurley@usda.gov</w:t>
      </w:r>
    </w:p>
    <w:sectPr w:rsidR="00D30F41" w:rsidRPr="000C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10B5"/>
    <w:multiLevelType w:val="multilevel"/>
    <w:tmpl w:val="79F0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80270"/>
    <w:multiLevelType w:val="multilevel"/>
    <w:tmpl w:val="70C25A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94873"/>
    <w:multiLevelType w:val="hybridMultilevel"/>
    <w:tmpl w:val="982C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E0"/>
    <w:rsid w:val="000C2C9E"/>
    <w:rsid w:val="00111F83"/>
    <w:rsid w:val="002743E5"/>
    <w:rsid w:val="00453622"/>
    <w:rsid w:val="004B1AE0"/>
    <w:rsid w:val="007354E2"/>
    <w:rsid w:val="00967B2F"/>
    <w:rsid w:val="00A15DEA"/>
    <w:rsid w:val="00AA0E82"/>
    <w:rsid w:val="00B80FC5"/>
    <w:rsid w:val="00D23A35"/>
    <w:rsid w:val="00D30F41"/>
    <w:rsid w:val="00EF6F46"/>
    <w:rsid w:val="00F259E0"/>
    <w:rsid w:val="00F42346"/>
    <w:rsid w:val="00F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D7BA"/>
  <w15:chartTrackingRefBased/>
  <w15:docId w15:val="{581D0A64-2ECC-4364-BB06-8400D587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F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5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76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36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775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408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210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885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56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29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03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637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2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104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52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36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applus.wisc.edu/wp-content/uploads/sites/80/2013/12/ChoosingCriticalSoilTyp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Eric - NRCS, Madison, WI</dc:creator>
  <cp:keywords/>
  <dc:description/>
  <cp:lastModifiedBy>Nemecek, Jason - NRCS - Madison, WI</cp:lastModifiedBy>
  <cp:revision>2</cp:revision>
  <cp:lastPrinted>2020-02-24T13:48:00Z</cp:lastPrinted>
  <dcterms:created xsi:type="dcterms:W3CDTF">2020-02-24T13:48:00Z</dcterms:created>
  <dcterms:modified xsi:type="dcterms:W3CDTF">2020-02-24T13:48:00Z</dcterms:modified>
</cp:coreProperties>
</file>