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B763A" w14:textId="17B15D91" w:rsidR="00881355" w:rsidRPr="00881355" w:rsidRDefault="00881355" w:rsidP="00D02153">
      <w:pPr>
        <w:rPr>
          <w:rFonts w:cstheme="minorHAnsi"/>
          <w:b/>
          <w:bCs/>
          <w:sz w:val="24"/>
          <w:szCs w:val="24"/>
        </w:rPr>
      </w:pPr>
      <w:r w:rsidRPr="00881355">
        <w:rPr>
          <w:rFonts w:cstheme="minorHAnsi"/>
          <w:b/>
          <w:bCs/>
          <w:sz w:val="24"/>
          <w:szCs w:val="24"/>
        </w:rPr>
        <w:t>RMS and SSP and “the Business” and TSPi contract and how to get through the next 2 months and make major progress</w:t>
      </w:r>
    </w:p>
    <w:p w14:paraId="2B722402" w14:textId="757B8E35" w:rsidR="00D02153" w:rsidRPr="00660F82" w:rsidRDefault="00D02153" w:rsidP="00D02153">
      <w:pPr>
        <w:rPr>
          <w:rFonts w:cstheme="minorHAnsi"/>
          <w:i/>
          <w:iCs/>
        </w:rPr>
      </w:pPr>
      <w:r w:rsidRPr="00660F82">
        <w:rPr>
          <w:rFonts w:cstheme="minorHAnsi"/>
          <w:i/>
          <w:iCs/>
        </w:rPr>
        <w:t>Bottom-line is that the DSP Hub is an advanced data science workbench project specifically for</w:t>
      </w:r>
      <w:r>
        <w:rPr>
          <w:rFonts w:cstheme="minorHAnsi"/>
          <w:i/>
          <w:iCs/>
        </w:rPr>
        <w:t xml:space="preserve"> </w:t>
      </w:r>
      <w:r w:rsidRPr="00660F82">
        <w:rPr>
          <w:rFonts w:cstheme="minorHAnsi"/>
          <w:i/>
          <w:iCs/>
        </w:rPr>
        <w:t>soil data scientists t</w:t>
      </w:r>
      <w:r>
        <w:rPr>
          <w:rFonts w:cstheme="minorHAnsi"/>
          <w:i/>
          <w:iCs/>
        </w:rPr>
        <w:t>o develop authoritative soil data from existing</w:t>
      </w:r>
      <w:r w:rsidRPr="00660F82">
        <w:rPr>
          <w:rFonts w:cstheme="minorHAnsi"/>
          <w:i/>
          <w:iCs/>
        </w:rPr>
        <w:t xml:space="preserve"> geospatial data. If EDAPT will work for DSP Hub, it will need to be outside of the official workbench pilot, </w:t>
      </w:r>
      <w:r>
        <w:rPr>
          <w:rFonts w:cstheme="minorHAnsi"/>
          <w:i/>
          <w:iCs/>
        </w:rPr>
        <w:t xml:space="preserve">support heavy geospatial analysis, and </w:t>
      </w:r>
      <w:r w:rsidRPr="00660F82">
        <w:rPr>
          <w:rFonts w:cstheme="minorHAnsi"/>
          <w:i/>
          <w:iCs/>
        </w:rPr>
        <w:t>feasibility of using EDAPT and tools evaluated during iterations that are currently under contract with TSPi.</w:t>
      </w:r>
    </w:p>
    <w:p w14:paraId="54DC183F" w14:textId="3A7B14EC" w:rsidR="00D02153" w:rsidRDefault="00D02153" w:rsidP="00D02153">
      <w:pPr>
        <w:rPr>
          <w:rFonts w:cstheme="minorHAnsi"/>
        </w:rPr>
      </w:pPr>
      <w:r>
        <w:rPr>
          <w:rFonts w:cstheme="minorHAnsi"/>
        </w:rPr>
        <w:t>Using EDAPT can work for DSP Hub to test feasibility under the following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5"/>
        <w:gridCol w:w="2834"/>
        <w:gridCol w:w="3359"/>
        <w:gridCol w:w="3273"/>
        <w:gridCol w:w="4145"/>
        <w:gridCol w:w="4104"/>
      </w:tblGrid>
      <w:tr w:rsidR="00881355" w14:paraId="7045C037" w14:textId="70D9106F" w:rsidTr="00881355">
        <w:tc>
          <w:tcPr>
            <w:tcW w:w="3875" w:type="dxa"/>
          </w:tcPr>
          <w:p w14:paraId="7A687B01" w14:textId="0697A6A0" w:rsidR="00881355" w:rsidRDefault="00881355" w:rsidP="00D0215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Need statement </w:t>
            </w:r>
          </w:p>
        </w:tc>
        <w:tc>
          <w:tcPr>
            <w:tcW w:w="2834" w:type="dxa"/>
          </w:tcPr>
          <w:p w14:paraId="1543D81E" w14:textId="17D9AFBA" w:rsidR="00881355" w:rsidRDefault="00881355" w:rsidP="00D02153">
            <w:pPr>
              <w:rPr>
                <w:rFonts w:cstheme="minorHAnsi"/>
              </w:rPr>
            </w:pPr>
            <w:r>
              <w:rPr>
                <w:rFonts w:cstheme="minorHAnsi"/>
              </w:rPr>
              <w:t>Problem Identification</w:t>
            </w:r>
          </w:p>
        </w:tc>
        <w:tc>
          <w:tcPr>
            <w:tcW w:w="3359" w:type="dxa"/>
          </w:tcPr>
          <w:p w14:paraId="66C6A906" w14:textId="079A43EA" w:rsidR="00881355" w:rsidRDefault="00881355" w:rsidP="00D02153">
            <w:pPr>
              <w:rPr>
                <w:rFonts w:cstheme="minorHAnsi"/>
              </w:rPr>
            </w:pPr>
            <w:r>
              <w:rPr>
                <w:rFonts w:cstheme="minorHAnsi"/>
              </w:rPr>
              <w:t>The Business Responsibility</w:t>
            </w:r>
          </w:p>
        </w:tc>
        <w:tc>
          <w:tcPr>
            <w:tcW w:w="3273" w:type="dxa"/>
          </w:tcPr>
          <w:p w14:paraId="6E4F38DF" w14:textId="0E24E39F" w:rsidR="00881355" w:rsidRDefault="00881355" w:rsidP="00D02153">
            <w:pPr>
              <w:rPr>
                <w:rFonts w:cstheme="minorHAnsi"/>
              </w:rPr>
            </w:pPr>
            <w:r>
              <w:rPr>
                <w:rFonts w:cstheme="minorHAnsi"/>
              </w:rPr>
              <w:t>RMS Responsibility</w:t>
            </w:r>
          </w:p>
        </w:tc>
        <w:tc>
          <w:tcPr>
            <w:tcW w:w="4145" w:type="dxa"/>
          </w:tcPr>
          <w:p w14:paraId="156EC867" w14:textId="42AF9416" w:rsidR="00881355" w:rsidRDefault="00881355" w:rsidP="00D02153">
            <w:pPr>
              <w:rPr>
                <w:rFonts w:cstheme="minorHAnsi"/>
              </w:rPr>
            </w:pPr>
            <w:r>
              <w:rPr>
                <w:rFonts w:cstheme="minorHAnsi"/>
              </w:rPr>
              <w:t>SSP Responsibility</w:t>
            </w:r>
          </w:p>
        </w:tc>
        <w:tc>
          <w:tcPr>
            <w:tcW w:w="4104" w:type="dxa"/>
          </w:tcPr>
          <w:p w14:paraId="52586736" w14:textId="059370AE" w:rsidR="00881355" w:rsidRDefault="00881355" w:rsidP="00D02153">
            <w:pPr>
              <w:rPr>
                <w:rFonts w:cstheme="minorHAnsi"/>
              </w:rPr>
            </w:pPr>
            <w:r>
              <w:rPr>
                <w:rFonts w:cstheme="minorHAnsi"/>
              </w:rPr>
              <w:t>Next Steps after all three columns are done</w:t>
            </w:r>
          </w:p>
        </w:tc>
      </w:tr>
      <w:tr w:rsidR="00926092" w14:paraId="0DC8239A" w14:textId="77777777" w:rsidTr="00881355">
        <w:tc>
          <w:tcPr>
            <w:tcW w:w="3875" w:type="dxa"/>
          </w:tcPr>
          <w:p w14:paraId="088DF904" w14:textId="5CB4B524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EDAPT needs to allow for heavy geospatial analysis</w:t>
            </w:r>
          </w:p>
        </w:tc>
        <w:tc>
          <w:tcPr>
            <w:tcW w:w="2834" w:type="dxa"/>
          </w:tcPr>
          <w:p w14:paraId="4996B99D" w14:textId="1B961713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EDAPT does not allow for heavy geospatial analysis</w:t>
            </w:r>
          </w:p>
        </w:tc>
        <w:tc>
          <w:tcPr>
            <w:tcW w:w="3359" w:type="dxa"/>
          </w:tcPr>
          <w:p w14:paraId="365B877D" w14:textId="67FFE414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 specific technical operational testable requirements statements with case studies</w:t>
            </w:r>
          </w:p>
        </w:tc>
        <w:tc>
          <w:tcPr>
            <w:tcW w:w="3273" w:type="dxa"/>
          </w:tcPr>
          <w:p w14:paraId="70699CE0" w14:textId="5EDDCB99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Assist the business in developing their testable requirements statements into a document and proper format after they are drafted by the business</w:t>
            </w:r>
          </w:p>
        </w:tc>
        <w:tc>
          <w:tcPr>
            <w:tcW w:w="4145" w:type="dxa"/>
          </w:tcPr>
          <w:p w14:paraId="1EB42EBE" w14:textId="7DD8A1D7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solutions and options </w:t>
            </w:r>
            <w:proofErr w:type="gramStart"/>
            <w:r>
              <w:rPr>
                <w:rFonts w:cstheme="minorHAnsi"/>
              </w:rPr>
              <w:t>in light of</w:t>
            </w:r>
            <w:proofErr w:type="gramEnd"/>
            <w:r>
              <w:rPr>
                <w:rFonts w:cstheme="minorHAnsi"/>
              </w:rPr>
              <w:t xml:space="preserve"> the testable requirements statements and develop recommendations to review with business and TSPi</w:t>
            </w:r>
          </w:p>
        </w:tc>
        <w:tc>
          <w:tcPr>
            <w:tcW w:w="4104" w:type="dxa"/>
          </w:tcPr>
          <w:p w14:paraId="01720220" w14:textId="1E69C68C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to SSP for EA considerations and TSPi for system architecture considerations</w:t>
            </w:r>
          </w:p>
        </w:tc>
      </w:tr>
      <w:tr w:rsidR="00926092" w14:paraId="69A8860D" w14:textId="247C6A3F" w:rsidTr="00881355">
        <w:tc>
          <w:tcPr>
            <w:tcW w:w="3875" w:type="dxa"/>
          </w:tcPr>
          <w:p w14:paraId="3EEBEBE7" w14:textId="47A395B9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A s</w:t>
            </w:r>
            <w:r w:rsidRPr="00660F82">
              <w:rPr>
                <w:rFonts w:cstheme="minorHAnsi"/>
              </w:rPr>
              <w:t>eparate workspace i</w:t>
            </w:r>
            <w:r>
              <w:rPr>
                <w:rFonts w:cstheme="minorHAnsi"/>
              </w:rPr>
              <w:t>s set up i</w:t>
            </w:r>
            <w:r w:rsidRPr="00660F82">
              <w:rPr>
                <w:rFonts w:cstheme="minorHAnsi"/>
              </w:rPr>
              <w:t>n EDAPT that TSPi could develop out the DSP Hub environment and tools outside of the “workbench pilot”</w:t>
            </w:r>
          </w:p>
        </w:tc>
        <w:tc>
          <w:tcPr>
            <w:tcW w:w="2834" w:type="dxa"/>
          </w:tcPr>
          <w:p w14:paraId="7BC5C260" w14:textId="2E741B0B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The existing pilot effort is not on the DSP Hub urgent timeline</w:t>
            </w:r>
          </w:p>
        </w:tc>
        <w:tc>
          <w:tcPr>
            <w:tcW w:w="3359" w:type="dxa"/>
          </w:tcPr>
          <w:p w14:paraId="6CBEC553" w14:textId="5925DC89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Clearly communicate to SSP and RMS that this timeline is not going to work.</w:t>
            </w:r>
          </w:p>
        </w:tc>
        <w:tc>
          <w:tcPr>
            <w:tcW w:w="3273" w:type="dxa"/>
          </w:tcPr>
          <w:p w14:paraId="6DA4E315" w14:textId="019A0F7D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the EDAPT Data Scientist Workbench Pilot project to ensure a complete understanding of the business requirements at a high level</w:t>
            </w:r>
          </w:p>
        </w:tc>
        <w:tc>
          <w:tcPr>
            <w:tcW w:w="4145" w:type="dxa"/>
          </w:tcPr>
          <w:p w14:paraId="7A5DDF19" w14:textId="05C33C37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Obtain permission from Paul Chevalier to pursue an advanced soil data science workbench outside the pilot</w:t>
            </w:r>
          </w:p>
        </w:tc>
        <w:tc>
          <w:tcPr>
            <w:tcW w:w="4104" w:type="dxa"/>
          </w:tcPr>
          <w:p w14:paraId="5404AE61" w14:textId="1876A554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Celebrate</w:t>
            </w:r>
          </w:p>
        </w:tc>
      </w:tr>
      <w:tr w:rsidR="00926092" w14:paraId="3E5681F6" w14:textId="52A2A19E" w:rsidTr="00881355">
        <w:tc>
          <w:tcPr>
            <w:tcW w:w="3875" w:type="dxa"/>
          </w:tcPr>
          <w:p w14:paraId="012B9072" w14:textId="21DA680A" w:rsidR="00926092" w:rsidRDefault="00926092" w:rsidP="00926092">
            <w:pPr>
              <w:rPr>
                <w:rFonts w:cstheme="minorHAnsi"/>
              </w:rPr>
            </w:pPr>
            <w:r w:rsidRPr="00570116">
              <w:rPr>
                <w:rFonts w:cstheme="minorHAnsi"/>
              </w:rPr>
              <w:t>NASIS and SSURGO soil data needed for the MVP can be added to the EDAPT by January 15.</w:t>
            </w:r>
          </w:p>
        </w:tc>
        <w:tc>
          <w:tcPr>
            <w:tcW w:w="2834" w:type="dxa"/>
          </w:tcPr>
          <w:p w14:paraId="7F511238" w14:textId="03F37674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data to the EDAPT is potentially a blocker for the project</w:t>
            </w:r>
          </w:p>
        </w:tc>
        <w:tc>
          <w:tcPr>
            <w:tcW w:w="3359" w:type="dxa"/>
          </w:tcPr>
          <w:p w14:paraId="6434E002" w14:textId="2D089EDB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Itemize the data needs – these are currently in epics and stories with TSPi</w:t>
            </w:r>
          </w:p>
        </w:tc>
        <w:tc>
          <w:tcPr>
            <w:tcW w:w="3273" w:type="dxa"/>
          </w:tcPr>
          <w:p w14:paraId="5B82A73C" w14:textId="6346497B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Determine data sources and </w:t>
            </w:r>
            <w:proofErr w:type="gramStart"/>
            <w:r>
              <w:rPr>
                <w:rFonts w:cstheme="minorHAnsi"/>
              </w:rPr>
              <w:t>provide assistance</w:t>
            </w:r>
            <w:proofErr w:type="gramEnd"/>
            <w:r>
              <w:rPr>
                <w:rFonts w:cstheme="minorHAnsi"/>
              </w:rPr>
              <w:t xml:space="preserve"> as needed. Interface with TSPi on the epics and stories that itemize the MVP data sources</w:t>
            </w:r>
          </w:p>
        </w:tc>
        <w:tc>
          <w:tcPr>
            <w:tcW w:w="4145" w:type="dxa"/>
          </w:tcPr>
          <w:p w14:paraId="2CB0955B" w14:textId="54B01AE6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Determine any blockers – help remove them</w:t>
            </w:r>
          </w:p>
        </w:tc>
        <w:tc>
          <w:tcPr>
            <w:tcW w:w="4104" w:type="dxa"/>
          </w:tcPr>
          <w:p w14:paraId="441F1732" w14:textId="0C022C7D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Celebrate</w:t>
            </w:r>
          </w:p>
        </w:tc>
      </w:tr>
      <w:tr w:rsidR="00926092" w14:paraId="3D971F9F" w14:textId="77C9A91C" w:rsidTr="00881355">
        <w:tc>
          <w:tcPr>
            <w:tcW w:w="3875" w:type="dxa"/>
          </w:tcPr>
          <w:p w14:paraId="4DD07D65" w14:textId="77777777" w:rsidR="00926092" w:rsidRPr="00D02153" w:rsidRDefault="00926092" w:rsidP="00926092">
            <w:pPr>
              <w:rPr>
                <w:rFonts w:cstheme="minorHAnsi"/>
              </w:rPr>
            </w:pPr>
            <w:r w:rsidRPr="00D02153">
              <w:rPr>
                <w:rFonts w:cstheme="minorHAnsi"/>
              </w:rPr>
              <w:t>A quarantined workspace that has a separate data management and data governance structure maintained by the DSP Hub owners for the libraries of activity data and stored procedures</w:t>
            </w:r>
          </w:p>
          <w:p w14:paraId="17C49A0E" w14:textId="77777777" w:rsidR="00926092" w:rsidRDefault="00926092" w:rsidP="00926092">
            <w:pPr>
              <w:rPr>
                <w:rFonts w:cstheme="minorHAnsi"/>
              </w:rPr>
            </w:pPr>
          </w:p>
        </w:tc>
        <w:tc>
          <w:tcPr>
            <w:tcW w:w="2834" w:type="dxa"/>
          </w:tcPr>
          <w:p w14:paraId="6C56BCD6" w14:textId="23A534FE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The current EDAPT environment does not meet the data governance standards of the DSP Hub for authoritative data</w:t>
            </w:r>
          </w:p>
        </w:tc>
        <w:tc>
          <w:tcPr>
            <w:tcW w:w="3359" w:type="dxa"/>
          </w:tcPr>
          <w:p w14:paraId="56974EF5" w14:textId="3E5097F9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Clearly communicate to SSP and RMS that this is a critical project factor that cannot be outsourced to Accenture</w:t>
            </w:r>
          </w:p>
        </w:tc>
        <w:tc>
          <w:tcPr>
            <w:tcW w:w="3273" w:type="dxa"/>
          </w:tcPr>
          <w:p w14:paraId="05BCF888" w14:textId="608BB7AD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Work with SSP as needed to clarify requirements for developing a separate workspace that can have data management and data governance specifically for authoritative DSP data</w:t>
            </w:r>
          </w:p>
        </w:tc>
        <w:tc>
          <w:tcPr>
            <w:tcW w:w="4145" w:type="dxa"/>
          </w:tcPr>
          <w:p w14:paraId="66F6CDE5" w14:textId="3B8BB5BF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Determine size and tools needed from testable statements developed by the business and data source analysis</w:t>
            </w:r>
          </w:p>
          <w:p w14:paraId="014A182E" w14:textId="77777777" w:rsidR="00926092" w:rsidRDefault="00926092" w:rsidP="00926092">
            <w:pPr>
              <w:rPr>
                <w:rFonts w:cstheme="minorHAnsi"/>
              </w:rPr>
            </w:pPr>
          </w:p>
          <w:p w14:paraId="08E10194" w14:textId="2545C959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 a solution to propose to the business</w:t>
            </w:r>
          </w:p>
          <w:p w14:paraId="77C2B6E2" w14:textId="77777777" w:rsidR="00926092" w:rsidRDefault="00926092" w:rsidP="00926092">
            <w:pPr>
              <w:rPr>
                <w:rFonts w:cstheme="minorHAnsi"/>
              </w:rPr>
            </w:pPr>
          </w:p>
          <w:p w14:paraId="01ED9174" w14:textId="759BC8C9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Ensure that the recommended solution complies with policy and guidance </w:t>
            </w:r>
          </w:p>
        </w:tc>
        <w:tc>
          <w:tcPr>
            <w:tcW w:w="4104" w:type="dxa"/>
          </w:tcPr>
          <w:p w14:paraId="0E69901C" w14:textId="2869B6BE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Mobilize development of the workspace</w:t>
            </w:r>
          </w:p>
        </w:tc>
      </w:tr>
      <w:tr w:rsidR="00926092" w14:paraId="5F9C4588" w14:textId="02CA3C3F" w:rsidTr="00881355">
        <w:tc>
          <w:tcPr>
            <w:tcW w:w="3875" w:type="dxa"/>
          </w:tcPr>
          <w:p w14:paraId="001DA634" w14:textId="77777777" w:rsidR="00926092" w:rsidRPr="00D02153" w:rsidRDefault="00926092" w:rsidP="00926092">
            <w:pPr>
              <w:rPr>
                <w:rFonts w:cstheme="minorHAnsi"/>
              </w:rPr>
            </w:pPr>
            <w:r w:rsidRPr="00D02153">
              <w:rPr>
                <w:rFonts w:cstheme="minorHAnsi"/>
              </w:rPr>
              <w:t xml:space="preserve">Adding data into the DSP Hub is streamlined so that the DSP Hub owners can manage data </w:t>
            </w:r>
          </w:p>
          <w:p w14:paraId="419DB00F" w14:textId="77777777" w:rsidR="00926092" w:rsidRPr="00D02153" w:rsidRDefault="00926092" w:rsidP="00926092">
            <w:pPr>
              <w:rPr>
                <w:rFonts w:cstheme="minorHAnsi"/>
              </w:rPr>
            </w:pPr>
          </w:p>
        </w:tc>
        <w:tc>
          <w:tcPr>
            <w:tcW w:w="2834" w:type="dxa"/>
          </w:tcPr>
          <w:p w14:paraId="59780CA9" w14:textId="4ED67325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Guidance on adding data to the EDAPT suggested all data will need approvals through the ACDO and through an Accenture process</w:t>
            </w:r>
          </w:p>
        </w:tc>
        <w:tc>
          <w:tcPr>
            <w:tcW w:w="3359" w:type="dxa"/>
          </w:tcPr>
          <w:p w14:paraId="6D8A87BC" w14:textId="356CAD5A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Clearly communicate to SSP and RMS that this is going to be a problem. Develop a business process for scientific peer review. </w:t>
            </w:r>
          </w:p>
        </w:tc>
        <w:tc>
          <w:tcPr>
            <w:tcW w:w="3273" w:type="dxa"/>
          </w:tcPr>
          <w:p w14:paraId="7686170D" w14:textId="603E8F13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 a workflow for the DSP Hub owners that can work for adding data</w:t>
            </w:r>
          </w:p>
        </w:tc>
        <w:tc>
          <w:tcPr>
            <w:tcW w:w="4145" w:type="dxa"/>
          </w:tcPr>
          <w:p w14:paraId="112F5353" w14:textId="64E0F9E8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Provide any enterprise architecture standards or data models that must be used. </w:t>
            </w:r>
            <w:bookmarkStart w:id="0" w:name="_GoBack"/>
            <w:bookmarkEnd w:id="0"/>
            <w:r>
              <w:rPr>
                <w:rFonts w:cstheme="minorHAnsi"/>
              </w:rPr>
              <w:t>Provide guidance to RMS on policies and solution and guidance on the potential workflow.</w:t>
            </w:r>
          </w:p>
        </w:tc>
        <w:tc>
          <w:tcPr>
            <w:tcW w:w="4104" w:type="dxa"/>
          </w:tcPr>
          <w:p w14:paraId="2375E799" w14:textId="46AD854F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 the workflow to the business for review and alignment to the data management and scientific peer review business process in the DSP Hub</w:t>
            </w:r>
          </w:p>
        </w:tc>
      </w:tr>
      <w:tr w:rsidR="00926092" w14:paraId="235E7B75" w14:textId="7D42A096" w:rsidTr="00881355">
        <w:tc>
          <w:tcPr>
            <w:tcW w:w="3875" w:type="dxa"/>
          </w:tcPr>
          <w:p w14:paraId="5146BE64" w14:textId="54102B08" w:rsidR="00926092" w:rsidRPr="00D02153" w:rsidRDefault="00926092" w:rsidP="00926092">
            <w:pPr>
              <w:rPr>
                <w:rFonts w:cstheme="minorHAnsi"/>
              </w:rPr>
            </w:pPr>
            <w:r w:rsidRPr="00D02153">
              <w:rPr>
                <w:rFonts w:cstheme="minorHAnsi"/>
              </w:rPr>
              <w:t xml:space="preserve">If the EDAPT is determined to not be feasible for the DSP Hub, the decision can be reversed with minimal technical debt to the budget of the DSP Hub project </w:t>
            </w:r>
          </w:p>
        </w:tc>
        <w:tc>
          <w:tcPr>
            <w:tcW w:w="2834" w:type="dxa"/>
          </w:tcPr>
          <w:p w14:paraId="2202DEF1" w14:textId="30CC0AAE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The design process we are using is not Agile.</w:t>
            </w:r>
          </w:p>
        </w:tc>
        <w:tc>
          <w:tcPr>
            <w:tcW w:w="3359" w:type="dxa"/>
          </w:tcPr>
          <w:p w14:paraId="632F8A82" w14:textId="495968C6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Communicate to SSP and RMS the need for an Agile design process within this separate area within EDAPT </w:t>
            </w:r>
          </w:p>
        </w:tc>
        <w:tc>
          <w:tcPr>
            <w:tcW w:w="3273" w:type="dxa"/>
          </w:tcPr>
          <w:p w14:paraId="31E17797" w14:textId="5354C0F6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Agile design article </w:t>
            </w:r>
            <w:r>
              <w:rPr>
                <w:rFonts w:cstheme="minorHAnsi"/>
              </w:rPr>
              <w:t>and other resources to ensure we are all on the same page</w:t>
            </w:r>
          </w:p>
        </w:tc>
        <w:tc>
          <w:tcPr>
            <w:tcW w:w="4145" w:type="dxa"/>
          </w:tcPr>
          <w:p w14:paraId="31B5B7F2" w14:textId="668DD06F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Agile design article and other resources to ensure we are all on the same page</w:t>
            </w:r>
          </w:p>
        </w:tc>
        <w:tc>
          <w:tcPr>
            <w:tcW w:w="4104" w:type="dxa"/>
          </w:tcPr>
          <w:p w14:paraId="0017A0B1" w14:textId="45AF39F7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Agile design article and itemize any issues that would prevent us from doing it this way within the workbench area.</w:t>
            </w:r>
          </w:p>
        </w:tc>
      </w:tr>
      <w:tr w:rsidR="00926092" w14:paraId="48F2F1A8" w14:textId="77777777" w:rsidTr="00881355">
        <w:tc>
          <w:tcPr>
            <w:tcW w:w="3875" w:type="dxa"/>
          </w:tcPr>
          <w:p w14:paraId="6191C3E2" w14:textId="5102A231" w:rsidR="00926092" w:rsidRPr="00D02153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DSP Hub is under contract with TSPi and needs to have proper permissions and access to the EDAPT environment</w:t>
            </w:r>
          </w:p>
        </w:tc>
        <w:tc>
          <w:tcPr>
            <w:tcW w:w="2834" w:type="dxa"/>
          </w:tcPr>
          <w:p w14:paraId="301491B7" w14:textId="1274E933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TSPi DBAs do not have access to EDAPT environment</w:t>
            </w:r>
          </w:p>
        </w:tc>
        <w:tc>
          <w:tcPr>
            <w:tcW w:w="3359" w:type="dxa"/>
          </w:tcPr>
          <w:p w14:paraId="2026E071" w14:textId="32A04D05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Clearly communicate that this is a project need </w:t>
            </w:r>
          </w:p>
        </w:tc>
        <w:tc>
          <w:tcPr>
            <w:tcW w:w="3273" w:type="dxa"/>
          </w:tcPr>
          <w:p w14:paraId="0E7D030E" w14:textId="507A6A94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situation </w:t>
            </w:r>
            <w:proofErr w:type="gramStart"/>
            <w:r>
              <w:rPr>
                <w:rFonts w:cstheme="minorHAnsi"/>
              </w:rPr>
              <w:t>in light of</w:t>
            </w:r>
            <w:proofErr w:type="gramEnd"/>
            <w:r>
              <w:rPr>
                <w:rFonts w:cstheme="minorHAnsi"/>
              </w:rPr>
              <w:t xml:space="preserve"> the business </w:t>
            </w:r>
            <w:proofErr w:type="spellStart"/>
            <w:r>
              <w:rPr>
                <w:rFonts w:cstheme="minorHAnsi"/>
              </w:rPr>
              <w:t>need.TBD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4145" w:type="dxa"/>
          </w:tcPr>
          <w:p w14:paraId="6CEAE5CF" w14:textId="5CC56409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Get access to the EDAPT environment for all TSPi staff that are working on the DSP Hub</w:t>
            </w:r>
          </w:p>
        </w:tc>
        <w:tc>
          <w:tcPr>
            <w:tcW w:w="4104" w:type="dxa"/>
          </w:tcPr>
          <w:p w14:paraId="0A7F191C" w14:textId="753D35A4" w:rsidR="00926092" w:rsidRDefault="00926092" w:rsidP="00926092">
            <w:pPr>
              <w:rPr>
                <w:rFonts w:cstheme="minorHAnsi"/>
              </w:rPr>
            </w:pPr>
            <w:r>
              <w:rPr>
                <w:rFonts w:cstheme="minorHAnsi"/>
              </w:rPr>
              <w:t>This access will assist with further agile design and analysis.</w:t>
            </w:r>
          </w:p>
        </w:tc>
      </w:tr>
    </w:tbl>
    <w:p w14:paraId="1EDE7595" w14:textId="77777777" w:rsidR="00D02153" w:rsidRDefault="00D02153" w:rsidP="00D02153">
      <w:pPr>
        <w:rPr>
          <w:rFonts w:cstheme="minorHAnsi"/>
        </w:rPr>
      </w:pPr>
    </w:p>
    <w:p w14:paraId="2B1FC9AA" w14:textId="77777777" w:rsidR="00545066" w:rsidRDefault="00926092"/>
    <w:sectPr w:rsidR="00545066" w:rsidSect="00881355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26B5"/>
    <w:multiLevelType w:val="hybridMultilevel"/>
    <w:tmpl w:val="D23AA16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53"/>
    <w:rsid w:val="00233AD7"/>
    <w:rsid w:val="00881355"/>
    <w:rsid w:val="00903E1F"/>
    <w:rsid w:val="00926092"/>
    <w:rsid w:val="00D0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7428"/>
  <w15:chartTrackingRefBased/>
  <w15:docId w15:val="{5E54F844-BC9F-4CAD-98EB-AF6538A2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53"/>
    <w:pPr>
      <w:ind w:left="720"/>
      <w:contextualSpacing/>
    </w:pPr>
  </w:style>
  <w:style w:type="table" w:styleId="TableGrid">
    <w:name w:val="Table Grid"/>
    <w:basedOn w:val="TableNormal"/>
    <w:uiPriority w:val="39"/>
    <w:rsid w:val="00D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Laura - FPAC-BC, Scarborough, ME</dc:creator>
  <cp:keywords/>
  <dc:description/>
  <cp:lastModifiedBy>Morton, Laura - FPAC-BC, Scarborough, ME</cp:lastModifiedBy>
  <cp:revision>1</cp:revision>
  <dcterms:created xsi:type="dcterms:W3CDTF">2021-01-12T11:03:00Z</dcterms:created>
  <dcterms:modified xsi:type="dcterms:W3CDTF">2021-01-12T11:32:00Z</dcterms:modified>
</cp:coreProperties>
</file>