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AA" w:rsidRDefault="002222AA" w:rsidP="002222AA">
      <w:pPr>
        <w:rPr>
          <w:color w:val="1F497D"/>
        </w:rPr>
      </w:pPr>
      <w:r>
        <w:rPr>
          <w:color w:val="1F497D"/>
        </w:rPr>
        <w:t>All –</w:t>
      </w:r>
    </w:p>
    <w:p w:rsidR="002222AA" w:rsidRDefault="002222AA" w:rsidP="002222AA">
      <w:pPr>
        <w:rPr>
          <w:color w:val="1F497D"/>
        </w:rPr>
      </w:pPr>
    </w:p>
    <w:p w:rsidR="002222AA" w:rsidRDefault="002222AA" w:rsidP="002222AA">
      <w:pPr>
        <w:rPr>
          <w:color w:val="1F497D"/>
        </w:rPr>
      </w:pPr>
      <w:r>
        <w:rPr>
          <w:color w:val="1F497D"/>
        </w:rPr>
        <w:t>There will be no laboratory prioritization meeting next week (Oct 14</w:t>
      </w:r>
      <w:r>
        <w:rPr>
          <w:color w:val="1F497D"/>
          <w:vertAlign w:val="superscript"/>
        </w:rPr>
        <w:t>th</w:t>
      </w:r>
      <w:r>
        <w:rPr>
          <w:color w:val="1F497D"/>
        </w:rPr>
        <w:t>) to keep us free just in case Anna Marie would like to have additional discussions concerning the databases.</w:t>
      </w:r>
    </w:p>
    <w:p w:rsidR="002222AA" w:rsidRDefault="002222AA" w:rsidP="002222AA">
      <w:pPr>
        <w:rPr>
          <w:color w:val="1F497D"/>
        </w:rPr>
      </w:pPr>
    </w:p>
    <w:p w:rsidR="002222AA" w:rsidRDefault="002222AA" w:rsidP="002222AA">
      <w:pPr>
        <w:rPr>
          <w:color w:val="1F497D"/>
        </w:rPr>
      </w:pPr>
    </w:p>
    <w:p w:rsidR="002222AA" w:rsidRDefault="002222AA" w:rsidP="002222AA">
      <w:pPr>
        <w:rPr>
          <w:rFonts w:ascii="Consolas" w:hAnsi="Consolas" w:cs="Consolas"/>
          <w:color w:val="1F497D"/>
          <w:sz w:val="19"/>
          <w:szCs w:val="19"/>
        </w:rPr>
      </w:pPr>
      <w:r>
        <w:rPr>
          <w:rFonts w:ascii="Consolas" w:hAnsi="Consolas" w:cs="Consolas"/>
          <w:color w:val="1F497D"/>
          <w:sz w:val="19"/>
          <w:szCs w:val="19"/>
        </w:rPr>
        <w:t>Decision 1:  RaCA layers from the same pedon that have been assigned to multiple pedon records (Pedon Natural Keys) will be grouped with a single unique pedon natural key.</w:t>
      </w:r>
    </w:p>
    <w:p w:rsidR="002222AA" w:rsidRDefault="002222AA" w:rsidP="002222AA">
      <w:pPr>
        <w:rPr>
          <w:color w:val="1F497D"/>
        </w:rPr>
      </w:pPr>
    </w:p>
    <w:p w:rsidR="002222AA" w:rsidRDefault="002222AA" w:rsidP="002222AA">
      <w:pPr>
        <w:rPr>
          <w:color w:val="1F497D"/>
        </w:rPr>
      </w:pPr>
    </w:p>
    <w:p w:rsidR="002222AA" w:rsidRDefault="002222AA" w:rsidP="002222AA">
      <w:pPr>
        <w:rPr>
          <w:color w:val="1F497D"/>
        </w:rPr>
      </w:pPr>
      <w:r>
        <w:rPr>
          <w:color w:val="1F497D"/>
        </w:rPr>
        <w:t>Discussion regarding Pedon Completeness Index resulted in the following notes:</w:t>
      </w:r>
    </w:p>
    <w:p w:rsidR="002222AA" w:rsidRDefault="002222AA" w:rsidP="002222AA">
      <w:pPr>
        <w:rPr>
          <w:color w:val="1F497D"/>
        </w:rPr>
      </w:pPr>
    </w:p>
    <w:p w:rsidR="002222AA" w:rsidRDefault="002222AA" w:rsidP="002222AA">
      <w:pPr>
        <w:rPr>
          <w:color w:val="1F497D"/>
        </w:rPr>
      </w:pPr>
    </w:p>
    <w:p w:rsidR="002222AA" w:rsidRDefault="002222AA" w:rsidP="002222AA">
      <w:pPr>
        <w:rPr>
          <w:color w:val="1F497D"/>
        </w:rPr>
      </w:pPr>
      <w:r>
        <w:rPr>
          <w:color w:val="1F497D"/>
        </w:rPr>
        <w:t>This is the definition of the Pedon Completeness Index at this time:</w:t>
      </w:r>
    </w:p>
    <w:p w:rsidR="002222AA" w:rsidRDefault="002222AA" w:rsidP="002222AA">
      <w:pPr>
        <w:rPr>
          <w:color w:val="1F497D"/>
        </w:rPr>
      </w:pPr>
    </w:p>
    <w:p w:rsidR="002222AA" w:rsidRDefault="002222AA" w:rsidP="002222AA">
      <w:r>
        <w:rPr>
          <w:rFonts w:ascii="Consolas" w:hAnsi="Consolas" w:cs="Consolas"/>
          <w:color w:val="0000FF"/>
          <w:sz w:val="19"/>
          <w:szCs w:val="19"/>
        </w:rPr>
        <w:t>The Pedon Completeness Index is a relative number indicating how complete the analyses are for a particular pedon. The measurement is based upon the percentage of the horizons analyzed for particle size, organic carbon, bulk density, pH, cation exchange capacity, electrical conductivity, and fifteen bar water content.</w:t>
      </w:r>
    </w:p>
    <w:p w:rsidR="002222AA" w:rsidRDefault="002222AA" w:rsidP="002222AA">
      <w:pPr>
        <w:rPr>
          <w:color w:val="1F497D"/>
          <w:sz w:val="24"/>
          <w:szCs w:val="24"/>
        </w:rPr>
      </w:pPr>
    </w:p>
    <w:p w:rsidR="002222AA" w:rsidRDefault="002222AA" w:rsidP="002222AA">
      <w:pPr>
        <w:rPr>
          <w:color w:val="1F497D"/>
        </w:rPr>
      </w:pPr>
      <w:r>
        <w:rPr>
          <w:color w:val="1F497D"/>
        </w:rPr>
        <w:t>It was suggested that we provide the pedon completeness index in the ACCESS database and add it as a field in the NCSS Laboratory pedon table</w:t>
      </w:r>
    </w:p>
    <w:p w:rsidR="002222AA" w:rsidRDefault="002222AA" w:rsidP="002222AA">
      <w:pPr>
        <w:rPr>
          <w:color w:val="1F497D"/>
        </w:rPr>
      </w:pPr>
    </w:p>
    <w:p w:rsidR="002222AA" w:rsidRDefault="002222AA" w:rsidP="002222AA">
      <w:pPr>
        <w:rPr>
          <w:color w:val="1F497D"/>
        </w:rPr>
      </w:pPr>
      <w:r>
        <w:rPr>
          <w:color w:val="1F497D"/>
        </w:rPr>
        <w:t>It was also recommended to develop a string of characters as an indicator of completeness as well.</w:t>
      </w:r>
    </w:p>
    <w:p w:rsidR="002222AA" w:rsidRDefault="002222AA" w:rsidP="002222AA">
      <w:pPr>
        <w:rPr>
          <w:color w:val="1F497D"/>
        </w:rPr>
      </w:pPr>
    </w:p>
    <w:p w:rsidR="002222AA" w:rsidRDefault="002222AA" w:rsidP="002222AA">
      <w:pPr>
        <w:rPr>
          <w:color w:val="1F497D"/>
        </w:rPr>
      </w:pPr>
      <w:r>
        <w:rPr>
          <w:color w:val="1F497D"/>
        </w:rPr>
        <w:t>The proposed string is:    PROCBEW</w:t>
      </w:r>
    </w:p>
    <w:p w:rsidR="002222AA" w:rsidRDefault="002222AA" w:rsidP="002222AA">
      <w:pPr>
        <w:rPr>
          <w:color w:val="1F497D"/>
        </w:rPr>
      </w:pPr>
    </w:p>
    <w:p w:rsidR="002222AA" w:rsidRDefault="002222AA" w:rsidP="002222AA">
      <w:pPr>
        <w:rPr>
          <w:color w:val="1F497D"/>
        </w:rPr>
      </w:pPr>
      <w:r>
        <w:rPr>
          <w:color w:val="1F497D"/>
        </w:rPr>
        <w:t xml:space="preserve">Where </w:t>
      </w:r>
    </w:p>
    <w:p w:rsidR="002222AA" w:rsidRDefault="002222AA" w:rsidP="002222AA">
      <w:pPr>
        <w:rPr>
          <w:rFonts w:ascii="Consolas" w:hAnsi="Consolas" w:cs="Consolas"/>
          <w:color w:val="0000FF"/>
          <w:sz w:val="19"/>
          <w:szCs w:val="19"/>
        </w:rPr>
      </w:pPr>
      <w:r>
        <w:rPr>
          <w:rFonts w:ascii="Consolas" w:hAnsi="Consolas" w:cs="Consolas"/>
          <w:color w:val="0000FF"/>
          <w:sz w:val="19"/>
          <w:szCs w:val="19"/>
        </w:rPr>
        <w:t>P stands for particle size</w:t>
      </w:r>
    </w:p>
    <w:p w:rsidR="002222AA" w:rsidRDefault="002222AA" w:rsidP="002222AA">
      <w:pPr>
        <w:rPr>
          <w:rFonts w:ascii="Consolas" w:hAnsi="Consolas" w:cs="Consolas"/>
          <w:color w:val="0000FF"/>
          <w:sz w:val="19"/>
          <w:szCs w:val="19"/>
        </w:rPr>
      </w:pPr>
      <w:r>
        <w:rPr>
          <w:rFonts w:ascii="Consolas" w:hAnsi="Consolas" w:cs="Consolas"/>
          <w:color w:val="0000FF"/>
          <w:sz w:val="19"/>
          <w:szCs w:val="19"/>
        </w:rPr>
        <w:t>R stands for reaction/pH</w:t>
      </w:r>
    </w:p>
    <w:p w:rsidR="002222AA" w:rsidRDefault="002222AA" w:rsidP="002222AA">
      <w:pPr>
        <w:rPr>
          <w:rFonts w:ascii="Consolas" w:hAnsi="Consolas" w:cs="Consolas"/>
          <w:color w:val="0000FF"/>
          <w:sz w:val="19"/>
          <w:szCs w:val="19"/>
        </w:rPr>
      </w:pPr>
      <w:r>
        <w:rPr>
          <w:rFonts w:ascii="Consolas" w:hAnsi="Consolas" w:cs="Consolas"/>
          <w:color w:val="0000FF"/>
          <w:sz w:val="19"/>
          <w:szCs w:val="19"/>
        </w:rPr>
        <w:t>O stands for organic carbon</w:t>
      </w:r>
    </w:p>
    <w:p w:rsidR="002222AA" w:rsidRDefault="002222AA" w:rsidP="002222AA">
      <w:pPr>
        <w:rPr>
          <w:rFonts w:ascii="Consolas" w:hAnsi="Consolas" w:cs="Consolas"/>
          <w:color w:val="0000FF"/>
          <w:sz w:val="19"/>
          <w:szCs w:val="19"/>
        </w:rPr>
      </w:pPr>
      <w:r>
        <w:rPr>
          <w:rFonts w:ascii="Consolas" w:hAnsi="Consolas" w:cs="Consolas"/>
          <w:color w:val="0000FF"/>
          <w:sz w:val="19"/>
          <w:szCs w:val="19"/>
        </w:rPr>
        <w:t>C stands for cation exchange capacity</w:t>
      </w:r>
    </w:p>
    <w:p w:rsidR="002222AA" w:rsidRDefault="002222AA" w:rsidP="002222AA">
      <w:pPr>
        <w:rPr>
          <w:rFonts w:ascii="Consolas" w:hAnsi="Consolas" w:cs="Consolas"/>
          <w:color w:val="0000FF"/>
          <w:sz w:val="19"/>
          <w:szCs w:val="19"/>
        </w:rPr>
      </w:pPr>
      <w:r>
        <w:rPr>
          <w:rFonts w:ascii="Consolas" w:hAnsi="Consolas" w:cs="Consolas"/>
          <w:color w:val="0000FF"/>
          <w:sz w:val="19"/>
          <w:szCs w:val="19"/>
        </w:rPr>
        <w:t>B stands for bulk density</w:t>
      </w:r>
    </w:p>
    <w:p w:rsidR="002222AA" w:rsidRDefault="002222AA" w:rsidP="002222AA">
      <w:pPr>
        <w:rPr>
          <w:rFonts w:ascii="Consolas" w:hAnsi="Consolas" w:cs="Consolas"/>
          <w:color w:val="0000FF"/>
          <w:sz w:val="19"/>
          <w:szCs w:val="19"/>
        </w:rPr>
      </w:pPr>
      <w:r>
        <w:rPr>
          <w:rFonts w:ascii="Consolas" w:hAnsi="Consolas" w:cs="Consolas"/>
          <w:color w:val="0000FF"/>
          <w:sz w:val="19"/>
          <w:szCs w:val="19"/>
        </w:rPr>
        <w:t>E stands for electrical conductivity</w:t>
      </w:r>
    </w:p>
    <w:p w:rsidR="002222AA" w:rsidRDefault="002222AA" w:rsidP="002222AA">
      <w:pPr>
        <w:rPr>
          <w:rFonts w:ascii="Consolas" w:hAnsi="Consolas" w:cs="Consolas"/>
          <w:color w:val="0000FF"/>
          <w:sz w:val="19"/>
          <w:szCs w:val="19"/>
        </w:rPr>
      </w:pPr>
      <w:r>
        <w:rPr>
          <w:rFonts w:ascii="Consolas" w:hAnsi="Consolas" w:cs="Consolas"/>
          <w:color w:val="0000FF"/>
          <w:sz w:val="19"/>
          <w:szCs w:val="19"/>
        </w:rPr>
        <w:t>W stands for fifteen bar water content</w:t>
      </w:r>
    </w:p>
    <w:p w:rsidR="002222AA" w:rsidRDefault="002222AA" w:rsidP="002222AA">
      <w:pPr>
        <w:rPr>
          <w:rFonts w:ascii="Consolas" w:hAnsi="Consolas" w:cs="Consolas"/>
          <w:color w:val="0000FF"/>
          <w:sz w:val="19"/>
          <w:szCs w:val="19"/>
        </w:rPr>
      </w:pPr>
    </w:p>
    <w:p w:rsidR="002222AA" w:rsidRDefault="002222AA" w:rsidP="002222AA">
      <w:pPr>
        <w:rPr>
          <w:rFonts w:ascii="Consolas" w:hAnsi="Consolas" w:cs="Consolas"/>
          <w:color w:val="1F497D"/>
          <w:sz w:val="19"/>
          <w:szCs w:val="19"/>
        </w:rPr>
      </w:pPr>
    </w:p>
    <w:p w:rsidR="002222AA" w:rsidRDefault="002222AA" w:rsidP="002222AA">
      <w:pPr>
        <w:rPr>
          <w:color w:val="1F497D"/>
        </w:rPr>
      </w:pPr>
    </w:p>
    <w:p w:rsidR="002222AA" w:rsidRDefault="002222AA" w:rsidP="002222AA">
      <w:pPr>
        <w:rPr>
          <w:color w:val="1F497D"/>
        </w:rPr>
      </w:pPr>
      <w:r>
        <w:rPr>
          <w:color w:val="1F497D"/>
        </w:rPr>
        <w:t>Currently the Google fusion map is color coded using the completeness index as a number.</w:t>
      </w:r>
    </w:p>
    <w:p w:rsidR="002222AA" w:rsidRDefault="002222AA" w:rsidP="002222AA">
      <w:pPr>
        <w:rPr>
          <w:color w:val="1F497D"/>
        </w:rPr>
      </w:pPr>
    </w:p>
    <w:p w:rsidR="002222AA" w:rsidRDefault="002222AA" w:rsidP="002222AA">
      <w:pPr>
        <w:rPr>
          <w:color w:val="1F497D"/>
        </w:rPr>
      </w:pPr>
      <w:r>
        <w:rPr>
          <w:color w:val="1F497D"/>
        </w:rPr>
        <w:t>Should the map ever be generated using the string of characters, I am asking for comments on the following color scheme.</w:t>
      </w:r>
    </w:p>
    <w:p w:rsidR="002222AA" w:rsidRDefault="002222AA" w:rsidP="002222AA">
      <w:pPr>
        <w:rPr>
          <w:color w:val="1F497D"/>
        </w:rPr>
      </w:pPr>
    </w:p>
    <w:p w:rsidR="002222AA" w:rsidRDefault="002222AA" w:rsidP="002222AA">
      <w:pPr>
        <w:pStyle w:val="ListParagraph"/>
        <w:numPr>
          <w:ilvl w:val="0"/>
          <w:numId w:val="1"/>
        </w:numPr>
        <w:rPr>
          <w:rFonts w:ascii="Consolas" w:hAnsi="Consolas" w:cs="Consolas"/>
          <w:color w:val="0000FF"/>
          <w:sz w:val="19"/>
          <w:szCs w:val="19"/>
        </w:rPr>
      </w:pPr>
      <w:r>
        <w:rPr>
          <w:color w:val="1F497D"/>
        </w:rPr>
        <w:t xml:space="preserve">Large Green – most complete corresponding to </w:t>
      </w:r>
      <w:r>
        <w:rPr>
          <w:rFonts w:ascii="Consolas" w:hAnsi="Consolas" w:cs="Consolas"/>
          <w:color w:val="0000FF"/>
          <w:sz w:val="19"/>
          <w:szCs w:val="19"/>
        </w:rPr>
        <w:t> pedons with results for fifteen bar water content</w:t>
      </w:r>
    </w:p>
    <w:p w:rsidR="002222AA" w:rsidRDefault="002222AA" w:rsidP="002222AA">
      <w:pPr>
        <w:pStyle w:val="ListParagraph"/>
        <w:numPr>
          <w:ilvl w:val="0"/>
          <w:numId w:val="1"/>
        </w:numPr>
        <w:rPr>
          <w:rFonts w:ascii="Consolas" w:hAnsi="Consolas" w:cs="Consolas"/>
          <w:color w:val="0000FF"/>
          <w:sz w:val="19"/>
          <w:szCs w:val="19"/>
        </w:rPr>
      </w:pPr>
      <w:r>
        <w:rPr>
          <w:rFonts w:ascii="Consolas" w:hAnsi="Consolas" w:cs="Consolas"/>
          <w:color w:val="0000FF"/>
          <w:sz w:val="19"/>
          <w:szCs w:val="19"/>
        </w:rPr>
        <w:t>Large Purple – next most complete includes Eelectrical conductivity</w:t>
      </w:r>
    </w:p>
    <w:p w:rsidR="002222AA" w:rsidRDefault="002222AA" w:rsidP="002222AA">
      <w:pPr>
        <w:pStyle w:val="ListParagraph"/>
        <w:numPr>
          <w:ilvl w:val="0"/>
          <w:numId w:val="1"/>
        </w:numPr>
        <w:rPr>
          <w:rFonts w:ascii="Consolas" w:hAnsi="Consolas" w:cs="Consolas"/>
          <w:color w:val="0000FF"/>
          <w:sz w:val="19"/>
          <w:szCs w:val="19"/>
        </w:rPr>
      </w:pPr>
      <w:r>
        <w:rPr>
          <w:rFonts w:ascii="Consolas" w:hAnsi="Consolas" w:cs="Consolas"/>
          <w:color w:val="0000FF"/>
          <w:sz w:val="19"/>
          <w:szCs w:val="19"/>
        </w:rPr>
        <w:t>Small green – Soils with bulk density</w:t>
      </w:r>
    </w:p>
    <w:p w:rsidR="002222AA" w:rsidRDefault="002222AA" w:rsidP="002222AA">
      <w:pPr>
        <w:pStyle w:val="ListParagraph"/>
        <w:numPr>
          <w:ilvl w:val="0"/>
          <w:numId w:val="1"/>
        </w:numPr>
        <w:rPr>
          <w:rFonts w:ascii="Consolas" w:hAnsi="Consolas" w:cs="Consolas"/>
          <w:color w:val="0000FF"/>
          <w:sz w:val="19"/>
          <w:szCs w:val="19"/>
        </w:rPr>
      </w:pPr>
      <w:r>
        <w:rPr>
          <w:rFonts w:ascii="Consolas" w:hAnsi="Consolas" w:cs="Consolas"/>
          <w:color w:val="0000FF"/>
          <w:sz w:val="19"/>
          <w:szCs w:val="19"/>
        </w:rPr>
        <w:t>Small purple – Soils with Cation Exchange Capacity</w:t>
      </w:r>
    </w:p>
    <w:p w:rsidR="002222AA" w:rsidRDefault="002222AA" w:rsidP="002222AA">
      <w:pPr>
        <w:pStyle w:val="ListParagraph"/>
        <w:numPr>
          <w:ilvl w:val="0"/>
          <w:numId w:val="1"/>
        </w:numPr>
        <w:rPr>
          <w:rFonts w:ascii="Consolas" w:hAnsi="Consolas" w:cs="Consolas"/>
          <w:color w:val="0000FF"/>
          <w:sz w:val="19"/>
          <w:szCs w:val="19"/>
        </w:rPr>
      </w:pPr>
      <w:r>
        <w:rPr>
          <w:rFonts w:ascii="Consolas" w:hAnsi="Consolas" w:cs="Consolas"/>
          <w:color w:val="0000FF"/>
          <w:sz w:val="19"/>
          <w:szCs w:val="19"/>
        </w:rPr>
        <w:t>Small blue – Soils with organic carbon</w:t>
      </w:r>
    </w:p>
    <w:p w:rsidR="002222AA" w:rsidRDefault="002222AA" w:rsidP="002222AA">
      <w:pPr>
        <w:pStyle w:val="ListParagraph"/>
        <w:numPr>
          <w:ilvl w:val="0"/>
          <w:numId w:val="1"/>
        </w:numPr>
        <w:rPr>
          <w:rFonts w:ascii="Consolas" w:hAnsi="Consolas" w:cs="Consolas"/>
          <w:color w:val="0000FF"/>
          <w:sz w:val="19"/>
          <w:szCs w:val="19"/>
        </w:rPr>
      </w:pPr>
      <w:r>
        <w:rPr>
          <w:rFonts w:ascii="Consolas" w:hAnsi="Consolas" w:cs="Consolas"/>
          <w:color w:val="0000FF"/>
          <w:sz w:val="19"/>
          <w:szCs w:val="19"/>
        </w:rPr>
        <w:t>Small red – Soil with pH/reaction</w:t>
      </w:r>
    </w:p>
    <w:p w:rsidR="002222AA" w:rsidRDefault="002222AA" w:rsidP="002222AA">
      <w:pPr>
        <w:pStyle w:val="ListParagraph"/>
        <w:numPr>
          <w:ilvl w:val="0"/>
          <w:numId w:val="1"/>
        </w:numPr>
        <w:rPr>
          <w:rFonts w:ascii="Consolas" w:hAnsi="Consolas" w:cs="Consolas"/>
          <w:color w:val="0000FF"/>
          <w:sz w:val="19"/>
          <w:szCs w:val="19"/>
        </w:rPr>
      </w:pPr>
      <w:r>
        <w:rPr>
          <w:rFonts w:ascii="Consolas" w:hAnsi="Consolas" w:cs="Consolas"/>
          <w:color w:val="0000FF"/>
          <w:sz w:val="19"/>
          <w:szCs w:val="19"/>
        </w:rPr>
        <w:t>Small yellow – Soils with particle size</w:t>
      </w:r>
    </w:p>
    <w:p w:rsidR="002222AA" w:rsidRDefault="002222AA" w:rsidP="002222AA">
      <w:pPr>
        <w:rPr>
          <w:rFonts w:ascii="Consolas" w:hAnsi="Consolas" w:cs="Consolas"/>
          <w:color w:val="0000FF"/>
          <w:sz w:val="19"/>
          <w:szCs w:val="19"/>
        </w:rPr>
      </w:pPr>
    </w:p>
    <w:p w:rsidR="002222AA" w:rsidRDefault="002222AA" w:rsidP="002222AA">
      <w:pPr>
        <w:rPr>
          <w:rFonts w:ascii="Consolas" w:hAnsi="Consolas" w:cs="Consolas"/>
          <w:color w:val="1F497D"/>
          <w:sz w:val="19"/>
          <w:szCs w:val="19"/>
        </w:rPr>
      </w:pPr>
      <w:r>
        <w:rPr>
          <w:rFonts w:ascii="Consolas" w:hAnsi="Consolas" w:cs="Consolas"/>
          <w:color w:val="1F497D"/>
          <w:sz w:val="19"/>
          <w:szCs w:val="19"/>
        </w:rPr>
        <w:t>The point is assigned to a color based upon the first indicator analysis in the pedon completeness script that returns a positive result, in the order indicated above 1-7.</w:t>
      </w:r>
    </w:p>
    <w:p w:rsidR="002222AA" w:rsidRDefault="002222AA" w:rsidP="002222AA">
      <w:pPr>
        <w:rPr>
          <w:rFonts w:ascii="Consolas" w:hAnsi="Consolas" w:cs="Consolas"/>
          <w:color w:val="1F497D"/>
          <w:sz w:val="19"/>
          <w:szCs w:val="19"/>
        </w:rPr>
      </w:pPr>
    </w:p>
    <w:p w:rsidR="002222AA" w:rsidRDefault="002222AA" w:rsidP="002222AA">
      <w:pPr>
        <w:rPr>
          <w:rFonts w:ascii="Consolas" w:hAnsi="Consolas" w:cs="Consolas"/>
          <w:color w:val="1F497D"/>
          <w:sz w:val="19"/>
          <w:szCs w:val="19"/>
        </w:rPr>
      </w:pPr>
    </w:p>
    <w:p w:rsidR="002222AA" w:rsidRDefault="002222AA" w:rsidP="002222AA">
      <w:pPr>
        <w:rPr>
          <w:rFonts w:ascii="Consolas" w:hAnsi="Consolas" w:cs="Consolas"/>
          <w:color w:val="1F497D"/>
          <w:sz w:val="19"/>
          <w:szCs w:val="19"/>
        </w:rPr>
      </w:pPr>
    </w:p>
    <w:p w:rsidR="00AB3E0E" w:rsidRDefault="00AB3E0E">
      <w:bookmarkStart w:id="0" w:name="_GoBack"/>
      <w:bookmarkEnd w:id="0"/>
    </w:p>
    <w:sectPr w:rsidR="00AB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8524D"/>
    <w:multiLevelType w:val="hybridMultilevel"/>
    <w:tmpl w:val="157A384A"/>
    <w:lvl w:ilvl="0" w:tplc="D24413E2">
      <w:start w:val="1"/>
      <w:numFmt w:val="decimal"/>
      <w:lvlText w:val="%1."/>
      <w:lvlJc w:val="left"/>
      <w:pPr>
        <w:ind w:left="720" w:hanging="360"/>
      </w:pPr>
      <w:rPr>
        <w:rFonts w:ascii="Calibri" w:hAnsi="Calibri" w:cs="Times New Roman" w:hint="default"/>
        <w:color w:val="1F497D"/>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AA"/>
    <w:rsid w:val="002222AA"/>
    <w:rsid w:val="00AB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2A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A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2A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75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85706285226E4C93E84758877A34AA" ma:contentTypeVersion="16" ma:contentTypeDescription="Create a new document." ma:contentTypeScope="" ma:versionID="b9fb40e815730571345c2c2f6306674b">
  <xsd:schema xmlns:xsd="http://www.w3.org/2001/XMLSchema" xmlns:xs="http://www.w3.org/2001/XMLSchema" xmlns:p="http://schemas.microsoft.com/office/2006/metadata/properties" targetNamespace="http://schemas.microsoft.com/office/2006/metadata/properties" ma:root="true" ma:fieldsID="ebcefe5f8a32db1d2e68c11c119509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0E25D4-6536-4D92-B44C-4B744911793F}"/>
</file>

<file path=customXml/itemProps2.xml><?xml version="1.0" encoding="utf-8"?>
<ds:datastoreItem xmlns:ds="http://schemas.openxmlformats.org/officeDocument/2006/customXml" ds:itemID="{F75CA925-1E65-49A8-9F15-C6678FAC8B9B}"/>
</file>

<file path=customXml/itemProps3.xml><?xml version="1.0" encoding="utf-8"?>
<ds:datastoreItem xmlns:ds="http://schemas.openxmlformats.org/officeDocument/2006/customXml" ds:itemID="{F0405A78-E991-4DE7-89CA-522DC5538887}"/>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Ferguson, Henry - NRCS, Lincoln, NE</dc:creator>
  <cp:lastModifiedBy>Ferguson, Henry - NRCS, Lincoln, NE</cp:lastModifiedBy>
  <cp:revision>1</cp:revision>
  <dcterms:created xsi:type="dcterms:W3CDTF">2014-11-21T13:11:00Z</dcterms:created>
  <dcterms:modified xsi:type="dcterms:W3CDTF">2014-11-21T13:12:00Z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0x0101004185706285226E4C93E84758877A34AA</vt:lpwstr>
  </property>
  <property fmtid="{D5CDD505-2E9C-101B-9397-08002B2CF9AE}" pid="3" name="Order">
    <vt:r8>200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