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4740" w14:textId="77777777" w:rsidR="002D0899" w:rsidRDefault="002D0899" w:rsidP="002D0899">
      <w:pPr>
        <w:pStyle w:val="Heading1"/>
        <w:rPr>
          <w:rFonts w:ascii="Georgia" w:eastAsia="Georgia" w:hAnsi="Georgia"/>
          <w:b/>
          <w:bCs/>
        </w:rPr>
      </w:pPr>
      <w:r w:rsidRPr="005E1FBF">
        <w:rPr>
          <w:rFonts w:ascii="Georgia" w:eastAsia="Georgia" w:hAnsi="Georgia"/>
          <w:b/>
          <w:bCs/>
        </w:rPr>
        <w:t xml:space="preserve">Lab Data Mart Talking Points </w:t>
      </w:r>
    </w:p>
    <w:p w14:paraId="1586114F" w14:textId="77777777" w:rsidR="002D0899" w:rsidRPr="005E1FBF" w:rsidRDefault="002D0899" w:rsidP="002D0899"/>
    <w:p w14:paraId="5352B9DF" w14:textId="77777777" w:rsidR="002D0899" w:rsidRDefault="002D0899" w:rsidP="002D0899">
      <w:pPr>
        <w:pStyle w:val="Heading2"/>
        <w:spacing w:before="45" w:beforeAutospacing="0"/>
        <w:rPr>
          <w:rFonts w:ascii="Georgia" w:eastAsia="Georgia" w:hAnsi="Georgia" w:cs="Georgia"/>
        </w:rPr>
      </w:pPr>
      <w:r w:rsidRPr="338838EA">
        <w:rPr>
          <w:rFonts w:ascii="Georgia" w:eastAsia="Georgia" w:hAnsi="Georgia" w:cs="Georgia"/>
          <w:color w:val="6888C9"/>
          <w:sz w:val="26"/>
          <w:szCs w:val="26"/>
        </w:rPr>
        <w:t>Background:</w:t>
      </w:r>
    </w:p>
    <w:p w14:paraId="27B1865E" w14:textId="62D4338A" w:rsidR="002D0899" w:rsidRDefault="002D0899" w:rsidP="002D0899">
      <w:pPr>
        <w:pStyle w:val="NormalWeb"/>
        <w:rPr>
          <w:rFonts w:ascii="Georgia" w:eastAsia="Georgia" w:hAnsi="Georgia" w:cs="Georgia"/>
          <w:b/>
          <w:bCs/>
          <w:color w:val="6888C9"/>
          <w:sz w:val="26"/>
          <w:szCs w:val="26"/>
        </w:rPr>
      </w:pPr>
      <w:r w:rsidRPr="338838EA">
        <w:rPr>
          <w:rFonts w:ascii="Georgia" w:eastAsia="Georgia" w:hAnsi="Georgia" w:cs="Georgia"/>
        </w:rPr>
        <w:t xml:space="preserve">Several years ago, </w:t>
      </w:r>
      <w:r>
        <w:rPr>
          <w:rFonts w:ascii="Georgia" w:eastAsia="Georgia" w:hAnsi="Georgia" w:cs="Georgia"/>
        </w:rPr>
        <w:t>a group of folks</w:t>
      </w:r>
      <w:r w:rsidRPr="338838EA">
        <w:rPr>
          <w:rFonts w:ascii="Georgia" w:eastAsia="Georgia" w:hAnsi="Georgia" w:cs="Georgia"/>
        </w:rPr>
        <w:t xml:space="preserve"> decided to create a set of NCSS Soil Characterization Tables that are easier to use than the current Microsoft ACCESS data base.</w:t>
      </w:r>
      <w:r>
        <w:rPr>
          <w:rFonts w:ascii="Georgia" w:eastAsia="Georgia" w:hAnsi="Georgia" w:cs="Georgia"/>
        </w:rPr>
        <w:t xml:space="preserve">  This was a collaborative effort from many people. </w:t>
      </w:r>
    </w:p>
    <w:p w14:paraId="607C7C45" w14:textId="77777777" w:rsidR="002D0899" w:rsidRPr="00892221" w:rsidRDefault="002D0899" w:rsidP="002D0899">
      <w:pPr>
        <w:spacing w:before="45" w:after="100" w:afterAutospacing="1" w:line="240" w:lineRule="auto"/>
        <w:outlineLvl w:val="1"/>
        <w:rPr>
          <w:rFonts w:ascii="Georgia" w:eastAsia="Georgia" w:hAnsi="Georgia" w:cs="Georgia"/>
          <w:b/>
          <w:bCs/>
          <w:sz w:val="36"/>
          <w:szCs w:val="36"/>
        </w:rPr>
      </w:pPr>
      <w:r w:rsidRPr="338838EA">
        <w:rPr>
          <w:rFonts w:ascii="Georgia" w:eastAsia="Georgia" w:hAnsi="Georgia" w:cs="Georgia"/>
          <w:b/>
          <w:bCs/>
          <w:color w:val="6888C9"/>
          <w:sz w:val="26"/>
          <w:szCs w:val="26"/>
        </w:rPr>
        <w:t>The concerns that the NRCS tried to address were:</w:t>
      </w:r>
    </w:p>
    <w:p w14:paraId="22B83EC8" w14:textId="77777777" w:rsidR="002D0899" w:rsidRPr="00892221" w:rsidRDefault="002D0899" w:rsidP="002D0899">
      <w:pPr>
        <w:numPr>
          <w:ilvl w:val="0"/>
          <w:numId w:val="4"/>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Reduce the numbers of tables and joins users have to make to use the data.</w:t>
      </w:r>
    </w:p>
    <w:p w14:paraId="114D3EB9" w14:textId="77777777" w:rsidR="002D0899" w:rsidRPr="00591BF5" w:rsidRDefault="002D0899" w:rsidP="002D0899">
      <w:pPr>
        <w:numPr>
          <w:ilvl w:val="0"/>
          <w:numId w:val="4"/>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Clear up any confusion between “measured data” and results of calculations that may use default values for bulk density 1/3 bar in the calculations.</w:t>
      </w:r>
    </w:p>
    <w:p w14:paraId="5B6BFE4C" w14:textId="77777777" w:rsidR="002D0899" w:rsidRPr="00892221" w:rsidRDefault="002D0899" w:rsidP="002D0899">
      <w:pPr>
        <w:spacing w:before="45" w:after="100" w:afterAutospacing="1" w:line="240" w:lineRule="auto"/>
        <w:outlineLvl w:val="1"/>
        <w:rPr>
          <w:rFonts w:ascii="Georgia" w:eastAsia="Georgia" w:hAnsi="Georgia" w:cs="Georgia"/>
          <w:b/>
          <w:bCs/>
          <w:sz w:val="36"/>
          <w:szCs w:val="36"/>
        </w:rPr>
      </w:pPr>
      <w:r w:rsidRPr="338838EA">
        <w:rPr>
          <w:rFonts w:ascii="Georgia" w:eastAsia="Georgia" w:hAnsi="Georgia" w:cs="Georgia"/>
          <w:b/>
          <w:bCs/>
          <w:color w:val="6888C9"/>
          <w:sz w:val="26"/>
          <w:szCs w:val="26"/>
        </w:rPr>
        <w:t>Additional objectives of the project are:</w:t>
      </w:r>
    </w:p>
    <w:p w14:paraId="59078133" w14:textId="77777777" w:rsidR="002D0899" w:rsidRPr="00892221" w:rsidRDefault="002D0899" w:rsidP="002D0899">
      <w:pPr>
        <w:numPr>
          <w:ilvl w:val="0"/>
          <w:numId w:val="3"/>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To make it easier to reconcile differences in rock fragment measurements and estimates recorded in the Laboratory Database and NASIS.</w:t>
      </w:r>
    </w:p>
    <w:p w14:paraId="0FF46855" w14:textId="77777777" w:rsidR="002D0899" w:rsidRPr="00591BF5" w:rsidRDefault="002D0899" w:rsidP="002D0899">
      <w:pPr>
        <w:numPr>
          <w:ilvl w:val="0"/>
          <w:numId w:val="3"/>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To make the tables available as a Web Feature Service as well as a Microsoft Access Database</w:t>
      </w:r>
    </w:p>
    <w:p w14:paraId="2E534073" w14:textId="77777777" w:rsidR="002D0899" w:rsidRPr="00892221" w:rsidRDefault="002D0899" w:rsidP="002D0899">
      <w:pPr>
        <w:spacing w:before="45" w:after="100" w:afterAutospacing="1" w:line="240" w:lineRule="auto"/>
        <w:outlineLvl w:val="1"/>
        <w:rPr>
          <w:rFonts w:ascii="Georgia" w:eastAsia="Georgia" w:hAnsi="Georgia" w:cs="Georgia"/>
          <w:b/>
          <w:bCs/>
          <w:sz w:val="36"/>
          <w:szCs w:val="36"/>
        </w:rPr>
      </w:pPr>
      <w:r w:rsidRPr="338838EA">
        <w:rPr>
          <w:rFonts w:ascii="Georgia" w:eastAsia="Georgia" w:hAnsi="Georgia" w:cs="Georgia"/>
          <w:b/>
          <w:bCs/>
          <w:color w:val="6888C9"/>
          <w:sz w:val="26"/>
          <w:szCs w:val="26"/>
        </w:rPr>
        <w:t>Accomplishments:</w:t>
      </w:r>
    </w:p>
    <w:p w14:paraId="4ADC3EC3" w14:textId="77777777" w:rsidR="002D0899" w:rsidRPr="00892221" w:rsidRDefault="002D0899" w:rsidP="002D0899">
      <w:p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 xml:space="preserve">The goal is to deliver the same data that is in the current Microsoft ACCESS database. The difference is that we wish to provide better metadata to the user to include: </w:t>
      </w:r>
    </w:p>
    <w:p w14:paraId="7E60A783" w14:textId="77777777" w:rsidR="002D0899" w:rsidRPr="00892221" w:rsidRDefault="002D0899" w:rsidP="002D0899">
      <w:pPr>
        <w:numPr>
          <w:ilvl w:val="0"/>
          <w:numId w:val="1"/>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Less cryptic column headers</w:t>
      </w:r>
    </w:p>
    <w:p w14:paraId="5D074346" w14:textId="77777777" w:rsidR="002D0899" w:rsidRPr="00892221" w:rsidRDefault="002D0899" w:rsidP="002D0899">
      <w:pPr>
        <w:numPr>
          <w:ilvl w:val="0"/>
          <w:numId w:val="1"/>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Better attribute definitions</w:t>
      </w:r>
    </w:p>
    <w:p w14:paraId="7AACC9D7" w14:textId="77777777" w:rsidR="002D0899" w:rsidRPr="00892221" w:rsidRDefault="002D0899" w:rsidP="002D0899">
      <w:pPr>
        <w:numPr>
          <w:ilvl w:val="0"/>
          <w:numId w:val="1"/>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 xml:space="preserve">A clear indication as to which results of calculations are from measured values and which are from estimates or default </w:t>
      </w:r>
    </w:p>
    <w:p w14:paraId="51C82F25" w14:textId="77777777" w:rsidR="002D0899" w:rsidRPr="00892221" w:rsidRDefault="002D0899" w:rsidP="002D0899">
      <w:pPr>
        <w:numPr>
          <w:ilvl w:val="0"/>
          <w:numId w:val="1"/>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Automate and streamline the process</w:t>
      </w:r>
      <w:r w:rsidRPr="338838EA">
        <w:rPr>
          <w:rFonts w:ascii="Georgia" w:eastAsia="Georgia" w:hAnsi="Georgia" w:cs="Georgia"/>
          <w:sz w:val="21"/>
          <w:szCs w:val="21"/>
        </w:rPr>
        <w:t xml:space="preserve"> </w:t>
      </w:r>
    </w:p>
    <w:p w14:paraId="07C589F8" w14:textId="77777777" w:rsidR="002D0899" w:rsidRPr="00892221" w:rsidRDefault="002D0899" w:rsidP="002D0899">
      <w:pPr>
        <w:numPr>
          <w:ilvl w:val="1"/>
          <w:numId w:val="1"/>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making the original 6-8 queries much more efficient (1 week and crashing to a few minutes)</w:t>
      </w:r>
    </w:p>
    <w:p w14:paraId="404A954F" w14:textId="77777777" w:rsidR="002D0899" w:rsidRPr="00892221" w:rsidRDefault="002D0899" w:rsidP="002D0899">
      <w:pPr>
        <w:numPr>
          <w:ilvl w:val="0"/>
          <w:numId w:val="1"/>
        </w:numPr>
        <w:spacing w:before="100" w:beforeAutospacing="1" w:after="100" w:afterAutospacing="1" w:line="240" w:lineRule="auto"/>
        <w:rPr>
          <w:rFonts w:ascii="Georgia" w:eastAsia="Georgia" w:hAnsi="Georgia" w:cs="Georgia"/>
          <w:sz w:val="21"/>
          <w:szCs w:val="21"/>
        </w:rPr>
      </w:pPr>
      <w:r w:rsidRPr="338838EA">
        <w:rPr>
          <w:rFonts w:ascii="Georgia" w:eastAsia="Georgia" w:hAnsi="Georgia" w:cs="Georgia"/>
          <w:sz w:val="24"/>
          <w:szCs w:val="24"/>
        </w:rPr>
        <w:t>Refresh data more frequently</w:t>
      </w:r>
    </w:p>
    <w:p w14:paraId="084EC39B"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Modernized KSSL lab data website to make the NCSS lab data mart web page more intuitive for the user, making it easier to navigate and find information.</w:t>
      </w:r>
    </w:p>
    <w:p w14:paraId="50B2C4DC"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Retained historical method for querying lab data and accessing query results.</w:t>
      </w:r>
    </w:p>
    <w:p w14:paraId="7537048F"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Implemented process for updating lab data on a regular basis.</w:t>
      </w:r>
    </w:p>
    <w:p w14:paraId="5AB6DD94"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Updated deliverable databases to include open-source databases and companion morphological data. Nearly all data in the Kellogg Soil Survey Laboratory and the associated pedon data are available for download. Customers can download SQLite, Access, GeoPackage, and ESRI File Geodatabases.</w:t>
      </w:r>
    </w:p>
    <w:p w14:paraId="345F6BE1"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Updated deliverable database so they utilize new simplified database model schema.</w:t>
      </w:r>
    </w:p>
    <w:p w14:paraId="4BBA6CE8"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New lab data model tables and columns available.</w:t>
      </w:r>
    </w:p>
    <w:p w14:paraId="49F0D5C6"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lastRenderedPageBreak/>
        <w:t>Interactive metadata documentation available for new lab tables.</w:t>
      </w:r>
    </w:p>
    <w:p w14:paraId="3745F06F"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Replaced ESRI Web map with open-source leaflet map and automated the data.</w:t>
      </w:r>
    </w:p>
    <w:p w14:paraId="1125B48F"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Enhanced map interface to allow users to create custom AOIs and download data in the database format of their choice.</w:t>
      </w:r>
    </w:p>
    <w:p w14:paraId="6E8C8A71"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 xml:space="preserve">Lab tables also assessable through Soil Data Access API. Developers and data scientist can access NCSS Characterization Data through the Soil Data Access (SDA) application and SDA webservices. Use the SDA query page to submit custom SQL queries through the SDA application and receive instant or e-mailed tabular results in </w:t>
      </w:r>
      <w:proofErr w:type="spellStart"/>
      <w:r w:rsidRPr="00591BF5">
        <w:rPr>
          <w:rFonts w:ascii="Georgia" w:eastAsia="Georgia" w:hAnsi="Georgia" w:cs="Georgia"/>
          <w:sz w:val="24"/>
          <w:szCs w:val="24"/>
        </w:rPr>
        <w:t>xlm</w:t>
      </w:r>
      <w:proofErr w:type="spellEnd"/>
      <w:r w:rsidRPr="00591BF5">
        <w:rPr>
          <w:rFonts w:ascii="Georgia" w:eastAsia="Georgia" w:hAnsi="Georgia" w:cs="Georgia"/>
          <w:sz w:val="24"/>
          <w:szCs w:val="24"/>
        </w:rPr>
        <w:t>, html, or text format. A suite of SDA webservices are available to meet a variety of customer needs. The pedon data associated with the NCSS Characterization data are not available through SDA.</w:t>
      </w:r>
    </w:p>
    <w:p w14:paraId="20A80F9B" w14:textId="77777777" w:rsidR="002D0899" w:rsidRPr="00591BF5" w:rsidRDefault="002D0899" w:rsidP="002D0899">
      <w:pPr>
        <w:numPr>
          <w:ilvl w:val="0"/>
          <w:numId w:val="1"/>
        </w:numPr>
        <w:spacing w:before="100" w:beforeAutospacing="1" w:after="100" w:afterAutospacing="1" w:line="240" w:lineRule="auto"/>
        <w:rPr>
          <w:rFonts w:ascii="Georgia" w:eastAsia="Georgia" w:hAnsi="Georgia" w:cs="Georgia"/>
          <w:sz w:val="24"/>
          <w:szCs w:val="24"/>
        </w:rPr>
      </w:pPr>
      <w:r w:rsidRPr="00591BF5">
        <w:rPr>
          <w:rFonts w:ascii="Georgia" w:eastAsia="Georgia" w:hAnsi="Georgia" w:cs="Georgia"/>
          <w:sz w:val="24"/>
          <w:szCs w:val="24"/>
        </w:rPr>
        <w:t>MIR data displayed on the map and available for download.</w:t>
      </w:r>
    </w:p>
    <w:p w14:paraId="6A6B7F34" w14:textId="77777777" w:rsidR="002D0899" w:rsidRDefault="002D0899" w:rsidP="002D0899">
      <w:pPr>
        <w:rPr>
          <w:rFonts w:ascii="Georgia" w:eastAsia="Georgia" w:hAnsi="Georgia" w:cs="Georgia"/>
        </w:rPr>
      </w:pPr>
    </w:p>
    <w:p w14:paraId="7E0BC035" w14:textId="77777777" w:rsidR="00B052AB" w:rsidRPr="002D0899" w:rsidRDefault="00B052AB" w:rsidP="002D0899"/>
    <w:sectPr w:rsidR="00B052AB" w:rsidRPr="002D0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096"/>
    <w:multiLevelType w:val="multilevel"/>
    <w:tmpl w:val="4EB02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94B16"/>
    <w:multiLevelType w:val="multilevel"/>
    <w:tmpl w:val="B028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76840"/>
    <w:multiLevelType w:val="multilevel"/>
    <w:tmpl w:val="73F0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16A3C"/>
    <w:multiLevelType w:val="multilevel"/>
    <w:tmpl w:val="7A56A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21"/>
    <w:rsid w:val="000724B1"/>
    <w:rsid w:val="002D0899"/>
    <w:rsid w:val="00892221"/>
    <w:rsid w:val="00B0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0CBC"/>
  <w15:chartTrackingRefBased/>
  <w15:docId w15:val="{8D9B8B1B-6A05-4E40-86E2-BBD9D565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899"/>
  </w:style>
  <w:style w:type="paragraph" w:styleId="Heading1">
    <w:name w:val="heading 1"/>
    <w:basedOn w:val="Normal"/>
    <w:next w:val="Normal"/>
    <w:link w:val="Heading1Char"/>
    <w:uiPriority w:val="9"/>
    <w:qFormat/>
    <w:rsid w:val="002D0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922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221"/>
    <w:rPr>
      <w:rFonts w:ascii="Times New Roman" w:eastAsia="Times New Roman" w:hAnsi="Times New Roman" w:cs="Times New Roman"/>
      <w:b/>
      <w:bCs/>
      <w:sz w:val="36"/>
      <w:szCs w:val="36"/>
    </w:rPr>
  </w:style>
  <w:style w:type="paragraph" w:styleId="NormalWeb">
    <w:name w:val="Normal (Web)"/>
    <w:basedOn w:val="Normal"/>
    <w:uiPriority w:val="99"/>
    <w:unhideWhenUsed/>
    <w:rsid w:val="008922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D08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1553">
      <w:bodyDiv w:val="1"/>
      <w:marLeft w:val="0"/>
      <w:marRight w:val="0"/>
      <w:marTop w:val="0"/>
      <w:marBottom w:val="0"/>
      <w:divBdr>
        <w:top w:val="none" w:sz="0" w:space="0" w:color="auto"/>
        <w:left w:val="none" w:sz="0" w:space="0" w:color="auto"/>
        <w:bottom w:val="none" w:sz="0" w:space="0" w:color="auto"/>
        <w:right w:val="none" w:sz="0" w:space="0" w:color="auto"/>
      </w:divBdr>
      <w:divsChild>
        <w:div w:id="1771046762">
          <w:marLeft w:val="0"/>
          <w:marRight w:val="0"/>
          <w:marTop w:val="0"/>
          <w:marBottom w:val="0"/>
          <w:divBdr>
            <w:top w:val="none" w:sz="0" w:space="0" w:color="auto"/>
            <w:left w:val="none" w:sz="0" w:space="0" w:color="auto"/>
            <w:bottom w:val="none" w:sz="0" w:space="0" w:color="auto"/>
            <w:right w:val="none" w:sz="0" w:space="0" w:color="auto"/>
          </w:divBdr>
        </w:div>
      </w:divsChild>
    </w:div>
    <w:div w:id="1167793003">
      <w:bodyDiv w:val="1"/>
      <w:marLeft w:val="0"/>
      <w:marRight w:val="0"/>
      <w:marTop w:val="0"/>
      <w:marBottom w:val="0"/>
      <w:divBdr>
        <w:top w:val="none" w:sz="0" w:space="0" w:color="auto"/>
        <w:left w:val="none" w:sz="0" w:space="0" w:color="auto"/>
        <w:bottom w:val="none" w:sz="0" w:space="0" w:color="auto"/>
        <w:right w:val="none" w:sz="0" w:space="0" w:color="auto"/>
      </w:divBdr>
      <w:divsChild>
        <w:div w:id="582835001">
          <w:marLeft w:val="0"/>
          <w:marRight w:val="0"/>
          <w:marTop w:val="0"/>
          <w:marBottom w:val="0"/>
          <w:divBdr>
            <w:top w:val="none" w:sz="0" w:space="0" w:color="auto"/>
            <w:left w:val="none" w:sz="0" w:space="0" w:color="auto"/>
            <w:bottom w:val="none" w:sz="0" w:space="0" w:color="auto"/>
            <w:right w:val="none" w:sz="0" w:space="0" w:color="auto"/>
          </w:divBdr>
          <w:divsChild>
            <w:div w:id="1668358314">
              <w:marLeft w:val="0"/>
              <w:marRight w:val="0"/>
              <w:marTop w:val="0"/>
              <w:marBottom w:val="0"/>
              <w:divBdr>
                <w:top w:val="none" w:sz="0" w:space="0" w:color="auto"/>
                <w:left w:val="none" w:sz="0" w:space="0" w:color="auto"/>
                <w:bottom w:val="none" w:sz="0" w:space="0" w:color="auto"/>
                <w:right w:val="none" w:sz="0" w:space="0" w:color="auto"/>
              </w:divBdr>
              <w:divsChild>
                <w:div w:id="539511752">
                  <w:marLeft w:val="0"/>
                  <w:marRight w:val="0"/>
                  <w:marTop w:val="0"/>
                  <w:marBottom w:val="0"/>
                  <w:divBdr>
                    <w:top w:val="none" w:sz="0" w:space="0" w:color="auto"/>
                    <w:left w:val="none" w:sz="0" w:space="0" w:color="auto"/>
                    <w:bottom w:val="none" w:sz="0" w:space="0" w:color="auto"/>
                    <w:right w:val="none" w:sz="0" w:space="0" w:color="auto"/>
                  </w:divBdr>
                  <w:divsChild>
                    <w:div w:id="17783074">
                      <w:marLeft w:val="0"/>
                      <w:marRight w:val="0"/>
                      <w:marTop w:val="0"/>
                      <w:marBottom w:val="0"/>
                      <w:divBdr>
                        <w:top w:val="none" w:sz="0" w:space="0" w:color="auto"/>
                        <w:left w:val="none" w:sz="0" w:space="0" w:color="auto"/>
                        <w:bottom w:val="none" w:sz="0" w:space="0" w:color="auto"/>
                        <w:right w:val="none" w:sz="0" w:space="0" w:color="auto"/>
                      </w:divBdr>
                      <w:divsChild>
                        <w:div w:id="305821147">
                          <w:marLeft w:val="0"/>
                          <w:marRight w:val="0"/>
                          <w:marTop w:val="0"/>
                          <w:marBottom w:val="0"/>
                          <w:divBdr>
                            <w:top w:val="none" w:sz="0" w:space="0" w:color="auto"/>
                            <w:left w:val="none" w:sz="0" w:space="0" w:color="auto"/>
                            <w:bottom w:val="none" w:sz="0" w:space="0" w:color="auto"/>
                            <w:right w:val="none" w:sz="0" w:space="0" w:color="auto"/>
                          </w:divBdr>
                          <w:divsChild>
                            <w:div w:id="19189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365293">
      <w:bodyDiv w:val="1"/>
      <w:marLeft w:val="0"/>
      <w:marRight w:val="0"/>
      <w:marTop w:val="0"/>
      <w:marBottom w:val="0"/>
      <w:divBdr>
        <w:top w:val="none" w:sz="0" w:space="0" w:color="auto"/>
        <w:left w:val="none" w:sz="0" w:space="0" w:color="auto"/>
        <w:bottom w:val="none" w:sz="0" w:space="0" w:color="auto"/>
        <w:right w:val="none" w:sz="0" w:space="0" w:color="auto"/>
      </w:divBdr>
      <w:divsChild>
        <w:div w:id="883103962">
          <w:marLeft w:val="0"/>
          <w:marRight w:val="0"/>
          <w:marTop w:val="0"/>
          <w:marBottom w:val="0"/>
          <w:divBdr>
            <w:top w:val="none" w:sz="0" w:space="0" w:color="auto"/>
            <w:left w:val="none" w:sz="0" w:space="0" w:color="auto"/>
            <w:bottom w:val="none" w:sz="0" w:space="0" w:color="auto"/>
            <w:right w:val="none" w:sz="0" w:space="0" w:color="auto"/>
          </w:divBdr>
          <w:divsChild>
            <w:div w:id="1441072166">
              <w:marLeft w:val="0"/>
              <w:marRight w:val="0"/>
              <w:marTop w:val="0"/>
              <w:marBottom w:val="0"/>
              <w:divBdr>
                <w:top w:val="none" w:sz="0" w:space="0" w:color="auto"/>
                <w:left w:val="none" w:sz="0" w:space="0" w:color="auto"/>
                <w:bottom w:val="none" w:sz="0" w:space="0" w:color="auto"/>
                <w:right w:val="none" w:sz="0" w:space="0" w:color="auto"/>
              </w:divBdr>
              <w:divsChild>
                <w:div w:id="302514785">
                  <w:marLeft w:val="0"/>
                  <w:marRight w:val="0"/>
                  <w:marTop w:val="0"/>
                  <w:marBottom w:val="0"/>
                  <w:divBdr>
                    <w:top w:val="none" w:sz="0" w:space="0" w:color="auto"/>
                    <w:left w:val="none" w:sz="0" w:space="0" w:color="auto"/>
                    <w:bottom w:val="none" w:sz="0" w:space="0" w:color="auto"/>
                    <w:right w:val="none" w:sz="0" w:space="0" w:color="auto"/>
                  </w:divBdr>
                  <w:divsChild>
                    <w:div w:id="522599936">
                      <w:marLeft w:val="0"/>
                      <w:marRight w:val="0"/>
                      <w:marTop w:val="0"/>
                      <w:marBottom w:val="0"/>
                      <w:divBdr>
                        <w:top w:val="none" w:sz="0" w:space="0" w:color="auto"/>
                        <w:left w:val="none" w:sz="0" w:space="0" w:color="auto"/>
                        <w:bottom w:val="none" w:sz="0" w:space="0" w:color="auto"/>
                        <w:right w:val="none" w:sz="0" w:space="0" w:color="auto"/>
                      </w:divBdr>
                      <w:divsChild>
                        <w:div w:id="891118920">
                          <w:marLeft w:val="0"/>
                          <w:marRight w:val="0"/>
                          <w:marTop w:val="0"/>
                          <w:marBottom w:val="0"/>
                          <w:divBdr>
                            <w:top w:val="none" w:sz="0" w:space="0" w:color="auto"/>
                            <w:left w:val="none" w:sz="0" w:space="0" w:color="auto"/>
                            <w:bottom w:val="none" w:sz="0" w:space="0" w:color="auto"/>
                            <w:right w:val="none" w:sz="0" w:space="0" w:color="auto"/>
                          </w:divBdr>
                          <w:divsChild>
                            <w:div w:id="6963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01933">
      <w:bodyDiv w:val="1"/>
      <w:marLeft w:val="0"/>
      <w:marRight w:val="0"/>
      <w:marTop w:val="0"/>
      <w:marBottom w:val="0"/>
      <w:divBdr>
        <w:top w:val="none" w:sz="0" w:space="0" w:color="auto"/>
        <w:left w:val="none" w:sz="0" w:space="0" w:color="auto"/>
        <w:bottom w:val="none" w:sz="0" w:space="0" w:color="auto"/>
        <w:right w:val="none" w:sz="0" w:space="0" w:color="auto"/>
      </w:divBdr>
      <w:divsChild>
        <w:div w:id="556551760">
          <w:marLeft w:val="0"/>
          <w:marRight w:val="0"/>
          <w:marTop w:val="0"/>
          <w:marBottom w:val="0"/>
          <w:divBdr>
            <w:top w:val="none" w:sz="0" w:space="0" w:color="auto"/>
            <w:left w:val="none" w:sz="0" w:space="0" w:color="auto"/>
            <w:bottom w:val="none" w:sz="0" w:space="0" w:color="auto"/>
            <w:right w:val="none" w:sz="0" w:space="0" w:color="auto"/>
          </w:divBdr>
        </w:div>
      </w:divsChild>
    </w:div>
    <w:div w:id="2146464874">
      <w:bodyDiv w:val="1"/>
      <w:marLeft w:val="0"/>
      <w:marRight w:val="0"/>
      <w:marTop w:val="0"/>
      <w:marBottom w:val="0"/>
      <w:divBdr>
        <w:top w:val="none" w:sz="0" w:space="0" w:color="auto"/>
        <w:left w:val="none" w:sz="0" w:space="0" w:color="auto"/>
        <w:bottom w:val="none" w:sz="0" w:space="0" w:color="auto"/>
        <w:right w:val="none" w:sz="0" w:space="0" w:color="auto"/>
      </w:divBdr>
      <w:divsChild>
        <w:div w:id="485901727">
          <w:marLeft w:val="0"/>
          <w:marRight w:val="0"/>
          <w:marTop w:val="0"/>
          <w:marBottom w:val="0"/>
          <w:divBdr>
            <w:top w:val="none" w:sz="0" w:space="0" w:color="auto"/>
            <w:left w:val="none" w:sz="0" w:space="0" w:color="auto"/>
            <w:bottom w:val="none" w:sz="0" w:space="0" w:color="auto"/>
            <w:right w:val="none" w:sz="0" w:space="0" w:color="auto"/>
          </w:divBdr>
          <w:divsChild>
            <w:div w:id="1181236439">
              <w:marLeft w:val="0"/>
              <w:marRight w:val="0"/>
              <w:marTop w:val="0"/>
              <w:marBottom w:val="0"/>
              <w:divBdr>
                <w:top w:val="none" w:sz="0" w:space="0" w:color="auto"/>
                <w:left w:val="none" w:sz="0" w:space="0" w:color="auto"/>
                <w:bottom w:val="none" w:sz="0" w:space="0" w:color="auto"/>
                <w:right w:val="none" w:sz="0" w:space="0" w:color="auto"/>
              </w:divBdr>
              <w:divsChild>
                <w:div w:id="844397041">
                  <w:marLeft w:val="0"/>
                  <w:marRight w:val="0"/>
                  <w:marTop w:val="0"/>
                  <w:marBottom w:val="0"/>
                  <w:divBdr>
                    <w:top w:val="none" w:sz="0" w:space="0" w:color="auto"/>
                    <w:left w:val="none" w:sz="0" w:space="0" w:color="auto"/>
                    <w:bottom w:val="none" w:sz="0" w:space="0" w:color="auto"/>
                    <w:right w:val="none" w:sz="0" w:space="0" w:color="auto"/>
                  </w:divBdr>
                  <w:divsChild>
                    <w:div w:id="1965890423">
                      <w:marLeft w:val="0"/>
                      <w:marRight w:val="0"/>
                      <w:marTop w:val="0"/>
                      <w:marBottom w:val="0"/>
                      <w:divBdr>
                        <w:top w:val="none" w:sz="0" w:space="0" w:color="auto"/>
                        <w:left w:val="none" w:sz="0" w:space="0" w:color="auto"/>
                        <w:bottom w:val="none" w:sz="0" w:space="0" w:color="auto"/>
                        <w:right w:val="none" w:sz="0" w:space="0" w:color="auto"/>
                      </w:divBdr>
                      <w:divsChild>
                        <w:div w:id="1304233647">
                          <w:marLeft w:val="0"/>
                          <w:marRight w:val="0"/>
                          <w:marTop w:val="0"/>
                          <w:marBottom w:val="0"/>
                          <w:divBdr>
                            <w:top w:val="none" w:sz="0" w:space="0" w:color="auto"/>
                            <w:left w:val="none" w:sz="0" w:space="0" w:color="auto"/>
                            <w:bottom w:val="none" w:sz="0" w:space="0" w:color="auto"/>
                            <w:right w:val="none" w:sz="0" w:space="0" w:color="auto"/>
                          </w:divBdr>
                          <w:divsChild>
                            <w:div w:id="12297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Nemecek, Jason - NRCS - Fort Collins, CO</dc:creator>
  <cp:keywords/>
  <dc:description/>
  <cp:lastModifiedBy>Nemecek, Jason - NRCS - Fort Collins, CO</cp:lastModifiedBy>
  <cp:revision>3</cp:revision>
  <dcterms:created xsi:type="dcterms:W3CDTF">2021-12-14T20:15:00Z</dcterms:created>
  <dcterms:modified xsi:type="dcterms:W3CDTF">2023-01-26T14:33:00Z</dcterms:modified>
</cp:coreProperties>
</file>