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120"/>
      </w:pPr>
      <w:r>
        <w:rPr>
          <w:rFonts w:ascii="Calibri" w:hAnsi="Calibri" w:eastAsia="Microsoft YaHei"/>
          <w:b/>
          <w:color w:val="2E74B5"/>
          <w:sz w:val="24"/>
        </w:rPr>
        <w:t>GEO OS</w:t>
      </w:r>
    </w:p>
    <w:p>
      <w:pPr>
        <w:spacing w:before="0" w:after="160"/>
      </w:pPr>
      <w:r>
        <w:rPr>
          <w:rFonts w:ascii="Calibri" w:hAnsi="Calibri" w:eastAsia="Microsoft YaHei"/>
          <w:b/>
          <w:color w:val="0B2545"/>
          <w:sz w:val="50"/>
        </w:rPr>
        <w:t>Technical Architecture Reconciliation V1.1</w:t>
      </w:r>
    </w:p>
    <w:p>
      <w:pPr>
        <w:spacing w:before="0" w:after="360"/>
      </w:pPr>
      <w:r>
        <w:rPr>
          <w:rFonts w:ascii="Calibri" w:hAnsi="Calibri" w:eastAsia="Microsoft YaHei"/>
          <w:color w:val="1F4D78"/>
          <w:sz w:val="30"/>
        </w:rPr>
        <w:t>技术架构对齐与 Gate 0 启动基线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F6B45"/>
          <w:left w:val="single" w:sz="8" w:space="0" w:color="2F6B45"/>
          <w:bottom w:val="single" w:sz="8" w:space="0" w:color="2F6B45"/>
          <w:right w:val="single" w:sz="8" w:space="0" w:color="2F6B45"/>
          <w:insideH w:val="single" w:sz="8" w:space="0" w:color="2F6B45"/>
          <w:insideV w:val="single" w:sz="8" w:space="0" w:color="2F6B4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2F6B45"/>
                <w:sz w:val="21"/>
              </w:rPr>
              <w:t xml:space="preserve">冻结结论  </w:t>
            </w:r>
            <w:r>
              <w:rPr>
                <w:rFonts w:ascii="Calibri" w:hAnsi="Calibri" w:eastAsia="Microsoft YaHei"/>
                <w:color w:val="0B2545"/>
                <w:sz w:val="21"/>
              </w:rPr>
              <w:t>批准启动，受六项 Gate 0 约束。允许脚手架、CI、基础设施和 Walking Skeleton 的非争议部分并行推进；Gate 0 未关闭前，不冻结核心业务表和正式客户指标。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160"/>
        <w:gridCol w:w="7200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冻结口径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文档版本</w:t>
            </w:r>
          </w:p>
        </w:tc>
        <w:tc>
          <w:tcPr>
            <w:tcW w:type="dxa" w:w="7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V1.1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文档状态</w:t>
            </w:r>
          </w:p>
        </w:tc>
        <w:tc>
          <w:tcPr>
            <w:tcW w:type="dxa" w:w="7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正式启动基线 / Gate 0 Controlled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基准日期</w:t>
            </w:r>
          </w:p>
        </w:tc>
        <w:tc>
          <w:tcPr>
            <w:tcW w:type="dxa" w:w="7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2026-08-21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适用范围</w:t>
            </w:r>
          </w:p>
        </w:tc>
        <w:tc>
          <w:tcPr>
            <w:tcW w:type="dxa" w:w="7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GEO OS Core Platform V1 与首条 Walking Skeleton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权威输入</w:t>
            </w:r>
          </w:p>
        </w:tc>
        <w:tc>
          <w:tcPr>
            <w:tcW w:type="dxa" w:w="7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总体方案 V1.0、Decision Pack A/B/C、Commercial MVP Scope Freeze 决议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批准结论</w:t>
            </w:r>
          </w:p>
        </w:tc>
        <w:tc>
          <w:tcPr>
            <w:tcW w:type="dxa" w:w="7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APPROVED TO START, SUBJECT TO SIX GATE 0 CONTROLS</w:t>
            </w:r>
          </w:p>
        </w:tc>
      </w:tr>
    </w:tbl>
    <w:p>
      <w:pPr>
        <w:spacing w:before="0" w:after="60"/>
      </w:pPr>
    </w:p>
    <w:p>
      <w:pPr>
        <w:spacing w:before="360" w:after="0"/>
      </w:pPr>
      <w:r>
        <w:rPr>
          <w:rFonts w:ascii="Calibri" w:hAnsi="Calibri" w:eastAsia="Microsoft YaHei"/>
          <w:i/>
          <w:color w:val="667085"/>
          <w:sz w:val="21"/>
        </w:rPr>
        <w:t>本文件不是新的业务方法论，也不替代 A/B/C。它负责把已冻结语义转化为可开发、可验证、可追踪的工程边界。</w:t>
      </w:r>
    </w:p>
    <w:p>
      <w:r>
        <w:br w:type="page"/>
      </w:r>
    </w:p>
    <w:p>
      <w:pPr>
        <w:pStyle w:val="Heading1"/>
      </w:pPr>
      <w:r>
        <w:t>1. 执行摘要与正式决议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00000"/>
          <w:sz w:val="22"/>
        </w:rPr>
        <w:t>本轮对齐确认现有技术方向继续有效：GEO Core 采用模块化单体；Real AI Query Engine、AI/Data Worker 作为独立运行单元；PostgreSQL 是事实存储；Redis 不得成为业务事实源；对象文件进入 Object Storage。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00000"/>
          <w:sz w:val="22"/>
        </w:rPr>
        <w:t>本文件解决的不是是否继续完善方法论，而是如何在不丢失整体性的前提下启动工程实现。正式批准状态为“批准启动，受六项 Gate 0 约束”。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管理原则  </w:t>
            </w:r>
            <w:r>
              <w:rPr>
                <w:rFonts w:ascii="Calibri" w:hAnsi="Calibri" w:eastAsia="Microsoft YaHei"/>
                <w:color w:val="0B2545"/>
                <w:sz w:val="21"/>
              </w:rPr>
              <w:t>Gate 0 只控制跨模块、后期难迁移的结构性决策。它不要求所有文档完成后才写代码，也不把未来治理平台提前建设进 V1。</w:t>
            </w:r>
          </w:p>
        </w:tc>
      </w:tr>
    </w:tbl>
    <w:p>
      <w:pPr>
        <w:spacing w:after="40"/>
      </w:pPr>
    </w:p>
    <w:p>
      <w:pPr>
        <w:pStyle w:val="Heading2"/>
      </w:pPr>
      <w:r>
        <w:t>1.1 成功标准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六项 Gate 0 均有 Owner、ADR、可执行产物、契约测试、已知限制和客观状态。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Walking Skeleton 能贯通 Tenant → Execution → Observation → Resolution → Metric → Snapshot → Report。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新增模块复用既有 Tenant、Identity、Policy、Assessment、Outbox 和 Snapshot 协议，不自行定义平行语义。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历史 Snapshot 与 Report 在策略、算法和项目配置变化后仍可准确复现。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V1 第三方机构在受控开通后可管理自有客户，且不存在跨租户数据侧漏。</w:t>
      </w:r>
    </w:p>
    <w:p>
      <w:pPr>
        <w:pStyle w:val="Heading2"/>
      </w:pPr>
      <w:r>
        <w:t>1.2 非目标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不在 V1 建设低代码动态规则平台。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不在 V1 建设自助注册、代理层级、白标、计费和开放 API。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不在 Walking Skeleton 阶段输出正式客户 Mention、Recommendation 或 Citation KPI。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不要求开工前一次填完全部 Contract Traceability Matrix。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不以微服务数量、消息吞吐量或基础设施复杂度作为架构成熟度指标。</w:t>
      </w:r>
    </w:p>
    <w:p>
      <w:pPr>
        <w:pStyle w:val="Heading1"/>
      </w:pPr>
      <w:r>
        <w:t>2. 文档权威顺序与变更控制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900"/>
        <w:gridCol w:w="3000"/>
        <w:gridCol w:w="546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权威来源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工程解释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已批准的冻结决议与勘误</w:t>
            </w:r>
          </w:p>
        </w:tc>
        <w:tc>
          <w:tcPr>
            <w:tcW w:type="dxa" w:w="5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控制启动边界、Gate 0 和后续变更流程。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Decision Pack A/B/C 最终冻结版</w:t>
            </w:r>
          </w:p>
        </w:tc>
        <w:tc>
          <w:tcPr>
            <w:tcW w:type="dxa" w:w="5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控制 Observation、Metric、Snapshot、Mention、Recommendation、Citation 和 Source 语义。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需求/产品/技术/业务背景 V1.0</w:t>
            </w:r>
          </w:p>
        </w:tc>
        <w:tc>
          <w:tcPr>
            <w:tcW w:type="dxa" w:w="5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控制宏观范围、产品路线、技术栈和非功能要求。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本文件及后续 ADR</w:t>
            </w:r>
          </w:p>
        </w:tc>
        <w:tc>
          <w:tcPr>
            <w:tcW w:type="dxa" w:w="5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将上位语义映射为工程决策，不得反向修改上位业务语义。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代码、数据库和 API</w:t>
            </w:r>
          </w:p>
        </w:tc>
        <w:tc>
          <w:tcPr>
            <w:tcW w:type="dxa" w:w="5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必须证明对上述契约的实现，不得以现有代码惯例覆盖冻结规则。</w:t>
            </w:r>
          </w:p>
        </w:tc>
      </w:tr>
    </w:tbl>
    <w:p>
      <w:pPr>
        <w:spacing w:before="0" w:after="60"/>
      </w:pP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00000"/>
          <w:sz w:val="22"/>
        </w:rPr>
        <w:t>冲突处理：下位契约可以在不违反上位语义的前提下细化到子指标；例如 Pack C 可以把 A2 对 CITATION_PARTIAL 的粗粒度默认影响细化到 Citation Presence、Count 和 Source Set，但不得把 UNKNOWN 转换成 0。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00000"/>
          <w:sz w:val="22"/>
        </w:rPr>
        <w:t>任何需要改变冻结语义的请求必须经过 Change Request → Impact Assessment → Contract Version Upgrade；普通开发 PR 不得完成此类变更。</w:t>
      </w:r>
    </w:p>
    <w:p>
      <w:pPr>
        <w:pStyle w:val="Heading1"/>
      </w:pPr>
      <w:r>
        <w:t>3. 总体架构基线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800"/>
        <w:gridCol w:w="3420"/>
        <w:gridCol w:w="414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运行单元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核心职责</w:t>
            </w:r>
          </w:p>
        </w:tc>
        <w:tc>
          <w:tcPr>
            <w:tcW w:type="dxa" w:w="4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禁止事项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GEO Web Console</w:t>
            </w:r>
          </w:p>
        </w:tc>
        <w:tc>
          <w:tcPr>
            <w:tcW w:type="dxa" w:w="34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配置、运营、复核、报告查看</w:t>
            </w:r>
          </w:p>
        </w:tc>
        <w:tc>
          <w:tcPr>
            <w:tcW w:type="dxa" w:w="41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不得在前端重新计算正式指标或自行解析业务状态。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GEO Core API</w:t>
            </w:r>
          </w:p>
        </w:tc>
        <w:tc>
          <w:tcPr>
            <w:tcW w:type="dxa" w:w="34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租户、客户、项目、问题、监测、干预、权限、策略绑定和审计</w:t>
            </w:r>
          </w:p>
        </w:tc>
        <w:tc>
          <w:tcPr>
            <w:tcW w:type="dxa" w:w="41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不得直接控制浏览器点击，也不得绕过领域服务修改历史事实。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Real AI Query Engine</w:t>
            </w:r>
          </w:p>
        </w:tc>
        <w:tc>
          <w:tcPr>
            <w:tcW w:type="dxa" w:w="34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资源分配、真实端面执行、响应检测、捕获和执行证据</w:t>
            </w:r>
          </w:p>
        </w:tc>
        <w:tc>
          <w:tcPr>
            <w:tcW w:type="dxa" w:w="41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不得决定 Mention/Recommendation/Citation 正式指标。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AI/Data Worker</w:t>
            </w:r>
          </w:p>
        </w:tc>
        <w:tc>
          <w:tcPr>
            <w:tcW w:type="dxa" w:w="34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抽取、分类、Assessment、Resolution 辅助、Measurement 和报告任务</w:t>
            </w:r>
          </w:p>
        </w:tc>
        <w:tc>
          <w:tcPr>
            <w:tcW w:type="dxa" w:w="41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不得覆盖 RawObservation，不得使用项目当前配置重写历史结果。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Model Gateway</w:t>
            </w:r>
          </w:p>
        </w:tc>
        <w:tc>
          <w:tcPr>
            <w:tcW w:type="dxa" w:w="34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内部模型调用、成本和 Prompt 版本记录</w:t>
            </w:r>
          </w:p>
        </w:tc>
        <w:tc>
          <w:tcPr>
            <w:tcW w:type="dxa" w:w="41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不得替代真实 AI Surface 观测。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Publisher Worker</w:t>
            </w:r>
          </w:p>
        </w:tc>
        <w:tc>
          <w:tcPr>
            <w:tcW w:type="dxa" w:w="34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后续发布适配器与人工辅助流程</w:t>
            </w:r>
          </w:p>
        </w:tc>
        <w:tc>
          <w:tcPr>
            <w:tcW w:type="dxa" w:w="41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不作为 V1 成立门禁。</w:t>
            </w:r>
          </w:p>
        </w:tc>
      </w:tr>
    </w:tbl>
    <w:p>
      <w:pPr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事实存储  </w:t>
            </w:r>
            <w:r>
              <w:rPr>
                <w:rFonts w:ascii="Calibri" w:hAnsi="Calibri" w:eastAsia="Microsoft YaHei"/>
                <w:color w:val="0B2545"/>
                <w:sz w:val="21"/>
              </w:rPr>
              <w:t>PostgreSQL 保存业务事实、历史和 Resolution；Object Storage 保存大对象证据；Redis 只保存可重建运行时状态。任何唯一业务事实不得只存在于 Redis 或队列中。</w:t>
            </w:r>
          </w:p>
        </w:tc>
      </w:tr>
    </w:tbl>
    <w:p>
      <w:pPr>
        <w:spacing w:after="40"/>
      </w:pPr>
    </w:p>
    <w:p>
      <w:pPr>
        <w:pStyle w:val="Heading2"/>
      </w:pPr>
      <w:r>
        <w:t>3.1 模块边界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700"/>
        <w:gridCol w:w="3100"/>
        <w:gridCol w:w="5560"/>
      </w:tblGrid>
      <w:tr>
        <w:trPr>
          <w:tblHeader w:val="true"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序号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直接下游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01</w:t>
            </w:r>
          </w:p>
        </w:tc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IAM &amp; Tenant</w:t>
            </w:r>
          </w:p>
        </w:tc>
        <w:tc>
          <w:tcPr>
            <w:tcW w:type="dxa" w:w="5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所有租户业务模块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02</w:t>
            </w:r>
          </w:p>
        </w:tc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Customer / Brand / Project</w:t>
            </w:r>
          </w:p>
        </w:tc>
        <w:tc>
          <w:tcPr>
            <w:tcW w:type="dxa" w:w="5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Demand、Knowledge、Monitoring、Report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03</w:t>
            </w:r>
          </w:p>
        </w:tc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Contract &amp; Policy Release</w:t>
            </w:r>
          </w:p>
        </w:tc>
        <w:tc>
          <w:tcPr>
            <w:tcW w:type="dxa" w:w="5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Execution、Assessment、Resolution、Snapshot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04</w:t>
            </w:r>
          </w:p>
        </w:tc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Demand &amp; Question</w:t>
            </w:r>
          </w:p>
        </w:tc>
        <w:tc>
          <w:tcPr>
            <w:tcW w:type="dxa" w:w="5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Monitoring、Semantic Assessment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05</w:t>
            </w:r>
          </w:p>
        </w:tc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Brand Truth &amp; Evidence</w:t>
            </w:r>
          </w:p>
        </w:tc>
        <w:tc>
          <w:tcPr>
            <w:tcW w:type="dxa" w:w="5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Assessment、Intelligence、Content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06</w:t>
            </w:r>
          </w:p>
        </w:tc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Monitoring &amp; Sampling</w:t>
            </w:r>
          </w:p>
        </w:tc>
        <w:tc>
          <w:tcPr>
            <w:tcW w:type="dxa" w:w="5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Execution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07</w:t>
            </w:r>
          </w:p>
        </w:tc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Query Execution</w:t>
            </w:r>
          </w:p>
        </w:tc>
        <w:tc>
          <w:tcPr>
            <w:tcW w:type="dxa" w:w="5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Observation Capture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08</w:t>
            </w:r>
          </w:p>
        </w:tc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Observation Capture</w:t>
            </w:r>
          </w:p>
        </w:tc>
        <w:tc>
          <w:tcPr>
            <w:tcW w:type="dxa" w:w="5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Assessment / Resolution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09</w:t>
            </w:r>
          </w:p>
        </w:tc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Assessment / Review / Resolution</w:t>
            </w:r>
          </w:p>
        </w:tc>
        <w:tc>
          <w:tcPr>
            <w:tcW w:type="dxa" w:w="5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Measurement / Snapshot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Measurement &amp; Snapshot</w:t>
            </w:r>
          </w:p>
        </w:tc>
        <w:tc>
          <w:tcPr>
            <w:tcW w:type="dxa" w:w="5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Intelligence、Report、Verification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11</w:t>
            </w:r>
          </w:p>
        </w:tc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Citation &amp; Source</w:t>
            </w:r>
          </w:p>
        </w:tc>
        <w:tc>
          <w:tcPr>
            <w:tcW w:type="dxa" w:w="5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Measurement、Source Intelligence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GEO Intelligence</w:t>
            </w:r>
          </w:p>
        </w:tc>
        <w:tc>
          <w:tcPr>
            <w:tcW w:type="dxa" w:w="5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StrategyAction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13</w:t>
            </w:r>
          </w:p>
        </w:tc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Intervention &amp; Verification</w:t>
            </w:r>
          </w:p>
        </w:tc>
        <w:tc>
          <w:tcPr>
            <w:tcW w:type="dxa" w:w="5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New Sampling / Snapshot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14</w:t>
            </w:r>
          </w:p>
        </w:tc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Report &amp; Delivery</w:t>
            </w:r>
          </w:p>
        </w:tc>
        <w:tc>
          <w:tcPr>
            <w:tcW w:type="dxa" w:w="5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客户交付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15</w:t>
            </w:r>
          </w:p>
        </w:tc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Resource / Cost / Audit</w:t>
            </w:r>
          </w:p>
        </w:tc>
        <w:tc>
          <w:tcPr>
            <w:tcW w:type="dxa" w:w="5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管理与经营分析</w:t>
            </w:r>
          </w:p>
        </w:tc>
      </w:tr>
    </w:tbl>
    <w:p>
      <w:pPr>
        <w:spacing w:before="0" w:after="60"/>
      </w:pP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00000"/>
          <w:sz w:val="22"/>
        </w:rPr>
        <w:t>依赖必须保持单向。Report 只能消费被冻结的 Snapshot；Query Engine 只产生执行和捕获事实；Worker 通过领域命令或受控事件写入对应模块，不得跨 Schema 任意更新。</w:t>
      </w:r>
    </w:p>
    <w:p>
      <w:pPr>
        <w:pStyle w:val="Heading1"/>
      </w:pPr>
      <w:r>
        <w:t>4. 四条冻结注释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850"/>
        <w:gridCol w:w="3640"/>
        <w:gridCol w:w="4870"/>
      </w:tblGrid>
      <w:tr>
        <w:trPr>
          <w:tblHeader w:val="true"/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冻结注释</w:t>
            </w:r>
          </w:p>
        </w:tc>
        <w:tc>
          <w:tcPr>
            <w:tcW w:type="dxa" w:w="4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工程含义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FZ-01</w:t>
            </w:r>
          </w:p>
        </w:tc>
        <w:tc>
          <w:tcPr>
            <w:tcW w:type="dxa" w:w="36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V1 Tenant Workspace 仅支持受控开通和管理自有客户。</w:t>
            </w:r>
          </w:p>
        </w:tc>
        <w:tc>
          <w:tcPr>
            <w:tcW w:type="dxa" w:w="487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不实现自助注册、代理层级、白标、计费和开放 API。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FZ-02</w:t>
            </w:r>
          </w:p>
        </w:tc>
        <w:tc>
          <w:tcPr>
            <w:tcW w:type="dxa" w:w="36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全局身份目录不得直接对租户暴露。</w:t>
            </w:r>
          </w:p>
        </w:tc>
        <w:tc>
          <w:tcPr>
            <w:tcW w:type="dxa" w:w="487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证据、关系、观测与可见性通过租户上下文对象隔离，禁止跨租户信息侧漏。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FZ-03</w:t>
            </w:r>
          </w:p>
        </w:tc>
        <w:tc>
          <w:tcPr>
            <w:tcW w:type="dxa" w:w="36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Project Policy Binding 只是默认配置。</w:t>
            </w:r>
          </w:p>
        </w:tc>
        <w:tc>
          <w:tcPr>
            <w:tcW w:type="dxa" w:w="487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Execution、Assessment、Resolution 和 Snapshot 分别保存实际 policy_release_id。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FZ-04</w:t>
            </w:r>
          </w:p>
        </w:tc>
        <w:tc>
          <w:tcPr>
            <w:tcW w:type="dxa" w:w="36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Walking Skeleton 不提前形成正式客户 KPI。</w:t>
            </w:r>
          </w:p>
        </w:tc>
        <w:tc>
          <w:tcPr>
            <w:tcW w:type="dxa" w:w="487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MetricContribution 使用测试指标或冻结的最小 ANSWER_OUTCOME；Basic Report 只验证 Snapshot 消费链。</w:t>
            </w:r>
          </w:p>
        </w:tc>
      </w:tr>
    </w:tbl>
    <w:p>
      <w:pPr>
        <w:spacing w:before="0" w:after="60"/>
      </w:pPr>
    </w:p>
    <w:p>
      <w:pPr>
        <w:pStyle w:val="Heading1"/>
      </w:pPr>
      <w:r>
        <w:t>5. Gate 0 治理模型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00000"/>
          <w:sz w:val="22"/>
        </w:rPr>
        <w:t>Gate 关闭必须基于客观证据，而不是会议口头确认。Gate 状态只允许 OPEN / CLOSED；尚未具备全部证据时保持 OPEN，并通过 Known Limitations 说明当前边界。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870"/>
        <w:gridCol w:w="7490"/>
      </w:tblGrid>
      <w:tr>
        <w:trPr>
          <w:tblHeader w:val="true"/>
          <w:cantSplit/>
        </w:trPr>
        <w:tc>
          <w:tcPr>
            <w:tcW w:type="dxa" w:w="1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7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87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Gate ID</w:t>
            </w:r>
          </w:p>
        </w:tc>
        <w:tc>
          <w:tcPr>
            <w:tcW w:type="dxa" w:w="749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稳定编号，例如 G0-01。</w:t>
            </w:r>
          </w:p>
        </w:tc>
      </w:tr>
      <w:tr>
        <w:trPr>
          <w:cantSplit/>
        </w:trPr>
        <w:tc>
          <w:tcPr>
            <w:tcW w:type="dxa" w:w="187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Owner</w:t>
            </w:r>
          </w:p>
        </w:tc>
        <w:tc>
          <w:tcPr>
            <w:tcW w:type="dxa" w:w="749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唯一直接责任人；协作者另列。</w:t>
            </w:r>
          </w:p>
        </w:tc>
      </w:tr>
      <w:tr>
        <w:trPr>
          <w:cantSplit/>
        </w:trPr>
        <w:tc>
          <w:tcPr>
            <w:tcW w:type="dxa" w:w="187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Decision / ADR</w:t>
            </w:r>
          </w:p>
        </w:tc>
        <w:tc>
          <w:tcPr>
            <w:tcW w:type="dxa" w:w="749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记录选择、替代方案和理由。</w:t>
            </w:r>
          </w:p>
        </w:tc>
      </w:tr>
      <w:tr>
        <w:trPr>
          <w:cantSplit/>
        </w:trPr>
        <w:tc>
          <w:tcPr>
            <w:tcW w:type="dxa" w:w="187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Executable Artifact</w:t>
            </w:r>
          </w:p>
        </w:tc>
        <w:tc>
          <w:tcPr>
            <w:tcW w:type="dxa" w:w="749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ERD、迁移、状态机、Schema、OpenAPI、AsyncAPI 或运行代码。</w:t>
            </w:r>
          </w:p>
        </w:tc>
      </w:tr>
      <w:tr>
        <w:trPr>
          <w:cantSplit/>
        </w:trPr>
        <w:tc>
          <w:tcPr>
            <w:tcW w:type="dxa" w:w="187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Contract Tests</w:t>
            </w:r>
          </w:p>
        </w:tc>
        <w:tc>
          <w:tcPr>
            <w:tcW w:type="dxa" w:w="749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能够自动或确定性验证该 Gate 的关键约束。</w:t>
            </w:r>
          </w:p>
        </w:tc>
      </w:tr>
      <w:tr>
        <w:trPr>
          <w:cantSplit/>
        </w:trPr>
        <w:tc>
          <w:tcPr>
            <w:tcW w:type="dxa" w:w="187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Known Limitations</w:t>
            </w:r>
          </w:p>
        </w:tc>
        <w:tc>
          <w:tcPr>
            <w:tcW w:type="dxa" w:w="749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明确尚未解决但不阻止当前阶段的事项。</w:t>
            </w:r>
          </w:p>
        </w:tc>
      </w:tr>
      <w:tr>
        <w:trPr>
          <w:cantSplit/>
        </w:trPr>
        <w:tc>
          <w:tcPr>
            <w:tcW w:type="dxa" w:w="187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749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OPEN / CLOSED。</w:t>
            </w:r>
          </w:p>
        </w:tc>
      </w:tr>
      <w:tr>
        <w:trPr>
          <w:cantSplit/>
        </w:trPr>
        <w:tc>
          <w:tcPr>
            <w:tcW w:type="dxa" w:w="187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Approved At</w:t>
            </w:r>
          </w:p>
        </w:tc>
        <w:tc>
          <w:tcPr>
            <w:tcW w:type="dxa" w:w="749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关闭批准时间与批准人。</w:t>
            </w:r>
          </w:p>
        </w:tc>
      </w:tr>
    </w:tbl>
    <w:p>
      <w:pPr>
        <w:spacing w:before="0" w:after="60"/>
      </w:pPr>
    </w:p>
    <w:p>
      <w:pPr>
        <w:pStyle w:val="Heading2"/>
      </w:pPr>
      <w:r>
        <w:t>5.1 初始 Gate Register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950"/>
        <w:gridCol w:w="2540"/>
        <w:gridCol w:w="4690"/>
        <w:gridCol w:w="1180"/>
      </w:tblGrid>
      <w:tr>
        <w:trPr>
          <w:tblHeader w:val="true"/>
          <w:cantSplit/>
        </w:trP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Gate</w:t>
            </w:r>
          </w:p>
        </w:tc>
        <w:tc>
          <w:tcPr>
            <w:tcW w:type="dxa" w:w="2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范围</w:t>
            </w:r>
          </w:p>
        </w:tc>
        <w:tc>
          <w:tcPr>
            <w:tcW w:type="dxa" w:w="4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最小可执行产物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初始状态</w:t>
            </w:r>
          </w:p>
        </w:tc>
      </w:tr>
      <w:tr>
        <w:trPr>
          <w:cantSplit/>
        </w:trPr>
        <w:tc>
          <w:tcPr>
            <w:tcW w:type="dxa" w:w="9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G0-01</w:t>
            </w:r>
          </w:p>
        </w:tc>
        <w:tc>
          <w:tcPr>
            <w:tcW w:type="dxa" w:w="25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Scope 与权威顺序</w:t>
            </w:r>
          </w:p>
        </w:tc>
        <w:tc>
          <w:tcPr>
            <w:tcW w:type="dxa" w:w="469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Scope Matrix、Authority ADR、变更流程</w:t>
            </w:r>
          </w:p>
        </w:tc>
        <w:tc>
          <w:tcPr>
            <w:tcW w:type="dxa" w:w="11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OPEN</w:t>
            </w:r>
          </w:p>
        </w:tc>
      </w:tr>
      <w:tr>
        <w:trPr>
          <w:cantSplit/>
        </w:trPr>
        <w:tc>
          <w:tcPr>
            <w:tcW w:type="dxa" w:w="9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G0-02</w:t>
            </w:r>
          </w:p>
        </w:tc>
        <w:tc>
          <w:tcPr>
            <w:tcW w:type="dxa" w:w="25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Tenant 与 Identity</w:t>
            </w:r>
          </w:p>
        </w:tc>
        <w:tc>
          <w:tcPr>
            <w:tcW w:type="dxa" w:w="469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Ownership Matrix、ID Contract、隔离测试</w:t>
            </w:r>
          </w:p>
        </w:tc>
        <w:tc>
          <w:tcPr>
            <w:tcW w:type="dxa" w:w="11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OPEN</w:t>
            </w:r>
          </w:p>
        </w:tc>
      </w:tr>
      <w:tr>
        <w:trPr>
          <w:cantSplit/>
        </w:trPr>
        <w:tc>
          <w:tcPr>
            <w:tcW w:type="dxa" w:w="9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G0-03</w:t>
            </w:r>
          </w:p>
        </w:tc>
        <w:tc>
          <w:tcPr>
            <w:tcW w:type="dxa" w:w="25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Observation 不可变生命周期</w:t>
            </w:r>
          </w:p>
        </w:tc>
        <w:tc>
          <w:tcPr>
            <w:tcW w:type="dxa" w:w="469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状态机、DDL 约束、Finalization 测试</w:t>
            </w:r>
          </w:p>
        </w:tc>
        <w:tc>
          <w:tcPr>
            <w:tcW w:type="dxa" w:w="11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OPEN</w:t>
            </w:r>
          </w:p>
        </w:tc>
      </w:tr>
      <w:tr>
        <w:trPr>
          <w:cantSplit/>
        </w:trPr>
        <w:tc>
          <w:tcPr>
            <w:tcW w:type="dxa" w:w="9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G0-04</w:t>
            </w:r>
          </w:p>
        </w:tc>
        <w:tc>
          <w:tcPr>
            <w:tcW w:type="dxa" w:w="25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Assessment / Review / Resolution</w:t>
            </w:r>
          </w:p>
        </w:tc>
        <w:tc>
          <w:tcPr>
            <w:tcW w:type="dxa" w:w="469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Envelope Schema、Resolution 规则、冲突测试</w:t>
            </w:r>
          </w:p>
        </w:tc>
        <w:tc>
          <w:tcPr>
            <w:tcW w:type="dxa" w:w="11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OPEN</w:t>
            </w:r>
          </w:p>
        </w:tc>
      </w:tr>
      <w:tr>
        <w:trPr>
          <w:cantSplit/>
        </w:trPr>
        <w:tc>
          <w:tcPr>
            <w:tcW w:type="dxa" w:w="9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G0-05</w:t>
            </w:r>
          </w:p>
        </w:tc>
        <w:tc>
          <w:tcPr>
            <w:tcW w:type="dxa" w:w="25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异步一致性</w:t>
            </w:r>
          </w:p>
        </w:tc>
        <w:tc>
          <w:tcPr>
            <w:tcW w:type="dxa" w:w="469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Outbox/Inbox Contract、幂等矩阵、故障测试</w:t>
            </w:r>
          </w:p>
        </w:tc>
        <w:tc>
          <w:tcPr>
            <w:tcW w:type="dxa" w:w="11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OPEN</w:t>
            </w:r>
          </w:p>
        </w:tc>
      </w:tr>
      <w:tr>
        <w:trPr>
          <w:cantSplit/>
        </w:trPr>
        <w:tc>
          <w:tcPr>
            <w:tcW w:type="dxa" w:w="9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G0-06</w:t>
            </w:r>
          </w:p>
        </w:tc>
        <w:tc>
          <w:tcPr>
            <w:tcW w:type="dxa" w:w="25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Snapshot Contract</w:t>
            </w:r>
          </w:p>
        </w:tc>
        <w:tc>
          <w:tcPr>
            <w:tcW w:type="dxa" w:w="469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两层 Membership、替代流程、复现测试</w:t>
            </w:r>
          </w:p>
        </w:tc>
        <w:tc>
          <w:tcPr>
            <w:tcW w:type="dxa" w:w="11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OPEN</w:t>
            </w:r>
          </w:p>
        </w:tc>
      </w:tr>
    </w:tbl>
    <w:p>
      <w:pPr>
        <w:spacing w:before="0" w:after="60"/>
      </w:pPr>
    </w:p>
    <w:p>
      <w:r>
        <w:br w:type="page"/>
      </w:r>
    </w:p>
    <w:p>
      <w:pPr>
        <w:pStyle w:val="Heading1"/>
      </w:pPr>
      <w:r>
        <w:t>6. G0-01｜Scope 与文档权威顺序</w:t>
      </w:r>
    </w:p>
    <w:p>
      <w:pPr>
        <w:pStyle w:val="Heading2"/>
      </w:pPr>
      <w:r>
        <w:t>6.1 允许并行启动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Monorepo、TypeScript/Python 工程规范、Lint、测试与构建。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Docker Compose、PostgreSQL、Redis、对象存储和本地开发环境。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迁移框架、认证骨架、Audit 基础设施、Outbox 基础设施。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Trace ID、结构化日志、OpenTelemetry 基础封装。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Walking Skeleton 中不依赖未关闭决策的技术骨架。</w:t>
      </w:r>
    </w:p>
    <w:p>
      <w:pPr>
        <w:pStyle w:val="Heading2"/>
      </w:pPr>
      <w:r>
        <w:t>6.2 Gate 0 未关闭前禁止冻结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核心业务表最终结构和跨模块外键策略。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正式客户 Mention、Recommendation、Citation KPI。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模块自行定义 Tenant、Identity、Assessment、Resolution、Outbox 或 Snapshot 语义。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只保存项目当前 Policy 而不保存实际 policy_release_id 的历史记录。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以 snapshot + result_json 替代成员和 Provenance 的实现。</w:t>
      </w:r>
    </w:p>
    <w:p>
      <w:pPr>
        <w:pStyle w:val="Heading1"/>
      </w:pPr>
      <w:r>
        <w:t>7. G0-02｜Tenant 与 Identity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200"/>
        <w:gridCol w:w="3320"/>
        <w:gridCol w:w="3840"/>
      </w:tblGrid>
      <w:tr>
        <w:trPr>
          <w:tblHeader w:val="true"/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Ownership Scope</w:t>
            </w:r>
          </w:p>
        </w:tc>
        <w:tc>
          <w:tcPr>
            <w:tcW w:type="dxa" w:w="3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适用对象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租户可见性与约束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SYSTEM_GLOBAL</w:t>
            </w:r>
          </w:p>
        </w:tc>
        <w:tc>
          <w:tcPr>
            <w:tcW w:type="dxa" w:w="33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Platform、Surface、Capability、Contract Definition、Policy Release</w:t>
            </w:r>
          </w:p>
        </w:tc>
        <w:tc>
          <w:tcPr>
            <w:tcW w:type="dxa" w:w="38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由平台维护；租户只可引用已发布版本。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TENANT_OWNED</w:t>
            </w:r>
          </w:p>
        </w:tc>
        <w:tc>
          <w:tcPr>
            <w:tcW w:type="dxa" w:w="33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Customer、Brand、Project、Question、Observation、Snapshot、Report</w:t>
            </w:r>
          </w:p>
        </w:tc>
        <w:tc>
          <w:tcPr>
            <w:tcW w:type="dxa" w:w="38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必须通过租户授权访问；原则上不可迁移所有权。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GLOBAL_IDENTITY_WITH_TENANT_CONTEXT</w:t>
            </w:r>
          </w:p>
        </w:tc>
        <w:tc>
          <w:tcPr>
            <w:tcW w:type="dxa" w:w="33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SourceDomain、SourceDocument 等可复用公共身份</w:t>
            </w:r>
          </w:p>
        </w:tc>
        <w:tc>
          <w:tcPr>
            <w:tcW w:type="dxa" w:w="38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全局目录不直接暴露；租户通过 Evidence、Binding、Relationship、Projection 引用。</w:t>
            </w:r>
          </w:p>
        </w:tc>
      </w:tr>
    </w:tbl>
    <w:p>
      <w:pPr>
        <w:spacing w:before="0" w:after="60"/>
      </w:pPr>
    </w:p>
    <w:p>
      <w:pPr>
        <w:pStyle w:val="Heading2"/>
      </w:pPr>
      <w:r>
        <w:t>7.1 V1 Tenant Workspace 边界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00000"/>
          <w:sz w:val="22"/>
        </w:rPr>
        <w:t>V1 支持平台受控创建 Tenant，Tenant Admin 管理本机构成员并创建自有 Customer、Brand 和 Project。客户侧访问使用 ProjectMembership 与 CLIENT_READONLY，不建立无限组织层级。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00000"/>
          <w:sz w:val="22"/>
        </w:rPr>
        <w:t>V1 不支持第三方自助注册、代理商父子层级、白标、在线计费、分佣和外部 API。上述能力不得反向改变当前 Tenant 数据安全边界。</w:t>
      </w:r>
    </w:p>
    <w:p>
      <w:pPr>
        <w:pStyle w:val="Heading2"/>
      </w:pPr>
      <w:r>
        <w:t>7.2 Identity 最小规则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业务 ID 使用不可重用的全局唯一标识；显示编号与内部 ID 分离。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任何外部可访问资源都通过授权检查，不以 UUID 难猜作为安全措施。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Tenant-owned 对象创建时固定 tenant_id；普通业务流程不得变更所有权。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唯一约束、幂等键、缓存键、对象存储路径和队列载荷必须声明 tenant scope。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平台管理员访问租户数据必须产生带 actor、reason 和 target 的 Audit Event。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待关闭事项  </w:t>
            </w:r>
            <w:r>
              <w:rPr>
                <w:rFonts w:ascii="Calibri" w:hAnsi="Calibri" w:eastAsia="Microsoft YaHei"/>
                <w:color w:val="0B2545"/>
                <w:sz w:val="21"/>
              </w:rPr>
              <w:t>SourceDocument 全局身份的合并/拆分、隐藏目录授权方式、tenant-context 引用结构和跨租户去重侧漏测试必须在 G0-02 关闭前形成可执行产物。</w:t>
            </w:r>
          </w:p>
        </w:tc>
      </w:tr>
    </w:tbl>
    <w:p>
      <w:pPr>
        <w:spacing w:after="40"/>
      </w:pPr>
    </w:p>
    <w:p>
      <w:pPr>
        <w:pStyle w:val="Heading1"/>
      </w:pPr>
      <w:r>
        <w:t>8. G0-03｜Observation 不可变生命周期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500"/>
        <w:gridCol w:w="3660"/>
        <w:gridCol w:w="4200"/>
      </w:tblGrid>
      <w:tr>
        <w:trPr>
          <w:tblHeader w:val="true"/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允许操作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禁止操作 / 退出条件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CAPTURING</w:t>
            </w:r>
          </w:p>
        </w:tc>
        <w:tc>
          <w:tcPr>
            <w:tcW w:type="dxa" w:w="36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追加 CaptureEvent、RawChunk、证据引用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不得产生正式 RawObservation；响应事实尚未封存。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FINALIZING</w:t>
            </w:r>
          </w:p>
        </w:tc>
        <w:tc>
          <w:tcPr>
            <w:tcW w:type="dxa" w:w="36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验证目标关联、清单、Hash、必需元数据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不得接受普通捕获追加；失败回到受控恢复流程。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FINALIZED</w:t>
            </w:r>
          </w:p>
        </w:tc>
        <w:tc>
          <w:tcPr>
            <w:tcW w:type="dxa" w:w="36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追加 Assessment、Review、Correction、Projection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Raw fact 禁止原地 UPDATE；Finalization 结果不可重复生成。</w:t>
            </w:r>
          </w:p>
        </w:tc>
      </w:tr>
    </w:tbl>
    <w:p>
      <w:pPr>
        <w:spacing w:before="0" w:after="60"/>
      </w:pPr>
    </w:p>
    <w:p>
      <w:pPr>
        <w:pStyle w:val="Heading2"/>
      </w:pPr>
      <w:r>
        <w:t>8.1 Finalization 原子边界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Finalization 必须固定 Capture Manifest、capture_hash、question_version、platform/surface、effective execution context 和文件引用。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数据库写入与对象清单必须具备可验证的一致性；对象上传成功但 Finalization 失败时进入可恢复的 orphan/pending 状态。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同一 ObservationCandidate 的 Finalization 使用幂等键，重复请求返回同一 RawObservation。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已证实元数据错误通过 CorrectionRecord 追加修正；有效读取由 Raw Value + Applicable Correction 产生。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合法删除通过 Tombstone / Audit 流程处理，不允许业务 Hard Delete。</w:t>
      </w:r>
    </w:p>
    <w:p>
      <w:pPr>
        <w:pStyle w:val="Heading2"/>
      </w:pPr>
      <w:r>
        <w:t>8.2 最小契约测试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200"/>
        <w:gridCol w:w="3690"/>
        <w:gridCol w:w="4470"/>
      </w:tblGrid>
      <w:tr>
        <w:trPr>
          <w:tblHeader w:val="true"/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测试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场景</w:t>
            </w:r>
          </w:p>
        </w:tc>
        <w:tc>
          <w:tcPr>
            <w:tcW w:type="dxa" w:w="44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预期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G03-T01</w:t>
            </w:r>
          </w:p>
        </w:tc>
        <w:tc>
          <w:tcPr>
            <w:tcW w:type="dxa" w:w="369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同一 idempotency key 重复 Finalize</w:t>
            </w:r>
          </w:p>
        </w:tc>
        <w:tc>
          <w:tcPr>
            <w:tcW w:type="dxa" w:w="447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只产生一个 RawObservation。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G03-T02</w:t>
            </w:r>
          </w:p>
        </w:tc>
        <w:tc>
          <w:tcPr>
            <w:tcW w:type="dxa" w:w="369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Finalized 后修改 raw_answer</w:t>
            </w:r>
          </w:p>
        </w:tc>
        <w:tc>
          <w:tcPr>
            <w:tcW w:type="dxa" w:w="447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数据库/服务层同时拒绝。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G03-T03</w:t>
            </w:r>
          </w:p>
        </w:tc>
        <w:tc>
          <w:tcPr>
            <w:tcW w:type="dxa" w:w="369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对象上传后数据库事务失败</w:t>
            </w:r>
          </w:p>
        </w:tc>
        <w:tc>
          <w:tcPr>
            <w:tcW w:type="dxa" w:w="447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可检测、可恢复，不产生半定稿观测。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G03-T04</w:t>
            </w:r>
          </w:p>
        </w:tc>
        <w:tc>
          <w:tcPr>
            <w:tcW w:type="dxa" w:w="369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时区字段证实错误</w:t>
            </w:r>
          </w:p>
        </w:tc>
        <w:tc>
          <w:tcPr>
            <w:tcW w:type="dxa" w:w="447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保留原值并追加 CorrectionRecord。</w:t>
            </w:r>
          </w:p>
        </w:tc>
      </w:tr>
    </w:tbl>
    <w:p>
      <w:pPr>
        <w:spacing w:before="0" w:after="60"/>
      </w:pPr>
    </w:p>
    <w:p>
      <w:pPr>
        <w:pStyle w:val="Heading1"/>
      </w:pPr>
      <w:r>
        <w:t>9. G0-04｜Assessment / Review / Resolution 协议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00000"/>
          <w:sz w:val="22"/>
        </w:rPr>
        <w:t>统一协议用于复用生命周期、证据、版本和审计，不建立万能业务大表。每个领域保持专用 Payload、状态和索引。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通用 Envelope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最小字段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Assessment</w:t>
            </w:r>
          </w:p>
        </w:tc>
        <w:tc>
          <w:tcPr>
            <w:tcW w:type="dxa" w:w="7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assessment_id、tenant_id、subject_id、scope、target、context_ref、method、policy_release_id、payload_schema_version、evidence_refs、created_at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Human Review</w:t>
            </w:r>
          </w:p>
        </w:tc>
        <w:tc>
          <w:tcPr>
            <w:tcW w:type="dxa" w:w="7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review_id、assessment scope/target/context、decision、reason_code、evidence_refs、reviewer、supersedes、status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Resolution</w:t>
            </w:r>
          </w:p>
        </w:tc>
        <w:tc>
          <w:tcPr>
            <w:tcW w:type="dxa" w:w="7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resolution_id、scope、target、context_ref、applicable assessment/review IDs、policy_release_id、effective outcome、created_at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Projection</w:t>
            </w:r>
          </w:p>
        </w:tc>
        <w:tc>
          <w:tcPr>
            <w:tcW w:type="dxa" w:w="7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current value、source resolution_id、rebuilt_at；仅为缓存，不是真实来源</w:t>
            </w:r>
          </w:p>
        </w:tc>
      </w:tr>
    </w:tbl>
    <w:p>
      <w:pPr>
        <w:spacing w:before="0" w:after="60"/>
      </w:pPr>
    </w:p>
    <w:p>
      <w:pPr>
        <w:pStyle w:val="Heading2"/>
      </w:pPr>
      <w:r>
        <w:t>9.1 强制解析规则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AssessmentScope + AssessmentTarget + ResolutionContext 共同定义粒度。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先在每个粒度选择 Current Applicable Assessment，再由 Resolution Policy 聚合；禁止全局 latest assessment wins。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Review 必须带授权、Reason Code 和 Primary Evidence；Reviewer Note 不能作为唯一证据。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硬完整性证据可以推翻过去 Review；Review Conflict 未裁决时 Effective Status = SUSPECT。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所有实际执行记录保存 policy_release_id，Project Binding 只提供默认选择。</w:t>
      </w:r>
    </w:p>
    <w:p>
      <w:pPr>
        <w:pStyle w:val="Heading1"/>
      </w:pPr>
      <w:r>
        <w:t>10. G0-05｜异步一致性与幂等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基本决议  </w:t>
            </w:r>
            <w:r>
              <w:rPr>
                <w:rFonts w:ascii="Calibri" w:hAnsi="Calibri" w:eastAsia="Microsoft YaHei"/>
                <w:color w:val="0B2545"/>
                <w:sz w:val="21"/>
              </w:rPr>
              <w:t>PostgreSQL 事务内写业务状态与 Outbox Event；发布器将事件投递 BullMQ；消费者使用 Inbox/Processed Message 或等效机制实现重复消费安全。Redis 队列不是事实来源。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3500"/>
        <w:gridCol w:w="5860"/>
      </w:tblGrid>
      <w:tr>
        <w:trPr>
          <w:tblHeader w:val="true"/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风险场景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必须采用的处理</w:t>
            </w:r>
          </w:p>
        </w:tc>
      </w:tr>
      <w:tr>
        <w:trPr>
          <w:cantSplit/>
        </w:trPr>
        <w:tc>
          <w:tcPr>
            <w:tcW w:type="dxa" w:w="3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数据库提交成功，队列投递失败</w:t>
            </w:r>
          </w:p>
        </w:tc>
        <w:tc>
          <w:tcPr>
            <w:tcW w:type="dxa" w:w="5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Outbox 保留未发布事件并重试。</w:t>
            </w:r>
          </w:p>
        </w:tc>
      </w:tr>
      <w:tr>
        <w:trPr>
          <w:cantSplit/>
        </w:trPr>
        <w:tc>
          <w:tcPr>
            <w:tcW w:type="dxa" w:w="3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同一消息重复投递</w:t>
            </w:r>
          </w:p>
        </w:tc>
        <w:tc>
          <w:tcPr>
            <w:tcW w:type="dxa" w:w="5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Consumer 使用 message_id + handler_version 幂等处理。</w:t>
            </w:r>
          </w:p>
        </w:tc>
      </w:tr>
      <w:tr>
        <w:trPr>
          <w:cantSplit/>
        </w:trPr>
        <w:tc>
          <w:tcPr>
            <w:tcW w:type="dxa" w:w="3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Worker 成功但回写超时</w:t>
            </w:r>
          </w:p>
        </w:tc>
        <w:tc>
          <w:tcPr>
            <w:tcW w:type="dxa" w:w="5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以业务幂等键查询既有结果，不重复创建事实对象。</w:t>
            </w:r>
          </w:p>
        </w:tc>
      </w:tr>
      <w:tr>
        <w:trPr>
          <w:cantSplit/>
        </w:trPr>
        <w:tc>
          <w:tcPr>
            <w:tcW w:type="dxa" w:w="3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Execution 重试</w:t>
            </w:r>
          </w:p>
        </w:tc>
        <w:tc>
          <w:tcPr>
            <w:tcW w:type="dxa" w:w="5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新的 ExecutionRun；仍服务同一 SampleSlot，不自动增加 Sample N。</w:t>
            </w:r>
          </w:p>
        </w:tc>
      </w:tr>
      <w:tr>
        <w:trPr>
          <w:cantSplit/>
        </w:trPr>
        <w:tc>
          <w:tcPr>
            <w:tcW w:type="dxa" w:w="3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Finalization 重试</w:t>
            </w:r>
          </w:p>
        </w:tc>
        <w:tc>
          <w:tcPr>
            <w:tcW w:type="dxa" w:w="5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同一 Candidate + finalization key 只产生一个 RawObservation。</w:t>
            </w:r>
          </w:p>
        </w:tc>
      </w:tr>
      <w:tr>
        <w:trPr>
          <w:cantSplit/>
        </w:trPr>
        <w:tc>
          <w:tcPr>
            <w:tcW w:type="dxa" w:w="3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Worker 崩溃并失去租约</w:t>
            </w:r>
          </w:p>
        </w:tc>
        <w:tc>
          <w:tcPr>
            <w:tcW w:type="dxa" w:w="5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Lease + Heartbeat 过期后可重新领取；终态由数据库状态机决定。</w:t>
            </w:r>
          </w:p>
        </w:tc>
      </w:tr>
      <w:tr>
        <w:trPr>
          <w:cantSplit/>
        </w:trPr>
        <w:tc>
          <w:tcPr>
            <w:tcW w:type="dxa" w:w="3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事件乱序</w:t>
            </w:r>
          </w:p>
        </w:tc>
        <w:tc>
          <w:tcPr>
            <w:tcW w:type="dxa" w:w="5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聚合版本/期望状态校验；非法转换进入可审计失败状态。</w:t>
            </w:r>
          </w:p>
        </w:tc>
      </w:tr>
    </w:tbl>
    <w:p>
      <w:pPr>
        <w:spacing w:before="0" w:after="60"/>
      </w:pPr>
    </w:p>
    <w:p>
      <w:pPr>
        <w:pStyle w:val="Heading2"/>
      </w:pPr>
      <w:r>
        <w:t>10.1 统一消息上下文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00000"/>
          <w:sz w:val="22"/>
        </w:rPr>
        <w:t>所有业务事件和任务至少携带 message_id、correlation_id、trace_id、tenant_id、project_id、aggregate_type、aggregate_id、aggregate_version、event_type、schema_version、occurred_at，以及本次实际 policy_release_id（如适用）。</w:t>
      </w:r>
    </w:p>
    <w:p>
      <w:pPr>
        <w:pStyle w:val="Heading1"/>
      </w:pPr>
      <w:r>
        <w:t>11. G0-06｜Snapshot Contract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00000"/>
          <w:sz w:val="22"/>
        </w:rPr>
        <w:t>MeasurementSnapshot 不是结果缓存，而是正式历史测量的封存对象。其事实来源是被冻结的成员关系和实际 Resolution Provenance，而不是未来重新运行同名算法。</w:t>
      </w:r>
    </w:p>
    <w:p>
      <w:pPr>
        <w:pStyle w:val="Heading2"/>
      </w:pPr>
      <w:r>
        <w:t>11.1 正交状态轴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700"/>
        <w:gridCol w:w="3300"/>
        <w:gridCol w:w="43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状态轴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取值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Lifecycle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DRAFT / FINALIZED / SUPERSEDED</w:t>
            </w:r>
          </w:p>
        </w:tc>
        <w:tc>
          <w:tcPr>
            <w:tcW w:type="dxa" w:w="43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描述快照是否定稿、是否被新版本替代。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Integrity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CLEAN / UNDER_REVIEW / IMPACTED</w:t>
            </w:r>
          </w:p>
        </w:tc>
        <w:tc>
          <w:tcPr>
            <w:tcW w:type="dxa" w:w="43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描述历史结果后来是否发现完整性问题。</w:t>
            </w:r>
          </w:p>
        </w:tc>
      </w:tr>
    </w:tbl>
    <w:p>
      <w:pPr>
        <w:spacing w:before="0" w:after="60"/>
      </w:pPr>
    </w:p>
    <w:p>
      <w:pPr>
        <w:pStyle w:val="Heading2"/>
      </w:pPr>
      <w:r>
        <w:t>11.2 两层 Membership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450"/>
        <w:gridCol w:w="2940"/>
        <w:gridCol w:w="3970"/>
      </w:tblGrid>
      <w:tr>
        <w:trPr>
          <w:tblHeader w:val="true"/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对象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回答的问题</w:t>
            </w:r>
          </w:p>
        </w:tc>
        <w:tc>
          <w:tcPr>
            <w:tcW w:type="dxa" w:w="3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必须冻结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SnapshotObservationMembership</w:t>
            </w:r>
          </w:p>
        </w:tc>
        <w:tc>
          <w:tcPr>
            <w:tcW w:type="dxa" w:w="29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哪些 Observation 构成基础观测集合？</w:t>
            </w:r>
          </w:p>
        </w:tc>
        <w:tc>
          <w:tcPr>
            <w:tcW w:type="dxa" w:w="397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snapshot、sample_slot、observation、observation_resolution_id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SnapshotMetricMembership</w:t>
            </w:r>
          </w:p>
        </w:tc>
        <w:tc>
          <w:tcPr>
            <w:tcW w:type="dxa" w:w="29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该 Observation 是否为某个 Metric 贡献？</w:t>
            </w:r>
          </w:p>
        </w:tc>
        <w:tc>
          <w:tcPr>
            <w:tcW w:type="dxa" w:w="397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metric_type、included、reason、eligibility_resolution_id、production_inclusion_decision_id、assessment IDs</w:t>
            </w:r>
          </w:p>
        </w:tc>
      </w:tr>
    </w:tbl>
    <w:p>
      <w:pPr>
        <w:spacing w:before="0" w:after="60"/>
      </w:pPr>
    </w:p>
    <w:p>
      <w:pPr>
        <w:pStyle w:val="Heading2"/>
      </w:pPr>
      <w:r>
        <w:t>11.3 历史替代机制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00000"/>
          <w:sz w:val="22"/>
        </w:rPr>
        <w:t>Finalized Snapshot 后发现错误时，原数字和 Membership 不自动改写；Integrity 标记为 IMPACTED。如需更正，创建 Replacement Snapshot，并通过 supersedes_snapshot_id / replacement_snapshot_id 形成显式替代链。Report 永久绑定其交付时 Snapshot ID。</w:t>
      </w:r>
    </w:p>
    <w:p>
      <w:pPr>
        <w:pStyle w:val="Heading1"/>
      </w:pPr>
      <w:r>
        <w:t>12. Policy Release 与实际绑定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00000"/>
          <w:sz w:val="22"/>
        </w:rPr>
        <w:t>V1 采用 Versioned Policy Manifest + Immutable Release Record + Code-based Evaluator，不建设动态低代码规则平台。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对象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PolicyDefinition</w:t>
            </w:r>
          </w:p>
        </w:tc>
        <w:tc>
          <w:tcPr>
            <w:tcW w:type="dxa" w:w="6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稳定策略身份、作用域和维护责任。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PolicyRelease</w:t>
            </w:r>
          </w:p>
        </w:tc>
        <w:tc>
          <w:tcPr>
            <w:tcW w:type="dxa" w:w="6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不可变版本、代码/配置摘要、Schema 版本、发布时间和状态。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ProjectPolicyBinding</w:t>
            </w:r>
          </w:p>
        </w:tc>
        <w:tc>
          <w:tcPr>
            <w:tcW w:type="dxa" w:w="6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项目默认选择；仅影响未来执行的缺省值。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Execution/Assessment/Resolution Binding</w:t>
            </w:r>
          </w:p>
        </w:tc>
        <w:tc>
          <w:tcPr>
            <w:tcW w:type="dxa" w:w="6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保存本次实际使用的 policy_release_id。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Snapshot Binding</w:t>
            </w:r>
          </w:p>
        </w:tc>
        <w:tc>
          <w:tcPr>
            <w:tcW w:type="dxa" w:w="6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冻结影响分母、成员、聚合和值的实际 Policy Release。</w:t>
            </w:r>
          </w:p>
        </w:tc>
      </w:tr>
    </w:tbl>
    <w:p>
      <w:pPr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历史保护  </w:t>
            </w:r>
            <w:r>
              <w:rPr>
                <w:rFonts w:ascii="Calibri" w:hAnsi="Calibri" w:eastAsia="Microsoft YaHei"/>
                <w:color w:val="0B2545"/>
                <w:sz w:val="21"/>
              </w:rPr>
              <w:t>Project 当前 Policy 发生变化时，历史 Execution、Assessment、Resolution、Snapshot 和 Report 不得跟随变化。</w:t>
            </w:r>
          </w:p>
        </w:tc>
      </w:tr>
    </w:tbl>
    <w:p>
      <w:pPr>
        <w:spacing w:after="40"/>
      </w:pPr>
    </w:p>
    <w:p>
      <w:pPr>
        <w:pStyle w:val="Heading1"/>
      </w:pPr>
      <w:r>
        <w:t>13. 行业扩展点</w:t>
      </w:r>
    </w:p>
    <w:p>
      <w:pPr>
        <w:pStyle w:val="Heading2"/>
      </w:pPr>
      <w:r>
        <w:t>13.1 P0：当前必须冻结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通用表、状态机、API 和事件不得出现口腔、汽车、家装等行业专有字段或枚举。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Project 可以引用行业规则版本；执行和快照保存实际使用版本。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问题分类、事实类型、策略规则、干预目录和报告模板通过接口或版本化配置注入。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第一个 Anchor Industry 提供正式规则；Shadow Industry 用于验证核心模型无行业硬编码。</w:t>
      </w:r>
    </w:p>
    <w:p>
      <w:pPr>
        <w:pStyle w:val="Heading2"/>
      </w:pPr>
      <w:r>
        <w:t>13.2 P1：第二行业接入前冻结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00000"/>
          <w:sz w:val="22"/>
        </w:rPr>
        <w:t>完整 IndustryPolicyPack 对象、包依赖、兼容性、发布、迁移、停用和回滚机制，在第二个行业进入正式实现前关闭。当前阶段不阻塞基础设施和 Walking Skeleton。</w:t>
      </w:r>
    </w:p>
    <w:p>
      <w:pPr>
        <w:pStyle w:val="Heading1"/>
      </w:pPr>
      <w:r>
        <w:t>14. Walking Skeleton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目标  </w:t>
            </w:r>
            <w:r>
              <w:rPr>
                <w:rFonts w:ascii="Calibri" w:hAnsi="Calibri" w:eastAsia="Microsoft YaHei"/>
                <w:color w:val="0B2545"/>
                <w:sz w:val="21"/>
              </w:rPr>
              <w:t>尽早证明最危险的执行—观测—解析—测量—快照—报告主链，而不是先完成全部横向模块。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700"/>
        <w:gridCol w:w="2550"/>
        <w:gridCol w:w="6110"/>
      </w:tblGrid>
      <w:tr>
        <w:trPr>
          <w:tblHeader w:val="true"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序号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节点</w:t>
            </w:r>
          </w:p>
        </w:tc>
        <w:tc>
          <w:tcPr>
            <w:tcW w:type="dxa" w:w="6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最小能力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Tenant</w:t>
            </w:r>
          </w:p>
        </w:tc>
        <w:tc>
          <w:tcPr>
            <w:tcW w:type="dxa" w:w="61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受控开通、成员和隔离上下文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Project</w:t>
            </w:r>
          </w:p>
        </w:tc>
        <w:tc>
          <w:tcPr>
            <w:tcW w:type="dxa" w:w="61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归属、状态和默认 Policy Binding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QuestionVersion</w:t>
            </w:r>
          </w:p>
        </w:tc>
        <w:tc>
          <w:tcPr>
            <w:tcW w:type="dxa" w:w="61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不可变问题版本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SampleSlot</w:t>
            </w:r>
          </w:p>
        </w:tc>
        <w:tc>
          <w:tcPr>
            <w:tcW w:type="dxa" w:w="61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一个槽位最多贡献一个最终观测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ExecutionRun</w:t>
            </w:r>
          </w:p>
        </w:tc>
        <w:tc>
          <w:tcPr>
            <w:tcW w:type="dxa" w:w="61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可失败、可重试、保存实际上下文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RawObservation</w:t>
            </w:r>
          </w:p>
        </w:tc>
        <w:tc>
          <w:tcPr>
            <w:tcW w:type="dxa" w:w="61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CAPTURING → FINALIZING → FINALIZED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Quality Assessment</w:t>
            </w:r>
          </w:p>
        </w:tc>
        <w:tc>
          <w:tcPr>
            <w:tcW w:type="dxa" w:w="61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最小 ANSWER_OUTCOME / 完整性评估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Resolution</w:t>
            </w:r>
          </w:p>
        </w:tc>
        <w:tc>
          <w:tcPr>
            <w:tcW w:type="dxa" w:w="61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实际 Assessment + Policy Release 解析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MetricContribution</w:t>
            </w:r>
          </w:p>
        </w:tc>
        <w:tc>
          <w:tcPr>
            <w:tcW w:type="dxa" w:w="61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非客户正式测试指标或冻结 ANSWER_OUTCOME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MeasurementSnapshot</w:t>
            </w:r>
          </w:p>
        </w:tc>
        <w:tc>
          <w:tcPr>
            <w:tcW w:type="dxa" w:w="61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两层 Membership 和 Provenance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11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Basic Report</w:t>
            </w:r>
          </w:p>
        </w:tc>
        <w:tc>
          <w:tcPr>
            <w:tcW w:type="dxa" w:w="61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只读取 Snapshot，验证稳定交付链</w:t>
            </w:r>
          </w:p>
        </w:tc>
      </w:tr>
    </w:tbl>
    <w:p>
      <w:pPr>
        <w:spacing w:before="0" w:after="60"/>
      </w:pPr>
    </w:p>
    <w:p>
      <w:pPr>
        <w:pStyle w:val="Heading2"/>
      </w:pPr>
      <w:r>
        <w:t>14.1 Walking Skeleton 验收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Tenant A 无法读取 Tenant B 的 Project、Observation、Snapshot、文件或任务。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执行失败不会自动创建 ObservationCandidate。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Execution 重试不会增加 Sample N。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RawObservation Finalized 后不可修改。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新 Assessment/Resolution 不覆盖历史记录。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Outbox 重投和 Worker 重复消费不产生重复事实。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Project Policy 更新不改变历史执行和 Snapshot。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Basic Report 重复打开得到同一 Snapshot 结果。</w:t>
      </w:r>
    </w:p>
    <w:p>
      <w:pPr>
        <w:pStyle w:val="Heading1"/>
      </w:pPr>
      <w:r>
        <w:t>15. 语义能力进入顺序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Walking Skeleton 先使用非客户测试指标或 ANSWER_OUTCOME，验证基础测量链。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加入 Pack B 最小 Mention 与 Recommendation，实现 Target-specific Assessment 和 MetricContribution。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加入 Pack C Citation Presence，先完成 Applicability、Occurrence、Qualification、Completeness 与 Presence。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加入 Coverage Context 和最小客户指标后，才允许形成正式客户 Basic Report。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再扩展 Demand、Brand Truth、Source Intelligence、Intervention 与 Effect Validation。</w:t>
      </w:r>
    </w:p>
    <w:p>
      <w:pPr>
        <w:pStyle w:val="Heading1"/>
      </w:pPr>
      <w:r>
        <w:t>16. Contract Traceability Matrix 骨架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900"/>
        <w:gridCol w:w="2300"/>
        <w:gridCol w:w="1800"/>
        <w:gridCol w:w="1500"/>
        <w:gridCol w:w="1200"/>
        <w:gridCol w:w="860"/>
        <w:gridCol w:w="80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Contract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Rule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Domain Object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Owner Module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Artifact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Test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A1-D001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Response Outcome 后才创建 Candidate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ObservationCandidate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Query/Observation</w:t>
            </w:r>
          </w:p>
        </w:tc>
        <w:tc>
          <w:tcPr>
            <w:tcW w:type="dxa" w:w="1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状态机 + API</w:t>
            </w:r>
          </w:p>
        </w:tc>
        <w:tc>
          <w:tcPr>
            <w:tcW w:type="dxa" w:w="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CT-A1-01</w:t>
            </w:r>
          </w:p>
        </w:tc>
        <w:tc>
          <w:tcPr>
            <w:tcW w:type="dxa" w:w="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Walking Skeleton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A2-D001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Validity ≠ Eligibility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Quality / Eligibility Assessment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Assessment</w:t>
            </w:r>
          </w:p>
        </w:tc>
        <w:tc>
          <w:tcPr>
            <w:tcW w:type="dxa" w:w="1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Schema + Policy</w:t>
            </w:r>
          </w:p>
        </w:tc>
        <w:tc>
          <w:tcPr>
            <w:tcW w:type="dxa" w:w="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CT-A2-01</w:t>
            </w:r>
          </w:p>
        </w:tc>
        <w:tc>
          <w:tcPr>
            <w:tcW w:type="dxa" w:w="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Pack B/C 前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A3-D013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Snapshot 冻结两层 Membership 与实际决议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MeasurementSnapshot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Measurement</w:t>
            </w:r>
          </w:p>
        </w:tc>
        <w:tc>
          <w:tcPr>
            <w:tcW w:type="dxa" w:w="1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ERD + DDL</w:t>
            </w:r>
          </w:p>
        </w:tc>
        <w:tc>
          <w:tcPr>
            <w:tcW w:type="dxa" w:w="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CT-A3-13</w:t>
            </w:r>
          </w:p>
        </w:tc>
        <w:tc>
          <w:tcPr>
            <w:tcW w:type="dxa" w:w="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Gate 0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B-F02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VALUE_1 / VALUE_0 / NO_CONTRIBUTION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MetricContribution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Measurement</w:t>
            </w:r>
          </w:p>
        </w:tc>
        <w:tc>
          <w:tcPr>
            <w:tcW w:type="dxa" w:w="1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Schema + Evaluator</w:t>
            </w:r>
          </w:p>
        </w:tc>
        <w:tc>
          <w:tcPr>
            <w:tcW w:type="dxa" w:w="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CT-B-F02</w:t>
            </w:r>
          </w:p>
        </w:tc>
        <w:tc>
          <w:tcPr>
            <w:tcW w:type="dxa" w:w="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Pack B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C-D003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Occurrence / Qualification / Extraction 分层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Citation objects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Citation &amp; Source</w:t>
            </w:r>
          </w:p>
        </w:tc>
        <w:tc>
          <w:tcPr>
            <w:tcW w:type="dxa" w:w="1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ERD + API</w:t>
            </w:r>
          </w:p>
        </w:tc>
        <w:tc>
          <w:tcPr>
            <w:tcW w:type="dxa" w:w="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CT-C-D003</w:t>
            </w:r>
          </w:p>
        </w:tc>
        <w:tc>
          <w:tcPr>
            <w:tcW w:type="dxa" w:w="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Pack C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FZ-03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实际 policy_release_id 必须固定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Execution/Assessment/Resolution/Snapshot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Cross-cutting</w:t>
            </w:r>
          </w:p>
        </w:tc>
        <w:tc>
          <w:tcPr>
            <w:tcW w:type="dxa" w:w="1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DDL + Test</w:t>
            </w:r>
          </w:p>
        </w:tc>
        <w:tc>
          <w:tcPr>
            <w:tcW w:type="dxa" w:w="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CT-FZ-03</w:t>
            </w:r>
          </w:p>
        </w:tc>
        <w:tc>
          <w:tcPr>
            <w:tcW w:type="dxa" w:w="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Gate 0</w:t>
            </w:r>
          </w:p>
        </w:tc>
      </w:tr>
    </w:tbl>
    <w:p>
      <w:pPr>
        <w:spacing w:before="0" w:after="60"/>
      </w:pP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00000"/>
          <w:sz w:val="22"/>
        </w:rPr>
        <w:t>矩阵在 Gate 0 建立骨架，随模块开发持续补齐。任何进入正式交付的 Contract Rule 必须能定位到代码、数据库、API/事件和测试。</w:t>
      </w:r>
    </w:p>
    <w:p>
      <w:pPr>
        <w:pStyle w:val="Heading1"/>
      </w:pPr>
      <w:r>
        <w:t>17. ADR 与可执行产物清单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200"/>
        <w:gridCol w:w="3150"/>
        <w:gridCol w:w="3650"/>
        <w:gridCol w:w="1360"/>
      </w:tblGrid>
      <w:tr>
        <w:trPr>
          <w:tblHeader w:val="true"/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ADR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主题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最低产物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Gate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ADR-001</w:t>
            </w:r>
          </w:p>
        </w:tc>
        <w:tc>
          <w:tcPr>
            <w:tcW w:type="dxa" w:w="31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文档权威顺序与变更</w:t>
            </w:r>
          </w:p>
        </w:tc>
        <w:tc>
          <w:tcPr>
            <w:tcW w:type="dxa" w:w="36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Authority Matrix</w:t>
            </w:r>
          </w:p>
        </w:tc>
        <w:tc>
          <w:tcPr>
            <w:tcW w:type="dxa" w:w="13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G0-01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ADR-002</w:t>
            </w:r>
          </w:p>
        </w:tc>
        <w:tc>
          <w:tcPr>
            <w:tcW w:type="dxa" w:w="31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Tenant Ownership Scopes</w:t>
            </w:r>
          </w:p>
        </w:tc>
        <w:tc>
          <w:tcPr>
            <w:tcW w:type="dxa" w:w="36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Ownership ERD + 隔离测试</w:t>
            </w:r>
          </w:p>
        </w:tc>
        <w:tc>
          <w:tcPr>
            <w:tcW w:type="dxa" w:w="13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G0-02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ADR-003</w:t>
            </w:r>
          </w:p>
        </w:tc>
        <w:tc>
          <w:tcPr>
            <w:tcW w:type="dxa" w:w="31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Identity 与不可重用 ID</w:t>
            </w:r>
          </w:p>
        </w:tc>
        <w:tc>
          <w:tcPr>
            <w:tcW w:type="dxa" w:w="36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ID Contract + 唯一约束</w:t>
            </w:r>
          </w:p>
        </w:tc>
        <w:tc>
          <w:tcPr>
            <w:tcW w:type="dxa" w:w="13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G0-02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ADR-004</w:t>
            </w:r>
          </w:p>
        </w:tc>
        <w:tc>
          <w:tcPr>
            <w:tcW w:type="dxa" w:w="31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Observation Finalization</w:t>
            </w:r>
          </w:p>
        </w:tc>
        <w:tc>
          <w:tcPr>
            <w:tcW w:type="dxa" w:w="36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状态机 + DDL + API</w:t>
            </w:r>
          </w:p>
        </w:tc>
        <w:tc>
          <w:tcPr>
            <w:tcW w:type="dxa" w:w="13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G0-03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ADR-005</w:t>
            </w:r>
          </w:p>
        </w:tc>
        <w:tc>
          <w:tcPr>
            <w:tcW w:type="dxa" w:w="31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Assessment/Review/Resolution</w:t>
            </w:r>
          </w:p>
        </w:tc>
        <w:tc>
          <w:tcPr>
            <w:tcW w:type="dxa" w:w="36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Envelope Schema + 领域示例</w:t>
            </w:r>
          </w:p>
        </w:tc>
        <w:tc>
          <w:tcPr>
            <w:tcW w:type="dxa" w:w="13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G0-04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ADR-006</w:t>
            </w:r>
          </w:p>
        </w:tc>
        <w:tc>
          <w:tcPr>
            <w:tcW w:type="dxa" w:w="31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Outbox/Inbox 与幂等</w:t>
            </w:r>
          </w:p>
        </w:tc>
        <w:tc>
          <w:tcPr>
            <w:tcW w:type="dxa" w:w="36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事件 Schema + 失败矩阵</w:t>
            </w:r>
          </w:p>
        </w:tc>
        <w:tc>
          <w:tcPr>
            <w:tcW w:type="dxa" w:w="13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G0-05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ADR-007</w:t>
            </w:r>
          </w:p>
        </w:tc>
        <w:tc>
          <w:tcPr>
            <w:tcW w:type="dxa" w:w="31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Snapshot Membership</w:t>
            </w:r>
          </w:p>
        </w:tc>
        <w:tc>
          <w:tcPr>
            <w:tcW w:type="dxa" w:w="36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ERD + 替代流程</w:t>
            </w:r>
          </w:p>
        </w:tc>
        <w:tc>
          <w:tcPr>
            <w:tcW w:type="dxa" w:w="13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G0-06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ADR-008</w:t>
            </w:r>
          </w:p>
        </w:tc>
        <w:tc>
          <w:tcPr>
            <w:tcW w:type="dxa" w:w="31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Policy Release Binding</w:t>
            </w:r>
          </w:p>
        </w:tc>
        <w:tc>
          <w:tcPr>
            <w:tcW w:type="dxa" w:w="36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Manifest Schema + Binding Test</w:t>
            </w:r>
          </w:p>
        </w:tc>
        <w:tc>
          <w:tcPr>
            <w:tcW w:type="dxa" w:w="13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G0-04/G0-06</w:t>
            </w:r>
          </w:p>
        </w:tc>
      </w:tr>
    </w:tbl>
    <w:p>
      <w:pPr>
        <w:spacing w:before="0" w:after="60"/>
      </w:pPr>
    </w:p>
    <w:p>
      <w:pPr>
        <w:pStyle w:val="Heading1"/>
      </w:pPr>
      <w:r>
        <w:t>18. 下一执行序列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建立三套工程基线目录：Technical Architecture、Core Domain &amp; Data Contracts、Execution Assurance。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创建 Gate Register 和 ADR 模板，指定六项 Gate Owner。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并行启动 Monorepo、CI、Docker Compose、迁移、认证、审计、Outbox 和可观测性骨架。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以 G0-02 至 G0-06 的最小可执行产物驱动 Walking Skeleton。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完成 Walking Skeleton 契约测试后，引入 Pack B/C 最小语义能力。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所有 Gate 关闭证据和 Contract 映射持续写入 Traceability Matrix。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F6B45"/>
          <w:left w:val="single" w:sz="8" w:space="0" w:color="2F6B45"/>
          <w:bottom w:val="single" w:sz="8" w:space="0" w:color="2F6B45"/>
          <w:right w:val="single" w:sz="8" w:space="0" w:color="2F6B45"/>
          <w:insideH w:val="single" w:sz="8" w:space="0" w:color="2F6B45"/>
          <w:insideV w:val="single" w:sz="8" w:space="0" w:color="2F6B4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2F6B45"/>
                <w:sz w:val="21"/>
              </w:rPr>
              <w:t xml:space="preserve">启动状态  </w:t>
            </w:r>
            <w:r>
              <w:rPr>
                <w:rFonts w:ascii="Calibri" w:hAnsi="Calibri" w:eastAsia="Microsoft YaHei"/>
                <w:color w:val="0B2545"/>
                <w:sz w:val="21"/>
              </w:rPr>
              <w:t>本文件批准工程启动，但不宣告任何 Gate 已关闭。Gate 的关闭必须由后续 ADR、Schema、迁移、运行代码和 Contract Test 共同证明。</w:t>
            </w:r>
          </w:p>
        </w:tc>
      </w:tr>
    </w:tbl>
    <w:p>
      <w:pPr>
        <w:spacing w:after="40"/>
      </w:pPr>
    </w:p>
    <w:p>
      <w:pPr>
        <w:pStyle w:val="Heading1"/>
      </w:pPr>
      <w:r>
        <w:t>附录 A｜Gate 关闭记录模板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Gate ID</w:t>
            </w:r>
          </w:p>
        </w:tc>
        <w:tc>
          <w:tcPr>
            <w:tcW w:type="dxa" w:w="6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Owner</w:t>
            </w:r>
          </w:p>
        </w:tc>
        <w:tc>
          <w:tcPr>
            <w:tcW w:type="dxa" w:w="6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Decision / ADR</w:t>
            </w:r>
          </w:p>
        </w:tc>
        <w:tc>
          <w:tcPr>
            <w:tcW w:type="dxa" w:w="6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Executable Artifact</w:t>
            </w:r>
          </w:p>
        </w:tc>
        <w:tc>
          <w:tcPr>
            <w:tcW w:type="dxa" w:w="6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Contract Tests</w:t>
            </w:r>
          </w:p>
        </w:tc>
        <w:tc>
          <w:tcPr>
            <w:tcW w:type="dxa" w:w="6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Known Limitations</w:t>
            </w:r>
          </w:p>
        </w:tc>
        <w:tc>
          <w:tcPr>
            <w:tcW w:type="dxa" w:w="6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6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OPEN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Approved At</w:t>
            </w:r>
          </w:p>
        </w:tc>
        <w:tc>
          <w:tcPr>
            <w:tcW w:type="dxa" w:w="6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</w:tbl>
    <w:p>
      <w:pPr>
        <w:spacing w:before="0" w:after="60"/>
      </w:pPr>
    </w:p>
    <w:p>
      <w:pPr>
        <w:pStyle w:val="Heading1"/>
      </w:pPr>
      <w:r>
        <w:t>附录 B｜冻结声明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00000"/>
          <w:sz w:val="22"/>
        </w:rPr>
        <w:t>本文件经确认后作为 GEO OS 后续项目推进的正式管理与技术启动基线。任何团队不得以“先实现再补契约”为理由绕过六项 Gate 0；同样不得以“Gate 未全部关闭”为理由阻止已经明确允许的脚手架、基础设施和 Walking Skeleton 非争议工作。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00000"/>
          <w:sz w:val="22"/>
        </w:rPr>
        <w:t>正式结论：APPROVED TO START, SUBJECT TO SIX GATE 0 CONTROLS。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667085"/>
        <w:sz w:val="17"/>
      </w:rPr>
      <w:t xml:space="preserve">GEO OS · Gate 0 Controlled Baseline  |  Page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7"/>
      </w:rPr>
      <w:t xml:space="preserve"> of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7"/>
      </w:rPr>
      <w:t>GEO OS  |  Technical Architecture Reconciliation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 OS Technical Architecture Reconciliation V1.1</dc:title>
  <dc:subject>Gate 0 controlled technical architecture baseline</dc:subject>
  <dc:creator>GEO OS Project</dc:creator>
  <cp:keywords>GEO OS, Technical Architecture, Gate 0, Walking Skeleton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