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60" w:after="120"/>
      </w:pPr>
      <w:r>
        <w:rPr>
          <w:rFonts w:ascii="Calibri" w:hAnsi="Calibri" w:eastAsia="Microsoft YaHei"/>
          <w:b/>
          <w:color w:val="2E74B5"/>
          <w:sz w:val="24"/>
        </w:rPr>
        <w:t>GEO OS</w:t>
      </w:r>
    </w:p>
    <w:p>
      <w:pPr>
        <w:spacing w:before="0" w:after="160"/>
      </w:pPr>
      <w:r>
        <w:rPr>
          <w:rFonts w:ascii="Calibri" w:hAnsi="Calibri" w:eastAsia="Microsoft YaHei"/>
          <w:b/>
          <w:color w:val="0B2545"/>
          <w:sz w:val="46"/>
        </w:rPr>
        <w:t>G0-01 Scope, Authority &amp; Change Control Pack</w:t>
      </w:r>
    </w:p>
    <w:p>
      <w:pPr>
        <w:spacing w:before="0" w:after="360"/>
      </w:pPr>
      <w:r>
        <w:rPr>
          <w:rFonts w:ascii="Calibri" w:hAnsi="Calibri" w:eastAsia="Microsoft YaHei"/>
          <w:color w:val="1F4D78"/>
          <w:sz w:val="28"/>
        </w:rPr>
        <w:t>Scope Matrix · ADR-001 · Change Control · Open Decision Register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7A5A00"/>
          <w:left w:val="single" w:sz="8" w:space="0" w:color="7A5A00"/>
          <w:bottom w:val="single" w:sz="8" w:space="0" w:color="7A5A00"/>
          <w:right w:val="single" w:sz="8" w:space="0" w:color="7A5A00"/>
          <w:insideH w:val="single" w:sz="8" w:space="0" w:color="7A5A00"/>
          <w:insideV w:val="single" w:sz="8" w:space="0" w:color="7A5A00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6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 xml:space="preserve">当前结论  </w:t>
            </w:r>
            <w:r>
              <w:rPr>
                <w:rFonts w:ascii="Calibri" w:hAnsi="Calibri" w:eastAsia="Microsoft YaHei"/>
                <w:color w:val="0B2545"/>
                <w:sz w:val="21"/>
              </w:rPr>
              <w:t>G0-01 保持 OPEN / PENDING REVIEW。本文件把退出条件转为可评审契约，但不代替正式批准，也不提前关闭 Gate。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2160"/>
        <w:gridCol w:w="7200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当前口径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文档版本</w:t>
            </w:r>
          </w:p>
        </w:tc>
        <w:tc>
          <w:tcPr>
            <w:tcW w:type="dxa" w:w="7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V1.0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基准日期</w:t>
            </w:r>
          </w:p>
        </w:tc>
        <w:tc>
          <w:tcPr>
            <w:tcW w:type="dxa" w:w="7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2026-08-21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ADR</w:t>
            </w:r>
          </w:p>
        </w:tc>
        <w:tc>
          <w:tcPr>
            <w:tcW w:type="dxa" w:w="7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ADR-001 — Document Authority by Decision Domain（PROPOSED）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配套矩阵</w:t>
            </w:r>
          </w:p>
        </w:tc>
        <w:tc>
          <w:tcPr>
            <w:tcW w:type="dxa" w:w="7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GEO_OS_G0-01_Scope_Matrix_V1.0.xlsx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范围项</w:t>
            </w:r>
          </w:p>
        </w:tc>
        <w:tc>
          <w:tcPr>
            <w:tcW w:type="dxa" w:w="7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39 项：32 IN / 2 OUT / 5 DEFERRED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未决事项</w:t>
            </w:r>
          </w:p>
        </w:tc>
        <w:tc>
          <w:tcPr>
            <w:tcW w:type="dxa" w:w="7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6 项 Open Decision；39 项具名负责人待指定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Gate 状态</w:t>
            </w:r>
          </w:p>
        </w:tc>
        <w:tc>
          <w:tcPr>
            <w:tcW w:type="dxa" w:w="7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OPEN / PENDING REVIEW</w:t>
            </w:r>
          </w:p>
        </w:tc>
      </w:tr>
    </w:tbl>
    <w:p>
      <w:pPr>
        <w:spacing w:before="0" w:after="60"/>
      </w:pPr>
    </w:p>
    <w:p>
      <w:pPr>
        <w:spacing w:before="320" w:after="0"/>
      </w:pPr>
      <w:r>
        <w:rPr>
          <w:rFonts w:ascii="Calibri" w:hAnsi="Calibri" w:eastAsia="Microsoft YaHei"/>
          <w:i/>
          <w:color w:val="667085"/>
          <w:sz w:val="21"/>
        </w:rPr>
        <w:t>关闭 G0-01 必须以评审证据为基础：范围完整、权威明确、冲突可处理、变更可追踪、负责人和期限可执行。</w:t>
      </w:r>
    </w:p>
    <w:p>
      <w:r>
        <w:br w:type="page"/>
      </w:r>
    </w:p>
    <w:p>
      <w:pPr>
        <w:pStyle w:val="Heading1"/>
      </w:pPr>
      <w:r>
        <w:t>1. 执行结论与退出条件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000000"/>
          <w:sz w:val="22"/>
        </w:rPr>
        <w:t>G0-01 的任务不是证明所有未来需求都已设计完成，而是证明当前开发范围、文档权威、冲突处理和变更治理已经足以防止跨模块返工。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7A5A00"/>
          <w:left w:val="single" w:sz="8" w:space="0" w:color="7A5A00"/>
          <w:bottom w:val="single" w:sz="8" w:space="0" w:color="7A5A00"/>
          <w:right w:val="single" w:sz="8" w:space="0" w:color="7A5A00"/>
          <w:insideH w:val="single" w:sz="8" w:space="0" w:color="7A5A00"/>
          <w:insideV w:val="single" w:sz="8" w:space="0" w:color="7A5A00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6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 xml:space="preserve">Gate 状态  </w:t>
            </w:r>
            <w:r>
              <w:rPr>
                <w:rFonts w:ascii="Calibri" w:hAnsi="Calibri" w:eastAsia="Microsoft YaHei"/>
                <w:color w:val="0B2545"/>
                <w:sz w:val="21"/>
              </w:rPr>
              <w:t>OPEN / PENDING REVIEW。Scope Matrix 已形成初稿，ADR-001 与 Change Control 已形成待批准版本；具名 Owner、Open Decision 和正式批准记录尚未关闭。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760"/>
        <w:gridCol w:w="5900"/>
        <w:gridCol w:w="1700"/>
      </w:tblGrid>
      <w:tr>
        <w:trPr>
          <w:tblHeader w:val="true"/>
          <w:cantSplit/>
        </w:trPr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退出条件</w:t>
            </w:r>
          </w:p>
        </w:tc>
        <w:tc>
          <w:tcPr>
            <w:tcW w:type="dxa" w:w="5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要求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当前状态</w:t>
            </w:r>
          </w:p>
        </w:tc>
      </w:tr>
      <w:tr>
        <w:trPr>
          <w:cantSplit/>
        </w:trPr>
        <w:tc>
          <w:tcPr>
            <w:tcW w:type="dxa" w:w="17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范围覆盖</w:t>
            </w:r>
          </w:p>
        </w:tc>
        <w:tc>
          <w:tcPr>
            <w:tcW w:type="dxa" w:w="5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覆盖所有模块、运行单元和跨模块能力；逐项明确 IN / OUT / DEFERRED、MVP 等级、权威来源、验收与负责人。</w:t>
            </w:r>
          </w:p>
        </w:tc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DRAFT COMPLETE</w:t>
            </w:r>
          </w:p>
        </w:tc>
      </w:tr>
      <w:tr>
        <w:trPr>
          <w:cantSplit/>
        </w:trPr>
        <w:tc>
          <w:tcPr>
            <w:tcW w:type="dxa" w:w="17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领域化权威</w:t>
            </w:r>
          </w:p>
        </w:tc>
        <w:tc>
          <w:tcPr>
            <w:tcW w:type="dxa" w:w="5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按商业方向、MVP 范围与验收、领域语义、技术结构、工程实现划分。</w:t>
            </w:r>
          </w:p>
        </w:tc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ADR PROPOSED</w:t>
            </w:r>
          </w:p>
        </w:tc>
      </w:tr>
      <w:tr>
        <w:trPr>
          <w:cantSplit/>
        </w:trPr>
        <w:tc>
          <w:tcPr>
            <w:tcW w:type="dxa" w:w="17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冲突规则</w:t>
            </w:r>
          </w:p>
        </w:tc>
        <w:tc>
          <w:tcPr>
            <w:tcW w:type="dxa" w:w="5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同一领域内采用正式冻结、范围更具体、显式替代且版本更新的契约。</w:t>
            </w:r>
          </w:p>
        </w:tc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ADR PROPOSED</w:t>
            </w:r>
          </w:p>
        </w:tc>
      </w:tr>
      <w:tr>
        <w:trPr>
          <w:cantSplit/>
        </w:trPr>
        <w:tc>
          <w:tcPr>
            <w:tcW w:type="dxa" w:w="17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变更流程</w:t>
            </w:r>
          </w:p>
        </w:tc>
        <w:tc>
          <w:tcPr>
            <w:tcW w:type="dxa" w:w="5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Change Request 至 Release 的七阶段闭环；四类变更有不同批准与版本要求。</w:t>
            </w:r>
          </w:p>
        </w:tc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DRAFTED</w:t>
            </w:r>
          </w:p>
        </w:tc>
      </w:tr>
      <w:tr>
        <w:trPr>
          <w:cantSplit/>
        </w:trPr>
        <w:tc>
          <w:tcPr>
            <w:tcW w:type="dxa" w:w="17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已知冲突</w:t>
            </w:r>
          </w:p>
        </w:tc>
        <w:tc>
          <w:tcPr>
            <w:tcW w:type="dxa" w:w="5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全部解决，或登记具备负责人、期限和关闭产物的 Open Decision。</w:t>
            </w:r>
          </w:p>
        </w:tc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6 OPEN</w:t>
            </w:r>
          </w:p>
        </w:tc>
      </w:tr>
      <w:tr>
        <w:trPr>
          <w:cantSplit/>
        </w:trPr>
        <w:tc>
          <w:tcPr>
            <w:tcW w:type="dxa" w:w="17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正式关闭</w:t>
            </w:r>
          </w:p>
        </w:tc>
        <w:tc>
          <w:tcPr>
            <w:tcW w:type="dxa" w:w="5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记录批准人、ADR、版本和关闭时间。</w:t>
            </w:r>
          </w:p>
        </w:tc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NOT APPROVED</w:t>
            </w:r>
          </w:p>
        </w:tc>
      </w:tr>
    </w:tbl>
    <w:p>
      <w:pPr>
        <w:spacing w:before="0" w:after="60"/>
      </w:pPr>
    </w:p>
    <w:p>
      <w:pPr>
        <w:pStyle w:val="Heading1"/>
      </w:pPr>
      <w:r>
        <w:t>2. Scope Matrix 契约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000000"/>
          <w:sz w:val="22"/>
        </w:rPr>
        <w:t>配套工作簿是 G0-01 的范围事实表。任何模块、跨模块能力或运行单元在进入正式开发前，必须能够定位到稳定 Scope ID。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700"/>
        <w:gridCol w:w="3440"/>
        <w:gridCol w:w="4220"/>
      </w:tblGrid>
      <w:tr>
        <w:trPr>
          <w:tblHeader w:val="true"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字段组</w:t>
            </w:r>
          </w:p>
        </w:tc>
        <w:tc>
          <w:tcPr>
            <w:tcW w:type="dxa" w:w="3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强制字段</w:t>
            </w:r>
          </w:p>
        </w:tc>
        <w:tc>
          <w:tcPr>
            <w:tcW w:type="dxa" w:w="4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治理规则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范围决策</w:t>
            </w:r>
          </w:p>
        </w:tc>
        <w:tc>
          <w:tcPr>
            <w:tcW w:type="dxa" w:w="344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Scope ID、Type、Domain、Capability、IN / OUT / DEFERRED</w:t>
            </w:r>
          </w:p>
        </w:tc>
        <w:tc>
          <w:tcPr>
            <w:tcW w:type="dxa" w:w="422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决策值只允许三态；任何变化属于受控变更。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MVP 与交付</w:t>
            </w:r>
          </w:p>
        </w:tc>
        <w:tc>
          <w:tcPr>
            <w:tcW w:type="dxa" w:w="344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MVP Level、Delivery Phase、Gate / Dependency</w:t>
            </w:r>
          </w:p>
        </w:tc>
        <w:tc>
          <w:tcPr>
            <w:tcW w:type="dxa" w:w="422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区分基础能力、Walking Skeleton、Commercial Complete 与 Post-MVP。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权威与实现</w:t>
            </w:r>
          </w:p>
        </w:tc>
        <w:tc>
          <w:tcPr>
            <w:tcW w:type="dxa" w:w="344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Authority Domain、Primary Authority、Implementation Authority</w:t>
            </w:r>
          </w:p>
        </w:tc>
        <w:tc>
          <w:tcPr>
            <w:tcW w:type="dxa" w:w="422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不得以工程实现反向修改上位商业、范围或领域语义。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可验收性</w:t>
            </w:r>
          </w:p>
        </w:tc>
        <w:tc>
          <w:tcPr>
            <w:tcW w:type="dxa" w:w="344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Acceptance Criteria、Known Limitation</w:t>
            </w:r>
          </w:p>
        </w:tc>
        <w:tc>
          <w:tcPr>
            <w:tcW w:type="dxa" w:w="422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必须是可测试结果，而不是原则描述。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责任</w:t>
            </w:r>
          </w:p>
        </w:tc>
        <w:tc>
          <w:tcPr>
            <w:tcW w:type="dxa" w:w="344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Owner Role、Named Owner</w:t>
            </w:r>
          </w:p>
        </w:tc>
        <w:tc>
          <w:tcPr>
            <w:tcW w:type="dxa" w:w="422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当前 Role Owner 已填；具名 Owner 必须在关闭前指定。</w:t>
            </w:r>
          </w:p>
        </w:tc>
      </w:tr>
    </w:tbl>
    <w:p>
      <w:pPr>
        <w:spacing w:before="0" w:after="60"/>
      </w:pPr>
    </w:p>
    <w:p>
      <w:pPr>
        <w:pStyle w:val="Heading2"/>
      </w:pPr>
      <w:r>
        <w:t>2.1 当前矩阵摘要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500"/>
        <w:gridCol w:w="900"/>
        <w:gridCol w:w="6960"/>
      </w:tblGrid>
      <w:tr>
        <w:trPr>
          <w:tblHeader w:val="true"/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分类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数量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IN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32</w:t>
            </w:r>
          </w:p>
        </w:tc>
        <w:tc>
          <w:tcPr>
            <w:tcW w:type="dxa" w:w="69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进入 V1 的基础、Walking Skeleton 或 Commercial Complete 范围。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OUT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69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第三方高级平台能力与动态低代码规则平台不在 V1。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DEFERRED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69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需后续语义或范围决议，但不阻塞非争议基础设施。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总计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39</w:t>
            </w:r>
          </w:p>
        </w:tc>
        <w:tc>
          <w:tcPr>
            <w:tcW w:type="dxa" w:w="69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15 个模块、4 个运行单元及 20 项跨模块能力。</w:t>
            </w:r>
          </w:p>
        </w:tc>
      </w:tr>
    </w:tbl>
    <w:p>
      <w:pPr>
        <w:spacing w:before="0" w:after="60"/>
      </w:pP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Scope Decision 为空的行数必须为 0。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每行具名 Owner 必须完成；Role Owner 不能替代最终责任人。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OUT 或 DEFERRED 的能力若提前进入开发，必须发起 MVP_SCOPE_CHANGE。</w:t>
      </w:r>
    </w:p>
    <w:p>
      <w:pPr>
        <w:pStyle w:val="Heading1"/>
      </w:pPr>
      <w:r>
        <w:t>3. ADR-001 — Document Authority by Decision Domain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ADR 字段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74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PROPOSED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Decision Owner</w:t>
            </w:r>
          </w:p>
        </w:tc>
        <w:tc>
          <w:tcPr>
            <w:tcW w:type="dxa" w:w="74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Architecture Governance Lead（具名负责人待指定）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Decision Date</w:t>
            </w:r>
          </w:p>
        </w:tc>
        <w:tc>
          <w:tcPr>
            <w:tcW w:type="dxa" w:w="74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2026-08-21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Gate</w:t>
            </w:r>
          </w:p>
        </w:tc>
        <w:tc>
          <w:tcPr>
            <w:tcW w:type="dxa" w:w="74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G0-01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Supersedes</w:t>
            </w:r>
          </w:p>
        </w:tc>
        <w:tc>
          <w:tcPr>
            <w:tcW w:type="dxa" w:w="74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任何简单全局文档排名口径</w:t>
            </w:r>
          </w:p>
        </w:tc>
      </w:tr>
    </w:tbl>
    <w:p>
      <w:pPr>
        <w:spacing w:before="0" w:after="60"/>
      </w:pPr>
    </w:p>
    <w:p>
      <w:pPr>
        <w:pStyle w:val="Heading2"/>
      </w:pPr>
      <w:r>
        <w:t>3.1 Context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000000"/>
          <w:sz w:val="22"/>
        </w:rPr>
        <w:t>业务背景、产品、需求、领域决议、技术方案和工程 Contract 同时存在。它们解决的决策问题不同，不能用一条简单的全局排名解释全部冲突。</w:t>
      </w:r>
    </w:p>
    <w:p>
      <w:pPr>
        <w:pStyle w:val="Heading2"/>
      </w:pPr>
      <w:r>
        <w:t>3.2 Decision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450"/>
        <w:gridCol w:w="2400"/>
        <w:gridCol w:w="3520"/>
        <w:gridCol w:w="1990"/>
      </w:tblGrid>
      <w:tr>
        <w:trPr>
          <w:tblHeader w:val="true"/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决策领域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首要权威</w:t>
            </w:r>
          </w:p>
        </w:tc>
        <w:tc>
          <w:tcPr>
            <w:tcW w:type="dxa" w:w="3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控制内容</w:t>
            </w:r>
          </w:p>
        </w:tc>
        <w:tc>
          <w:tcPr>
            <w:tcW w:type="dxa" w:w="19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工程输出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商业方向</w:t>
            </w:r>
          </w:p>
        </w:tc>
        <w:tc>
          <w:tcPr>
            <w:tcW w:type="dxa" w:w="24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业务背景 / 产品方案</w:t>
            </w:r>
          </w:p>
        </w:tc>
        <w:tc>
          <w:tcPr>
            <w:tcW w:type="dxa" w:w="352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商业目标、目标客户、产品边界、商业模式、路线方向</w:t>
            </w:r>
          </w:p>
        </w:tc>
        <w:tc>
          <w:tcPr>
            <w:tcW w:type="dxa" w:w="199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Scope Change Request / Product Decision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MVP 范围与验收</w:t>
            </w:r>
          </w:p>
        </w:tc>
        <w:tc>
          <w:tcPr>
            <w:tcW w:type="dxa" w:w="24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需求方案</w:t>
            </w:r>
          </w:p>
        </w:tc>
        <w:tc>
          <w:tcPr>
            <w:tcW w:type="dxa" w:w="352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IN/OUT、优先级、角色权限、功能与非功能验收</w:t>
            </w:r>
          </w:p>
        </w:tc>
        <w:tc>
          <w:tcPr>
            <w:tcW w:type="dxa" w:w="199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Scope Matrix / Acceptance ID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领域语义</w:t>
            </w:r>
          </w:p>
        </w:tc>
        <w:tc>
          <w:tcPr>
            <w:tcW w:type="dxa" w:w="24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A1/A2/A3/B/C 最终冻结决议包</w:t>
            </w:r>
          </w:p>
        </w:tc>
        <w:tc>
          <w:tcPr>
            <w:tcW w:type="dxa" w:w="352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Observation、Eligibility、Review、Mention、Recommendation、Citation、Snapshot 等</w:t>
            </w:r>
          </w:p>
        </w:tc>
        <w:tc>
          <w:tcPr>
            <w:tcW w:type="dxa" w:w="199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Domain Contract / Semantic ADR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技术结构</w:t>
            </w:r>
          </w:p>
        </w:tc>
        <w:tc>
          <w:tcPr>
            <w:tcW w:type="dxa" w:w="24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Technical Architecture Reconciliation / 技术方案</w:t>
            </w:r>
          </w:p>
        </w:tc>
        <w:tc>
          <w:tcPr>
            <w:tcW w:type="dxa" w:w="352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模块边界、运行单元、存储、事件、可靠性、安全和基础设施</w:t>
            </w:r>
          </w:p>
        </w:tc>
        <w:tc>
          <w:tcPr>
            <w:tcW w:type="dxa" w:w="199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Architecture ADR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工程实现</w:t>
            </w:r>
          </w:p>
        </w:tc>
        <w:tc>
          <w:tcPr>
            <w:tcW w:type="dxa" w:w="24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Domain Contract、ADR、API/Schema/Event、Migration、Contract Test</w:t>
            </w:r>
          </w:p>
        </w:tc>
        <w:tc>
          <w:tcPr>
            <w:tcW w:type="dxa" w:w="352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可执行实现与版本</w:t>
            </w:r>
          </w:p>
        </w:tc>
        <w:tc>
          <w:tcPr>
            <w:tcW w:type="dxa" w:w="199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Code / Test / Release Record</w:t>
            </w:r>
          </w:p>
        </w:tc>
      </w:tr>
    </w:tbl>
    <w:p>
      <w:pPr>
        <w:spacing w:before="0" w:after="60"/>
      </w:pPr>
    </w:p>
    <w:p>
      <w:pPr>
        <w:pStyle w:val="Heading2"/>
      </w:pPr>
      <w:r>
        <w:t>3.3 同一决策领域内的冲突处理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先识别冲突属于哪个决策领域；不得跨领域直接比较文档级别。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优先采用已正式冻结或已批准的契约，而不是草案、讨论稿或口头结论。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在冻结状态相同的情况下，范围更具体的契约优先于一般性描述。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版本更新只有在显式声明替代关系时才优先；不得用“文件日期较新”静默覆盖旧语义。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跨领域冲突或无法消解的冲突必须进入 Change Request 和 Open Decision，普通开发 PR 不得自行裁决。</w:t>
      </w:r>
    </w:p>
    <w:p>
      <w:pPr>
        <w:pStyle w:val="Heading2"/>
      </w:pPr>
      <w:r>
        <w:t>3.4 Consequences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工程实现必须证明其与 Scope、领域语义和技术结构的追踪关系。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需求方案不能修改 A/B/C 语义；A/B/C 也不直接决定商业发布时间和计费边界。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破坏性契约变更可能触发相关 Gate 重开，而不是只升级代码版本。</w:t>
      </w:r>
    </w:p>
    <w:p>
      <w:pPr>
        <w:pStyle w:val="Heading1"/>
      </w:pPr>
      <w:r>
        <w:t>4. Change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F4D78"/>
          <w:left w:val="single" w:sz="8" w:space="0" w:color="1F4D78"/>
          <w:bottom w:val="single" w:sz="8" w:space="0" w:color="1F4D78"/>
          <w:right w:val="single" w:sz="8" w:space="0" w:color="1F4D78"/>
          <w:insideH w:val="single" w:sz="8" w:space="0" w:color="1F4D78"/>
          <w:insideV w:val="single" w:sz="8" w:space="0" w:color="1F4D78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标准流程  </w:t>
            </w:r>
            <w:r>
              <w:rPr>
                <w:rFonts w:ascii="Calibri" w:hAnsi="Calibri" w:eastAsia="Microsoft YaHei"/>
                <w:color w:val="0B2545"/>
                <w:sz w:val="21"/>
              </w:rPr>
              <w:t>Change Request → 分类 → 影响评估 → 审批 → 版本升级 → Traceability 更新 → 发布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450"/>
        <w:gridCol w:w="3980"/>
        <w:gridCol w:w="2250"/>
        <w:gridCol w:w="1680"/>
      </w:tblGrid>
      <w:tr>
        <w:trPr>
          <w:tblHeader w:val="true"/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3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必须完成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可执行产物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责任角色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1. Change Request</w:t>
            </w:r>
          </w:p>
        </w:tc>
        <w:tc>
          <w:tcPr>
            <w:tcW w:type="dxa" w:w="398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说明问题、动机、拟议变化、受影响对象和期望时间。</w:t>
            </w:r>
          </w:p>
        </w:tc>
        <w:tc>
          <w:tcPr>
            <w:tcW w:type="dxa" w:w="22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Request ID + Evidence</w:t>
            </w:r>
          </w:p>
        </w:tc>
        <w:tc>
          <w:tcPr>
            <w:tcW w:type="dxa" w:w="168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Requester / PM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2. 分类</w:t>
            </w:r>
          </w:p>
        </w:tc>
        <w:tc>
          <w:tcPr>
            <w:tcW w:type="dxa" w:w="398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确定编辑性、兼容性新增、破坏性契约变更或 MVP 范围变更。</w:t>
            </w:r>
          </w:p>
        </w:tc>
        <w:tc>
          <w:tcPr>
            <w:tcW w:type="dxa" w:w="22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Change Class</w:t>
            </w:r>
          </w:p>
        </w:tc>
        <w:tc>
          <w:tcPr>
            <w:tcW w:type="dxa" w:w="168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Architecture Governance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3. 影响评估</w:t>
            </w:r>
          </w:p>
        </w:tc>
        <w:tc>
          <w:tcPr>
            <w:tcW w:type="dxa" w:w="398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评估 Scope、语义、API/Schema/Event、迁移、历史复现、安全、测试和交付。</w:t>
            </w:r>
          </w:p>
        </w:tc>
        <w:tc>
          <w:tcPr>
            <w:tcW w:type="dxa" w:w="22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Impact Report</w:t>
            </w:r>
          </w:p>
        </w:tc>
        <w:tc>
          <w:tcPr>
            <w:tcW w:type="dxa" w:w="168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Domain + Technical Owners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4. 审批</w:t>
            </w:r>
          </w:p>
        </w:tc>
        <w:tc>
          <w:tcPr>
            <w:tcW w:type="dxa" w:w="398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按决策领域路由；破坏性和范围变更不得由单一开发者批准。</w:t>
            </w:r>
          </w:p>
        </w:tc>
        <w:tc>
          <w:tcPr>
            <w:tcW w:type="dxa" w:w="22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Approval Record</w:t>
            </w:r>
          </w:p>
        </w:tc>
        <w:tc>
          <w:tcPr>
            <w:tcW w:type="dxa" w:w="168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Designated Approver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5. 版本升级</w:t>
            </w:r>
          </w:p>
        </w:tc>
        <w:tc>
          <w:tcPr>
            <w:tcW w:type="dxa" w:w="398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升级文档、Contract、API/Schema/Event 和 Policy Release。</w:t>
            </w:r>
          </w:p>
        </w:tc>
        <w:tc>
          <w:tcPr>
            <w:tcW w:type="dxa" w:w="22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Versioned Artifacts</w:t>
            </w:r>
          </w:p>
        </w:tc>
        <w:tc>
          <w:tcPr>
            <w:tcW w:type="dxa" w:w="168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Artifact Owners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6. Traceability</w:t>
            </w:r>
          </w:p>
        </w:tc>
        <w:tc>
          <w:tcPr>
            <w:tcW w:type="dxa" w:w="398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更新 Scope、ADR、Rule→Object→Contract→Code→Test 和 Open Decision。</w:t>
            </w:r>
          </w:p>
        </w:tc>
        <w:tc>
          <w:tcPr>
            <w:tcW w:type="dxa" w:w="22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Updated Traceability</w:t>
            </w:r>
          </w:p>
        </w:tc>
        <w:tc>
          <w:tcPr>
            <w:tcW w:type="dxa" w:w="168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Governance + QA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7. 发布</w:t>
            </w:r>
          </w:p>
        </w:tc>
        <w:tc>
          <w:tcPr>
            <w:tcW w:type="dxa" w:w="398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通过迁移、兼容、回归、契约和回滚检查。</w:t>
            </w:r>
          </w:p>
        </w:tc>
        <w:tc>
          <w:tcPr>
            <w:tcW w:type="dxa" w:w="22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Release Record</w:t>
            </w:r>
          </w:p>
        </w:tc>
        <w:tc>
          <w:tcPr>
            <w:tcW w:type="dxa" w:w="168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Release Owner</w:t>
            </w:r>
          </w:p>
        </w:tc>
      </w:tr>
    </w:tbl>
    <w:p>
      <w:pPr>
        <w:spacing w:before="0" w:after="60"/>
      </w:pPr>
    </w:p>
    <w:p>
      <w:pPr>
        <w:pStyle w:val="Heading2"/>
      </w:pPr>
      <w:r>
        <w:t>4.1 变更分类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460"/>
        <w:gridCol w:w="3020"/>
        <w:gridCol w:w="1330"/>
        <w:gridCol w:w="1850"/>
        <w:gridCol w:w="1700"/>
      </w:tblGrid>
      <w:tr>
        <w:trPr>
          <w:tblHeader w:val="true"/>
          <w:cantSplit/>
        </w:trPr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分类</w:t>
            </w:r>
          </w:p>
        </w:tc>
        <w:tc>
          <w:tcPr>
            <w:tcW w:type="dxa" w:w="3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定义</w:t>
            </w:r>
          </w:p>
        </w:tc>
        <w:tc>
          <w:tcPr>
            <w:tcW w:type="dxa" w:w="1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版本影响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批准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最低证据</w:t>
            </w:r>
          </w:p>
        </w:tc>
      </w:tr>
      <w:tr>
        <w:trPr>
          <w:cantSplit/>
        </w:trPr>
        <w:tc>
          <w:tcPr>
            <w:tcW w:type="dxa" w:w="14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EDITORIAL</w:t>
            </w:r>
          </w:p>
        </w:tc>
        <w:tc>
          <w:tcPr>
            <w:tcW w:type="dxa" w:w="302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不改变语义、范围、字段含义或行为的文字/排版修正。</w:t>
            </w:r>
          </w:p>
        </w:tc>
        <w:tc>
          <w:tcPr>
            <w:tcW w:type="dxa" w:w="133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Patch</w:t>
            </w:r>
          </w:p>
        </w:tc>
        <w:tc>
          <w:tcPr>
            <w:tcW w:type="dxa" w:w="18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Document Owner</w:t>
            </w:r>
          </w:p>
        </w:tc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校对；必要时更新引用。</w:t>
            </w:r>
          </w:p>
        </w:tc>
      </w:tr>
      <w:tr>
        <w:trPr>
          <w:cantSplit/>
        </w:trPr>
        <w:tc>
          <w:tcPr>
            <w:tcW w:type="dxa" w:w="14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COMPATIBLE_ADDITION</w:t>
            </w:r>
          </w:p>
        </w:tc>
        <w:tc>
          <w:tcPr>
            <w:tcW w:type="dxa" w:w="302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新增可选字段、状态或不影响旧消费者的能力。</w:t>
            </w:r>
          </w:p>
        </w:tc>
        <w:tc>
          <w:tcPr>
            <w:tcW w:type="dxa" w:w="133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Minor</w:t>
            </w:r>
          </w:p>
        </w:tc>
        <w:tc>
          <w:tcPr>
            <w:tcW w:type="dxa" w:w="18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Domain + Technical Owner</w:t>
            </w:r>
          </w:p>
        </w:tc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向后兼容、默认行为与契约测试。</w:t>
            </w:r>
          </w:p>
        </w:tc>
      </w:tr>
      <w:tr>
        <w:trPr>
          <w:cantSplit/>
        </w:trPr>
        <w:tc>
          <w:tcPr>
            <w:tcW w:type="dxa" w:w="14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BREAKING_CONTRACT</w:t>
            </w:r>
          </w:p>
        </w:tc>
        <w:tc>
          <w:tcPr>
            <w:tcW w:type="dxa" w:w="302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改变既有语义、必填字段、状态机、约束、历史复现或消费者行为。</w:t>
            </w:r>
          </w:p>
        </w:tc>
        <w:tc>
          <w:tcPr>
            <w:tcW w:type="dxa" w:w="133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Major</w:t>
            </w:r>
          </w:p>
        </w:tc>
        <w:tc>
          <w:tcPr>
            <w:tcW w:type="dxa" w:w="18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Domain + Architecture Approver</w:t>
            </w:r>
          </w:p>
        </w:tc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迁移、兼容/回滚、历史影响和完整契约回归。</w:t>
            </w:r>
          </w:p>
        </w:tc>
      </w:tr>
      <w:tr>
        <w:trPr>
          <w:cantSplit/>
        </w:trPr>
        <w:tc>
          <w:tcPr>
            <w:tcW w:type="dxa" w:w="14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MVP_SCOPE_CHANGE</w:t>
            </w:r>
          </w:p>
        </w:tc>
        <w:tc>
          <w:tcPr>
            <w:tcW w:type="dxa" w:w="302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改变 IN/OUT/DEFERRED、MVP 等级、验收、第三方能力或正式 KPI 准入。</w:t>
            </w:r>
          </w:p>
        </w:tc>
        <w:tc>
          <w:tcPr>
            <w:tcW w:type="dxa" w:w="133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Scope Baseline</w:t>
            </w:r>
          </w:p>
        </w:tc>
        <w:tc>
          <w:tcPr>
            <w:tcW w:type="dxa" w:w="18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Product Sponsor + PM</w:t>
            </w:r>
          </w:p>
        </w:tc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商业、排期、成本、依赖、验收和风险评估。</w:t>
            </w:r>
          </w:p>
        </w:tc>
      </w:tr>
    </w:tbl>
    <w:p>
      <w:pPr>
        <w:spacing w:before="0" w:after="60"/>
      </w:pPr>
    </w:p>
    <w:p>
      <w:pPr>
        <w:pStyle w:val="Heading2"/>
      </w:pPr>
      <w:r>
        <w:t>4.2 影响评估的强制检查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是否改变 Tenant ownership、授权或跨租户可见性。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是否改变 Raw Fact、Assessment、Resolution、Snapshot 或历史复现。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是否需要数据迁移、双读写、兼容窗口、回滚或消费者升级。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是否改变 Policy Release、算法、Prompt、Metric 或 Coverage Context。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是否更新 Scope Matrix、ADR、API/Schema/Event、Contract Test 和 Release Record。</w:t>
      </w:r>
    </w:p>
    <w:p>
      <w:pPr>
        <w:pStyle w:val="Heading1"/>
      </w:pPr>
      <w:r>
        <w:t>5. 已知冲突与 Open Decision</w:t>
      </w:r>
    </w:p>
    <w:p>
      <w:pPr>
        <w:pStyle w:val="Heading2"/>
      </w:pPr>
      <w:r>
        <w:t>5.1 已解决并冻结的冲突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900"/>
        <w:gridCol w:w="3710"/>
        <w:gridCol w:w="4750"/>
      </w:tblGrid>
      <w:tr>
        <w:trPr>
          <w:tblHeader w:val="true"/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冲突</w:t>
            </w:r>
          </w:p>
        </w:tc>
        <w:tc>
          <w:tcPr>
            <w:tcW w:type="dxa" w:w="4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冻结处理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RC-01</w:t>
            </w:r>
          </w:p>
        </w:tc>
        <w:tc>
          <w:tcPr>
            <w:tcW w:type="dxa" w:w="37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产品基线将 Agency/White-label/API 放在 V1 之后，但系统需供第三方使用。</w:t>
            </w:r>
          </w:p>
        </w:tc>
        <w:tc>
          <w:tcPr>
            <w:tcW w:type="dxa" w:w="47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V1 仅受控开通 Tenant Workspace 并管理自有客户；高级平台代理能力 OUT。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RC-02</w:t>
            </w:r>
          </w:p>
        </w:tc>
        <w:tc>
          <w:tcPr>
            <w:tcW w:type="dxa" w:w="37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Tenant→Customer→Brand→Project 访问链与全局 Source 身份复用。</w:t>
            </w:r>
          </w:p>
        </w:tc>
        <w:tc>
          <w:tcPr>
            <w:tcW w:type="dxa" w:w="47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采用 GLOBAL_IDENTITY_WITH_TENANT_CONTEXT；全局目录不向租户直接暴露。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RC-03</w:t>
            </w:r>
          </w:p>
        </w:tc>
        <w:tc>
          <w:tcPr>
            <w:tcW w:type="dxa" w:w="37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策略需版本化与是否建设动态规则平台。</w:t>
            </w:r>
          </w:p>
        </w:tc>
        <w:tc>
          <w:tcPr>
            <w:tcW w:type="dxa" w:w="47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V1 使用 Versioned Manifest + Immutable Release + Code Evaluator；动态低代码平台 OUT。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RC-04</w:t>
            </w:r>
          </w:p>
        </w:tc>
        <w:tc>
          <w:tcPr>
            <w:tcW w:type="dxa" w:w="37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Project Policy 默认配置与历史实际执行版本。</w:t>
            </w:r>
          </w:p>
        </w:tc>
        <w:tc>
          <w:tcPr>
            <w:tcW w:type="dxa" w:w="47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Execution、Assessment、Resolution、Snapshot 分别保存实际 policy_release_id。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RC-05</w:t>
            </w:r>
          </w:p>
        </w:tc>
        <w:tc>
          <w:tcPr>
            <w:tcW w:type="dxa" w:w="37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Walking Skeleton 报告链与正式客户 KPI。</w:t>
            </w:r>
          </w:p>
        </w:tc>
        <w:tc>
          <w:tcPr>
            <w:tcW w:type="dxa" w:w="47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只使用测试指标或冻结 ANSWER_OUTCOME；Basic Report 只验证 Snapshot 消费。</w:t>
            </w:r>
          </w:p>
        </w:tc>
      </w:tr>
    </w:tbl>
    <w:p>
      <w:pPr>
        <w:spacing w:before="0" w:after="60"/>
      </w:pPr>
    </w:p>
    <w:p>
      <w:pPr>
        <w:pStyle w:val="Heading2"/>
      </w:pPr>
      <w:r>
        <w:t>5.2 Open Decision Register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900"/>
        <w:gridCol w:w="3060"/>
        <w:gridCol w:w="1450"/>
        <w:gridCol w:w="1050"/>
        <w:gridCol w:w="900"/>
        <w:gridCol w:w="2000"/>
      </w:tblGrid>
      <w:tr>
        <w:trPr>
          <w:tblHeader w:val="true"/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ID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未决事项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Owner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Due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Status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关闭产物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OD-G01-001</w:t>
            </w:r>
          </w:p>
        </w:tc>
        <w:tc>
          <w:tcPr>
            <w:tcW w:type="dxa" w:w="30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为 39 项 Scope 指定具名负责人和替补负责人。</w:t>
            </w:r>
          </w:p>
        </w:tc>
        <w:tc>
          <w:tcPr>
            <w:tcW w:type="dxa" w:w="14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PM / Sponsor</w:t>
            </w:r>
          </w:p>
        </w:tc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2026-08-25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OPEN</w:t>
            </w:r>
          </w:p>
        </w:tc>
        <w:tc>
          <w:tcPr>
            <w:tcW w:type="dxa" w:w="20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Named Owner columns completed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OD-G01-002</w:t>
            </w:r>
          </w:p>
        </w:tc>
        <w:tc>
          <w:tcPr>
            <w:tcW w:type="dxa" w:w="30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确认 GEO Intelligence 正式策略输出的 Commercial MVP 边界。</w:t>
            </w:r>
          </w:p>
        </w:tc>
        <w:tc>
          <w:tcPr>
            <w:tcW w:type="dxa" w:w="14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Product Owner</w:t>
            </w:r>
          </w:p>
        </w:tc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2026-08-26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OPEN</w:t>
            </w:r>
          </w:p>
        </w:tc>
        <w:tc>
          <w:tcPr>
            <w:tcW w:type="dxa" w:w="20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Scope + acceptance update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OD-G01-003</w:t>
            </w:r>
          </w:p>
        </w:tc>
        <w:tc>
          <w:tcPr>
            <w:tcW w:type="dxa" w:w="30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确认 Intervention / Effect Validation 的 Commercial MVP 边界。</w:t>
            </w:r>
          </w:p>
        </w:tc>
        <w:tc>
          <w:tcPr>
            <w:tcW w:type="dxa" w:w="14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Product + Domain</w:t>
            </w:r>
          </w:p>
        </w:tc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2026-08-27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OPEN</w:t>
            </w:r>
          </w:p>
        </w:tc>
        <w:tc>
          <w:tcPr>
            <w:tcW w:type="dxa" w:w="20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Intervention acceptance contract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OD-G01-004</w:t>
            </w:r>
          </w:p>
        </w:tc>
        <w:tc>
          <w:tcPr>
            <w:tcW w:type="dxa" w:w="30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确认 Publisher Worker 在 V1 中是 DEFERRED 还是 MVP-2。</w:t>
            </w:r>
          </w:p>
        </w:tc>
        <w:tc>
          <w:tcPr>
            <w:tcW w:type="dxa" w:w="14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Technical + Product</w:t>
            </w:r>
          </w:p>
        </w:tc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2026-08-25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OPEN</w:t>
            </w:r>
          </w:p>
        </w:tc>
        <w:tc>
          <w:tcPr>
            <w:tcW w:type="dxa" w:w="20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Runtime scope ADR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OD-G01-005</w:t>
            </w:r>
          </w:p>
        </w:tc>
        <w:tc>
          <w:tcPr>
            <w:tcW w:type="dxa" w:w="30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完成需求章节至 Scope/Acceptance/Test 的覆盖核对。</w:t>
            </w:r>
          </w:p>
        </w:tc>
        <w:tc>
          <w:tcPr>
            <w:tcW w:type="dxa" w:w="14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BA + QA</w:t>
            </w:r>
          </w:p>
        </w:tc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2026-08-28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OPEN</w:t>
            </w:r>
          </w:p>
        </w:tc>
        <w:tc>
          <w:tcPr>
            <w:tcW w:type="dxa" w:w="20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Requirements coverage report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OD-G01-006</w:t>
            </w:r>
          </w:p>
        </w:tc>
        <w:tc>
          <w:tcPr>
            <w:tcW w:type="dxa" w:w="30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冻结正式 Mention/Recommendation/Citation KPI 准入条件。</w:t>
            </w:r>
          </w:p>
        </w:tc>
        <w:tc>
          <w:tcPr>
            <w:tcW w:type="dxa" w:w="14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Measurement + Product</w:t>
            </w:r>
          </w:p>
        </w:tc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2026-08-27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OPEN</w:t>
            </w:r>
          </w:p>
        </w:tc>
        <w:tc>
          <w:tcPr>
            <w:tcW w:type="dxa" w:w="20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KPI entry ADR + traceability</w:t>
            </w:r>
          </w:p>
        </w:tc>
      </w:tr>
    </w:tbl>
    <w:p>
      <w:pPr>
        <w:spacing w:before="0" w:after="60"/>
      </w:pPr>
    </w:p>
    <w:p>
      <w:pPr>
        <w:pStyle w:val="Heading1"/>
      </w:pPr>
      <w:r>
        <w:t>6. G0-01 关闭评估与记录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900"/>
        <w:gridCol w:w="3860"/>
        <w:gridCol w:w="1500"/>
        <w:gridCol w:w="2100"/>
      </w:tblGrid>
      <w:tr>
        <w:trPr>
          <w:tblHeader w:val="true"/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检查项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当前证据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状态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关闭条件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Scope coverage</w:t>
            </w:r>
          </w:p>
        </w:tc>
        <w:tc>
          <w:tcPr>
            <w:tcW w:type="dxa" w:w="38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39 项已编目，包含 15 模块、4 运行单元和 20 跨模块能力。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DRAFT COMPLETE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评审确认无遗漏。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Mandatory fields</w:t>
            </w:r>
          </w:p>
        </w:tc>
        <w:tc>
          <w:tcPr>
            <w:tcW w:type="dxa" w:w="38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决策、MVP、权威、验收和 Role Owner 已填；Named Owner 未填。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OPEN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39 项具名 Owner 全部指定。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Authority ADR</w:t>
            </w:r>
          </w:p>
        </w:tc>
        <w:tc>
          <w:tcPr>
            <w:tcW w:type="dxa" w:w="38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ADR-001 已形成 PROPOSED 版本。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PENDING REVIEW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批准版本和批准人记录。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Change Control</w:t>
            </w:r>
          </w:p>
        </w:tc>
        <w:tc>
          <w:tcPr>
            <w:tcW w:type="dxa" w:w="38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七阶段、四分类和影响评估清单已形成。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PENDING REVIEW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确认批准角色和执行 SLA。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Known conflicts</w:t>
            </w:r>
          </w:p>
        </w:tc>
        <w:tc>
          <w:tcPr>
            <w:tcW w:type="dxa" w:w="38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5 项已冻结处理；6 项 Open Decision 已登记。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OPEN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Open Decision 全部解决或正式接受。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Gate record</w:t>
            </w:r>
          </w:p>
        </w:tc>
        <w:tc>
          <w:tcPr>
            <w:tcW w:type="dxa" w:w="38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尚无关闭批准记录。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OPEN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填写批准人、ADR、版本和关闭时间。</w:t>
            </w:r>
          </w:p>
        </w:tc>
      </w:tr>
    </w:tbl>
    <w:p>
      <w:pPr>
        <w:spacing w:before="0"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F6B45"/>
          <w:left w:val="single" w:sz="8" w:space="0" w:color="2F6B45"/>
          <w:bottom w:val="single" w:sz="8" w:space="0" w:color="2F6B45"/>
          <w:right w:val="single" w:sz="8" w:space="0" w:color="2F6B45"/>
          <w:insideH w:val="single" w:sz="8" w:space="0" w:color="2F6B45"/>
          <w:insideV w:val="single" w:sz="8" w:space="0" w:color="2F6B4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3EC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Microsoft YaHei"/>
                <w:b/>
                <w:color w:val="2F6B45"/>
                <w:sz w:val="21"/>
              </w:rPr>
              <w:t xml:space="preserve">评审结论  </w:t>
            </w:r>
            <w:r>
              <w:rPr>
                <w:rFonts w:ascii="Calibri" w:hAnsi="Calibri" w:eastAsia="Microsoft YaHei"/>
                <w:color w:val="0B2545"/>
                <w:sz w:val="21"/>
              </w:rPr>
              <w:t>本轮产物达到“提交 G0-01 评审”的条件，但未达到“关闭 G0-01”的条件。正式状态继续为 OPEN / PENDING REVIEW。</w:t>
            </w:r>
          </w:p>
        </w:tc>
      </w:tr>
    </w:tbl>
    <w:p>
      <w:pPr>
        <w:spacing w:after="40"/>
      </w:pPr>
    </w:p>
    <w:p>
      <w:pPr>
        <w:pStyle w:val="Heading2"/>
      </w:pPr>
      <w:r>
        <w:t>6.1 Gate 关闭记录模板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2400"/>
        <w:gridCol w:w="6960"/>
      </w:tblGrid>
      <w:tr>
        <w:trPr>
          <w:tblHeader w:val="true"/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字段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填写内容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Gate ID</w:t>
            </w:r>
          </w:p>
        </w:tc>
        <w:tc>
          <w:tcPr>
            <w:tcW w:type="dxa" w:w="69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G0-01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Owner</w:t>
            </w:r>
          </w:p>
        </w:tc>
        <w:tc>
          <w:tcPr>
            <w:tcW w:type="dxa" w:w="69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Decision / ADR</w:t>
            </w:r>
          </w:p>
        </w:tc>
        <w:tc>
          <w:tcPr>
            <w:tcW w:type="dxa" w:w="69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ADR-001 approved version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Executable Artifact</w:t>
            </w:r>
          </w:p>
        </w:tc>
        <w:tc>
          <w:tcPr>
            <w:tcW w:type="dxa" w:w="69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Scope Matrix + Authority Map + Change Control + Open Decision Register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Contract Tests</w:t>
            </w:r>
          </w:p>
        </w:tc>
        <w:tc>
          <w:tcPr>
            <w:tcW w:type="dxa" w:w="69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Scope completeness / traceability checks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Known Limitations</w:t>
            </w:r>
          </w:p>
        </w:tc>
        <w:tc>
          <w:tcPr>
            <w:tcW w:type="dxa" w:w="69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69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OPEN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Approved At</w:t>
            </w:r>
          </w:p>
        </w:tc>
        <w:tc>
          <w:tcPr>
            <w:tcW w:type="dxa" w:w="69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Approved By</w:t>
            </w:r>
          </w:p>
        </w:tc>
        <w:tc>
          <w:tcPr>
            <w:tcW w:type="dxa" w:w="69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</w:p>
        </w:tc>
      </w:tr>
    </w:tbl>
    <w:p>
      <w:pPr>
        <w:spacing w:before="0" w:after="6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color w:val="667085"/>
        <w:sz w:val="17"/>
      </w:rPr>
      <w:t xml:space="preserve">GEO OS · G0-01 Review Pack  |  Page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7"/>
      </w:rPr>
      <w:t xml:space="preserve"> of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67085"/>
        <w:sz w:val="17"/>
      </w:rPr>
      <w:t>GEO OS  |  G0-01 Scope, Authority &amp; Change Control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 w:eastAsia="Microsoft YaHe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