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left"/>
      </w:pPr>
      <w:r>
        <w:rPr>
          <w:rFonts w:ascii="Aptos" w:hAnsi="Aptos" w:eastAsia="Noto Sans CJK SC"/>
          <w:b/>
          <w:sz w:val="26"/>
        </w:rPr>
        <w:t>MARKIT</w:t>
      </w:r>
    </w:p>
    <w:p>
      <w:pPr>
        <w:spacing w:before="200" w:after="120"/>
      </w:pPr>
      <w:r>
        <w:rPr>
          <w:rFonts w:ascii="Aptos" w:hAnsi="Aptos" w:eastAsia="Noto Sans CJK SC"/>
          <w:b/>
          <w:sz w:val="56"/>
        </w:rPr>
        <w:t>GPUI vs PocketJS</w:t>
      </w:r>
    </w:p>
    <w:p>
      <w:pPr>
        <w:spacing w:after="440"/>
      </w:pPr>
      <w:r>
        <w:rPr>
          <w:rFonts w:ascii="Aptos" w:hAnsi="Aptos" w:eastAsia="Noto Sans CJK SC"/>
          <w:b/>
          <w:sz w:val="38"/>
        </w:rPr>
        <w:t>薄 MVP + 可复现实验方法设计</w:t>
      </w:r>
    </w:p>
    <w:p>
      <w:pPr>
        <w:spacing w:after="80"/>
      </w:pPr>
      <w:r>
        <w:rPr>
          <w:rFonts w:ascii="Aptos" w:hAnsi="Aptos" w:eastAsia="Noto Sans CJK SC"/>
          <w:b/>
          <w:sz w:val="22"/>
        </w:rPr>
        <w:t>Phase 0 / v0.1</w:t>
      </w:r>
    </w:p>
    <w:p>
      <w:pPr>
        <w:spacing w:after="360"/>
      </w:pPr>
      <w:r>
        <w:rPr>
          <w:rFonts w:ascii="Aptos" w:hAnsi="Aptos" w:eastAsia="Noto Sans CJK SC"/>
          <w:sz w:val="20"/>
        </w:rPr>
        <w:t>2026-08-15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rPr>
          <w:cantSplit/>
          <w:tblHeader/>
        </w:trPr>
        <w:tc>
          <w:tcPr>
            <w:tcW w:type="dxa" w:w="9632"/>
            <w:shd w:fill="EEF4FA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/>
            <w:r>
              <w:rPr>
                <w:rFonts w:ascii="Aptos" w:hAnsi="Aptos" w:eastAsia="Noto Sans CJK SC"/>
                <w:b/>
                <w:sz w:val="21"/>
              </w:rPr>
              <w:t>目的：</w:t>
            </w:r>
            <w:r>
              <w:rPr>
                <w:rFonts w:ascii="Aptos" w:hAnsi="Aptos" w:eastAsia="Noto Sans CJK SC"/>
                <w:sz w:val="21"/>
              </w:rPr>
              <w:t xml:space="preserve"> 不先争论哪个 GUI “理论上更快”。先用 GPUI 与 PocketJS 各做一个尽可能薄、行为等价的编辑器 MVP，再用来自 PLDI / EuroSys / OSDI / HotMobile 等工作的实验思想建立统一 workload、trace/replay、E2E latency 与 jank 测量。结果用于决定 Markit 的第一版 GUI 技术路线，并为后续 MVP 优化建立基线。</w:t>
            </w:r>
          </w:p>
        </w:tc>
      </w:tr>
    </w:tbl>
    <w:p/>
    <w:p>
      <w:r>
        <w:rPr>
          <w:rFonts w:ascii="Aptos" w:hAnsi="Aptos" w:eastAsia="Noto Sans CJK SC"/>
          <w:b/>
          <w:sz w:val="24"/>
        </w:rPr>
        <w:t>核心原则</w:t>
      </w:r>
    </w:p>
    <w:p>
      <w:pPr>
        <w:pStyle w:val="ListBullet"/>
        <w:spacing w:after="60" w:line="278" w:lineRule="auto"/>
      </w:pPr>
      <w:r>
        <w:rPr>
          <w:rFonts w:ascii="Aptos" w:hAnsi="Aptos" w:eastAsia="Noto Sans CJK SC"/>
          <w:sz w:val="20"/>
        </w:rPr>
        <w:t>先做可运行的薄 MVP，再测；不是先研究半年再实现。</w:t>
      </w:r>
    </w:p>
    <w:p>
      <w:pPr>
        <w:pStyle w:val="ListBullet"/>
        <w:spacing w:after="60" w:line="278" w:lineRule="auto"/>
      </w:pPr>
      <w:r>
        <w:rPr>
          <w:rFonts w:ascii="Aptos" w:hAnsi="Aptos" w:eastAsia="Noto Sans CJK SC"/>
          <w:sz w:val="20"/>
        </w:rPr>
        <w:t>同一 workload、同一文本、同一窗口与字体资产，分别喂给 GPUI / PocketJS。</w:t>
      </w:r>
    </w:p>
    <w:p>
      <w:pPr>
        <w:pStyle w:val="ListBullet"/>
        <w:spacing w:after="60" w:line="278" w:lineRule="auto"/>
      </w:pPr>
      <w:r>
        <w:rPr>
          <w:rFonts w:ascii="Aptos" w:hAnsi="Aptos" w:eastAsia="Noto Sans CJK SC"/>
          <w:sz w:val="20"/>
        </w:rPr>
        <w:t>Macro benchmark 告诉我们“哪里让用户卡”；Micro profiling 再解释“为什么卡”。</w:t>
      </w:r>
    </w:p>
    <w:p>
      <w:pPr>
        <w:pStyle w:val="ListBullet"/>
        <w:spacing w:after="60" w:line="278" w:lineRule="auto"/>
      </w:pPr>
      <w:r>
        <w:rPr>
          <w:rFonts w:ascii="Aptos" w:hAnsi="Aptos" w:eastAsia="Noto Sans CJK SC"/>
          <w:sz w:val="20"/>
        </w:rPr>
        <w:t>论文方法与 Markit 自定义指标必须区分：能追溯的就标来源，项目推导的就明确写“Markit-defined”。</w:t>
      </w:r>
    </w:p>
    <w:p>
      <w:r>
        <w:br w:type="page"/>
      </w:r>
    </w:p>
    <w:p>
      <w:pPr>
        <w:pStyle w:val="Heading1"/>
      </w:pPr>
      <w:r>
        <w:t>1. 决策摘要</w:t>
      </w:r>
    </w:p>
    <w:p>
      <w:pPr>
        <w:spacing w:after="120" w:line="293" w:lineRule="auto"/>
      </w:pPr>
      <w:r>
        <w:rPr>
          <w:rFonts w:ascii="Aptos" w:hAnsi="Aptos" w:eastAsia="Noto Sans CJK SC"/>
          <w:sz w:val="21"/>
        </w:rPr>
        <w:t>本阶段不是实现完整 Markdown 编辑器，也不是做一个综合分数式 GUI benchmark。我们只构造两个功能等价的“薄编辑器 MVP”，让 GPUI 与 PocketJS 都经历真实编辑器最关键的路径：文本显示、光标、输入、删除、选择、滚动、resize、单行更新和大块粘贴。随后用统一 trace 驱动两者，观察交互延迟、frame/jank、CPU/内存和更新放大。</w:t>
      </w:r>
    </w:p>
    <w:p>
      <w:pPr>
        <w:spacing w:after="120" w:line="293" w:lineRule="auto"/>
      </w:pPr>
      <w:r>
        <w:rPr>
          <w:rFonts w:ascii="Aptos" w:hAnsi="Aptos" w:eastAsia="Noto Sans CJK SC"/>
          <w:sz w:val="21"/>
        </w:rPr>
        <w:t>Phase 0 最终输出不是“某框架 FPS 更高”这么简单，而是一个证据包：哪个框架在 Linux/Windows 上可行；在相同 workload 下 p50/p95/p99 与 jank 如何；单次编辑触发多少额外工作；平台差异来自框架、后端还是 OS；以及哪一条路线值得进入 Markit 正式 MVP。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  <w:tblHeader/>
        </w:trPr>
        <w:tc>
          <w:tcPr>
            <w:tcW w:type="dxa" w:w="1814"/>
            <w:shd w:fill="E9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/>
                <w:sz w:val="18"/>
              </w:rPr>
              <w:t>阶段</w:t>
            </w:r>
          </w:p>
        </w:tc>
        <w:tc>
          <w:tcPr>
            <w:tcW w:type="dxa" w:w="4706"/>
            <w:shd w:fill="E9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/>
                <w:sz w:val="18"/>
              </w:rPr>
              <w:t>内容</w:t>
            </w:r>
          </w:p>
        </w:tc>
        <w:tc>
          <w:tcPr>
            <w:tcW w:type="dxa" w:w="2948"/>
            <w:shd w:fill="E9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/>
                <w:sz w:val="18"/>
              </w:rPr>
              <w:t>退出条件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A. Feasibility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GPUI / PocketJS 在 Linux + Windows 跑通最小窗口、文本、输入、滚动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两端均可测；不可测则记录 No-Go 原因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B. Thin MVP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两个等价编辑表面，不含 Markdown parser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功能行为与 workload 接口一致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C. Benchmark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统一 corpus + trace/replay + macro metrics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产生可重复结果与方差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D. Attribution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perf/ETW/框架 tracing 定位热点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对 top bottleneck 给出证据链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E. Decision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Go / Conditional Go / No-Go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明确 Markit 首选与备选技术路线</w:t>
            </w:r>
          </w:p>
        </w:tc>
      </w:tr>
    </w:tbl>
    <w:p>
      <w:pPr>
        <w:pStyle w:val="Heading1"/>
      </w:pPr>
      <w:r>
        <w:t>2. 研究问题与假设</w:t>
      </w:r>
    </w:p>
    <w:p>
      <w:pPr>
        <w:pStyle w:val="ListBullet"/>
        <w:spacing w:after="60" w:line="278" w:lineRule="auto"/>
      </w:pPr>
      <w:r>
        <w:rPr>
          <w:rFonts w:ascii="Aptos" w:hAnsi="Aptos" w:eastAsia="Noto Sans CJK SC"/>
          <w:sz w:val="20"/>
        </w:rPr>
        <w:t>RQ1：GPUI 与 PocketJS 在 Linux / Windows 上，能否以足够低的工程成本实现编辑器所需的最小 primitives？</w:t>
      </w:r>
    </w:p>
    <w:p>
      <w:pPr>
        <w:pStyle w:val="ListBullet"/>
        <w:spacing w:after="60" w:line="278" w:lineRule="auto"/>
      </w:pPr>
      <w:r>
        <w:rPr>
          <w:rFonts w:ascii="Aptos" w:hAnsi="Aptos" w:eastAsia="Noto Sans CJK SC"/>
          <w:sz w:val="20"/>
        </w:rPr>
        <w:t>RQ2：在相同编辑 workload 下，两者的 Input→Visible/Present latency、frame-time long tail 与 jank rate 有何差异？</w:t>
      </w:r>
    </w:p>
    <w:p>
      <w:pPr>
        <w:pStyle w:val="ListBullet"/>
        <w:spacing w:after="60" w:line="278" w:lineRule="auto"/>
      </w:pPr>
      <w:r>
        <w:rPr>
          <w:rFonts w:ascii="Aptos" w:hAnsi="Aptos" w:eastAsia="Noto Sans CJK SC"/>
          <w:sz w:val="20"/>
        </w:rPr>
        <w:t>RQ3：一次很小的编辑会触发多少 layout / shaping / draw / bridge work？是否存在明显的 work amplification？</w:t>
      </w:r>
    </w:p>
    <w:p>
      <w:pPr>
        <w:pStyle w:val="ListBullet"/>
        <w:spacing w:after="60" w:line="278" w:lineRule="auto"/>
      </w:pPr>
      <w:r>
        <w:rPr>
          <w:rFonts w:ascii="Aptos" w:hAnsi="Aptos" w:eastAsia="Noto Sans CJK SC"/>
          <w:sz w:val="20"/>
        </w:rPr>
        <w:t>RQ4：差异是否跨 Linux / Windows 稳定，还是主要由某个平台后端造成？</w:t>
      </w:r>
    </w:p>
    <w:p>
      <w:pPr>
        <w:pStyle w:val="ListBullet"/>
        <w:spacing w:after="60" w:line="278" w:lineRule="auto"/>
      </w:pPr>
      <w:r>
        <w:rPr>
          <w:rFonts w:ascii="Aptos" w:hAnsi="Aptos" w:eastAsia="Noto Sans CJK SC"/>
          <w:sz w:val="20"/>
        </w:rPr>
        <w:t>RQ5：如果某框架宏观上更慢，瓶颈落在应用层、runtime boundary、layout/text、render preparation、GPU submit 还是 present？</w:t>
      </w:r>
    </w:p>
    <w:p>
      <w:pPr>
        <w:spacing w:after="120" w:line="293" w:lineRule="auto"/>
      </w:pPr>
      <w:r>
        <w:rPr>
          <w:rFonts w:ascii="Aptos" w:hAnsi="Aptos" w:eastAsia="Noto Sans CJK SC"/>
          <w:sz w:val="21"/>
        </w:rPr>
        <w:t>工作假设不是“GPUI 一定更快”或“PocketJS 一定开发更快”。GPUI 是 Rust 的 GPU-accelerated hybrid immediate/retained UI framework；PocketJS 则更接近“JS/TS authoring + native Rust cores/layout/rendering”的 runtime family。两者抽象层级并不完全相同，因此实验结论必须表达成“整套路线在编辑器 workload 下的成本与收益”，而不是误称为两个同层 GUI 库的纯渲染赛跑。</w:t>
      </w:r>
    </w:p>
    <w:p>
      <w:pPr>
        <w:pStyle w:val="Heading1"/>
      </w:pPr>
      <w:r>
        <w:t>3. 实验方法来源：我们具体借鉴什么</w:t>
      </w:r>
    </w:p>
    <w:p>
      <w:pPr>
        <w:spacing w:after="120" w:line="293" w:lineRule="auto"/>
      </w:pPr>
      <w:r>
        <w:rPr>
          <w:rFonts w:ascii="Aptos" w:hAnsi="Aptos" w:eastAsia="Noto Sans CJK SC"/>
          <w:sz w:val="21"/>
        </w:rPr>
        <w:t>下面这张表是本设计最重要的“方法溯源表”。实现过程中，如果我们修改了方法，应同步更新这一节；这样以后读实验结果时可以直接回到对应论文的方法章节。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cantSplit/>
          <w:tblHeader/>
        </w:trPr>
        <w:tc>
          <w:tcPr>
            <w:tcW w:type="dxa" w:w="2041"/>
            <w:shd w:fill="E9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/>
                <w:sz w:val="18"/>
              </w:rPr>
              <w:t>Markit 设计</w:t>
            </w:r>
          </w:p>
        </w:tc>
        <w:tc>
          <w:tcPr>
            <w:tcW w:type="dxa" w:w="2438"/>
            <w:shd w:fill="E9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/>
                <w:sz w:val="18"/>
              </w:rPr>
              <w:t>方法来源</w:t>
            </w:r>
          </w:p>
        </w:tc>
        <w:tc>
          <w:tcPr>
            <w:tcW w:type="dxa" w:w="4139"/>
            <w:shd w:fill="E9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/>
                <w:sz w:val="18"/>
              </w:rPr>
              <w:t>我们借鉴的具体做法</w:t>
            </w:r>
          </w:p>
        </w:tc>
        <w:tc>
          <w:tcPr>
            <w:tcW w:type="dxa" w:w="1701"/>
            <w:shd w:fill="E9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/>
                <w:sz w:val="18"/>
              </w:rPr>
              <w:t>是否原样复现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真实交互 → trace → replay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Spineless Traversal for Layout Invalidation, PLDI/PACMPL 2025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逐帧捕获真实状态；diff 相邻帧得到修改；driver 重放同一修改序列；每帧作为数据点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思想复用，不复现浏览器内部格式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小更新单独分析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Spineless Traversal, 2025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按被重算字段比例分层；重点看 typing/hover/animation 等 latency-critical、dirty work 很小的帧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转化为 editor affected-work bucket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keystroke-granularity editing traces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Collaborative Text Editing with Eg-walker, EuroSys 2025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用 instrumented editor 记录按键粒度编辑事件，并发布可复用 trace corpus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直接采用该思路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标准化 workload + 公平比较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Eg-walker, EuroSys 2025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标准化 trace 长度；固定软件/硬件；release/native 优化；固定 CPU core；大量重复并报告方差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按桌面 GUI 特性调整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like-to-like 对照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Eg-walker, EuroSys 2025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为区分算法差异和实现差异，增加共享大量代码的 reference implementation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转化为共享 corpus/trace/spec，尽量减少应用层差异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E2E pipeline decomposition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Dissecting the End-to-end Latency…, HotMobile 2017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把用户输入到显示更新的总延迟拆成阶段，避免只看某个局部时间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采用软件可观测版本；硬件 key-to-photon 后置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jank rate 作为 QoS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SERENO, OSDI 2026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把可见卡顿帧比例作为前台 QoS 指标，而不是只报告平均 FPS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采用 jank/slow-frame 思路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Work Amplification Factor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由 Spineless 的 dirty/auxiliary work 思路启发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记录一次 1-char edit 导致的 visited nodes / reflow lines / shaped runs / draw rebuild 等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Markit-defined 派生指标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Linux/Windows paired matrix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本项目实验设计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同平台先做框架 A/B，再比较平台间差异，避免把 OS 与框架效应混在一起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Markit-defined</w:t>
            </w:r>
          </w:p>
        </w:tc>
      </w:tr>
    </w:tbl>
    <w:p>
      <w:pPr>
        <w:pStyle w:val="Heading1"/>
      </w:pPr>
      <w:r>
        <w:t>4. 为什么选这几篇，而不是“找个 GUI benchmark 抄完”</w:t>
      </w:r>
    </w:p>
    <w:p>
      <w:pPr>
        <w:spacing w:after="120" w:line="293" w:lineRule="auto"/>
      </w:pPr>
      <w:r>
        <w:rPr>
          <w:rFonts w:ascii="Aptos" w:hAnsi="Aptos" w:eastAsia="Noto Sans CJK SC"/>
          <w:sz w:val="21"/>
        </w:rPr>
        <w:t>Markit 的核心不是 widget throughput，而是编辑时的低延迟、局部更新和长尾卡顿。因此最贴近的问题来自三个方向：浏览器增量 layout 研究告诉我们如何研究 dirty work；文本编辑系统研究告诉我们如何构造真实 edit traces；交互系统研究告诉我们必须从 input 到 display 看完整 latency；现代系统论文则提醒我们用 jank/slow-frame 分布表达用户可见 QoS。</w:t>
      </w:r>
    </w:p>
    <w:p>
      <w:pPr>
        <w:spacing w:after="120" w:line="293" w:lineRule="auto"/>
      </w:pPr>
      <w:r>
        <w:rPr>
          <w:rFonts w:ascii="Aptos" w:hAnsi="Aptos" w:eastAsia="Noto Sans CJK SC"/>
          <w:sz w:val="21"/>
        </w:rPr>
        <w:t>这意味着我们不会把一个综合 score 当结论。一个编辑器可能平均 frame time 很好，却因为少量 50–100 ms 长帧而“感觉卡”；也可能稳定 60 FPS，但 event queue 或 buffering 让字符晚几十毫秒出现。二者都必须被测出来。</w:t>
      </w:r>
    </w:p>
    <w:p>
      <w:pPr>
        <w:pStyle w:val="Heading1"/>
      </w:pPr>
      <w:r>
        <w:t>5. 被测系统（Subjects）</w:t>
      </w:r>
    </w:p>
    <w:p>
      <w:pPr>
        <w:pStyle w:val="Heading2"/>
      </w:pPr>
      <w:r>
        <w:t>5.1 GPUI</w:t>
      </w:r>
    </w:p>
    <w:p>
      <w:pPr>
        <w:spacing w:after="120" w:line="293" w:lineRule="auto"/>
      </w:pPr>
      <w:r>
        <w:rPr>
          <w:rFonts w:ascii="Aptos" w:hAnsi="Aptos" w:eastAsia="Noto Sans CJK SC"/>
          <w:sz w:val="21"/>
        </w:rPr>
        <w:t>GPUI 官方 README 将其描述为面向 Rust 的 GPU-accelerated、hybrid immediate/retained UI framework。`gpui_platform` 负责 host OS 的 windowing/text backend；Linux/FreeBSD 可启用 Wayland/X11，Windows 使用 Win32 + DirectWrite。其低层 Element API 明确允许实现大型列表和 code-editor-style custom layout。</w:t>
      </w:r>
    </w:p>
    <w:p>
      <w:pPr>
        <w:pStyle w:val="Heading2"/>
      </w:pPr>
      <w:r>
        <w:t>5.2 PocketJS</w:t>
      </w:r>
    </w:p>
    <w:p>
      <w:pPr>
        <w:spacing w:after="120" w:line="293" w:lineRule="auto"/>
      </w:pPr>
      <w:r>
        <w:rPr>
          <w:rFonts w:ascii="Aptos" w:hAnsi="Aptos" w:eastAsia="Noto Sans CJK SC"/>
          <w:sz w:val="21"/>
        </w:rPr>
        <w:t>PocketJS 官方 README 将其定位为更宽的 runtime family：JS/TS 组件通过 native APIs 驱动 Rust cores；native core 负责 flexbox layout 并产生 draw list，后端可以是 wgpu、软件 rasterization 等。它强调不携带 browser DOM、browser layout engine 或 runtime CSS engine。</w:t>
      </w:r>
    </w:p>
    <w:p>
      <w:pPr>
        <w:spacing w:after="120" w:line="293" w:lineRule="auto"/>
      </w:pPr>
      <w:r>
        <w:rPr>
          <w:rFonts w:ascii="Aptos" w:hAnsi="Aptos" w:eastAsia="Noto Sans CJK SC"/>
          <w:sz w:val="21"/>
        </w:rPr>
        <w:t>风险点：截至 2026-08-15，PocketJS 列出的“registered Guest profiles”包含 macOS widget 等，而 Browser/desktop/headless Bun 被列为 Guest development/verification hosts。它不等价于“Windows/Linux production desktop target 已与 GPUI 同成熟度”。因此 Phase A 首先验证 Linux/Windows 上的实际可用性；如果某平台必须补大量 host 基础设施，这本身就是有效实验结果，而不是 benchmark 失败。</w:t>
      </w:r>
    </w:p>
    <w:p>
      <w:pPr>
        <w:pStyle w:val="Heading1"/>
      </w:pPr>
      <w:r>
        <w:t>6. 薄 MVP：只实现编辑器热路径</w:t>
      </w:r>
    </w:p>
    <w:p>
      <w:pPr>
        <w:spacing w:after="120" w:line="293" w:lineRule="auto"/>
      </w:pPr>
      <w:r>
        <w:rPr>
          <w:rFonts w:ascii="Aptos" w:hAnsi="Aptos" w:eastAsia="Noto Sans CJK SC"/>
          <w:sz w:val="21"/>
        </w:rPr>
        <w:t>两个 MVP 的目标不是产品体验，而是制造一个可控、等价、可反复驱动的 editing surface。第一轮不接 Markdown parser，不做 Typora-style live preview，不做插件，不做 AI。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cantSplit/>
          <w:tblHeader/>
        </w:trPr>
        <w:tc>
          <w:tcPr>
            <w:tcW w:type="dxa" w:w="2154"/>
            <w:shd w:fill="E9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/>
                <w:sz w:val="18"/>
              </w:rPr>
              <w:t>能力</w:t>
            </w:r>
          </w:p>
        </w:tc>
        <w:tc>
          <w:tcPr>
            <w:tcW w:type="dxa" w:w="1020"/>
            <w:shd w:fill="E9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/>
                <w:sz w:val="18"/>
              </w:rPr>
              <w:t>必须</w:t>
            </w:r>
          </w:p>
        </w:tc>
        <w:tc>
          <w:tcPr>
            <w:tcW w:type="dxa" w:w="1587"/>
            <w:shd w:fill="E9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/>
                <w:sz w:val="18"/>
              </w:rPr>
              <w:t>暂不做</w:t>
            </w:r>
          </w:p>
        </w:tc>
        <w:tc>
          <w:tcPr>
            <w:tcW w:type="dxa" w:w="4989"/>
            <w:shd w:fill="E9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窗口 + viewport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是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形成真实 desktop event/render loop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固定字体文本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是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建立 shaping/layout/render 基线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光标 + selection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是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编辑器高频交互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insert/delete/newline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是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产生最小 dirty update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scroll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是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最容易暴露 frame jank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resize + wrap toggle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是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制造 layout/reflow 压力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paste 1K / 100K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是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覆盖 burst update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Markdown parse/highlight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Phase 1+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避免把 parser 差异混入 GUI 选择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emoji/RTL/复杂 grapheme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Phase 1+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第一轮先控制变量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插件/LSP/AI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远期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不是 GUI route feasibility 的问题</w:t>
            </w:r>
          </w:p>
        </w:tc>
      </w:tr>
    </w:tbl>
    <w:p>
      <w:pPr>
        <w:pStyle w:val="Heading2"/>
      </w:pPr>
      <w:r>
        <w:t>6.1 等价实现约束</w:t>
      </w:r>
    </w:p>
    <w:p>
      <w:pPr>
        <w:pStyle w:val="ListBullet"/>
        <w:spacing w:after="60" w:line="278" w:lineRule="auto"/>
      </w:pPr>
      <w:r>
        <w:rPr>
          <w:rFonts w:ascii="Aptos" w:hAnsi="Aptos" w:eastAsia="Noto Sans CJK SC"/>
          <w:sz w:val="20"/>
        </w:rPr>
        <w:t>相同 document model 语义：同样的行集合、同样的 edit operation 定义。</w:t>
      </w:r>
    </w:p>
    <w:p>
      <w:pPr>
        <w:pStyle w:val="ListBullet"/>
        <w:spacing w:after="60" w:line="278" w:lineRule="auto"/>
      </w:pPr>
      <w:r>
        <w:rPr>
          <w:rFonts w:ascii="Aptos" w:hAnsi="Aptos" w:eastAsia="Noto Sans CJK SC"/>
          <w:sz w:val="20"/>
        </w:rPr>
        <w:t>相同窗口尺寸、DPI 策略、字体文件、字号、行高、wrap width。</w:t>
      </w:r>
    </w:p>
    <w:p>
      <w:pPr>
        <w:pStyle w:val="ListBullet"/>
        <w:spacing w:after="60" w:line="278" w:lineRule="auto"/>
      </w:pPr>
      <w:r>
        <w:rPr>
          <w:rFonts w:ascii="Aptos" w:hAnsi="Aptos" w:eastAsia="Noto Sans CJK SC"/>
          <w:sz w:val="20"/>
        </w:rPr>
        <w:t>相同 trace 输入与时序；同一个 trace 文件可驱动两个 MVP。</w:t>
      </w:r>
    </w:p>
    <w:p>
      <w:pPr>
        <w:pStyle w:val="ListBullet"/>
        <w:spacing w:after="60" w:line="278" w:lineRule="auto"/>
      </w:pPr>
      <w:r>
        <w:rPr>
          <w:rFonts w:ascii="Aptos" w:hAnsi="Aptos" w:eastAsia="Noto Sans CJK SC"/>
          <w:sz w:val="20"/>
        </w:rPr>
        <w:t>尽量不使用一边独有、另一边无法对应的高级 widget；必要时下沉到低层 primitive。</w:t>
      </w:r>
    </w:p>
    <w:p>
      <w:pPr>
        <w:pStyle w:val="ListBullet"/>
        <w:spacing w:after="60" w:line="278" w:lineRule="auto"/>
      </w:pPr>
      <w:r>
        <w:rPr>
          <w:rFonts w:ascii="Aptos" w:hAnsi="Aptos" w:eastAsia="Noto Sans CJK SC"/>
          <w:sz w:val="20"/>
        </w:rPr>
        <w:t>编译使用 release/optimized 模式；记录完整 toolchain、框架 commit、OS build、GPU driver。</w:t>
      </w:r>
    </w:p>
    <w:p>
      <w:pPr>
        <w:pStyle w:val="Heading1"/>
      </w:pPr>
      <w:r>
        <w:t>7. Workload 与 Corpus</w:t>
      </w:r>
    </w:p>
    <w:p>
      <w:pPr>
        <w:pStyle w:val="Heading2"/>
      </w:pPr>
      <w:r>
        <w:t>7.1 文本 corpus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cantSplit/>
          <w:tblHeader/>
        </w:trPr>
        <w:tc>
          <w:tcPr>
            <w:tcW w:type="dxa" w:w="1814"/>
            <w:shd w:fill="E9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/>
                <w:sz w:val="18"/>
              </w:rPr>
              <w:t>Corpus</w:t>
            </w:r>
          </w:p>
        </w:tc>
        <w:tc>
          <w:tcPr>
            <w:tcW w:type="dxa" w:w="1701"/>
            <w:shd w:fill="E9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/>
                <w:sz w:val="18"/>
              </w:rPr>
              <w:t>规模</w:t>
            </w:r>
          </w:p>
        </w:tc>
        <w:tc>
          <w:tcPr>
            <w:tcW w:type="dxa" w:w="2948"/>
            <w:shd w:fill="E9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/>
                <w:sz w:val="18"/>
              </w:rPr>
              <w:t>内容</w:t>
            </w:r>
          </w:p>
        </w:tc>
        <w:tc>
          <w:tcPr>
            <w:tcW w:type="dxa" w:w="3175"/>
            <w:shd w:fill="E9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/>
                <w:sz w:val="18"/>
              </w:rPr>
              <w:t>目的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plain-10k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约 10 KB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ASCII + 常规中文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基线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plain-100k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约 100 KB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多行短文本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常见文档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plain-1m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约 1 MB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多行短文本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大文档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plain-10m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约 10 MB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多行短文本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压力测试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long-line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约 1 MB 单/少量超长行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ASCII 为主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暴露 line measurement/wrap 复杂度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many-short-lines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大量极短行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ASCII + 中文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暴露 line-index/viewport traversal</w:t>
            </w:r>
          </w:p>
        </w:tc>
      </w:tr>
    </w:tbl>
    <w:p>
      <w:pPr>
        <w:pStyle w:val="Heading2"/>
      </w:pPr>
      <w:r>
        <w:t>7.2 Trace 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  <w:tblHeader/>
        </w:trPr>
        <w:tc>
          <w:tcPr>
            <w:tcW w:type="dxa" w:w="1928"/>
            <w:shd w:fill="E9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/>
                <w:sz w:val="18"/>
              </w:rPr>
              <w:t>Trace</w:t>
            </w:r>
          </w:p>
        </w:tc>
        <w:tc>
          <w:tcPr>
            <w:tcW w:type="dxa" w:w="3969"/>
            <w:shd w:fill="E9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/>
                <w:sz w:val="18"/>
              </w:rPr>
              <w:t>操作</w:t>
            </w:r>
          </w:p>
        </w:tc>
        <w:tc>
          <w:tcPr>
            <w:tcW w:type="dxa" w:w="3855"/>
            <w:shd w:fill="E9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/>
                <w:sz w:val="18"/>
              </w:rPr>
              <w:t>观察重点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T0 idle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静置 10–30 s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idle CPU / wakeups / memory drift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T1 typing-normal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稳定节奏逐字符输入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input latency / affected work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T2 typing-burst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短时间快速输入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event queue / coalescing / long tail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T3 backspace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连续删除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incremental update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T4 edit-middle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文档中部多次单字符修改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document-size dependency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T5 select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移动光标与 selection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paint-only / geometry update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T6 scroll-slow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匀速滚动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frame pacing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T7 scroll-fast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高速滚动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jank / virtualization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T8 resize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周期 resize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layout/reflow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T9 wrap-toggle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切换或改变 wrap width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全局 reflow worst case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T10 paste-1k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粘贴约 1 KB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burst edit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T11 paste-100k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粘贴约 100 KB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large mutation + allocation</w:t>
            </w:r>
          </w:p>
        </w:tc>
      </w:tr>
    </w:tbl>
    <w:p>
      <w:pPr>
        <w:spacing w:after="120" w:line="293" w:lineRule="auto"/>
      </w:pPr>
      <w:r>
        <w:rPr>
          <w:rFonts w:ascii="Aptos" w:hAnsi="Aptos" w:eastAsia="Noto Sans CJK SC"/>
          <w:sz w:val="21"/>
        </w:rPr>
        <w:t>Trace 设计直接借鉴 Eg-walker 的“记录真实编辑事件并可重放”思想，但本项目第一轮 trace 可以由 deterministic generator 产生。等 Markit MVP 可用后，再补充真实编辑 session trace；真实 trace 若涉及用户数据，必须只记录操作与必要的匿名化 payload，并明确征得参与者同意。</w:t>
      </w:r>
    </w:p>
    <w:p>
      <w:pPr>
        <w:pStyle w:val="Heading1"/>
      </w:pPr>
      <w:r>
        <w:t>8. 指标体系：不再用一个 FPS 讲故事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cantSplit/>
          <w:tblHeader/>
        </w:trPr>
        <w:tc>
          <w:tcPr>
            <w:tcW w:type="dxa" w:w="1928"/>
            <w:shd w:fill="E9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/>
                <w:sz w:val="18"/>
              </w:rPr>
              <w:t>指标</w:t>
            </w:r>
          </w:p>
        </w:tc>
        <w:tc>
          <w:tcPr>
            <w:tcW w:type="dxa" w:w="3402"/>
            <w:shd w:fill="E9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/>
                <w:sz w:val="18"/>
              </w:rPr>
              <w:t>定义 / 采集</w:t>
            </w:r>
          </w:p>
        </w:tc>
        <w:tc>
          <w:tcPr>
            <w:tcW w:type="dxa" w:w="2948"/>
            <w:shd w:fill="E9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/>
                <w:sz w:val="18"/>
              </w:rPr>
              <w:t>意义</w:t>
            </w:r>
          </w:p>
        </w:tc>
        <w:tc>
          <w:tcPr>
            <w:tcW w:type="dxa" w:w="2324"/>
            <w:shd w:fill="E9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/>
                <w:sz w:val="18"/>
              </w:rPr>
              <w:t>来源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Input→Frame Submit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从应用收到输入事件到提交包含该修改的帧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框架可直接控制的交互延迟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E2E latency 分解思想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Input→Present (可得时)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输入事件到对应帧 present/显示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更接近用户感知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HotMobile 2017 思路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Frame time p50/p95/p99/max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滚动/resize 等 workload 的帧耗时分布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捕获 long tail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系统性能常规 + 本项目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Jank rate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超过目标 refresh deadline 的可见慢帧比例；阈值按显示刷新率定义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用户可见卡顿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SERENO/现代 mobile QoS 思路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CPU time / utilization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process + hot thread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定位 CPU-bound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常规 systems evaluation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RSS / peak RSS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steady + peak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判断 runtime/缓存成本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Eg-walker 类多维评估思想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allocations / edit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单次 edit 的分配次数/字节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发现 transient churn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Markit-defined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Affected Work / Edit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layout nodes、lines、text runs、draw commands 等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判断 incremental 架构是否健康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Spineless 启发；Markit-defined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Startup/Open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cold/warm open 目标 corpus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产品基础体验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Markit-defined</w:t>
            </w:r>
          </w:p>
        </w:tc>
      </w:tr>
    </w:tbl>
    <w:p>
      <w:pPr>
        <w:pStyle w:val="Heading2"/>
      </w:pPr>
      <w:r>
        <w:t>8.1 Markit Work Amplification Factor（自定义）</w:t>
      </w:r>
    </w:p>
    <w:p>
      <w:pPr>
        <w:spacing w:after="120" w:line="293" w:lineRule="auto"/>
      </w:pPr>
      <w:r>
        <w:rPr>
          <w:rFonts w:ascii="Aptos" w:hAnsi="Aptos" w:eastAsia="Noto Sans CJK SC"/>
          <w:sz w:val="21"/>
        </w:rPr>
        <w:t>我们不把 WAF 冒充已有论文指标。它是从 Spineless Traversal 对 dirty fields、auxiliary accesses 和“只改很少字段却遍历很多无关节点”的分析中抽象出来的编辑器指标。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  <w:tblHeader/>
        </w:trPr>
        <w:tc>
          <w:tcPr>
            <w:tcW w:type="dxa" w:w="9632"/>
            <w:shd w:fill="F5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DejaVu Sans Mono" w:hAnsi="DejaVu Sans Mono" w:eastAsia="Noto Sans Mono CJK SC"/>
                <w:sz w:val="17"/>
              </w:rPr>
              <w:t>一次 1-character edit:</w:t>
              <w:br/>
              <w:t xml:space="preserve">  changed_chars = 1</w:t>
              <w:br/>
              <w:t xml:space="preserve">  lines_relayout = ?</w:t>
              <w:br/>
              <w:t xml:space="preserve">  text_runs_reshaped = ?</w:t>
              <w:br/>
              <w:t xml:space="preserve">  ui_nodes_visited = ?</w:t>
              <w:br/>
              <w:t xml:space="preserve">  draw_commands_rebuilt = ?</w:t>
              <w:br/>
              <w:t xml:space="preserve">  bytes_allocated = ?</w:t>
              <w:br/>
              <w:t xml:space="preserve">  gpu_upload_bytes = ?   # 若后端可观测</w:t>
              <w:br/>
              <w:br/>
              <w:t>WAF 不强行合成一个无量纲总分；</w:t>
              <w:br/>
              <w:t>优先报告各子项，并画随 document size 的 scaling curve。</w:t>
            </w:r>
          </w:p>
        </w:tc>
      </w:tr>
    </w:tbl>
    <w:p>
      <w:pPr>
        <w:spacing w:after="40"/>
      </w:pPr>
    </w:p>
    <w:p>
      <w:pPr>
        <w:pStyle w:val="Heading1"/>
      </w:pPr>
      <w:r>
        <w:t>9. 实验矩阵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4"/>
        <w:gridCol w:w="1204"/>
        <w:gridCol w:w="1204"/>
        <w:gridCol w:w="1204"/>
        <w:gridCol w:w="1204"/>
        <w:gridCol w:w="1204"/>
        <w:gridCol w:w="1204"/>
        <w:gridCol w:w="1204"/>
      </w:tblGrid>
      <w:tr>
        <w:trPr>
          <w:cantSplit/>
          <w:tblHeader/>
        </w:trPr>
        <w:tc>
          <w:tcPr>
            <w:tcW w:type="dxa" w:w="1304"/>
            <w:shd w:fill="E9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/>
                <w:sz w:val="18"/>
              </w:rPr>
              <w:t>OS</w:t>
            </w:r>
          </w:p>
        </w:tc>
        <w:tc>
          <w:tcPr>
            <w:tcW w:type="dxa" w:w="1871"/>
            <w:shd w:fill="E9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/>
                <w:sz w:val="18"/>
              </w:rPr>
              <w:t>Framework</w:t>
            </w:r>
          </w:p>
        </w:tc>
        <w:tc>
          <w:tcPr>
            <w:tcW w:type="dxa" w:w="964"/>
            <w:shd w:fill="E9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/>
                <w:sz w:val="18"/>
              </w:rPr>
              <w:t>10K</w:t>
            </w:r>
          </w:p>
        </w:tc>
        <w:tc>
          <w:tcPr>
            <w:tcW w:type="dxa" w:w="1020"/>
            <w:shd w:fill="E9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/>
                <w:sz w:val="18"/>
              </w:rPr>
              <w:t>100K</w:t>
            </w:r>
          </w:p>
        </w:tc>
        <w:tc>
          <w:tcPr>
            <w:tcW w:type="dxa" w:w="1020"/>
            <w:shd w:fill="E9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/>
                <w:sz w:val="18"/>
              </w:rPr>
              <w:t>1M</w:t>
            </w:r>
          </w:p>
        </w:tc>
        <w:tc>
          <w:tcPr>
            <w:tcW w:type="dxa" w:w="1020"/>
            <w:shd w:fill="E9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/>
                <w:sz w:val="18"/>
              </w:rPr>
              <w:t>10M</w:t>
            </w:r>
          </w:p>
        </w:tc>
        <w:tc>
          <w:tcPr>
            <w:tcW w:type="dxa" w:w="1247"/>
            <w:shd w:fill="E9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/>
                <w:sz w:val="18"/>
              </w:rPr>
              <w:t>long-line</w:t>
            </w:r>
          </w:p>
        </w:tc>
        <w:tc>
          <w:tcPr>
            <w:tcW w:type="dxa" w:w="1361"/>
            <w:shd w:fill="E9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/>
                <w:sz w:val="18"/>
              </w:rPr>
              <w:t>many-lines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Linux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GPUI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✓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✓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✓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✓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✓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✓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Linux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PocketJS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✓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✓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✓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✓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✓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✓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Windows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GPUI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✓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✓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✓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✓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✓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✓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Windows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PocketJS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✓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✓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✓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✓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✓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✓</w:t>
            </w:r>
          </w:p>
        </w:tc>
      </w:tr>
    </w:tbl>
    <w:p>
      <w:pPr>
        <w:spacing w:after="120" w:line="293" w:lineRule="auto"/>
      </w:pPr>
      <w:r>
        <w:rPr>
          <w:rFonts w:ascii="Aptos" w:hAnsi="Aptos" w:eastAsia="Noto Sans CJK SC"/>
          <w:sz w:val="21"/>
        </w:rPr>
        <w:t>统计上采用 paired 思路：先在同一个 OS、同一机器、同一 refresh rate 上比较 GPUI vs PocketJS；再观察框架差异在 Linux 与 Windows 是否一致。不要把 Linux/GPUI 直接和 Windows/PocketJS 比较后就归因于框架。</w:t>
      </w:r>
    </w:p>
    <w:p>
      <w:pPr>
        <w:pStyle w:val="Heading1"/>
      </w:pPr>
      <w:r>
        <w:t>10. 实验执行规范</w:t>
      </w:r>
    </w:p>
    <w:p>
      <w:pPr>
        <w:pStyle w:val="ListBullet"/>
        <w:spacing w:after="60" w:line="278" w:lineRule="auto"/>
      </w:pPr>
      <w:r>
        <w:rPr>
          <w:rFonts w:ascii="Aptos" w:hAnsi="Aptos" w:eastAsia="Noto Sans CJK SC"/>
          <w:sz w:val="20"/>
        </w:rPr>
        <w:t>固定机器电源模式、显示刷新率、分辨率、DPI/scale；禁用明显会改变结果的后台重负载。</w:t>
      </w:r>
    </w:p>
    <w:p>
      <w:pPr>
        <w:pStyle w:val="ListBullet"/>
        <w:spacing w:after="60" w:line="278" w:lineRule="auto"/>
      </w:pPr>
      <w:r>
        <w:rPr>
          <w:rFonts w:ascii="Aptos" w:hAnsi="Aptos" w:eastAsia="Noto Sans CJK SC"/>
          <w:sz w:val="20"/>
        </w:rPr>
        <w:t>记录 CPU/GPU/内存、OS build、GPU driver、框架 commit、Rust/Bun/JS runtime 版本。</w:t>
      </w:r>
    </w:p>
    <w:p>
      <w:pPr>
        <w:pStyle w:val="ListBullet"/>
        <w:spacing w:after="60" w:line="278" w:lineRule="auto"/>
      </w:pPr>
      <w:r>
        <w:rPr>
          <w:rFonts w:ascii="Aptos" w:hAnsi="Aptos" w:eastAsia="Noto Sans CJK SC"/>
          <w:sz w:val="20"/>
        </w:rPr>
        <w:t>release/optimized build；避免 debug instrumentation 改变主结果。Tracing build 与 benchmark build 分开保存。</w:t>
      </w:r>
    </w:p>
    <w:p>
      <w:pPr>
        <w:pStyle w:val="ListBullet"/>
        <w:spacing w:after="60" w:line="278" w:lineRule="auto"/>
      </w:pPr>
      <w:r>
        <w:rPr>
          <w:rFonts w:ascii="Aptos" w:hAnsi="Aptos" w:eastAsia="Noto Sans CJK SC"/>
          <w:sz w:val="20"/>
        </w:rPr>
        <w:t>每个 workload 先 warm-up，再正式测量。第一轮建议 ≥30 runs；若方差较高，再增加到 100 runs。Eg-walker 的实验至少重复 100 次并报告标准差，为我们的重复性目标提供了很好的参考。</w:t>
      </w:r>
    </w:p>
    <w:p>
      <w:pPr>
        <w:pStyle w:val="ListBullet"/>
        <w:spacing w:after="60" w:line="278" w:lineRule="auto"/>
      </w:pPr>
      <w:r>
        <w:rPr>
          <w:rFonts w:ascii="Aptos" w:hAnsi="Aptos" w:eastAsia="Noto Sans CJK SC"/>
          <w:sz w:val="20"/>
        </w:rPr>
        <w:t>除 mean 外必须报告 p50/p95/p99/max；对 frame workload 画 CDF 或分位图。</w:t>
      </w:r>
    </w:p>
    <w:p>
      <w:pPr>
        <w:pStyle w:val="ListBullet"/>
        <w:spacing w:after="60" w:line="278" w:lineRule="auto"/>
      </w:pPr>
      <w:r>
        <w:rPr>
          <w:rFonts w:ascii="Aptos" w:hAnsi="Aptos" w:eastAsia="Noto Sans CJK SC"/>
          <w:sz w:val="20"/>
        </w:rPr>
        <w:t>对于 CPU micro-analysis，可在 Linux 使用 perf；Windows 使用 ETW/WPR/WPA。工具结果用于 attribution，不代替 macro benchmark。</w:t>
      </w:r>
    </w:p>
    <w:p>
      <w:pPr>
        <w:pStyle w:val="ListBullet"/>
        <w:spacing w:after="60" w:line="278" w:lineRule="auto"/>
      </w:pPr>
      <w:r>
        <w:rPr>
          <w:rFonts w:ascii="Aptos" w:hAnsi="Aptos" w:eastAsia="Noto Sans CJK SC"/>
          <w:sz w:val="20"/>
        </w:rPr>
        <w:t>如需要降低调度噪声，可以做 CPU affinity 实验；但 GUI 主实验不能为了“漂亮数字”把系统变成不现实的单核运行。Eg-walker 固定核心的方法只作为降低计算 benchmark 方差的参考。</w:t>
      </w:r>
    </w:p>
    <w:p>
      <w:pPr>
        <w:pStyle w:val="Heading1"/>
      </w:pPr>
      <w:r>
        <w:t>11. Macro → Micro 的诊断流程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  <w:tblHeader/>
        </w:trPr>
        <w:tc>
          <w:tcPr>
            <w:tcW w:type="dxa" w:w="9632"/>
            <w:shd w:fill="F5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DejaVu Sans Mono" w:hAnsi="DejaVu Sans Mono" w:eastAsia="Noto Sans Mono CJK SC"/>
                <w:sz w:val="17"/>
              </w:rPr>
              <w:t>Macro trace replay</w:t>
              <w:br/>
              <w:t xml:space="preserve">    |</w:t>
              <w:br/>
              <w:t xml:space="preserve">    +-- typing p99 high? ------&gt; input/event queue -&gt; state update -&gt; layout/text -&gt; draw -&gt; present</w:t>
              <w:br/>
              <w:t xml:space="preserve">    |</w:t>
              <w:br/>
              <w:t xml:space="preserve">    +-- scroll jank high? -----&gt; viewport traversal -&gt; text cache -&gt; draw-list -&gt; GPU/present</w:t>
              <w:br/>
              <w:t xml:space="preserve">    |</w:t>
              <w:br/>
              <w:t xml:space="preserve">    +-- resize long tail? -----&gt; wrap/reflow -&gt; shaping -&gt; allocation -&gt; renderer</w:t>
              <w:br/>
              <w:t xml:space="preserve">    |</w:t>
              <w:br/>
              <w:t xml:space="preserve">    +-- only one OS bad? ------&gt; platform backend / compositor / driver / text API</w:t>
              <w:br/>
              <w:t xml:space="preserve">    |</w:t>
              <w:br/>
              <w:t xml:space="preserve">    +-- both OS bad? ----------&gt; framework/runtime/application architecture</w:t>
              <w:br/>
              <w:br/>
              <w:t>先发现症状，再用 profiler 归因；不要先从 flame graph 猜“用户哪里卡”。</w:t>
            </w:r>
          </w:p>
        </w:tc>
      </w:tr>
    </w:tbl>
    <w:p>
      <w:pPr>
        <w:spacing w:after="40"/>
      </w:pPr>
    </w:p>
    <w:p>
      <w:pPr>
        <w:pStyle w:val="Heading1"/>
      </w:pPr>
      <w:r>
        <w:t>12. Phase A：Feasibility Gate（先于性能排名）</w:t>
      </w:r>
    </w:p>
    <w:p>
      <w:pPr>
        <w:spacing w:after="120" w:line="293" w:lineRule="auto"/>
      </w:pPr>
      <w:r>
        <w:rPr>
          <w:rFonts w:ascii="Aptos" w:hAnsi="Aptos" w:eastAsia="Noto Sans CJK SC"/>
          <w:sz w:val="21"/>
        </w:rPr>
        <w:t>在 PocketJS 与 GPUI 之间，第一道门不是 benchmark，而是“能不能以合理代价成为 Linux/Windows 编辑器宿主”。如果 PocketJS 某个平台当前只能作为开发/验证 host，且为了一个 editable text surface 需要大量补 desktop host，那么这就是 No-Go/Conditional-Go 的重要证据。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cantSplit/>
          <w:tblHeader/>
        </w:trPr>
        <w:tc>
          <w:tcPr>
            <w:tcW w:type="dxa" w:w="3402"/>
            <w:shd w:fill="E9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/>
                <w:sz w:val="18"/>
              </w:rPr>
              <w:t>Gate</w:t>
            </w:r>
          </w:p>
        </w:tc>
        <w:tc>
          <w:tcPr>
            <w:tcW w:type="dxa" w:w="1531"/>
            <w:shd w:fill="E9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/>
                <w:sz w:val="18"/>
              </w:rPr>
              <w:t>Linux</w:t>
            </w:r>
          </w:p>
        </w:tc>
        <w:tc>
          <w:tcPr>
            <w:tcW w:type="dxa" w:w="1531"/>
            <w:shd w:fill="E9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/>
                <w:sz w:val="18"/>
              </w:rPr>
              <w:t>Windows</w:t>
            </w:r>
          </w:p>
        </w:tc>
        <w:tc>
          <w:tcPr>
            <w:tcW w:type="dxa" w:w="3628"/>
            <w:shd w:fill="E9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开窗 + resize + HiDPI</w:t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稳定，不依赖手工 patch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键盘 + modifier</w:t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按键语义正确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IME / 中文输入</w:t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至少常规中文输入可用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Clipboard</w:t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copy/paste 正常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Text shaping / fallback</w:t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基准字体与 CJK 正常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Mouse / selection</w:t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pointer capture/selection 可实现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Scroll</w:t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连续滚动，无基础事件缺口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Profiling hooks</w:t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可记录关键阶段时间戳</w:t>
            </w:r>
          </w:p>
        </w:tc>
      </w:tr>
    </w:tbl>
    <w:p>
      <w:pPr>
        <w:pStyle w:val="Heading1"/>
      </w:pPr>
      <w:r>
        <w:t>13. Go / No-Go 决策规则</w:t>
      </w:r>
    </w:p>
    <w:p>
      <w:pPr>
        <w:spacing w:after="120" w:line="293" w:lineRule="auto"/>
      </w:pPr>
      <w:r>
        <w:rPr>
          <w:rFonts w:ascii="Aptos" w:hAnsi="Aptos" w:eastAsia="Noto Sans CJK SC"/>
          <w:sz w:val="21"/>
        </w:rPr>
        <w:t>不建议预先写死一个“p99 必须小于 8 ms”就决定技术路线，因为两套薄 MVP 的实现成熟度可能不同。第一轮用相对规则 + 硬性可行性规则：</w:t>
      </w:r>
    </w:p>
    <w:p>
      <w:pPr>
        <w:pStyle w:val="ListBullet"/>
        <w:spacing w:after="60" w:line="278" w:lineRule="auto"/>
      </w:pPr>
      <w:r>
        <w:rPr>
          <w:rFonts w:ascii="Aptos" w:hAnsi="Aptos" w:eastAsia="Noto Sans CJK SC"/>
          <w:sz w:val="20"/>
        </w:rPr>
        <w:t>硬性 No-Go：Linux 或 Windows 的核心输入/文本能力需要大规模补 host，且这项工作与 Markit 核心价值无关。</w:t>
      </w:r>
    </w:p>
    <w:p>
      <w:pPr>
        <w:pStyle w:val="ListBullet"/>
        <w:spacing w:after="60" w:line="278" w:lineRule="auto"/>
      </w:pPr>
      <w:r>
        <w:rPr>
          <w:rFonts w:ascii="Aptos" w:hAnsi="Aptos" w:eastAsia="Noto Sans CJK SC"/>
          <w:sz w:val="20"/>
        </w:rPr>
        <w:t>Conditional Go：性能有劣势但瓶颈清晰、可局部修复，且开发效率/架构收益明显。</w:t>
      </w:r>
    </w:p>
    <w:p>
      <w:pPr>
        <w:pStyle w:val="ListBullet"/>
        <w:spacing w:after="60" w:line="278" w:lineRule="auto"/>
      </w:pPr>
      <w:r>
        <w:rPr>
          <w:rFonts w:ascii="Aptos" w:hAnsi="Aptos" w:eastAsia="Noto Sans CJK SC"/>
          <w:sz w:val="20"/>
        </w:rPr>
        <w:t>优先 Go：跨两个 OS 的 p95/p99、jank 与 WAF 均稳定，且没有明显平台死角。</w:t>
      </w:r>
    </w:p>
    <w:p>
      <w:pPr>
        <w:pStyle w:val="ListBullet"/>
        <w:spacing w:after="60" w:line="278" w:lineRule="auto"/>
      </w:pPr>
      <w:r>
        <w:rPr>
          <w:rFonts w:ascii="Aptos" w:hAnsi="Aptos" w:eastAsia="Noto Sans CJK SC"/>
          <w:sz w:val="20"/>
        </w:rPr>
        <w:t>禁止仅按平均 FPS 选型；禁止用单一平台结果代表整体；禁止把未对齐的 MVP 代码量差异解释成框架本质。</w:t>
      </w:r>
    </w:p>
    <w:p>
      <w:pPr>
        <w:pStyle w:val="Heading1"/>
      </w:pPr>
      <w:r>
        <w:t>14. 预期输出物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cantSplit/>
          <w:tblHeader/>
        </w:trPr>
        <w:tc>
          <w:tcPr>
            <w:tcW w:type="dxa" w:w="2835"/>
            <w:shd w:fill="E9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/>
                <w:sz w:val="18"/>
              </w:rPr>
              <w:t>Artifact</w:t>
            </w:r>
          </w:p>
        </w:tc>
        <w:tc>
          <w:tcPr>
            <w:tcW w:type="dxa" w:w="6803"/>
            <w:shd w:fill="E9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mvp-gpui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薄编辑器 MVP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mvp-pocketjs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薄编辑器 MVP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bench-spec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统一事件/trace schema、窗口与字体配置、corpus 定义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trace-corpus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deterministic traces；后续加入真实匿名化 traces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runner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Linux/Windows 重放与采集脚本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results/raw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原始样本，不只保存汇总值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results/report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CDF / percentile / scaling curves / jank / WAF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decision.md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Go/Conditional-Go/No-Go 与证据链</w:t>
            </w:r>
          </w:p>
        </w:tc>
      </w:tr>
    </w:tbl>
    <w:p>
      <w:pPr>
        <w:pStyle w:val="Heading1"/>
      </w:pPr>
      <w:r>
        <w:t>15. 后续：进入真正 Markit MVP 后怎么复用</w:t>
      </w:r>
    </w:p>
    <w:p>
      <w:pPr>
        <w:spacing w:after="120" w:line="293" w:lineRule="auto"/>
      </w:pPr>
      <w:r>
        <w:rPr>
          <w:rFonts w:ascii="Aptos" w:hAnsi="Aptos" w:eastAsia="Noto Sans CJK SC"/>
          <w:sz w:val="21"/>
        </w:rPr>
        <w:t>Phase 0 结束后，bench harness 不废弃。真正 Markit MVP 接入 Markdown incremental parse、syntax decoration、Typora-style live rendering 时，继续使用相同 trace/corpus；这样每加入一层功能，都可以量化“新增功能引入了多少 latency 与 work amplification”。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  <w:tblHeader/>
        </w:trPr>
        <w:tc>
          <w:tcPr>
            <w:tcW w:type="dxa" w:w="9632"/>
            <w:shd w:fill="F5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DejaVu Sans Mono" w:hAnsi="DejaVu Sans Mono" w:eastAsia="Noto Sans Mono CJK SC"/>
                <w:sz w:val="17"/>
              </w:rPr>
              <w:t>Phase 0:</w:t>
              <w:br/>
              <w:t xml:space="preserve">  GPUI thin MVP                             -&gt; common harness -&gt; decision</w:t>
              <w:br/>
              <w:t xml:space="preserve">  PocketJS thin MVP  /</w:t>
              <w:br/>
              <w:br/>
              <w:t>Phase 1+:</w:t>
              <w:br/>
              <w:t xml:space="preserve">  Markit editor core</w:t>
              <w:br/>
              <w:t xml:space="preserve">       + markdown</w:t>
              <w:br/>
              <w:t xml:space="preserve">       + live rendering</w:t>
              <w:br/>
              <w:t xml:space="preserve">             |</w:t>
              <w:br/>
              <w:t xml:space="preserve">             v</w:t>
              <w:br/>
              <w:t xml:space="preserve">      same harness / same traces</w:t>
              <w:br/>
              <w:t xml:space="preserve">             |</w:t>
              <w:br/>
              <w:t xml:space="preserve">             v</w:t>
              <w:br/>
              <w:t xml:space="preserve">  regression + bottleneck attribution</w:t>
            </w:r>
          </w:p>
        </w:tc>
      </w:tr>
    </w:tbl>
    <w:p>
      <w:pPr>
        <w:spacing w:after="40"/>
      </w:pPr>
    </w:p>
    <w:p>
      <w:pPr>
        <w:pStyle w:val="Heading1"/>
      </w:pPr>
      <w:r>
        <w:t>16. 方法与论文阅读路线</w:t>
      </w:r>
    </w:p>
    <w:p>
      <w:pPr>
        <w:spacing w:after="120" w:line="293" w:lineRule="auto"/>
      </w:pPr>
      <w:r>
        <w:rPr>
          <w:rFonts w:ascii="Aptos" w:hAnsi="Aptos" w:eastAsia="Noto Sans CJK SC"/>
          <w:sz w:val="21"/>
        </w:rPr>
        <w:t>如果只读三篇，建议按下面顺序。第一篇决定我们怎么研究“局部更新为什么仍然慢”；第二篇决定怎么做编辑器 trace 和公平 benchmark；第三篇帮助把“用户按键到画面更新”的完整路径作为测量对象。SERENO 用来补现代系统对 jank/QoS 的表达方式。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  <w:tblHeader/>
        </w:trPr>
        <w:tc>
          <w:tcPr>
            <w:tcW w:type="dxa" w:w="1247"/>
            <w:shd w:fill="E9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/>
                <w:sz w:val="18"/>
              </w:rPr>
              <w:t>优先级</w:t>
            </w:r>
          </w:p>
        </w:tc>
        <w:tc>
          <w:tcPr>
            <w:tcW w:type="dxa" w:w="5102"/>
            <w:shd w:fill="E9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/>
                <w:sz w:val="18"/>
              </w:rPr>
              <w:t>论文</w:t>
            </w:r>
          </w:p>
        </w:tc>
        <w:tc>
          <w:tcPr>
            <w:tcW w:type="dxa" w:w="3402"/>
            <w:shd w:fill="E9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/>
                <w:sz w:val="18"/>
              </w:rPr>
              <w:t>建议重点读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1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Spineless Traversal for Layout Invalidation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Introduction；§3 Incremental Layout；§7.2 Benchmark Web Pages；§7.3 Results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2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Collaborative Text Editing with Eg-walker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§4.1 Editing traces；§4.2 Experimental approach；Artifact Appendix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3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Dissecting the End-to-end Latency of Interactive Mobile Video Applications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measurement model；step-wise latency decomposition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4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Inference in the Shadows: … SERENO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sz w:val="18"/>
              </w:rPr>
              <w:t>foreground QoS、jank rate、slow rendering / contention evaluation</w:t>
            </w:r>
          </w:p>
        </w:tc>
      </w:tr>
    </w:tbl>
    <w:p>
      <w:pPr>
        <w:pStyle w:val="Heading1"/>
      </w:pPr>
      <w:r>
        <w:t>17. 参考文献与可检索标识</w:t>
      </w:r>
    </w:p>
    <w:p>
      <w:pPr>
        <w:spacing w:after="80" w:line="293" w:lineRule="auto"/>
      </w:pPr>
      <w:r>
        <w:rPr>
          <w:rFonts w:ascii="Aptos" w:hAnsi="Aptos" w:eastAsia="Noto Sans CJK SC"/>
          <w:sz w:val="21"/>
        </w:rPr>
        <w:t>Kirisame, M.; Wang, T.; Panchekha, P. “Spineless Traversal for Layout Invalidation.” Proceedings of the ACM on Programming Languages, PLDI 2025. DOI: 10.1145/3729322. arXiv: 2411.10659.</w:t>
      </w:r>
    </w:p>
    <w:p>
      <w:pPr>
        <w:spacing w:after="80" w:line="293" w:lineRule="auto"/>
      </w:pPr>
      <w:r>
        <w:rPr>
          <w:rFonts w:ascii="Aptos" w:hAnsi="Aptos" w:eastAsia="Noto Sans CJK SC"/>
          <w:sz w:val="21"/>
        </w:rPr>
        <w:t>Gentle, J.; Kleppmann, M. “Collaborative Text Editing with Eg-walker: Better, Faster, Smaller.” EuroSys 2025. DOI: 10.1145/3689031.3696076. arXiv: 2409.14252.</w:t>
      </w:r>
    </w:p>
    <w:p>
      <w:pPr>
        <w:spacing w:after="80" w:line="293" w:lineRule="auto"/>
      </w:pPr>
      <w:r>
        <w:rPr>
          <w:rFonts w:ascii="Aptos" w:hAnsi="Aptos" w:eastAsia="Noto Sans CJK SC"/>
          <w:sz w:val="21"/>
        </w:rPr>
        <w:t>Kämäräinen, T.; Siekkinen, M.; Ylä-Jääski, A.; Zhang, W.; Hui, P. “Dissecting the End-to-end Latency of Interactive Mobile Video Applications.” HotMobile 2017. DOI: 10.1145/3032970.3032985. arXiv: 1611.08520.</w:t>
      </w:r>
    </w:p>
    <w:p>
      <w:pPr>
        <w:spacing w:after="80" w:line="293" w:lineRule="auto"/>
      </w:pPr>
      <w:r>
        <w:rPr>
          <w:rFonts w:ascii="Aptos" w:hAnsi="Aptos" w:eastAsia="Noto Sans CJK SC"/>
          <w:sz w:val="21"/>
        </w:rPr>
        <w:t>Xin, T.; Shi, X.; Dong, M.; Mi, Z. “Inference in the Shadows: Taming Memory Bandwidth Contention in Mobile LLM Inference with Sereno.” OSDI 2026, pp. 2299–2318. USENIX Open Access.</w:t>
      </w:r>
    </w:p>
    <w:p>
      <w:pPr>
        <w:spacing w:after="80" w:line="293" w:lineRule="auto"/>
      </w:pPr>
      <w:r>
        <w:rPr>
          <w:rFonts w:ascii="Aptos" w:hAnsi="Aptos" w:eastAsia="Noto Sans CJK SC"/>
          <w:sz w:val="21"/>
        </w:rPr>
        <w:t>Zed Industries. “GPUI README.” Official Zed repository, crates/gpui. Accessed 2026-08-15.</w:t>
      </w:r>
    </w:p>
    <w:p>
      <w:pPr>
        <w:spacing w:after="80" w:line="293" w:lineRule="auto"/>
      </w:pPr>
      <w:r>
        <w:rPr>
          <w:rFonts w:ascii="Aptos" w:hAnsi="Aptos" w:eastAsia="Noto Sans CJK SC"/>
          <w:sz w:val="21"/>
        </w:rPr>
        <w:t>PocketJS project. “PocketJS README.” Official pocket-stack/pocketjs repository. Accessed 2026-08-15.</w:t>
      </w:r>
    </w:p>
    <w:p>
      <w:pPr>
        <w:pStyle w:val="Heading1"/>
      </w:pPr>
      <w:r>
        <w:t>18. 当前结论</w:t>
      </w:r>
    </w:p>
    <w:p>
      <w:pPr>
        <w:spacing w:after="120" w:line="293" w:lineRule="auto"/>
      </w:pPr>
      <w:r>
        <w:rPr>
          <w:rFonts w:ascii="Aptos" w:hAnsi="Aptos" w:eastAsia="Noto Sans CJK SC"/>
          <w:sz w:val="21"/>
        </w:rPr>
        <w:t>现在最合理的动作不是再扩论文列表，而是立即进入 Phase A/B：把两个薄 MVP 做出来，同时从第一天使用同一个 trace schema 与 timestamp contract。论文在这里不是装饰性“related work”，而是约束实验方法：真实或可重放 workload、等价输入、分布而非平均值、区分小 dirty update 与 bulk work、以及从 input 到 display 的完整路径。</w:t>
      </w:r>
    </w:p>
    <w:p>
      <w:pPr>
        <w:spacing w:after="120" w:line="293" w:lineRule="auto"/>
      </w:pPr>
      <w:r>
        <w:rPr>
          <w:rFonts w:ascii="Aptos" w:hAnsi="Aptos" w:eastAsia="Noto Sans CJK SC"/>
          <w:sz w:val="21"/>
        </w:rPr>
        <w:t>只要 Phase 0 做扎实，后面无论最终选择 GPUI 还是 PocketJS，Markit 都会获得一套可持续使用的性能实验基础设施。这比单次“跑分选 GUI”更有价值。</w:t>
      </w:r>
    </w:p>
    <w:p>
      <w:pPr>
        <w:pStyle w:val="Heading1"/>
      </w:pPr>
      <w:r>
        <w:t>附录 A. 第一轮执行清单</w:t>
      </w:r>
    </w:p>
    <w:p>
      <w:pPr>
        <w:pStyle w:val="ListBullet"/>
        <w:spacing w:after="60"/>
      </w:pPr>
      <w:r>
        <w:rPr>
          <w:rFonts w:ascii="Aptos" w:hAnsi="Aptos" w:eastAsia="Noto Sans CJK SC"/>
          <w:sz w:val="20"/>
        </w:rPr>
        <w:t>锁定两个 framework commit、Rust/toolchain、PocketJS runtime/host 版本，并写入 bench metadata。</w:t>
      </w:r>
    </w:p>
    <w:p>
      <w:pPr>
        <w:pStyle w:val="ListBullet"/>
        <w:spacing w:after="60"/>
      </w:pPr>
      <w:r>
        <w:rPr>
          <w:rFonts w:ascii="Aptos" w:hAnsi="Aptos" w:eastAsia="Noto Sans CJK SC"/>
          <w:sz w:val="20"/>
        </w:rPr>
        <w:t>Linux 与 Windows 分别完成 Phase A：开窗、HiDPI、键盘、中文 IME、clipboard、selection、scroll。</w:t>
      </w:r>
    </w:p>
    <w:p>
      <w:pPr>
        <w:pStyle w:val="ListBullet"/>
        <w:spacing w:after="60"/>
      </w:pPr>
      <w:r>
        <w:rPr>
          <w:rFonts w:ascii="Aptos" w:hAnsi="Aptos" w:eastAsia="Noto Sans CJK SC"/>
          <w:sz w:val="20"/>
        </w:rPr>
        <w:t>定义唯一的 trace schema；两个 MVP 禁止各自发明 workload。</w:t>
      </w:r>
    </w:p>
    <w:p>
      <w:pPr>
        <w:pStyle w:val="ListBullet"/>
        <w:spacing w:after="60"/>
      </w:pPr>
      <w:r>
        <w:rPr>
          <w:rFonts w:ascii="Aptos" w:hAnsi="Aptos" w:eastAsia="Noto Sans CJK SC"/>
          <w:sz w:val="20"/>
        </w:rPr>
        <w:t>先生成 plain-10k / 100k / 1m、long-line、many-short-lines；10m 作为压力档。</w:t>
      </w:r>
    </w:p>
    <w:p>
      <w:pPr>
        <w:pStyle w:val="ListBullet"/>
        <w:spacing w:after="60"/>
      </w:pPr>
      <w:r>
        <w:rPr>
          <w:rFonts w:ascii="Aptos" w:hAnsi="Aptos" w:eastAsia="Noto Sans CJK SC"/>
          <w:sz w:val="20"/>
        </w:rPr>
        <w:t>跑 T0–T11 trace，保存每次原始样本；不要只保存最终平均数。</w:t>
      </w:r>
    </w:p>
    <w:p>
      <w:pPr>
        <w:pStyle w:val="ListBullet"/>
        <w:spacing w:after="60"/>
      </w:pPr>
      <w:r>
        <w:rPr>
          <w:rFonts w:ascii="Aptos" w:hAnsi="Aptos" w:eastAsia="Noto Sans CJK SC"/>
          <w:sz w:val="20"/>
        </w:rPr>
        <w:t>至少输出 p50/p95/p99/max、jank rate、RSS、CPU，以及可观测的 Affected Work / Edit。</w:t>
      </w:r>
    </w:p>
    <w:p>
      <w:pPr>
        <w:pStyle w:val="ListBullet"/>
        <w:spacing w:after="60"/>
      </w:pPr>
      <w:r>
        <w:rPr>
          <w:rFonts w:ascii="Aptos" w:hAnsi="Aptos" w:eastAsia="Noto Sans CJK SC"/>
          <w:sz w:val="20"/>
        </w:rPr>
        <w:t>对排名最差的 2–3 个 workload 才进入 perf / ETW / framework tracing 做 root-cause attribution。</w:t>
      </w:r>
    </w:p>
    <w:p>
      <w:pPr>
        <w:pStyle w:val="ListBullet"/>
        <w:spacing w:after="60"/>
      </w:pPr>
      <w:r>
        <w:rPr>
          <w:rFonts w:ascii="Aptos" w:hAnsi="Aptos" w:eastAsia="Noto Sans CJK SC"/>
          <w:sz w:val="20"/>
        </w:rPr>
        <w:t>形成一页 decision matrix：性能、平台成熟度、编辑器 primitives、工程复杂度、可修复性。</w:t>
      </w:r>
    </w:p>
    <w:p>
      <w:pPr>
        <w:pStyle w:val="ListBullet"/>
        <w:spacing w:after="60"/>
      </w:pPr>
      <w:r>
        <w:rPr>
          <w:rFonts w:ascii="Aptos" w:hAnsi="Aptos" w:eastAsia="Noto Sans CJK SC"/>
          <w:sz w:val="20"/>
        </w:rPr>
        <w:t>只有实验确认 GUI route 后，才进入 Markit Markdown parser / live-rendering MVP。</w:t>
      </w:r>
    </w:p>
    <w:p>
      <w:pPr>
        <w:spacing w:before="160"/>
      </w:pPr>
      <w:r>
        <w:rPr>
          <w:rFonts w:ascii="Aptos" w:hAnsi="Aptos" w:eastAsia="Noto Sans CJK SC"/>
          <w:b/>
          <w:sz w:val="21"/>
        </w:rPr>
        <w:t>建议第一个 milestone：两个 thin MVP 均能在至少一个平台被同一 trace runner 驱动，并产生第一张 typing / scroll 的 percentile 对比图。</w:t>
      </w:r>
    </w:p>
    <w:sectPr w:rsidR="00FC693F" w:rsidRPr="0006063C" w:rsidSect="00034616">
      <w:footerReference w:type="default" r:id="rId9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Noto Sans CJK SC"/>
        <w:sz w:val="16"/>
      </w:rPr>
      <w:t>Markit · Phase 0 Experimental Design ·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" w:hAnsi="Aptos" w:eastAsia="Noto Sans CJK SC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 w:eastAsia="Noto Sans CJK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Noto Sans CJK SC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