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Calibri" w:cs="Calibri" w:eastAsia="Calibri" w:hAnsi="Calibri"/>
          <w:b/>
          <w:bCs/>
          <w:color w:val="C8102E"/>
          <w:sz w:val="18"/>
          <w:szCs w:val="18"/>
        </w:rPr>
        <w:t xml:space="preserve">INICIATIVA DE QA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4B"/>
          <w:sz w:val="48"/>
          <w:szCs w:val="48"/>
        </w:rPr>
        <w:t xml:space="preserve">Plan de trabajo</w:t>
      </w:r>
    </w:p>
    <w:p>
      <w:pPr>
        <w:spacing w:after="80" w:before="0"/>
      </w:pPr>
      <w:r>
        <w:rPr>
          <w:rFonts w:ascii="Calibri" w:cs="Calibri" w:eastAsia="Calibri" w:hAnsi="Calibri"/>
          <w:color w:val="C8102E"/>
          <w:sz w:val="32"/>
          <w:szCs w:val="32"/>
        </w:rPr>
        <w:t xml:space="preserve">IaAgent QA Platform</w:t>
      </w:r>
    </w:p>
    <w:p>
      <w:pPr>
        <w:spacing w:after="16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2"/>
          <w:szCs w:val="22"/>
        </w:rPr>
        <w:t xml:space="preserve">La inteligencia artificial entra en cada PBI de Refund. Analiza el alcance y redacta el Test Plan, los casos y los comentarios. QA revisa y publica en Azure DevOps. Ese paso no se omite.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F0D5D8" w:sz="4"/>
              <w:left w:val="single" w:color="C8102E" w:sz="16"/>
              <w:bottom w:val="single" w:color="F0D5D8" w:sz="4"/>
              <w:right w:val="single" w:color="F0D5D8" w:sz="4"/>
            </w:tcBorders>
            <w:shd w:fill="F8F1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1"/>
                <w:szCs w:val="21"/>
              </w:rPr>
              <w:t xml:space="preserve">Qué se pide aprobar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Usar la IA en todos los PBI del equipo, con el formato que ya exigen los lineamientos de QA, y con un filtro previo para que secretos, tokens y datos del pasajero no salgan del tenant.</w:t>
            </w:r>
          </w:p>
        </w:tc>
      </w:tr>
    </w:tbl>
    <w:p>
      <w:pPr>
        <w:pStyle w:val="Heading1"/>
        <w:pBdr>
          <w:bottom w:val="single" w:color="C8102E" w:sz="12" w:space="1"/>
        </w:pBdr>
        <w:spacing w:after="140" w:before="280"/>
      </w:pPr>
      <w:r>
        <w:rPr>
          <w:rFonts w:ascii="Calibri" w:cs="Calibri" w:eastAsia="Calibri" w:hAnsi="Calibri"/>
          <w:b/>
          <w:bCs/>
          <w:color w:val="1B3A4B"/>
          <w:sz w:val="28"/>
          <w:szCs w:val="28"/>
        </w:rPr>
        <w:t xml:space="preserve">1.  La iniciativa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IaAgent es una iniciativa nueva de QA para Avianca Refunds. El tablero, el Test Plan, el bug y el UAT siguen en Azure DevOps. La IA se suma en el medio: redacta el borrador. QA lo contrasta con el manual de la aplicación y lo deja publicado.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Si la IA no intervino, el caso no se da por diseñado y el comentario no se publica.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Por qué conviene ahora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El formato ya existe. La IA escribe con el nombre de caso, el Related work y las evidencias que el lineamiento pide.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QA deja de empezar el caso en blanco. El tiempo se va a revisar, ejecutar y cerrar.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El criterio de cierre no cambia. Sigue siendo de QA, con evidencia fechada y VoBo de UAT.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Lo sensible se filtra antes de salir. La IA trabaja con alcance y con el cambio, no con llaves ni con datos de un pasajero.</w:t>
      </w:r>
    </w:p>
    <w:p>
      <w:pPr>
        <w:pStyle w:val="Heading1"/>
        <w:pBdr>
          <w:bottom w:val="single" w:color="C8102E" w:sz="12" w:space="1"/>
        </w:pBdr>
        <w:spacing w:after="140" w:before="280"/>
      </w:pPr>
      <w:r>
        <w:rPr>
          <w:rFonts w:ascii="Calibri" w:cs="Calibri" w:eastAsia="Calibri" w:hAnsi="Calibri"/>
          <w:b/>
          <w:bCs/>
          <w:color w:val="1B3A4B"/>
          <w:sz w:val="28"/>
          <w:szCs w:val="28"/>
        </w:rPr>
        <w:t xml:space="preserve">2.  El producto que se prueba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Refund son cuatro aplicaciones. Tres mueven el reembolso. La cuarta guarda las reglas que consulta la capa media. El pasajero pide la devolución en avianca.com o en MyAvianca. Esos frentes no son del equipo.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cantSplit/>
          <w:tblHeader/>
        </w:trPr>
        <w:tc>
          <w:tcPr>
            <w:tcW w:type="dxa" w:w="2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Aplicación</w:t>
            </w:r>
          </w:p>
        </w:tc>
        <w:tc>
          <w:tcPr>
            <w:tcW w:type="dxa" w:w="76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Rol en el reembolso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SR  Special Refund</w:t>
            </w:r>
          </w:p>
        </w:tc>
        <w:tc>
          <w:tcPr>
            <w:tcW w:type="dxa" w:w="76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Crea el caso especial: VIP, cargue masivo y valores faltantes. El caso queda en Mozart.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AVR  AV Refund</w:t>
            </w:r>
          </w:p>
        </w:tc>
        <w:tc>
          <w:tcPr>
            <w:tcW w:type="dxa" w:w="76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Sigue el caso, lo cierra a los 30 minutos si el pasajero no continúa y envía el correo NTC.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PI  Payment Integrator</w:t>
            </w:r>
          </w:p>
        </w:tc>
        <w:tc>
          <w:tcPr>
            <w:tcW w:type="dxa" w:w="76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Ejecuta el pago cuando ya está aprobado: voucher, transferencia, ACM y SAP.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ROR  Orchestration Rules</w:t>
            </w:r>
          </w:p>
        </w:tc>
        <w:tc>
          <w:tcPr>
            <w:tcW w:type="dxa" w:w="76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Parametriza reglas, EMD y homologación para APIM. No radica el caso y no paga.</w:t>
            </w:r>
          </w:p>
        </w:tc>
      </w:tr>
    </w:tbl>
    <w:p>
      <w:pPr>
        <w:spacing w:after="120" w:before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C6B73"/>
          <w:sz w:val="19"/>
          <w:szCs w:val="19"/>
        </w:rPr>
        <w:t xml:space="preserve">Ambientes de trabajo: DEV, QA, PRE y POST. Ingreso con Azure AD.</w:t>
      </w:r>
    </w:p>
    <w:p>
      <w:pPr>
        <w:pStyle w:val="Heading1"/>
        <w:pBdr>
          <w:bottom w:val="single" w:color="C8102E" w:sz="12" w:space="1"/>
        </w:pBdr>
        <w:spacing w:after="140" w:before="280"/>
      </w:pPr>
      <w:r>
        <w:rPr>
          <w:rFonts w:ascii="Calibri" w:cs="Calibri" w:eastAsia="Calibri" w:hAnsi="Calibri"/>
          <w:b/>
          <w:bCs/>
          <w:color w:val="1B3A4B"/>
          <w:sz w:val="28"/>
          <w:szCs w:val="28"/>
        </w:rPr>
        <w:t xml:space="preserve">3.  El flujo, con la IA siempre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Cada PBI recorre estos pasos. El cuarto no es opcional.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cantSplit/>
          <w:tblHeader/>
        </w:trPr>
        <w:tc>
          <w:tcPr>
            <w:tcW w:type="dxa" w:w="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93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1</w:t>
            </w:r>
          </w:p>
        </w:tc>
        <w:tc>
          <w:tcPr>
            <w:tcW w:type="dxa" w:w="93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Abrir el PBI y tomar alcance, criterios de aceptación, aplicación y sprint.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2</w:t>
            </w:r>
          </w:p>
        </w:tc>
        <w:tc>
          <w:tcPr>
            <w:tcW w:type="dxa" w:w="93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Leer los comentarios de desarrollo. Si hubo corrección, leer qué cambió en la base o en la interfaz.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3</w:t>
            </w:r>
          </w:p>
        </w:tc>
        <w:tc>
          <w:tcPr>
            <w:tcW w:type="dxa" w:w="93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En CodeReview, leer el diff del pull request de la rama PBI.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8F1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4</w:t>
            </w:r>
          </w:p>
        </w:tc>
        <w:tc>
          <w:tcPr>
            <w:tcW w:type="dxa" w:w="93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8F1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Pasar a la IA el material ya filtrado. Pedir análisis, Test Plan, casos y comentarios.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5</w:t>
            </w:r>
          </w:p>
        </w:tc>
        <w:tc>
          <w:tcPr>
            <w:tcW w:type="dxa" w:w="93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Ordenar los casos con el alcance del PBI. No hay una fórmula de riesgo en los lineamientos.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6</w:t>
            </w:r>
          </w:p>
        </w:tc>
        <w:tc>
          <w:tcPr>
            <w:tcW w:type="dxa" w:w="93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QA revisa el borrador contra el manual, lo carga en el Test Plan y publica el comentario.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Lo que la IA entrega en el mismo trabajo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cantSplit/>
          <w:tblHeader/>
        </w:trPr>
        <w:tc>
          <w:tcPr>
            <w:tcW w:type="dxa" w:w="32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  <w:tc>
          <w:tcPr>
            <w:tcW w:type="dxa" w:w="68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Cómo queda en Azure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Análisis</w:t>
            </w:r>
          </w:p>
        </w:tc>
        <w:tc>
          <w:tcPr>
            <w:tcW w:type="dxa" w:w="68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Qué cubre el PBI y qué queda fuera.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Test Plan</w:t>
            </w:r>
          </w:p>
        </w:tc>
        <w:tc>
          <w:tcPr>
            <w:tcW w:type="dxa" w:w="68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Carpeta de la aplicación, del sprint, de la suite QA y del PBI.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Casos</w:t>
            </w:r>
          </w:p>
        </w:tc>
        <w:tc>
          <w:tcPr>
            <w:tcW w:type="dxa" w:w="68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Uno por escenario: PBI-XXXXX #TC Título, pasos y resultado esperado.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Comentarios</w:t>
            </w:r>
          </w:p>
        </w:tc>
        <w:tc>
          <w:tcPr>
            <w:tcW w:type="dxa" w:w="68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Texto de QA para el PBI, el bug o el impedimento.</w:t>
            </w:r>
          </w:p>
        </w:tc>
      </w:tr>
    </w:tbl>
    <w:p>
      <w:pPr>
        <w:spacing w:after="120" w:before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El caso nace en Design, pasa a Ready cuando el diseño cierra y queda en Closed al terminar el UAT. Related work apunta al PBI.</w:t>
      </w:r>
    </w:p>
    <w:p>
      <w:pPr>
        <w:pStyle w:val="Heading1"/>
        <w:pBdr>
          <w:bottom w:val="single" w:color="C8102E" w:sz="12" w:space="1"/>
        </w:pBdr>
        <w:spacing w:after="140" w:before="280"/>
      </w:pPr>
      <w:r>
        <w:rPr>
          <w:rFonts w:ascii="Calibri" w:cs="Calibri" w:eastAsia="Calibri" w:hAnsi="Calibri"/>
          <w:b/>
          <w:bCs/>
          <w:color w:val="1B3A4B"/>
          <w:sz w:val="28"/>
          <w:szCs w:val="28"/>
        </w:rPr>
        <w:t xml:space="preserve">4.  Qué no se le entrega a la IA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Usar la IA es obligatorio. Filtrar el material también. Un diff, un archivo de configuración o un comentario puede traer una llave de Key Vault, un token de APIM, un PAT, una cadena de conexión, un certificado bancario o datos del pasajero: PNR, tiquete, correo, nombre y cuenta.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Sí se usa como contexto</w:t>
            </w:r>
          </w:p>
        </w:tc>
        <w:tc>
          <w:tcPr>
            <w:tcW w:type="dxa" w:w="504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 se pega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Alcance, criterios y nombre del caso</w:t>
            </w:r>
          </w:p>
        </w:tc>
        <w:tc>
          <w:tcPr>
            <w:tcW w:type="dxa" w:w="504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Secretos, tokens, PAT y contenido de Key Vault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El diff recortado a la pantalla o al método que el PBI cambia</w:t>
            </w:r>
          </w:p>
        </w:tc>
        <w:tc>
          <w:tcPr>
            <w:tcW w:type="dxa" w:w="504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El diff completo, la configuración y las variables del pipeline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Tablas y estados que ya están en el manual</w:t>
            </w:r>
          </w:p>
        </w:tc>
        <w:tc>
          <w:tcPr>
            <w:tcW w:type="dxa" w:w="504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SQL con datos de un pasajero, certificados y adjuntos del caso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La estructura del Test Plan y el formato del caso</w:t>
            </w:r>
          </w:p>
        </w:tc>
        <w:tc>
          <w:tcPr>
            <w:tcW w:type="dxa" w:w="504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Capturas donde se lea una credencial o un dato bancario</w:t>
            </w:r>
          </w:p>
        </w:tc>
      </w:tr>
    </w:tbl>
    <w:p>
      <w:pPr>
        <w:spacing w:after="120" w:before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Si el secreto ya venía en el texto, se saca antes de continuar. No se le pide a la IA que lo ignore.</w:t>
      </w:r>
    </w:p>
    <w:p>
      <w:pPr>
        <w:pStyle w:val="Heading1"/>
        <w:pBdr>
          <w:bottom w:val="single" w:color="C8102E" w:sz="12" w:space="1"/>
        </w:pBdr>
        <w:spacing w:after="140" w:before="280"/>
      </w:pPr>
      <w:r>
        <w:rPr>
          <w:rFonts w:ascii="Calibri" w:cs="Calibri" w:eastAsia="Calibri" w:hAnsi="Calibri"/>
          <w:b/>
          <w:bCs/>
          <w:color w:val="1B3A4B"/>
          <w:sz w:val="28"/>
          <w:szCs w:val="28"/>
        </w:rPr>
        <w:t xml:space="preserve">5.  Azure DevOps no se reemplaza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El PBI recorre Committed, CodeReview, QA, Build, UAT, Ready4Deployment y Done. No se saltan casillas. Un hallazgo vuelve de QA a Committed y de ahí a CodeReview.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Al iniciar el sprint, cada PBI lleva sus tareas de QA estimadas y asignadas. En análisis y diseño, y en el re-test, la IA redacta y QA publica. El bug se abre el mismo día. El impedimento deja el PBI en Build, como máximo cinco días. El UAT lo prueba el usuario: VoBo en cuatro días hábiles, PDF en el PBI.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Dónde vive el caso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Hay un Test Plan por aplicación, por ejemplo Test Plan [SR]. Dentro, el sprint, y las suites QA, UAT PRE y UAT POST. La carpeta del PBI va en QA mientras se diseña y se ejecuta. Si el PBI no sale en el sprint, la carpeta se mueve al siguiente.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  <w:tblHeader/>
        </w:trPr>
        <w:tc>
          <w:tcPr>
            <w:tcW w:type="dxa" w:w="28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72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Convención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Nombre</w:t>
            </w:r>
          </w:p>
        </w:tc>
        <w:tc>
          <w:tcPr>
            <w:tcW w:type="dxa" w:w="72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PBI-XXXXX #TC Título del escenario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Estado</w:t>
            </w:r>
          </w:p>
        </w:tc>
        <w:tc>
          <w:tcPr>
            <w:tcW w:type="dxa" w:w="72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Design, luego Ready, y Closed al cerrar el UAT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Tag</w:t>
            </w:r>
          </w:p>
        </w:tc>
        <w:tc>
          <w:tcPr>
            <w:tcW w:type="dxa" w:w="72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SR, AVR, PI o ROR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Vínculo</w:t>
            </w:r>
          </w:p>
        </w:tc>
        <w:tc>
          <w:tcPr>
            <w:tcW w:type="dxa" w:w="72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Related work al PBI. Es obligatorio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Evidencia</w:t>
            </w:r>
          </w:p>
        </w:tc>
        <w:tc>
          <w:tcPr>
            <w:tcW w:type="dxa" w:w="72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Captura con fecha y hora de la ejecución</w:t>
            </w:r>
          </w:p>
        </w:tc>
      </w:tr>
    </w:tbl>
    <w:p>
      <w:pPr>
        <w:spacing w:after="120" w:before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La automatización de interfaz sigue en Selenium. Newman corre las APIs y no reemplaza la UI. El PBI de automatización lleva el tipo 1. Automatización.</w:t>
      </w:r>
    </w:p>
    <w:p>
      <w:pPr>
        <w:pStyle w:val="Heading1"/>
        <w:pBdr>
          <w:bottom w:val="single" w:color="C8102E" w:sz="12" w:space="1"/>
        </w:pBdr>
        <w:spacing w:after="140" w:before="280"/>
      </w:pPr>
      <w:r>
        <w:rPr>
          <w:rFonts w:ascii="Calibri" w:cs="Calibri" w:eastAsia="Calibri" w:hAnsi="Calibri"/>
          <w:b/>
          <w:bCs/>
          <w:color w:val="1B3A4B"/>
          <w:sz w:val="28"/>
          <w:szCs w:val="28"/>
        </w:rPr>
        <w:t xml:space="preserve">6.  Por dónde se empieza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El primer flujo es Valores faltantes: es el único recorrido escrito de punta a punta. SR radica y aprueba, PI paga y AVR envía el correo. Después entra el resto, en el orden del manual.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rPr>
          <w:cantSplit/>
          <w:tblHeader/>
        </w:trPr>
        <w:tc>
          <w:tcPr>
            <w:tcW w:type="dxa" w:w="1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Orden</w:t>
            </w:r>
          </w:p>
        </w:tc>
        <w:tc>
          <w:tcPr>
            <w:tcW w:type="dxa" w:w="86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Alcance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1</w:t>
            </w:r>
          </w:p>
        </w:tc>
        <w:tc>
          <w:tcPr>
            <w:tcW w:type="dxa" w:w="86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Valores faltantes, de SR a PI y al correo de AVR.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2</w:t>
            </w:r>
          </w:p>
        </w:tc>
        <w:tc>
          <w:tcPr>
            <w:tcW w:type="dxa" w:w="86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Solicitud individual de SR, en cinco pantallas, hasta Mozart.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3</w:t>
            </w:r>
          </w:p>
        </w:tc>
        <w:tc>
          <w:tcPr>
            <w:tcW w:type="dxa" w:w="86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Cargue masivo de SR.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4</w:t>
            </w:r>
          </w:p>
        </w:tc>
        <w:tc>
          <w:tcPr>
            <w:tcW w:type="dxa" w:w="86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Seguimiento y notificaciones de AVR.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5</w:t>
            </w:r>
          </w:p>
        </w:tc>
        <w:tc>
          <w:tcPr>
            <w:tcW w:type="dxa" w:w="86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Pago, maestras y SAP en PI.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6</w:t>
            </w:r>
          </w:p>
        </w:tc>
        <w:tc>
          <w:tcPr>
            <w:tcW w:type="dxa" w:w="86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Reglas, EMD y homologación en ROR.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7</w:t>
            </w:r>
          </w:p>
        </w:tc>
        <w:tc>
          <w:tcPr>
            <w:tcW w:type="dxa" w:w="86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Automatización de lo que ya pasó por QA manual.</w:t>
            </w:r>
          </w:p>
        </w:tc>
      </w:tr>
    </w:tbl>
    <w:p>
      <w:pPr>
        <w:pStyle w:val="Heading1"/>
        <w:pBdr>
          <w:bottom w:val="single" w:color="C8102E" w:sz="12" w:space="1"/>
        </w:pBdr>
        <w:spacing w:after="140" w:before="280"/>
      </w:pPr>
      <w:r>
        <w:rPr>
          <w:rFonts w:ascii="Calibri" w:cs="Calibri" w:eastAsia="Calibri" w:hAnsi="Calibri"/>
          <w:b/>
          <w:bCs/>
          <w:color w:val="1B3A4B"/>
          <w:sz w:val="28"/>
          <w:szCs w:val="28"/>
        </w:rPr>
        <w:t xml:space="preserve">7.  Cuándo se cierra un PBI</w:t>
      </w:r>
    </w:p>
    <w:p>
      <w:pPr>
        <w:pStyle w:val="ListParagraph"/>
        <w:numPr>
          <w:ilvl w:val="0"/>
          <w:numId w:val="3"/>
        </w:numPr>
        <w:spacing w:after="40" w:before="40" w:line="2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La IA analizó el PBI y, si hubo pull request, el diff ya filtrado.</w:t>
      </w:r>
    </w:p>
    <w:p>
      <w:pPr>
        <w:pStyle w:val="ListParagraph"/>
        <w:numPr>
          <w:ilvl w:val="0"/>
          <w:numId w:val="3"/>
        </w:numPr>
        <w:spacing w:after="40" w:before="40" w:line="2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Los casos están en el Test Plan, en la carpeta del PBI, ligados al work item.</w:t>
      </w:r>
    </w:p>
    <w:p>
      <w:pPr>
        <w:pStyle w:val="ListParagraph"/>
        <w:numPr>
          <w:ilvl w:val="0"/>
          <w:numId w:val="3"/>
        </w:numPr>
        <w:spacing w:after="40" w:before="40" w:line="2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Los comentarios de QA en el PBI, el bug o el impedimento salieron de ese borrador.</w:t>
      </w:r>
    </w:p>
    <w:p>
      <w:pPr>
        <w:pStyle w:val="ListParagraph"/>
        <w:numPr>
          <w:ilvl w:val="0"/>
          <w:numId w:val="3"/>
        </w:numPr>
        <w:spacing w:after="40" w:before="40" w:line="2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La ejecución en QA tiene evidencias con fecha y hora.</w:t>
      </w:r>
    </w:p>
    <w:p>
      <w:pPr>
        <w:pStyle w:val="ListParagraph"/>
        <w:numPr>
          <w:ilvl w:val="0"/>
          <w:numId w:val="3"/>
        </w:numPr>
        <w:spacing w:after="40" w:before="40" w:line="2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El UAT tiene VoBo y el PDF quedó adjunto al PBI.</w:t>
      </w:r>
    </w:p>
    <w:p>
      <w:pPr>
        <w:pStyle w:val="Heading1"/>
        <w:pBdr>
          <w:bottom w:val="single" w:color="C8102E" w:sz="12" w:space="1"/>
        </w:pBdr>
        <w:spacing w:after="140" w:before="280"/>
      </w:pPr>
      <w:r>
        <w:rPr>
          <w:rFonts w:ascii="Calibri" w:cs="Calibri" w:eastAsia="Calibri" w:hAnsi="Calibri"/>
          <w:b/>
          <w:bCs/>
          <w:color w:val="1B3A4B"/>
          <w:sz w:val="28"/>
          <w:szCs w:val="28"/>
        </w:rPr>
        <w:t xml:space="preserve">8.  Qué conviene tener presente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Tres puntos de esta iniciativa no están escritos en los lineamientos. Se adoptan aquí, y se nombran para no presentarlos como regla ya vigente.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cantSplit/>
          <w:tblHeader/>
        </w:trPr>
        <w:tc>
          <w:tcPr>
            <w:tcW w:type="dxa" w:w="32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Punto</w:t>
            </w:r>
          </w:p>
        </w:tc>
        <w:tc>
          <w:tcPr>
            <w:tcW w:type="dxa" w:w="68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Situación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Uso de la IA</w:t>
            </w:r>
          </w:p>
        </w:tc>
        <w:tc>
          <w:tcPr>
            <w:tcW w:type="dxa" w:w="68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El lineamiento exige el caso y el comentario en Azure. No menciona la IA. Esta iniciativa la vuelve obligatoria.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Lectura del diff</w:t>
            </w:r>
          </w:p>
        </w:tc>
        <w:tc>
          <w:tcPr>
            <w:tcW w:type="dxa" w:w="68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El lineamiento exige la rama PBI y el pull request aprobado por un líder. Leer el diff antes de diseñar es de esta iniciativa.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Riesgo del caso</w:t>
            </w:r>
          </w:p>
        </w:tc>
        <w:tc>
          <w:tcPr>
            <w:tcW w:type="dxa" w:w="68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No hay una fórmula en los lineamientos. No se inventa una escala. Se ordena con el alcance del PBI.</w:t>
            </w:r>
          </w:p>
        </w:tc>
      </w:tr>
    </w:tbl>
    <w:p>
      <w:pPr>
        <w:spacing w:after="120" w:before="1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C6B73"/>
          <w:sz w:val="19"/>
          <w:szCs w:val="19"/>
        </w:rPr>
        <w:t xml:space="preserve">El detalle operativo, las tablas y las contradicciones de los manuales quedan en docs/proyectos/iaagent.md. Este documento es el plan para decidir.</w:t>
      </w:r>
    </w:p>
    <w:p>
      <w:pPr>
        <w:spacing w:after="0" w:before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F0D5D8" w:sz="4"/>
              <w:left w:val="single" w:color="C8102E" w:sz="16"/>
              <w:bottom w:val="single" w:color="F0D5D8" w:sz="4"/>
              <w:right w:val="single" w:color="F0D5D8" w:sz="4"/>
            </w:tcBorders>
            <w:shd w:fill="F8F1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1"/>
                <w:szCs w:val="21"/>
              </w:rPr>
              <w:t xml:space="preserve">Decisión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Aprobar que, desde el siguiente PBI, la IA analice el alcance y redacte el Test Plan, los casos y los comentarios. QA los revisa, los publica en Azure DevOps y aplica el filtro de secretos y datos del pasajero antes de usar la herramienta.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860" w:right="900" w:bottom="860" w:left="900" w:header="420" w:footer="4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7EB" w:sz="6" w:space="6"/>
      </w:pBdr>
      <w:spacing w:before="60"/>
    </w:pPr>
    <w:r>
      <w:rPr>
        <w:rFonts w:ascii="Calibri" w:cs="Calibri" w:eastAsia="Calibri" w:hAnsi="Calibri"/>
        <w:color w:val="5C6B73"/>
        <w:sz w:val="16"/>
        <w:szCs w:val="16"/>
      </w:rPr>
      <w:t xml:space="preserve">05 de octubre de 2026   ·   Uso interno   ·   Página </w:t>
    </w:r>
    <w:r>
      <w:rPr>
        <w:rFonts w:ascii="Calibri" w:cs="Calibri" w:eastAsia="Calibri" w:hAnsi="Calibri"/>
        <w:color w:val="5C6B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C6B73"/>
        <w:sz w:val="16"/>
        <w:szCs w:val="16"/>
      </w:rPr>
      <w:t xml:space="preserve"> de </w:t>
    </w:r>
    <w:r>
      <w:rPr>
        <w:rFonts w:ascii="Calibri" w:cs="Calibri" w:eastAsia="Calibri" w:hAnsi="Calibri"/>
        <w:color w:val="5C6B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12" w:space="6"/>
      </w:pBdr>
      <w:spacing w:after="80"/>
    </w:pPr>
    <w:r>
      <w:rPr>
        <w:rFonts w:ascii="Calibri" w:cs="Calibri" w:eastAsia="Calibri" w:hAnsi="Calibri"/>
        <w:b/>
        <w:bCs/>
        <w:color w:val="C8102E"/>
        <w:sz w:val="16"/>
        <w:szCs w:val="16"/>
      </w:rPr>
      <w:t xml:space="preserve">IaAgent QA Platform</w:t>
    </w:r>
    <w:r>
      <w:rPr>
        <w:rFonts w:ascii="Calibri" w:cs="Calibri" w:eastAsia="Calibri" w:hAnsi="Calibri"/>
        <w:color w:val="5C6B73"/>
        <w:sz w:val="16"/>
        <w:szCs w:val="16"/>
      </w:rPr>
      <w:t xml:space="preserve">   ·   Plan de trabajo   ·   Avianca Refunds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2026-10-05T15:29:58.978Z</dcterms:created>
  <dcterms:modified xsi:type="dcterms:W3CDTF">2026-10-05T15:29:58.979Z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