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lineRule="auto" w:line="480"/>
        <w:rPr/>
      </w:pPr>
      <w:r>
        <w:rPr/>
        <w:t>Factors related to use of prostate cancer screening: The Alberta Tomorrow Project</w:t>
      </w:r>
    </w:p>
    <w:p>
      <w:pPr>
        <w:pStyle w:val="Heading"/>
        <w:spacing w:lineRule="auto" w:line="480"/>
        <w:rPr/>
      </w:pPr>
      <w:r>
        <w:rPr/>
        <w:t>Richardson H, Aronson K, James A, McGregor SE, Bryant HE</w:t>
      </w:r>
    </w:p>
    <w:p>
      <w:pPr>
        <w:pStyle w:val="Heading"/>
        <w:spacing w:lineRule="auto" w:line="480"/>
        <w:jc w:val="left"/>
        <w:rPr>
          <w:bCs w:val="false"/>
          <w:sz w:val="22"/>
        </w:rPr>
      </w:pPr>
      <w:r>
        <w:rPr>
          <w:bCs w:val="false"/>
          <w:sz w:val="22"/>
        </w:rPr>
      </w:r>
    </w:p>
    <w:p>
      <w:pPr>
        <w:pStyle w:val="Heading"/>
        <w:spacing w:lineRule="auto" w:line="480"/>
        <w:jc w:val="left"/>
        <w:rPr>
          <w:bCs w:val="false"/>
        </w:rPr>
      </w:pPr>
      <w:r>
        <w:rPr>
          <w:bCs w:val="false"/>
        </w:rPr>
        <w:t>ABSTRACT</w:t>
      </w:r>
    </w:p>
    <w:p>
      <w:pPr>
        <w:pStyle w:val="Normal"/>
        <w:spacing w:lineRule="auto" w:line="480"/>
        <w:jc w:val="both"/>
        <w:rPr/>
      </w:pPr>
      <w:r>
        <w:rPr>
          <w:b/>
          <w:bCs/>
        </w:rPr>
        <w:t>Background:</w:t>
      </w:r>
      <w:r>
        <w:rPr>
          <w:bCs/>
        </w:rPr>
        <w:t xml:space="preserve"> </w:t>
      </w:r>
      <w:r>
        <w:rPr/>
        <w:t xml:space="preserve">There is currently very little data available on the determinants of PSA testing in Canada, and a debate exists about the usefulness of PSA testing in asymptomatic men age 50 and older who do not have any risk factors for prostate cancer. If PSA screening is introduced into periodic health exams, it will be important to know what factors influence the use of such screening services. </w:t>
      </w:r>
    </w:p>
    <w:p>
      <w:pPr>
        <w:pStyle w:val="Heading"/>
        <w:spacing w:lineRule="auto" w:line="480"/>
        <w:jc w:val="both"/>
        <w:rPr>
          <w:b w:val="false"/>
        </w:rPr>
      </w:pPr>
      <w:r>
        <w:rPr>
          <w:bCs w:val="false"/>
        </w:rPr>
        <w:t>Objectives:</w:t>
      </w:r>
      <w:r>
        <w:rPr>
          <w:b w:val="false"/>
          <w:bCs w:val="false"/>
        </w:rPr>
        <w:t xml:space="preserve"> </w:t>
      </w:r>
      <w:r>
        <w:rPr>
          <w:b w:val="false"/>
        </w:rPr>
        <w:t xml:space="preserve">The purpose of this study was to determine the factors associated with PSA testing among asymptomatic men age 50 and older participating in the Tomorrow Project in Alberta.  </w:t>
      </w:r>
    </w:p>
    <w:p>
      <w:pPr>
        <w:pStyle w:val="Normal"/>
        <w:spacing w:lineRule="auto" w:line="480"/>
        <w:jc w:val="both"/>
        <w:rPr/>
      </w:pPr>
      <w:r>
        <w:rPr>
          <w:b/>
          <w:bCs/>
        </w:rPr>
        <w:t>Methods:</w:t>
      </w:r>
      <w:r>
        <w:rPr>
          <w:bCs/>
        </w:rPr>
        <w:t xml:space="preserve"> </w:t>
      </w:r>
      <w:r>
        <w:rPr>
          <w:iCs/>
          <w:spacing w:val="-3"/>
        </w:rPr>
        <w:t>The Tomorrow Project</w:t>
      </w:r>
      <w:r>
        <w:rPr>
          <w:spacing w:val="-3"/>
        </w:rPr>
        <w:t xml:space="preserve"> is a population-based cohort study with over 11,000 participants accrued in Alberta since </w:t>
      </w:r>
      <w:r>
        <w:rPr/>
        <w:t>February 2003. Information has been collected on medical history, sociodemographic factors, health status and lifestyle characteristics including physical activity and diet. This analysis includes 2136 males 50 years of age and older. The association between various factors and PSA screening utilization was estimated using logistic regression.</w:t>
      </w:r>
    </w:p>
    <w:p>
      <w:pPr>
        <w:pStyle w:val="Heading"/>
        <w:spacing w:lineRule="auto" w:line="480"/>
        <w:jc w:val="both"/>
        <w:rPr>
          <w:b w:val="false"/>
        </w:rPr>
      </w:pPr>
      <w:r>
        <w:rPr>
          <w:bCs w:val="false"/>
        </w:rPr>
        <w:t>Results:</w:t>
      </w:r>
      <w:r>
        <w:rPr>
          <w:b w:val="false"/>
          <w:bCs w:val="false"/>
        </w:rPr>
        <w:t xml:space="preserve"> </w:t>
      </w:r>
      <w:r>
        <w:rPr>
          <w:b w:val="false"/>
        </w:rPr>
        <w:t>Approximately 50% of men age 50 or over had one or more PSA examinations in their lifetime. Of these, 58% did not have a clinical indication for prostate disease at the time of their most recent PSA test. Variables significantly associated with recent PSA screening for prostate cancer in this population include older age, higher income, region of healthcare delivery, health status, increased number of chronic health conditions, a vasectomy and prior history of colorectal cancer screening.</w:t>
      </w:r>
    </w:p>
    <w:p>
      <w:pPr>
        <w:pStyle w:val="Heading"/>
        <w:spacing w:lineRule="auto" w:line="480"/>
        <w:jc w:val="both"/>
        <w:rPr>
          <w:b w:val="false"/>
          <w:bCs w:val="false"/>
        </w:rPr>
      </w:pPr>
      <w:r>
        <w:rPr>
          <w:bCs w:val="false"/>
        </w:rPr>
        <w:t>Conclusions:</w:t>
      </w:r>
      <w:r>
        <w:rPr>
          <w:b w:val="false"/>
          <w:bCs w:val="false"/>
        </w:rPr>
        <w:t xml:space="preserve"> An increasing proportion of men in Alberta are being tested for prostate cancer. A number of significant predictors of having a PSA test were identified, suggesting that factors other than having a clinical indication for prostate disease can influence PSA testing rates.</w:t>
      </w:r>
    </w:p>
    <w:p>
      <w:pPr>
        <w:pStyle w:val="Normal"/>
        <w:spacing w:lineRule="auto" w:line="480"/>
        <w:rPr>
          <w:sz w:val="22"/>
        </w:rPr>
      </w:pPr>
      <w:r>
        <w:rPr>
          <w:sz w:val="22"/>
        </w:rPr>
      </w:r>
    </w:p>
    <w:p>
      <w:pPr>
        <w:pStyle w:val="Heading2"/>
        <w:pageBreakBefore/>
        <w:numPr>
          <w:ilvl w:val="1"/>
          <w:numId w:val="1"/>
        </w:numPr>
        <w:spacing w:lineRule="auto" w:line="480"/>
        <w:rPr/>
      </w:pPr>
      <w:r>
        <w:rPr/>
        <w:t>Introduction</w:t>
      </w:r>
    </w:p>
    <w:p>
      <w:pPr>
        <w:pStyle w:val="Normal"/>
        <w:spacing w:lineRule="auto" w:line="480"/>
        <w:ind w:left="0" w:right="0" w:firstLine="720"/>
        <w:jc w:val="both"/>
        <w:rPr/>
      </w:pPr>
      <w:r>
        <w:rPr/>
        <w:t xml:space="preserve">Evidence for the benefit of early prostate cancer screening using Prostate Specific Antigen (PSA) and Digital Rectal Examinations (DRE) is inconclusive.  While screening can result in earlier detection of prostate cancer, there has not been evidence to suggest a reduction in mortality which is considered the most reliable measure of benefit from a screening program. [Canadian Cancer Society (CCS), 2002; Coldman et al., 2003]  Consequently, unlike other cancer screening guidelines, such as mammography or Pap smear testing, prostate cancer screening guidelines remain less definitive.  The Canadian Task Force on the Periodic Health Exam has concluded that there is insufficient research to recommend PSA screening in asymptomatic men over the age of 50 [Feightner, 1994]. However, both the American Cancer Society and the American Urology Association recommend PSA and DRE testing in men over 50 years or at high risk [Smith et al. 2000; AUA, 2000]. Similarly, the Canadian Cancer Society recommends that all men over the age of 50 years discuss with their doctor the potential benefits and risks of early detection of prostate cancer using PSA and DRE so they can make informed decisions about the use of the tests [Canadian Cancer Society (CCS), 2002].  </w:t>
      </w:r>
    </w:p>
    <w:p>
      <w:pPr>
        <w:pStyle w:val="Normal"/>
        <w:spacing w:lineRule="auto" w:line="480"/>
        <w:ind w:left="0" w:right="0" w:firstLine="720"/>
        <w:jc w:val="both"/>
        <w:rPr/>
      </w:pPr>
      <w:r>
        <w:rPr/>
        <w:t>There are provincial differences in the population prevalence of reported PSA tests [Gibbons and Waters, 2003] suggesting that physician practices and public awareness with regard to the use of the test may vary widely across the country. A recent national survey of family physicians in Canada revealed that both patient-specific factors (such as anxiety and expectations) and physician-specific factors (such as perception of whether the test is recommended and whether or not their colleagues support PSA testing) can affect screening decisions, especially when guidelines are unclear or conflicting for tests such as PSA [Tudiver, 2002].</w:t>
      </w:r>
    </w:p>
    <w:p>
      <w:pPr>
        <w:pStyle w:val="Normal"/>
        <w:spacing w:lineRule="auto" w:line="480"/>
        <w:ind w:left="0" w:right="0" w:firstLine="720"/>
        <w:jc w:val="both"/>
        <w:rPr/>
      </w:pPr>
      <w:r>
        <w:rPr/>
        <w:t>A few studies have examined factors associated with prostate cancer screening practices in defined populations such as medical clinics [Williams, et al., 1995], but very few that have done so in general population samples [Eisen et al., 1999; Merrill, 2001].  The presence of symptoms is strongly related to prostate cancer testing [McGregor et al., 2002; Perkins et al., 1998; Ward et al., 1997; Weller et al., 1998; Hoffman and Gilliland, 1999), but, because screening by definition applies only to asymptomatic individuals, it can not be said to predict prostate cancer screening. Other frequently cited factors related to PSA testing include increasing age [Eisen, et al., 1999; Merrill, 2001; Perkins et al., 1998; Livingston et al., 2002; Carter et al., 1999], being married [Merrill, 2001; Livingston et al., 2002], a family history of cancer, having a physical illness [Eisen, et al., 1999], having a regular physician [Eisen, et al., 1999; Hoffman and Gilliland, 1999] and having medical insurance [Merrill, 2001; Moran et al., 2000].  However, none of these studies have identified predictors of PSA testing for asymptomatic and symptomatic men separately. Since PSA testing is not currently a recommended test for population screening in Canada, it is critical for Public Health decision-makers to understand the dynamics of the increasing widespread “acceptance” of a test that is not actually recommended to men without clinical indications for prostate disease. Furthermore, if guidelines do change in the future and PSA testing becomes a recommended screening tool for the general population it may be of interest to know who is not being screened so that appropriate measures can be taken to better target and inform this group of men about prostate cancer and PSA tests.</w:t>
      </w:r>
    </w:p>
    <w:p>
      <w:pPr>
        <w:pStyle w:val="Normal"/>
        <w:spacing w:lineRule="auto" w:line="480"/>
        <w:ind w:left="0" w:right="0" w:firstLine="720"/>
        <w:jc w:val="both"/>
        <w:rPr/>
      </w:pPr>
      <w:r>
        <w:rPr/>
        <w:t>Therefore, the purpose of this study was to identify factors associated with prostate cancer screening among men without any clinical indication for a PSA test, who are age 50 or older participating in the Tomorrow cohort study in Alberta.  The Tomorrow Project offers the advantage of providing geographically diverse data to examine this important issue.</w:t>
      </w:r>
    </w:p>
    <w:p>
      <w:pPr>
        <w:pStyle w:val="Normal"/>
        <w:spacing w:lineRule="auto" w:line="480"/>
        <w:rPr>
          <w:b/>
        </w:rPr>
      </w:pPr>
      <w:r>
        <w:rPr>
          <w:b/>
        </w:rPr>
        <w:t>Methods</w:t>
      </w:r>
    </w:p>
    <w:p>
      <w:pPr>
        <w:pStyle w:val="Normal"/>
        <w:spacing w:lineRule="auto" w:line="480"/>
        <w:jc w:val="both"/>
        <w:rPr/>
      </w:pPr>
      <w:r>
        <w:rPr>
          <w:sz w:val="22"/>
        </w:rPr>
        <w:tab/>
      </w:r>
      <w:r>
        <w:rPr>
          <w:iCs/>
          <w:spacing w:val="-3"/>
          <w:szCs w:val="20"/>
        </w:rPr>
        <w:t xml:space="preserve">The </w:t>
      </w:r>
      <w:r>
        <w:rPr>
          <w:spacing w:val="-3"/>
          <w:szCs w:val="20"/>
        </w:rPr>
        <w:t xml:space="preserve">Tomorrow Project is a research initiative of the Alberta Cancer Board, Division of Population Health and Information. As a population-based cohort study </w:t>
      </w:r>
      <w:r>
        <w:rPr/>
        <w:t xml:space="preserve">that began in October 2000, participants were recruited before February 20, 2003, from households in over 583 cities, towns, villages and rural areas throughout the province of Alberta. A two-stage sampling design was used to identify eligible individuals.  The first stage used a random digit dial (RDD) procedure to select households in the  17 regional health authorities (RHAs) extant in Alberta in 2000, and the second stage selected one eligible adult within each household [Bryant et al, 2006]. A total of 22,652 men and women aged 35 to 69 years of age without prior a history of cancer were recruited. Of these, 52.4% (n-11,865) were enrolled with 84% of Alberta communities represented. Study enrollment included completion of a detailed consent form and a set of self-administered questionnaires asking about: 1) baseline health and lifestyle factors; 2) physical activity; and, 3) habitual diet.  Included in this analysis are 2136 consenting male participants in the </w:t>
      </w:r>
      <w:r>
        <w:rPr>
          <w:iCs/>
        </w:rPr>
        <w:t>Tomorrow Project</w:t>
      </w:r>
      <w:r>
        <w:rPr/>
        <w:t xml:space="preserve"> who were 50 years of age or older and had completed all three questionnaires.</w:t>
      </w:r>
    </w:p>
    <w:p>
      <w:pPr>
        <w:pStyle w:val="Normal"/>
        <w:spacing w:lineRule="auto" w:line="480"/>
        <w:rPr>
          <w:b/>
        </w:rPr>
      </w:pPr>
      <w:r>
        <w:rPr>
          <w:b/>
        </w:rPr>
        <w:t>Statistical analyses</w:t>
      </w:r>
    </w:p>
    <w:p>
      <w:pPr>
        <w:pStyle w:val="Normal"/>
        <w:autoSpaceDE w:val="false"/>
        <w:spacing w:lineRule="auto" w:line="480"/>
        <w:ind w:left="0" w:right="0" w:firstLine="720"/>
        <w:jc w:val="both"/>
        <w:rPr>
          <w:szCs w:val="20"/>
        </w:rPr>
      </w:pPr>
      <w:r>
        <w:rPr/>
        <w:t xml:space="preserve">The main dependent variable of interest in this analysis was PSA screening. A few variables in the dataset allowed us to distinguish between men who had received a PSA test in the last year despite an absence of symptoms, and men who had received a PSA test in the last year based on a battery of indications or based on a “first degree” family history of prostate cancer.  </w:t>
      </w:r>
      <w:r>
        <w:rPr>
          <w:szCs w:val="20"/>
        </w:rPr>
        <w:t xml:space="preserve">Those men who reported they  had a PSA test because of their age or because it was part of their regular check-up were classified as asymptomatic and were compared to men who had never had a PSA examination in their lifetime (reference group), to better identify predictors of recent PSA screening. </w:t>
      </w:r>
    </w:p>
    <w:p>
      <w:pPr>
        <w:pStyle w:val="Normal"/>
        <w:spacing w:lineRule="auto" w:line="480"/>
        <w:ind w:left="0" w:right="0" w:firstLine="720"/>
        <w:jc w:val="both"/>
        <w:rPr>
          <w:i/>
          <w:iCs/>
          <w:sz w:val="20"/>
          <w:szCs w:val="20"/>
        </w:rPr>
      </w:pPr>
      <w:r>
        <w:rPr/>
        <w:t xml:space="preserve">Potential factors associated with recent PSA screening included </w:t>
      </w:r>
      <w:r>
        <w:rPr>
          <w:bCs/>
          <w:iCs/>
        </w:rPr>
        <w:t>socio-demographic characteristics</w:t>
      </w:r>
      <w:r>
        <w:rPr>
          <w:iCs/>
        </w:rPr>
        <w:t xml:space="preserve"> </w:t>
      </w:r>
      <w:r>
        <w:rPr/>
        <w:t xml:space="preserve">such as age, education, employment status, income, marital status, ethnicity, and health region, </w:t>
      </w:r>
      <w:r>
        <w:rPr>
          <w:bCs/>
          <w:iCs/>
        </w:rPr>
        <w:t>health characteristics</w:t>
      </w:r>
      <w:r>
        <w:rPr/>
        <w:t xml:space="preserve"> such as self-reported health status, health conditions, and personal or family history of cancer (not including prostate cancer), and</w:t>
      </w:r>
      <w:r>
        <w:rPr>
          <w:i/>
        </w:rPr>
        <w:t xml:space="preserve"> </w:t>
      </w:r>
      <w:r>
        <w:rPr>
          <w:iCs/>
        </w:rPr>
        <w:t>male reproductive health</w:t>
      </w:r>
      <w:r>
        <w:rPr/>
        <w:t xml:space="preserve"> and </w:t>
      </w:r>
      <w:r>
        <w:rPr>
          <w:bCs/>
          <w:iCs/>
        </w:rPr>
        <w:t>other lifestyle factors</w:t>
      </w:r>
      <w:r>
        <w:rPr>
          <w:bCs/>
        </w:rPr>
        <w:t xml:space="preserve"> such as</w:t>
      </w:r>
      <w:r>
        <w:rPr/>
        <w:t xml:space="preserve"> history of vasectomy, smoking status and body mass index. The 17 different geographic health regions were classified into the following five </w:t>
      </w:r>
      <w:r>
        <w:rPr>
          <w:szCs w:val="20"/>
        </w:rPr>
        <w:t>healthcare delivery regions</w:t>
      </w:r>
      <w:r>
        <w:rPr/>
        <w:t xml:space="preserve">: Calgary, Capital, </w:t>
      </w:r>
      <w:r>
        <w:rPr>
          <w:szCs w:val="20"/>
        </w:rPr>
        <w:t>Central (including: David Thompson, East Central, West View, Crossroads, Aspen, Lakeland),</w:t>
      </w:r>
      <w:r>
        <w:rPr>
          <w:i/>
          <w:iCs/>
          <w:sz w:val="20"/>
          <w:szCs w:val="20"/>
        </w:rPr>
        <w:t xml:space="preserve"> </w:t>
      </w:r>
      <w:r>
        <w:rPr>
          <w:szCs w:val="20"/>
        </w:rPr>
        <w:t>South</w:t>
      </w:r>
      <w:r>
        <w:rPr>
          <w:sz w:val="20"/>
          <w:szCs w:val="20"/>
        </w:rPr>
        <w:t xml:space="preserve"> </w:t>
      </w:r>
      <w:r>
        <w:rPr>
          <w:szCs w:val="20"/>
        </w:rPr>
        <w:t>(including: Chinook, Palliser, Headwaters, Health Authority 5) and</w:t>
      </w:r>
      <w:r>
        <w:rPr>
          <w:sz w:val="20"/>
          <w:szCs w:val="20"/>
        </w:rPr>
        <w:t xml:space="preserve"> </w:t>
      </w:r>
      <w:r>
        <w:rPr>
          <w:szCs w:val="20"/>
        </w:rPr>
        <w:t>North health regions (including: Mistahia, Peace, Keeweetinok Lakes, Northern Lights, Northwestern).</w:t>
      </w:r>
      <w:r>
        <w:rPr>
          <w:i/>
          <w:iCs/>
          <w:sz w:val="20"/>
          <w:szCs w:val="20"/>
        </w:rPr>
        <w:t xml:space="preserve"> </w:t>
      </w:r>
    </w:p>
    <w:p>
      <w:pPr>
        <w:pStyle w:val="Normal"/>
        <w:spacing w:lineRule="auto" w:line="480"/>
        <w:ind w:left="0" w:right="0" w:firstLine="720"/>
        <w:jc w:val="both"/>
        <w:rPr/>
      </w:pPr>
      <w:r>
        <w:rPr/>
        <w:t>The association between various factors and PSA screening was estimated using unconditional logistic regression. Independent variables for which at least one of their categories yielded a p-value of 0.20 or less for the Wald test in the univariate analysis were evaluated in multivariable models.  The independent effect of these potential predictors on PSA screening was assessed separately using a backward stepwise regression technique (p-value in=0.05, p-value out=0.10). All analyses were conducted using SPSS version 12.0.</w:t>
      </w:r>
    </w:p>
    <w:p>
      <w:pPr>
        <w:pStyle w:val="Normal"/>
        <w:spacing w:lineRule="auto" w:line="480"/>
        <w:rPr>
          <w:b/>
        </w:rPr>
      </w:pPr>
      <w:r>
        <w:rPr>
          <w:b/>
        </w:rPr>
        <w:t>Results</w:t>
      </w:r>
    </w:p>
    <w:p>
      <w:pPr>
        <w:pStyle w:val="BodyTextIndent3"/>
        <w:spacing w:lineRule="auto" w:line="480"/>
        <w:jc w:val="both"/>
        <w:rPr/>
      </w:pPr>
      <w:r>
        <w:rPr/>
        <w:t>Of the 2136 men in the Tomorrow Project who were 50 years of age or older, 171 (8%) men did not know if they had ever had a PSA examination. Of the remaining 1965 men, 949 (48%) had never had a PSA examination, while 1016 (52 %) men had received one or more PSA examinations in their lifetime. Of those 1016, there were 426 (42%) men who had at least one PSA test because of specific indications that may be related to prostate cancer risk  (i.e. possible urological symptoms, enlarged prostate or surgery of the prostate, family history of prostate cancer, or follow-up of a previous problem) (Table 1).  This group represented those men at a possible higher-risk for prostate cancer and who were eligible for a PSA test under the Alberta provincial health insurance reimbursement plan [AMA 2002]. The remaining 590 (58%) men responded that they had their most recent PSA test because of their age or because it was part of their regular check-up with their physician. This asymptomatic group represented those men at a perceived lower-risk for prostate cancer and who were not generally eligible for a PSA test under the health insurance reimbursement plan.</w:t>
      </w:r>
    </w:p>
    <w:p>
      <w:pPr>
        <w:pStyle w:val="Normal"/>
        <w:spacing w:lineRule="auto" w:line="480"/>
        <w:ind w:left="0" w:right="0" w:firstLine="720"/>
        <w:jc w:val="both"/>
        <w:rPr/>
      </w:pPr>
      <w:r>
        <w:rPr/>
        <w:t xml:space="preserve"> </w:t>
      </w:r>
      <w:r>
        <w:rPr/>
        <w:t>Table 2 shows the frequency distribution of sociodemographic and health related characteristics in the combined population of men who had never had a PSA test (n=949) or had been tested for PSA despite being asymptomatic (n=590). The table is stratified by men who are 50 to 59 years of age (n=1035) and men who are 60 and older (n=504). The majority of men in this study population are under 60 years of age, and are married. A greater proportion of men who are under 60 are better educated, are still in the workforce, and have fewer number of reported chronic health conditions. Men in both age groups are similarly distributed according to ethnicity and weight as measured by body mass index  The vast majority of men have received a DRE (89%), and the time of the last DRE is highly correlated with the time of the last PSA (Spearman r=0.619, p-value&lt;0.001) (data not shown). Approximately one third of the study population reported having high blood pressure and/ or low cholesterol, although the prevalence was higher in men 60 or older. Similarly the past history of a colorectal test (colonoscopy or sigmoidoscopy) was greater in men 60 years or over (28%) compared to men under 60 years of age (18%). The vast majority of the study population are current or former smokers.</w:t>
      </w:r>
    </w:p>
    <w:p>
      <w:pPr>
        <w:pStyle w:val="Normal"/>
        <w:spacing w:lineRule="auto" w:line="480"/>
        <w:ind w:left="0" w:right="0" w:firstLine="720"/>
        <w:rPr/>
      </w:pPr>
      <w:r>
        <w:rPr/>
        <w:t>Table 3 shows the crude and adjusted odds ratios for sociodemographic and health-related factors in association with PSA screening among men without any recent clinical indications for a test. There is a clear trend with age, and successively older men are more likely to have had a PSA examination.  Men who earn more then $80,000 per year are much more likely to have been screened for PSA than those earning less than $20,000 per year, and those using healthcare delivery programs outside Calgary and the Southern regions are significantly less likely to have received a PSA examination in their lifetime.  Compared to Caucasians, men of other racial descent appear to be less likely to have a PSA test despite an absence of recent symptoms, although the differences were not statistically significant. Men with one or more chronic health conditions diagnosed by a physician are more likely to be screened for PSA compared to men with no chronic health conditions, and those with high cholesterol are much more likely to have been screened despite an absence of recent symptoms. However, having angina or diabetes is associated with a reduced likelihood of being recently screened. Having had a vasectomy and ever having had a fecal occult blood test (FOBT) for colorectal cancer screening are also significant predictors of recent PSA screening among those men without any clinical indications for a PSA test.</w:t>
      </w:r>
    </w:p>
    <w:p>
      <w:pPr>
        <w:pStyle w:val="Normal"/>
        <w:autoSpaceDE w:val="false"/>
        <w:spacing w:lineRule="auto" w:line="480"/>
        <w:rPr>
          <w:b/>
        </w:rPr>
      </w:pPr>
      <w:r>
        <w:rPr>
          <w:b/>
        </w:rPr>
        <w:t>Discussion</w:t>
      </w:r>
    </w:p>
    <w:p>
      <w:pPr>
        <w:pStyle w:val="Normal"/>
        <w:spacing w:lineRule="auto" w:line="480"/>
        <w:ind w:left="0" w:right="0" w:firstLine="720"/>
        <w:jc w:val="both"/>
        <w:rPr/>
      </w:pPr>
      <w:r>
        <w:rPr/>
        <w:t>A beneficial impact of population-based screening for prostate cancer demonstrating that early diagnosis and treatment reduces disease-related mortality has not yet been shown. There are two on-going randomized clinical trials studying this question; the Prostate, Lung, Colorectal and Ovarian 16 year Screening Trial (PLCO) [Gohagan et al 1994] and the European Randomized Study of Screening for Prostate Cancer Trial [Schroder 1991]. However, results are not anticipated for a few more years. However, a recent analysis of changes in mortality rates by screening intensity using data from the BC Cancer Registry during 1985-1999, Coldman et al. [2003] noted that no association was observed between intensity of PSA screening and subsequent decrease in prostate cancer mortality [Coldman et al., 2003]. The sensitivity of PSA tests to detect prostate cancer has also dropped dramatically in the past five years (after the detection of prevalent cases) [Mitka et al., 2004]. Consequently, there is still considerable debate whether asymptomatic men should undergo PSA screening and treatment. Concerns related to mass screening with PSA testing include the recognition that standard therapy frequently results in morbidity (e.g impotence, incontinence), and the need to treat by surgically resecting prostates is being questioned [Mitka et al., 2004; Stamey et al., 2004]. Furthermore, it is argued that most newly diagnosed cases through PSA screening would eventually die of competing causes before symptoms of prostate cancer clinically manifest, since the real odds of death is strongly correlated with age  [Merrill 2001; Hoffman 2003].</w:t>
      </w:r>
    </w:p>
    <w:p>
      <w:pPr>
        <w:pStyle w:val="Normal"/>
        <w:spacing w:lineRule="auto" w:line="480"/>
        <w:ind w:left="0" w:right="0" w:firstLine="720"/>
        <w:jc w:val="both"/>
        <w:rPr/>
      </w:pPr>
      <w:r>
        <w:rPr/>
        <w:t xml:space="preserve">Despite the uncertainty about the benefits of prostate cancer screening, the prevalence of PSA examinations among men age 50 years and older in the general population has increased dramatically in the last two decades since PSA testing was first introduced. About half of all men of this age in the Tomorrow cohort study had one or more PSA tests in their lifetime. Similarly, a recent evaluation of PSA use among men </w:t>
      </w:r>
      <w:r>
        <w:rPr>
          <w:u w:val="single"/>
        </w:rPr>
        <w:t>&gt;</w:t>
      </w:r>
      <w:r>
        <w:rPr/>
        <w:t>40 years old in Canada, from data collected in 2001 from a number of national databases, observed that the average proportion of men with one or more PSA tests in their lifetime was 43% [Gibbons et al., 2003]. This is a substantial increase from the 9% of men who answered yes to having ever had a PSA test in 1995, according to a Canada wide cross-sectional telephone survey of 662 men over 40 years of age [Mercer 1997]. The proportion of men receiving PSA tests has also been increasing systematically over the last decade in the US, and recent PSA testing rates are reported to be greater than 40% for men over 40 attending regular healthcare facilities [Carter et al.,  1999; Moran et al., 2000; Merrill 2001].  However, few of these studies assessed the role of clinical indications in explaining patterns of PSA testing.</w:t>
      </w:r>
    </w:p>
    <w:p>
      <w:pPr>
        <w:pStyle w:val="Normal"/>
        <w:spacing w:lineRule="auto" w:line="480"/>
        <w:ind w:left="0" w:right="0" w:firstLine="720"/>
        <w:jc w:val="both"/>
        <w:rPr/>
      </w:pPr>
      <w:r>
        <w:rPr/>
        <w:t xml:space="preserve">Clinical indications for ordering a PSA test include lower urinary tract symptoms (symptoms of prostatism), history of benign prostate hyperplasia (BPH), a recent abnormal DRE, and a history of first degree relatives diagnosed with prostate cancer. Some surveys conducted within clinical settings have observed that PSA testing rates are much higher among men with BPH or moderate or severe urinary tract symptoms compared to apparently asymptomatic men [Meigs JB et al., 1998; McNaughton CM et al., 2000; Ward JE et al., 1997; Perkins JJ et al., 1998]. McGregor et al [2002] also observed that the majority of men in a 1996 population-based Alberta survey who had received a PSA test had a clinical indication for the test. Conversely, in the current survey the majority of the PSA tested men in the Alberta Tomorrow cohort were asymptomatic (58%) at the time of their most recent PSA (i.e.  PSA tests were conducted as part of a routine check-up or because of advancing age). These new results suggest that a shift in clinical practice could be occurring and an increasing number of PSA tested men in Alberta are asymptomatic. </w:t>
      </w:r>
    </w:p>
    <w:p>
      <w:pPr>
        <w:pStyle w:val="Normal"/>
        <w:spacing w:lineRule="auto" w:line="480"/>
        <w:ind w:left="0" w:right="0" w:firstLine="720"/>
        <w:jc w:val="both"/>
        <w:rPr/>
      </w:pPr>
      <w:r>
        <w:rPr/>
        <w:t xml:space="preserve">The factors related to prostate cancer screening have not been extensively studied, in part, because most public health care plans in North America do not support PSA testing for population-based screening for early detection of prostate cancer [Gibbons and Waters, 2003].  Current Canadian recommendations vary by province and only Saskatchewan, Nova Scotia and Quebec have funded PSA programs [Pickles, 2004]. Most other Canadian provincial health insurance plans do not cover PSA testing to screen for prostate cancer, although some provinces such as Alberta and Ontario do cover the costs of a PSA test that is ordered by a physician for the diagnosis of suspected prostate cancer. </w:t>
      </w:r>
    </w:p>
    <w:p>
      <w:pPr>
        <w:pStyle w:val="Normal"/>
        <w:spacing w:lineRule="auto" w:line="480"/>
        <w:jc w:val="both"/>
        <w:rPr/>
      </w:pPr>
      <w:r>
        <w:rPr/>
        <w:tab/>
        <w:t xml:space="preserve"> While access to healthcare insurance is an important determinant of screening in the US [Hoffman and Gilliland1999; Moran 2000; McIssac 2001; Merrill 2001; Eisen 1999] we presumed it would be less of a factor in Canada, given our universal healthcare coverage. Interestingly, however, PSA screening rates differed significantly by household income in our population. Income has been associated with prostate cancer screening participation in some American studies [Eisen 1999; Lemon et al., 2001] but not in other studies [Merrill 2001; McDavid et al., 2000]. However, all these studies observed a positive association with health insurance and PSA testing [Eisen et al 1999; Merrill 2001; McDavid et al., 2000].  While income has not regularly been identified as a predictor of PSA testing in a number of American cross-sectional studies [Merrill 2001; McDavid et al. 2000; Hoffman &amp; Gilliland 1999], higher income was associated with PSA testing in a cohort of US male veterans, who were interviewed on two separate occasions in 1992 and 1995 [Eisen et al., 1999]. At least two Canadian surveys have observed that high income earners are more likely to have a family physician [Health Canada,1999; Klein et al., 2003] and regular visits with a family doctor appears to influence PSA testing rates [Bunting et al., 1999]. Therefore, it is possible that in our cohort, income is a reflection of increased healthcare access or increased awareness of the availability of PSA testing. </w:t>
      </w:r>
    </w:p>
    <w:p>
      <w:pPr>
        <w:pStyle w:val="Normal"/>
        <w:spacing w:lineRule="auto" w:line="480"/>
        <w:ind w:left="0" w:right="0" w:firstLine="720"/>
        <w:jc w:val="both"/>
        <w:rPr/>
      </w:pPr>
      <w:r>
        <w:rPr/>
        <w:t xml:space="preserve">An increase in awareness of PSA testing may also explain part of the increased prevalence of testing. General practitioners’ practices vary across Canada with regard to cancer screening strategies and appear to be influenced by their colleagues’ practices and views [Tudiver et al., 2002]. Among men with family physicians, the use of PSA testing varies depending on the insistence of the patients, and on the physician’s views about the wisdom of using PSA tests for early detection of prostate cancer [Gibbons et al., 2001; Moran et al., 2000; Lemon et al., 2001; Tudiver et al., 2002; Livingston et al., 2002]. According to a study in Ontario, family physicians were twice as likely to use PSA tests for screening purposes compared to urologists [Bunting et al., 1999]. However, since urologists are more likely to see individuals with indications, it seems reasonable that they would not use PSA tests for screening purposes to the same extent that family physicians might. Nonetheless, urologists can influence family doctors by advocating for screening which many urologic associations have done. A doubling in PSA testing rates from 1992 to 1994 was also observed in one study that reviewed medical records from three cross-sectional samples of male patients in Colorado and the authors noted that the increase in testing coincided with the American Cancer Society’s endorsement of PSA screening among men over 50 years of age [Moran et al., 2000].  The higher rates of PSA screening observed in the cohort of men from healthcare regions in Calgary and the South of Alberta may also reflect differences in practice patterns of family physicians and/or the urologists and/or differences in awareness due to activities of local advocacy groups. </w:t>
      </w:r>
    </w:p>
    <w:p>
      <w:pPr>
        <w:pStyle w:val="Normal"/>
        <w:spacing w:lineRule="auto" w:line="480"/>
        <w:ind w:left="0" w:right="0" w:firstLine="720"/>
        <w:jc w:val="both"/>
        <w:rPr/>
      </w:pPr>
      <w:r>
        <w:rPr/>
        <w:t xml:space="preserve">We also found that health characteristics are important predictors of PSA testing among men without any clinical indication for prostate disease. Similar to a few other studies [Merrill 2001; Close et al., 1998], we observed that men who perceived their health status to be poor were less likely to have a PSA test compared to men who classified themselves to be in excellent health. This observation suggests that good health may be a marker for preventive health practices, including active participation in cancer control programs. Paradoxically, men who were diagnosed with one or more chronic health condition were significantly more likely to have a PSA test compared to men without any chronic health problems. Eisen et al [1999] also observed that physical health problems significantly influenced the likelihood of PSA testing, although no specific conditions were identified.  The health condition most strongly associated with PSA screening in our cohort was high cholesterol. It is interesting to note, however, that a history of angina or diabetes was inversely associated with PSA testing.  </w:t>
      </w:r>
    </w:p>
    <w:p>
      <w:pPr>
        <w:pStyle w:val="Normal"/>
        <w:spacing w:lineRule="auto" w:line="480"/>
        <w:ind w:left="0" w:right="0" w:firstLine="720"/>
        <w:jc w:val="both"/>
        <w:rPr/>
      </w:pPr>
      <w:r>
        <w:rPr/>
        <w:t>The relationship between these identified health characteristics and PSA testing is likely driven by similar predisposing factors that motivate people to get medical check-ups. Check-ups, in turn, provide clinicians with the opportunity to discuss the risks and benefits of cancer screening strategies. Nonetheless, our results suggest that there may be selective screening on the part of the healthcare practitioner. For example, diagnosing high cholesterol requires blood tests, usually in men who are well, so one can speculate that it is possible that a physician may also order a PSA test at the same time, if a man is over 50.  On the other hand, men with diabetes and angina may be seen as having shorter life spans and therefore less likely to benefit from PSA screening, or they may be seen as poor surgical risks, and so unlikely to do well with treatment.  It may also be that doctors are so focused on looking after these more serious conditions that wellness testing takes a back seat.</w:t>
      </w:r>
    </w:p>
    <w:p>
      <w:pPr>
        <w:pStyle w:val="Normal"/>
        <w:spacing w:lineRule="auto" w:line="480"/>
        <w:ind w:left="0" w:right="0" w:firstLine="720"/>
        <w:jc w:val="both"/>
        <w:rPr/>
      </w:pPr>
      <w:r>
        <w:rPr/>
        <w:t xml:space="preserve">One needs to be cautious not to over-interpret these study results. The objectives for this analysis were to study predictors of prostate cancer screening, by only considering the population of men in the Tomorrow cohort who did not have one or more clinical indications for a PSA test.  Ideally we would have compared men who had a history of PSA testing but who have always been asymptomatic with a reference group of consistently asymptomatic men who have never had a PSA test. However, it was not possible to ascertain whether the population of untested men in the cohort was also asymptomatic, since questions about clinical indications for a PSA test were only asked of men who reported having a recent PSA test.  Therefore, the reference group is likely to contain a small proportion of men who were never tested but may have had clinical indications for a PSA test. If this group of men is very different from the untested group of asymptomatic men with respect to the distribution of identified predictors presented in this paper, then the mixture of the two groups in one reference group could lead to biased measures of effect. Secondly, some men in the screened group may have had a previous PSA test because of a clinical indication and the current PSA test may be part of a follow-up examination. In this case, the identified predictors of “PSA screening” (in an asymptomatic population) may also be determinants of PSA testing (among men with a clinical indication). </w:t>
      </w:r>
    </w:p>
    <w:p>
      <w:pPr>
        <w:pStyle w:val="Normal"/>
        <w:spacing w:lineRule="auto" w:line="480"/>
        <w:ind w:left="0" w:right="0" w:firstLine="720"/>
        <w:jc w:val="both"/>
        <w:rPr>
          <w:b/>
          <w:sz w:val="22"/>
          <w:szCs w:val="22"/>
        </w:rPr>
      </w:pPr>
      <w:r>
        <w:rPr>
          <w:b/>
          <w:sz w:val="22"/>
          <w:szCs w:val="22"/>
        </w:rPr>
      </w:r>
    </w:p>
    <w:p>
      <w:pPr>
        <w:pStyle w:val="Normal"/>
        <w:spacing w:lineRule="auto" w:line="480"/>
        <w:ind w:left="0" w:right="0" w:firstLine="720"/>
        <w:jc w:val="both"/>
        <w:rPr>
          <w:b/>
          <w:sz w:val="22"/>
          <w:szCs w:val="22"/>
        </w:rPr>
      </w:pPr>
      <w:r>
        <w:rPr>
          <w:b/>
          <w:sz w:val="22"/>
          <w:szCs w:val="22"/>
        </w:rPr>
        <w:t xml:space="preserve">CONCLUSION </w:t>
      </w:r>
    </w:p>
    <w:p>
      <w:pPr>
        <w:pStyle w:val="Heading"/>
        <w:spacing w:lineRule="auto" w:line="480"/>
        <w:ind w:left="0" w:right="0" w:firstLine="720"/>
        <w:jc w:val="both"/>
        <w:rPr>
          <w:b w:val="false"/>
          <w:bCs w:val="false"/>
        </w:rPr>
      </w:pPr>
      <w:r>
        <w:rPr>
          <w:b w:val="false"/>
          <w:bCs w:val="false"/>
        </w:rPr>
        <w:t xml:space="preserve">In summary, an increasing proportion of men in Alberta are being tested for prostate cancer despite the absence of clinical symptoms or familial history of prostate cancer. A number of significant predictors of having a PSA test were identified in this study, including higher income, good health status and variation in the regional healthcare facilities, suggesting that factors other than having a clinical indication for prostate disease can influence PSA testing rates. Whether this increase in PSA testing among asymptomatic men translates into a net benefit with longer survival and reduced mortality rates remains to be answered by ongoing long-term randomized clinical trials. However, if PSA screening does translate into a net benefit, then the challenges encountered with administering population-based screening programs (i.e. cervical and breast cancer) will likely plague prostate cancer screening programs as well, and despite our universal healthcare system public health strategies may have to target educational interventions to men of </w:t>
      </w:r>
      <w:r>
        <w:rPr>
          <w:b w:val="false"/>
        </w:rPr>
        <w:t>low socio-economic status, Aboriginal men and non-caucasian men born outside of North America, Europe or Australia</w:t>
      </w:r>
      <w:r>
        <w:rPr>
          <w:b w:val="false"/>
          <w:bCs w:val="false"/>
        </w:rPr>
        <w:t>. [Health Canada 2004]</w:t>
      </w:r>
    </w:p>
    <w:p>
      <w:pPr>
        <w:pStyle w:val="Normal"/>
        <w:spacing w:lineRule="auto" w:line="480"/>
        <w:ind w:left="0" w:right="0" w:firstLine="720"/>
        <w:jc w:val="both"/>
        <w:rPr>
          <w:b/>
          <w:sz w:val="22"/>
          <w:szCs w:val="22"/>
        </w:rPr>
      </w:pPr>
      <w:r>
        <w:rPr>
          <w:b/>
          <w:sz w:val="22"/>
          <w:szCs w:val="22"/>
        </w:rPr>
      </w:r>
    </w:p>
    <w:p>
      <w:pPr>
        <w:pStyle w:val="Normal"/>
        <w:pageBreakBefore/>
        <w:spacing w:lineRule="auto" w:line="480"/>
        <w:ind w:left="0" w:right="0" w:firstLine="720"/>
        <w:rPr>
          <w:b/>
          <w:sz w:val="22"/>
          <w:szCs w:val="22"/>
        </w:rPr>
      </w:pPr>
      <w:r>
        <w:rPr>
          <w:b/>
          <w:sz w:val="22"/>
          <w:szCs w:val="22"/>
        </w:rPr>
        <w:t>Table 1</w:t>
      </w:r>
    </w:p>
    <w:p>
      <w:pPr>
        <w:pStyle w:val="Normal"/>
        <w:ind w:left="360" w:right="0" w:hanging="0"/>
        <w:jc w:val="center"/>
        <w:rPr>
          <w:b/>
          <w:sz w:val="22"/>
          <w:szCs w:val="22"/>
        </w:rPr>
      </w:pPr>
      <w:r>
        <w:rPr>
          <w:b/>
          <w:sz w:val="22"/>
          <w:szCs w:val="22"/>
        </w:rPr>
        <w:t>Reasons for a PSA examination</w:t>
      </w:r>
    </w:p>
    <w:p>
      <w:pPr>
        <w:pStyle w:val="Normal"/>
        <w:ind w:left="360" w:right="0" w:hanging="0"/>
        <w:jc w:val="center"/>
        <w:rPr>
          <w:b/>
          <w:sz w:val="22"/>
          <w:szCs w:val="22"/>
        </w:rPr>
      </w:pPr>
      <w:r>
        <w:rPr>
          <w:b/>
          <w:sz w:val="22"/>
          <w:szCs w:val="22"/>
        </w:rPr>
      </w:r>
    </w:p>
    <w:tbl>
      <w:tblPr>
        <w:jc w:val="left"/>
        <w:tblInd w:w="0" w:type="dxa"/>
        <w:tblBorders>
          <w:top w:val="single" w:sz="4" w:space="0" w:color="000000"/>
          <w:left w:val="nil"/>
          <w:bottom w:val="double" w:sz="4" w:space="0" w:color="000000"/>
          <w:insideH w:val="double" w:sz="4" w:space="0" w:color="000000"/>
          <w:right w:val="nil"/>
          <w:insideV w:val="nil"/>
        </w:tblBorders>
        <w:tblCellMar>
          <w:top w:w="0" w:type="dxa"/>
          <w:left w:w="108" w:type="dxa"/>
          <w:bottom w:w="0" w:type="dxa"/>
          <w:right w:w="108" w:type="dxa"/>
        </w:tblCellMar>
      </w:tblPr>
      <w:tblGrid>
        <w:gridCol w:w="6799"/>
        <w:gridCol w:w="1784"/>
        <w:gridCol w:w="1707"/>
      </w:tblGrid>
      <w:tr>
        <w:trPr>
          <w:cantSplit w:val="false"/>
        </w:trPr>
        <w:tc>
          <w:tcPr>
            <w:tcW w:w="6799" w:type="dxa"/>
            <w:tcBorders>
              <w:top w:val="single" w:sz="4" w:space="0" w:color="000000"/>
              <w:left w:val="nil"/>
              <w:bottom w:val="double" w:sz="4" w:space="0" w:color="000000"/>
              <w:insideH w:val="double" w:sz="4" w:space="0" w:color="000000"/>
              <w:right w:val="nil"/>
              <w:insideV w:val="nil"/>
            </w:tcBorders>
            <w:shd w:fill="auto" w:val="clear"/>
          </w:tcPr>
          <w:p>
            <w:pPr>
              <w:pStyle w:val="Normal"/>
              <w:spacing w:before="120" w:after="120"/>
              <w:jc w:val="center"/>
              <w:rPr>
                <w:b/>
                <w:sz w:val="22"/>
              </w:rPr>
            </w:pPr>
            <w:r>
              <w:rPr>
                <w:b/>
                <w:sz w:val="22"/>
              </w:rPr>
              <w:t>Characteristics of PSA tested or screened men (N=1016)</w:t>
            </w:r>
          </w:p>
        </w:tc>
        <w:tc>
          <w:tcPr>
            <w:tcW w:w="1784" w:type="dxa"/>
            <w:tcBorders>
              <w:top w:val="single" w:sz="4" w:space="0" w:color="000000"/>
              <w:left w:val="nil"/>
              <w:bottom w:val="double" w:sz="4" w:space="0" w:color="000000"/>
              <w:insideH w:val="double" w:sz="4" w:space="0" w:color="000000"/>
              <w:right w:val="nil"/>
              <w:insideV w:val="nil"/>
            </w:tcBorders>
            <w:shd w:fill="auto" w:val="clear"/>
          </w:tcPr>
          <w:p>
            <w:pPr>
              <w:pStyle w:val="Normal"/>
              <w:spacing w:before="120" w:after="120"/>
              <w:jc w:val="center"/>
              <w:rPr>
                <w:b/>
                <w:sz w:val="22"/>
              </w:rPr>
            </w:pPr>
            <w:r>
              <w:rPr>
                <w:b/>
                <w:sz w:val="22"/>
              </w:rPr>
              <w:t>Frequency (n)</w:t>
            </w:r>
          </w:p>
        </w:tc>
        <w:tc>
          <w:tcPr>
            <w:tcW w:w="1707" w:type="dxa"/>
            <w:tcBorders>
              <w:top w:val="single" w:sz="4" w:space="0" w:color="000000"/>
              <w:left w:val="nil"/>
              <w:bottom w:val="double" w:sz="4" w:space="0" w:color="000000"/>
              <w:insideH w:val="double" w:sz="4" w:space="0" w:color="000000"/>
              <w:right w:val="nil"/>
              <w:insideV w:val="nil"/>
            </w:tcBorders>
            <w:shd w:fill="auto" w:val="clear"/>
          </w:tcPr>
          <w:p>
            <w:pPr>
              <w:pStyle w:val="Normal"/>
              <w:spacing w:before="120" w:after="120"/>
              <w:jc w:val="center"/>
              <w:rPr>
                <w:b/>
                <w:sz w:val="22"/>
              </w:rPr>
            </w:pPr>
            <w:r>
              <w:rPr>
                <w:b/>
                <w:sz w:val="22"/>
              </w:rPr>
              <w:t>Percent (%)</w:t>
            </w:r>
          </w:p>
        </w:tc>
      </w:tr>
      <w:tr>
        <w:trPr>
          <w:cantSplit w:val="false"/>
        </w:trPr>
        <w:tc>
          <w:tcPr>
            <w:tcW w:w="6799" w:type="dxa"/>
            <w:tcBorders>
              <w:top w:val="double" w:sz="4" w:space="0" w:color="000000"/>
              <w:left w:val="nil"/>
              <w:bottom w:val="single" w:sz="4" w:space="0" w:color="000000"/>
              <w:insideH w:val="single" w:sz="4" w:space="0" w:color="000000"/>
              <w:right w:val="nil"/>
              <w:insideV w:val="nil"/>
            </w:tcBorders>
            <w:shd w:fill="auto" w:val="clear"/>
          </w:tcPr>
          <w:p>
            <w:pPr>
              <w:pStyle w:val="Normal"/>
              <w:spacing w:before="120" w:after="0"/>
              <w:jc w:val="center"/>
              <w:rPr>
                <w:b/>
                <w:i/>
                <w:sz w:val="22"/>
              </w:rPr>
            </w:pPr>
            <w:r>
              <w:rPr>
                <w:b/>
                <w:i/>
                <w:sz w:val="22"/>
              </w:rPr>
              <w:t>A) Clinical indications for PSA examination (PSA testing; n=426)*</w:t>
            </w:r>
          </w:p>
        </w:tc>
        <w:tc>
          <w:tcPr>
            <w:tcW w:w="1784" w:type="dxa"/>
            <w:tcBorders>
              <w:top w:val="double" w:sz="4" w:space="0" w:color="000000"/>
              <w:left w:val="nil"/>
              <w:bottom w:val="nil"/>
              <w:insideH w:val="nil"/>
              <w:right w:val="nil"/>
              <w:insideV w:val="nil"/>
            </w:tcBorders>
            <w:shd w:fill="auto" w:val="clear"/>
          </w:tcPr>
          <w:p>
            <w:pPr>
              <w:pStyle w:val="Normal"/>
              <w:snapToGrid w:val="false"/>
              <w:jc w:val="center"/>
              <w:rPr>
                <w:sz w:val="22"/>
              </w:rPr>
            </w:pPr>
            <w:r>
              <w:rPr>
                <w:sz w:val="22"/>
              </w:rPr>
            </w:r>
          </w:p>
        </w:tc>
        <w:tc>
          <w:tcPr>
            <w:tcW w:w="1707" w:type="dxa"/>
            <w:tcBorders>
              <w:top w:val="double" w:sz="4" w:space="0" w:color="000000"/>
              <w:left w:val="nil"/>
              <w:bottom w:val="nil"/>
              <w:insideH w:val="nil"/>
              <w:right w:val="nil"/>
              <w:insideV w:val="nil"/>
            </w:tcBorders>
            <w:shd w:fill="auto" w:val="clear"/>
          </w:tcPr>
          <w:p>
            <w:pPr>
              <w:pStyle w:val="Normal"/>
              <w:snapToGrid w:val="false"/>
              <w:jc w:val="center"/>
              <w:rPr>
                <w:sz w:val="22"/>
              </w:rPr>
            </w:pPr>
            <w:r>
              <w:rPr>
                <w:sz w:val="22"/>
              </w:rPr>
            </w:r>
          </w:p>
        </w:tc>
      </w:tr>
      <w:tr>
        <w:trPr>
          <w:cantSplit w:val="false"/>
        </w:trPr>
        <w:tc>
          <w:tcPr>
            <w:tcW w:w="6799" w:type="dxa"/>
            <w:tcBorders>
              <w:top w:val="single" w:sz="4" w:space="0" w:color="000000"/>
              <w:left w:val="nil"/>
              <w:bottom w:val="nil"/>
              <w:insideH w:val="nil"/>
              <w:right w:val="nil"/>
              <w:insideV w:val="nil"/>
            </w:tcBorders>
            <w:shd w:fill="auto" w:val="clear"/>
          </w:tcPr>
          <w:p>
            <w:pPr>
              <w:pStyle w:val="Normal"/>
              <w:spacing w:before="60" w:after="0"/>
              <w:jc w:val="right"/>
              <w:rPr>
                <w:sz w:val="22"/>
              </w:rPr>
            </w:pPr>
            <w:r>
              <w:rPr>
                <w:sz w:val="22"/>
              </w:rPr>
              <w:t>Enlarged prostate:</w:t>
            </w:r>
          </w:p>
        </w:tc>
        <w:tc>
          <w:tcPr>
            <w:tcW w:w="1784" w:type="dxa"/>
            <w:tcBorders>
              <w:top w:val="nil"/>
              <w:left w:val="nil"/>
              <w:bottom w:val="nil"/>
              <w:insideH w:val="nil"/>
              <w:right w:val="nil"/>
              <w:insideV w:val="nil"/>
            </w:tcBorders>
            <w:shd w:fill="auto" w:val="clear"/>
          </w:tcPr>
          <w:p>
            <w:pPr>
              <w:pStyle w:val="Normal"/>
              <w:spacing w:before="60" w:after="0"/>
              <w:jc w:val="center"/>
              <w:rPr>
                <w:sz w:val="22"/>
              </w:rPr>
            </w:pPr>
            <w:r>
              <w:rPr>
                <w:sz w:val="22"/>
              </w:rPr>
              <w:t>311</w:t>
            </w:r>
          </w:p>
        </w:tc>
        <w:tc>
          <w:tcPr>
            <w:tcW w:w="1707" w:type="dxa"/>
            <w:tcBorders>
              <w:top w:val="nil"/>
              <w:left w:val="nil"/>
              <w:bottom w:val="nil"/>
              <w:insideH w:val="nil"/>
              <w:right w:val="nil"/>
              <w:insideV w:val="nil"/>
            </w:tcBorders>
            <w:shd w:fill="auto" w:val="clear"/>
          </w:tcPr>
          <w:p>
            <w:pPr>
              <w:pStyle w:val="Normal"/>
              <w:spacing w:before="60" w:after="0"/>
              <w:jc w:val="center"/>
              <w:rPr>
                <w:sz w:val="22"/>
              </w:rPr>
            </w:pPr>
            <w:r>
              <w:rPr>
                <w:sz w:val="22"/>
              </w:rPr>
              <w:t>73.0</w:t>
            </w:r>
          </w:p>
        </w:tc>
      </w:tr>
      <w:tr>
        <w:trPr>
          <w:cantSplit w:val="false"/>
        </w:trPr>
        <w:tc>
          <w:tcPr>
            <w:tcW w:w="6799" w:type="dxa"/>
            <w:tcBorders>
              <w:top w:val="nil"/>
              <w:left w:val="nil"/>
              <w:bottom w:val="nil"/>
              <w:insideH w:val="nil"/>
              <w:right w:val="nil"/>
              <w:insideV w:val="nil"/>
            </w:tcBorders>
            <w:shd w:fill="auto" w:val="clear"/>
          </w:tcPr>
          <w:p>
            <w:pPr>
              <w:pStyle w:val="Normal"/>
              <w:spacing w:before="40" w:after="0"/>
              <w:jc w:val="right"/>
              <w:rPr>
                <w:sz w:val="22"/>
              </w:rPr>
            </w:pPr>
            <w:r>
              <w:rPr>
                <w:sz w:val="22"/>
              </w:rPr>
              <w:t>Surgery on prostate:</w:t>
            </w:r>
          </w:p>
        </w:tc>
        <w:tc>
          <w:tcPr>
            <w:tcW w:w="1784" w:type="dxa"/>
            <w:tcBorders>
              <w:top w:val="nil"/>
              <w:left w:val="nil"/>
              <w:bottom w:val="nil"/>
              <w:insideH w:val="nil"/>
              <w:right w:val="nil"/>
              <w:insideV w:val="nil"/>
            </w:tcBorders>
            <w:shd w:fill="auto" w:val="clear"/>
          </w:tcPr>
          <w:p>
            <w:pPr>
              <w:pStyle w:val="Normal"/>
              <w:spacing w:before="40" w:after="0"/>
              <w:jc w:val="center"/>
              <w:rPr>
                <w:sz w:val="22"/>
              </w:rPr>
            </w:pPr>
            <w:r>
              <w:rPr>
                <w:sz w:val="22"/>
              </w:rPr>
              <w:t>29</w:t>
            </w:r>
          </w:p>
        </w:tc>
        <w:tc>
          <w:tcPr>
            <w:tcW w:w="1707" w:type="dxa"/>
            <w:tcBorders>
              <w:top w:val="nil"/>
              <w:left w:val="nil"/>
              <w:bottom w:val="nil"/>
              <w:insideH w:val="nil"/>
              <w:right w:val="nil"/>
              <w:insideV w:val="nil"/>
            </w:tcBorders>
            <w:shd w:fill="auto" w:val="clear"/>
          </w:tcPr>
          <w:p>
            <w:pPr>
              <w:pStyle w:val="Normal"/>
              <w:spacing w:before="40" w:after="0"/>
              <w:jc w:val="center"/>
              <w:rPr>
                <w:sz w:val="22"/>
              </w:rPr>
            </w:pPr>
            <w:r>
              <w:rPr>
                <w:sz w:val="22"/>
              </w:rPr>
              <w:t>6.8</w:t>
            </w:r>
          </w:p>
        </w:tc>
      </w:tr>
      <w:tr>
        <w:trPr>
          <w:cantSplit w:val="false"/>
        </w:trPr>
        <w:tc>
          <w:tcPr>
            <w:tcW w:w="6799" w:type="dxa"/>
            <w:tcBorders>
              <w:top w:val="nil"/>
              <w:left w:val="nil"/>
              <w:bottom w:val="nil"/>
              <w:insideH w:val="nil"/>
              <w:right w:val="nil"/>
              <w:insideV w:val="nil"/>
            </w:tcBorders>
            <w:shd w:fill="auto" w:val="clear"/>
          </w:tcPr>
          <w:p>
            <w:pPr>
              <w:pStyle w:val="Normal"/>
              <w:spacing w:before="40" w:after="0"/>
              <w:jc w:val="right"/>
              <w:rPr>
                <w:sz w:val="22"/>
              </w:rPr>
            </w:pPr>
            <w:r>
              <w:rPr>
                <w:sz w:val="22"/>
              </w:rPr>
              <w:t>1</w:t>
            </w:r>
            <w:r>
              <w:rPr>
                <w:sz w:val="22"/>
                <w:vertAlign w:val="superscript"/>
              </w:rPr>
              <w:t>st</w:t>
            </w:r>
            <w:r>
              <w:rPr>
                <w:sz w:val="22"/>
              </w:rPr>
              <w:t xml:space="preserve"> degree relation with history of prostate cancer:</w:t>
            </w:r>
          </w:p>
        </w:tc>
        <w:tc>
          <w:tcPr>
            <w:tcW w:w="1784" w:type="dxa"/>
            <w:tcBorders>
              <w:top w:val="nil"/>
              <w:left w:val="nil"/>
              <w:bottom w:val="nil"/>
              <w:insideH w:val="nil"/>
              <w:right w:val="nil"/>
              <w:insideV w:val="nil"/>
            </w:tcBorders>
            <w:shd w:fill="auto" w:val="clear"/>
          </w:tcPr>
          <w:p>
            <w:pPr>
              <w:pStyle w:val="Normal"/>
              <w:spacing w:before="40" w:after="0"/>
              <w:jc w:val="center"/>
              <w:rPr>
                <w:sz w:val="22"/>
              </w:rPr>
            </w:pPr>
            <w:r>
              <w:rPr>
                <w:sz w:val="22"/>
              </w:rPr>
              <w:t xml:space="preserve">173 </w:t>
            </w:r>
          </w:p>
        </w:tc>
        <w:tc>
          <w:tcPr>
            <w:tcW w:w="1707" w:type="dxa"/>
            <w:tcBorders>
              <w:top w:val="nil"/>
              <w:left w:val="nil"/>
              <w:bottom w:val="nil"/>
              <w:insideH w:val="nil"/>
              <w:right w:val="nil"/>
              <w:insideV w:val="nil"/>
            </w:tcBorders>
            <w:shd w:fill="auto" w:val="clear"/>
          </w:tcPr>
          <w:p>
            <w:pPr>
              <w:pStyle w:val="Normal"/>
              <w:spacing w:before="40" w:after="0"/>
              <w:jc w:val="center"/>
              <w:rPr>
                <w:sz w:val="22"/>
              </w:rPr>
            </w:pPr>
            <w:r>
              <w:rPr>
                <w:sz w:val="22"/>
              </w:rPr>
              <w:t>40.6</w:t>
            </w:r>
          </w:p>
        </w:tc>
      </w:tr>
      <w:tr>
        <w:trPr>
          <w:cantSplit w:val="false"/>
        </w:trPr>
        <w:tc>
          <w:tcPr>
            <w:tcW w:w="6799" w:type="dxa"/>
            <w:tcBorders>
              <w:top w:val="nil"/>
              <w:left w:val="nil"/>
              <w:bottom w:val="nil"/>
              <w:insideH w:val="nil"/>
              <w:right w:val="nil"/>
              <w:insideV w:val="nil"/>
            </w:tcBorders>
            <w:shd w:fill="auto" w:val="clear"/>
          </w:tcPr>
          <w:p>
            <w:pPr>
              <w:pStyle w:val="Normal"/>
              <w:spacing w:before="40" w:after="0"/>
              <w:jc w:val="right"/>
              <w:rPr>
                <w:sz w:val="22"/>
              </w:rPr>
            </w:pPr>
            <w:r>
              <w:rPr>
                <w:sz w:val="22"/>
              </w:rPr>
              <w:t>Family history of prostate cancer not including 1</w:t>
            </w:r>
            <w:r>
              <w:rPr>
                <w:sz w:val="22"/>
                <w:vertAlign w:val="superscript"/>
              </w:rPr>
              <w:t>st</w:t>
            </w:r>
            <w:r>
              <w:rPr>
                <w:sz w:val="22"/>
              </w:rPr>
              <w:t xml:space="preserve"> degree family member:</w:t>
            </w:r>
          </w:p>
        </w:tc>
        <w:tc>
          <w:tcPr>
            <w:tcW w:w="1784" w:type="dxa"/>
            <w:tcBorders>
              <w:top w:val="nil"/>
              <w:left w:val="nil"/>
              <w:bottom w:val="nil"/>
              <w:insideH w:val="nil"/>
              <w:right w:val="nil"/>
              <w:insideV w:val="nil"/>
            </w:tcBorders>
            <w:shd w:fill="auto" w:val="clear"/>
          </w:tcPr>
          <w:p>
            <w:pPr>
              <w:pStyle w:val="Normal"/>
              <w:spacing w:before="40" w:after="0"/>
              <w:jc w:val="center"/>
              <w:rPr>
                <w:sz w:val="22"/>
              </w:rPr>
            </w:pPr>
            <w:r>
              <w:rPr>
                <w:sz w:val="22"/>
              </w:rPr>
              <w:t>29</w:t>
            </w:r>
          </w:p>
        </w:tc>
        <w:tc>
          <w:tcPr>
            <w:tcW w:w="1707" w:type="dxa"/>
            <w:tcBorders>
              <w:top w:val="nil"/>
              <w:left w:val="nil"/>
              <w:bottom w:val="nil"/>
              <w:insideH w:val="nil"/>
              <w:right w:val="nil"/>
              <w:insideV w:val="nil"/>
            </w:tcBorders>
            <w:shd w:fill="auto" w:val="clear"/>
          </w:tcPr>
          <w:p>
            <w:pPr>
              <w:pStyle w:val="Normal"/>
              <w:spacing w:before="40" w:after="0"/>
              <w:jc w:val="center"/>
              <w:rPr>
                <w:sz w:val="22"/>
              </w:rPr>
            </w:pPr>
            <w:r>
              <w:rPr>
                <w:sz w:val="22"/>
              </w:rPr>
              <w:t>6.8</w:t>
            </w:r>
          </w:p>
        </w:tc>
      </w:tr>
      <w:tr>
        <w:trPr>
          <w:cantSplit w:val="false"/>
        </w:trPr>
        <w:tc>
          <w:tcPr>
            <w:tcW w:w="6799" w:type="dxa"/>
            <w:tcBorders>
              <w:top w:val="nil"/>
              <w:left w:val="nil"/>
              <w:bottom w:val="nil"/>
              <w:insideH w:val="nil"/>
              <w:right w:val="nil"/>
              <w:insideV w:val="nil"/>
            </w:tcBorders>
            <w:shd w:fill="auto" w:val="clear"/>
          </w:tcPr>
          <w:p>
            <w:pPr>
              <w:pStyle w:val="Normal"/>
              <w:spacing w:before="40" w:after="0"/>
              <w:jc w:val="right"/>
              <w:rPr>
                <w:sz w:val="22"/>
              </w:rPr>
            </w:pPr>
            <w:r>
              <w:rPr>
                <w:sz w:val="22"/>
              </w:rPr>
              <w:t>Possible symptoms:</w:t>
            </w:r>
          </w:p>
        </w:tc>
        <w:tc>
          <w:tcPr>
            <w:tcW w:w="1784" w:type="dxa"/>
            <w:tcBorders>
              <w:top w:val="nil"/>
              <w:left w:val="nil"/>
              <w:bottom w:val="nil"/>
              <w:insideH w:val="nil"/>
              <w:right w:val="nil"/>
              <w:insideV w:val="nil"/>
            </w:tcBorders>
            <w:shd w:fill="auto" w:val="clear"/>
          </w:tcPr>
          <w:p>
            <w:pPr>
              <w:pStyle w:val="Normal"/>
              <w:spacing w:before="40" w:after="0"/>
              <w:jc w:val="center"/>
              <w:rPr>
                <w:sz w:val="22"/>
              </w:rPr>
            </w:pPr>
            <w:r>
              <w:rPr>
                <w:sz w:val="22"/>
              </w:rPr>
              <w:t>188</w:t>
            </w:r>
          </w:p>
        </w:tc>
        <w:tc>
          <w:tcPr>
            <w:tcW w:w="1707" w:type="dxa"/>
            <w:tcBorders>
              <w:top w:val="nil"/>
              <w:left w:val="nil"/>
              <w:bottom w:val="nil"/>
              <w:insideH w:val="nil"/>
              <w:right w:val="nil"/>
              <w:insideV w:val="nil"/>
            </w:tcBorders>
            <w:shd w:fill="auto" w:val="clear"/>
          </w:tcPr>
          <w:p>
            <w:pPr>
              <w:pStyle w:val="Normal"/>
              <w:spacing w:before="40" w:after="0"/>
              <w:jc w:val="center"/>
              <w:rPr>
                <w:sz w:val="22"/>
              </w:rPr>
            </w:pPr>
            <w:r>
              <w:rPr>
                <w:sz w:val="22"/>
              </w:rPr>
              <w:t>44.1</w:t>
            </w:r>
          </w:p>
        </w:tc>
      </w:tr>
      <w:tr>
        <w:trPr>
          <w:cantSplit w:val="false"/>
        </w:trPr>
        <w:tc>
          <w:tcPr>
            <w:tcW w:w="6799" w:type="dxa"/>
            <w:tcBorders>
              <w:top w:val="nil"/>
              <w:left w:val="nil"/>
              <w:bottom w:val="nil"/>
              <w:insideH w:val="nil"/>
              <w:right w:val="nil"/>
              <w:insideV w:val="nil"/>
            </w:tcBorders>
            <w:shd w:fill="auto" w:val="clear"/>
          </w:tcPr>
          <w:p>
            <w:pPr>
              <w:pStyle w:val="Normal"/>
              <w:spacing w:before="40" w:after="0"/>
              <w:jc w:val="right"/>
              <w:rPr>
                <w:sz w:val="22"/>
              </w:rPr>
            </w:pPr>
            <w:r>
              <w:rPr>
                <w:sz w:val="22"/>
              </w:rPr>
              <w:t>Follow-up of previous problems:</w:t>
            </w:r>
          </w:p>
        </w:tc>
        <w:tc>
          <w:tcPr>
            <w:tcW w:w="1784" w:type="dxa"/>
            <w:tcBorders>
              <w:top w:val="nil"/>
              <w:left w:val="nil"/>
              <w:bottom w:val="nil"/>
              <w:insideH w:val="nil"/>
              <w:right w:val="nil"/>
              <w:insideV w:val="nil"/>
            </w:tcBorders>
            <w:shd w:fill="auto" w:val="clear"/>
          </w:tcPr>
          <w:p>
            <w:pPr>
              <w:pStyle w:val="Normal"/>
              <w:spacing w:before="40" w:after="0"/>
              <w:jc w:val="center"/>
              <w:rPr>
                <w:sz w:val="22"/>
              </w:rPr>
            </w:pPr>
            <w:r>
              <w:rPr>
                <w:sz w:val="22"/>
              </w:rPr>
              <w:t>48</w:t>
            </w:r>
          </w:p>
        </w:tc>
        <w:tc>
          <w:tcPr>
            <w:tcW w:w="1707" w:type="dxa"/>
            <w:tcBorders>
              <w:top w:val="nil"/>
              <w:left w:val="nil"/>
              <w:bottom w:val="nil"/>
              <w:insideH w:val="nil"/>
              <w:right w:val="nil"/>
              <w:insideV w:val="nil"/>
            </w:tcBorders>
            <w:shd w:fill="auto" w:val="clear"/>
          </w:tcPr>
          <w:p>
            <w:pPr>
              <w:pStyle w:val="Normal"/>
              <w:spacing w:before="40" w:after="0"/>
              <w:jc w:val="center"/>
              <w:rPr>
                <w:sz w:val="22"/>
              </w:rPr>
            </w:pPr>
            <w:r>
              <w:rPr>
                <w:sz w:val="22"/>
              </w:rPr>
              <w:t>11.3</w:t>
            </w:r>
          </w:p>
        </w:tc>
      </w:tr>
      <w:tr>
        <w:trPr>
          <w:cantSplit w:val="false"/>
        </w:trPr>
        <w:tc>
          <w:tcPr>
            <w:tcW w:w="6799" w:type="dxa"/>
            <w:tcBorders>
              <w:top w:val="nil"/>
              <w:left w:val="nil"/>
              <w:bottom w:val="nil"/>
              <w:insideH w:val="nil"/>
              <w:right w:val="nil"/>
              <w:insideV w:val="nil"/>
            </w:tcBorders>
            <w:shd w:fill="auto" w:val="clear"/>
          </w:tcPr>
          <w:p>
            <w:pPr>
              <w:pStyle w:val="Normal"/>
              <w:snapToGrid w:val="false"/>
              <w:jc w:val="center"/>
              <w:rPr>
                <w:sz w:val="22"/>
              </w:rPr>
            </w:pPr>
            <w:r>
              <w:rPr>
                <w:sz w:val="22"/>
              </w:rPr>
            </w:r>
          </w:p>
        </w:tc>
        <w:tc>
          <w:tcPr>
            <w:tcW w:w="1784" w:type="dxa"/>
            <w:tcBorders>
              <w:top w:val="nil"/>
              <w:left w:val="nil"/>
              <w:bottom w:val="nil"/>
              <w:insideH w:val="nil"/>
              <w:right w:val="nil"/>
              <w:insideV w:val="nil"/>
            </w:tcBorders>
            <w:shd w:fill="auto" w:val="clear"/>
          </w:tcPr>
          <w:p>
            <w:pPr>
              <w:pStyle w:val="Normal"/>
              <w:snapToGrid w:val="false"/>
              <w:jc w:val="center"/>
              <w:rPr>
                <w:sz w:val="22"/>
              </w:rPr>
            </w:pPr>
            <w:r>
              <w:rPr>
                <w:sz w:val="22"/>
              </w:rPr>
            </w:r>
          </w:p>
        </w:tc>
        <w:tc>
          <w:tcPr>
            <w:tcW w:w="1707" w:type="dxa"/>
            <w:tcBorders>
              <w:top w:val="nil"/>
              <w:left w:val="nil"/>
              <w:bottom w:val="nil"/>
              <w:insideH w:val="nil"/>
              <w:right w:val="nil"/>
              <w:insideV w:val="nil"/>
            </w:tcBorders>
            <w:shd w:fill="auto" w:val="clear"/>
          </w:tcPr>
          <w:p>
            <w:pPr>
              <w:pStyle w:val="Normal"/>
              <w:snapToGrid w:val="false"/>
              <w:jc w:val="center"/>
              <w:rPr>
                <w:sz w:val="22"/>
              </w:rPr>
            </w:pPr>
            <w:r>
              <w:rPr>
                <w:sz w:val="22"/>
              </w:rPr>
            </w:r>
          </w:p>
        </w:tc>
      </w:tr>
      <w:tr>
        <w:trPr>
          <w:cantSplit w:val="false"/>
        </w:trPr>
        <w:tc>
          <w:tcPr>
            <w:tcW w:w="6799" w:type="dxa"/>
            <w:tcBorders>
              <w:top w:val="nil"/>
              <w:left w:val="nil"/>
              <w:bottom w:val="single" w:sz="4" w:space="0" w:color="000000"/>
              <w:insideH w:val="single" w:sz="4" w:space="0" w:color="000000"/>
              <w:right w:val="nil"/>
              <w:insideV w:val="nil"/>
            </w:tcBorders>
            <w:shd w:fill="auto" w:val="clear"/>
          </w:tcPr>
          <w:p>
            <w:pPr>
              <w:pStyle w:val="Normal"/>
              <w:spacing w:before="60" w:after="0"/>
              <w:jc w:val="center"/>
              <w:rPr>
                <w:b/>
                <w:i/>
                <w:sz w:val="22"/>
              </w:rPr>
            </w:pPr>
            <w:r>
              <w:rPr>
                <w:b/>
                <w:i/>
                <w:sz w:val="22"/>
              </w:rPr>
              <w:t>B) Other reasons for PSA examination  (PSA screening; n=590)*</w:t>
            </w:r>
          </w:p>
        </w:tc>
        <w:tc>
          <w:tcPr>
            <w:tcW w:w="1784" w:type="dxa"/>
            <w:tcBorders>
              <w:top w:val="nil"/>
              <w:left w:val="nil"/>
              <w:bottom w:val="nil"/>
              <w:insideH w:val="nil"/>
              <w:right w:val="nil"/>
              <w:insideV w:val="nil"/>
            </w:tcBorders>
            <w:shd w:fill="auto" w:val="clear"/>
          </w:tcPr>
          <w:p>
            <w:pPr>
              <w:pStyle w:val="Normal"/>
              <w:snapToGrid w:val="false"/>
              <w:jc w:val="center"/>
              <w:rPr>
                <w:sz w:val="22"/>
              </w:rPr>
            </w:pPr>
            <w:r>
              <w:rPr>
                <w:sz w:val="22"/>
              </w:rPr>
            </w:r>
          </w:p>
        </w:tc>
        <w:tc>
          <w:tcPr>
            <w:tcW w:w="1707" w:type="dxa"/>
            <w:tcBorders>
              <w:top w:val="nil"/>
              <w:left w:val="nil"/>
              <w:bottom w:val="nil"/>
              <w:insideH w:val="nil"/>
              <w:right w:val="nil"/>
              <w:insideV w:val="nil"/>
            </w:tcBorders>
            <w:shd w:fill="auto" w:val="clear"/>
          </w:tcPr>
          <w:p>
            <w:pPr>
              <w:pStyle w:val="Normal"/>
              <w:snapToGrid w:val="false"/>
              <w:jc w:val="center"/>
              <w:rPr>
                <w:sz w:val="22"/>
              </w:rPr>
            </w:pPr>
            <w:r>
              <w:rPr>
                <w:sz w:val="22"/>
              </w:rPr>
            </w:r>
          </w:p>
        </w:tc>
      </w:tr>
      <w:tr>
        <w:trPr>
          <w:cantSplit w:val="false"/>
        </w:trPr>
        <w:tc>
          <w:tcPr>
            <w:tcW w:w="6799" w:type="dxa"/>
            <w:tcBorders>
              <w:top w:val="single" w:sz="4" w:space="0" w:color="000000"/>
              <w:left w:val="nil"/>
              <w:bottom w:val="nil"/>
              <w:insideH w:val="nil"/>
              <w:right w:val="nil"/>
              <w:insideV w:val="nil"/>
            </w:tcBorders>
            <w:shd w:fill="auto" w:val="clear"/>
          </w:tcPr>
          <w:p>
            <w:pPr>
              <w:pStyle w:val="Normal"/>
              <w:spacing w:before="60" w:after="0"/>
              <w:jc w:val="right"/>
              <w:rPr>
                <w:bCs/>
                <w:iCs/>
                <w:sz w:val="22"/>
              </w:rPr>
            </w:pPr>
            <w:r>
              <w:rPr>
                <w:bCs/>
                <w:iCs/>
                <w:sz w:val="22"/>
              </w:rPr>
              <w:t>Age:</w:t>
            </w:r>
          </w:p>
        </w:tc>
        <w:tc>
          <w:tcPr>
            <w:tcW w:w="1784" w:type="dxa"/>
            <w:tcBorders>
              <w:top w:val="nil"/>
              <w:left w:val="nil"/>
              <w:bottom w:val="nil"/>
              <w:insideH w:val="nil"/>
              <w:right w:val="nil"/>
              <w:insideV w:val="nil"/>
            </w:tcBorders>
            <w:shd w:fill="auto" w:val="clear"/>
          </w:tcPr>
          <w:p>
            <w:pPr>
              <w:pStyle w:val="Normal"/>
              <w:jc w:val="center"/>
              <w:rPr>
                <w:sz w:val="22"/>
              </w:rPr>
            </w:pPr>
            <w:r>
              <w:rPr>
                <w:sz w:val="22"/>
              </w:rPr>
              <w:t>235</w:t>
            </w:r>
          </w:p>
        </w:tc>
        <w:tc>
          <w:tcPr>
            <w:tcW w:w="1707" w:type="dxa"/>
            <w:tcBorders>
              <w:top w:val="nil"/>
              <w:left w:val="nil"/>
              <w:bottom w:val="nil"/>
              <w:insideH w:val="nil"/>
              <w:right w:val="nil"/>
              <w:insideV w:val="nil"/>
            </w:tcBorders>
            <w:shd w:fill="auto" w:val="clear"/>
          </w:tcPr>
          <w:p>
            <w:pPr>
              <w:pStyle w:val="Normal"/>
              <w:jc w:val="center"/>
              <w:rPr>
                <w:sz w:val="22"/>
              </w:rPr>
            </w:pPr>
            <w:r>
              <w:rPr>
                <w:sz w:val="22"/>
              </w:rPr>
              <w:t>39.8</w:t>
            </w:r>
          </w:p>
        </w:tc>
      </w:tr>
      <w:tr>
        <w:trPr>
          <w:cantSplit w:val="false"/>
        </w:trPr>
        <w:tc>
          <w:tcPr>
            <w:tcW w:w="6799" w:type="dxa"/>
            <w:tcBorders>
              <w:top w:val="nil"/>
              <w:left w:val="nil"/>
              <w:bottom w:val="single" w:sz="4" w:space="0" w:color="000000"/>
              <w:insideH w:val="single" w:sz="4" w:space="0" w:color="000000"/>
              <w:right w:val="nil"/>
              <w:insideV w:val="nil"/>
            </w:tcBorders>
            <w:shd w:fill="auto" w:val="clear"/>
          </w:tcPr>
          <w:p>
            <w:pPr>
              <w:pStyle w:val="Normal"/>
              <w:spacing w:before="40" w:after="60"/>
              <w:jc w:val="right"/>
              <w:rPr>
                <w:bCs/>
                <w:iCs/>
                <w:sz w:val="22"/>
              </w:rPr>
            </w:pPr>
            <w:r>
              <w:rPr>
                <w:bCs/>
                <w:iCs/>
                <w:sz w:val="22"/>
              </w:rPr>
              <w:t>Part of regular check up with personal physician:</w:t>
            </w:r>
          </w:p>
        </w:tc>
        <w:tc>
          <w:tcPr>
            <w:tcW w:w="1784" w:type="dxa"/>
            <w:tcBorders>
              <w:top w:val="nil"/>
              <w:left w:val="nil"/>
              <w:bottom w:val="single" w:sz="4" w:space="0" w:color="000000"/>
              <w:insideH w:val="single" w:sz="4" w:space="0" w:color="000000"/>
              <w:right w:val="nil"/>
              <w:insideV w:val="nil"/>
            </w:tcBorders>
            <w:shd w:fill="auto" w:val="clear"/>
          </w:tcPr>
          <w:p>
            <w:pPr>
              <w:pStyle w:val="Normal"/>
              <w:spacing w:before="40" w:after="60"/>
              <w:jc w:val="center"/>
              <w:rPr>
                <w:sz w:val="22"/>
              </w:rPr>
            </w:pPr>
            <w:r>
              <w:rPr>
                <w:sz w:val="22"/>
              </w:rPr>
              <w:t>551</w:t>
            </w:r>
          </w:p>
        </w:tc>
        <w:tc>
          <w:tcPr>
            <w:tcW w:w="1707" w:type="dxa"/>
            <w:tcBorders>
              <w:top w:val="nil"/>
              <w:left w:val="nil"/>
              <w:bottom w:val="single" w:sz="4" w:space="0" w:color="000000"/>
              <w:insideH w:val="single" w:sz="4" w:space="0" w:color="000000"/>
              <w:right w:val="nil"/>
              <w:insideV w:val="nil"/>
            </w:tcBorders>
            <w:shd w:fill="auto" w:val="clear"/>
          </w:tcPr>
          <w:p>
            <w:pPr>
              <w:pStyle w:val="Normal"/>
              <w:spacing w:before="40" w:after="60"/>
              <w:jc w:val="center"/>
              <w:rPr>
                <w:sz w:val="22"/>
              </w:rPr>
            </w:pPr>
            <w:r>
              <w:rPr>
                <w:sz w:val="22"/>
              </w:rPr>
              <w:t>93.4</w:t>
            </w:r>
          </w:p>
        </w:tc>
      </w:tr>
    </w:tbl>
    <w:p>
      <w:pPr>
        <w:pStyle w:val="Normal"/>
        <w:ind w:left="360" w:right="0" w:hanging="0"/>
        <w:rPr>
          <w:sz w:val="22"/>
        </w:rPr>
      </w:pPr>
      <w:r>
        <w:rPr>
          <w:sz w:val="22"/>
        </w:rPr>
      </w:r>
    </w:p>
    <w:p>
      <w:pPr>
        <w:pStyle w:val="Normal"/>
        <w:ind w:left="360" w:right="0" w:hanging="0"/>
        <w:rPr>
          <w:sz w:val="22"/>
        </w:rPr>
      </w:pPr>
      <w:r>
        <w:rPr>
          <w:sz w:val="22"/>
        </w:rPr>
        <w:t>*Note: categories are mutually exclusive between the two groups (A &amp; B), but categories are not mutually exclusive within group A or group B.</w:t>
      </w:r>
    </w:p>
    <w:p>
      <w:pPr>
        <w:pStyle w:val="Normal"/>
        <w:pageBreakBefore/>
        <w:ind w:left="360" w:right="0" w:hanging="0"/>
        <w:rPr>
          <w:b/>
        </w:rPr>
      </w:pPr>
      <w:r>
        <w:rPr>
          <w:b/>
        </w:rPr>
        <w:t>Table 2:  Characteristics of selected cohort* stratified by age</w:t>
      </w:r>
    </w:p>
    <w:p>
      <w:pPr>
        <w:pStyle w:val="Normal"/>
        <w:ind w:left="360" w:right="0" w:hanging="0"/>
        <w:rPr>
          <w:sz w:val="22"/>
        </w:rPr>
      </w:pPr>
      <w:r>
        <w:rPr>
          <w:sz w:val="22"/>
        </w:rPr>
      </w:r>
    </w:p>
    <w:tbl>
      <w:tblPr>
        <w:jc w:val="left"/>
        <w:tblInd w:w="288" w:type="dxa"/>
        <w:tblBorders>
          <w:top w:val="single" w:sz="4" w:space="0" w:color="000000"/>
          <w:left w:val="nil"/>
          <w:bottom w:val="nil"/>
          <w:insideH w:val="nil"/>
          <w:right w:val="nil"/>
          <w:insideV w:val="nil"/>
        </w:tblBorders>
        <w:tblCellMar>
          <w:top w:w="0" w:type="dxa"/>
          <w:left w:w="108" w:type="dxa"/>
          <w:bottom w:w="0" w:type="dxa"/>
          <w:right w:w="108" w:type="dxa"/>
        </w:tblCellMar>
      </w:tblPr>
      <w:tblGrid>
        <w:gridCol w:w="3960"/>
        <w:gridCol w:w="1620"/>
        <w:gridCol w:w="1440"/>
        <w:gridCol w:w="1620"/>
        <w:gridCol w:w="1361"/>
      </w:tblGrid>
      <w:tr>
        <w:trPr>
          <w:cantSplit w:val="true"/>
        </w:trPr>
        <w:tc>
          <w:tcPr>
            <w:tcW w:w="3960" w:type="dxa"/>
            <w:tcBorders>
              <w:top w:val="single" w:sz="4" w:space="0" w:color="000000"/>
              <w:left w:val="nil"/>
              <w:bottom w:val="nil"/>
              <w:insideH w:val="nil"/>
              <w:right w:val="nil"/>
              <w:insideV w:val="nil"/>
            </w:tcBorders>
            <w:shd w:fill="auto" w:val="clear"/>
          </w:tcPr>
          <w:p>
            <w:pPr>
              <w:pStyle w:val="Normal"/>
              <w:snapToGrid w:val="false"/>
              <w:spacing w:before="60" w:after="60"/>
              <w:jc w:val="center"/>
              <w:rPr>
                <w:b/>
                <w:bCs/>
                <w:sz w:val="22"/>
                <w:szCs w:val="22"/>
              </w:rPr>
            </w:pPr>
            <w:r>
              <w:rPr>
                <w:b/>
                <w:bCs/>
                <w:sz w:val="22"/>
                <w:szCs w:val="22"/>
              </w:rPr>
            </w:r>
          </w:p>
        </w:tc>
        <w:tc>
          <w:tcPr>
            <w:tcW w:w="3060" w:type="dxa"/>
            <w:gridSpan w:val="2"/>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50-59 years (N=1035)</w:t>
            </w:r>
          </w:p>
        </w:tc>
        <w:tc>
          <w:tcPr>
            <w:tcW w:w="2981"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60" w:after="60"/>
              <w:jc w:val="center"/>
              <w:rPr>
                <w:b/>
                <w:bCs/>
                <w:sz w:val="22"/>
                <w:szCs w:val="22"/>
              </w:rPr>
            </w:pPr>
            <w:r>
              <w:rPr>
                <w:b/>
                <w:bCs/>
                <w:sz w:val="22"/>
                <w:szCs w:val="22"/>
              </w:rPr>
              <w:t>60+ years (N=504)</w:t>
            </w:r>
          </w:p>
        </w:tc>
      </w:tr>
      <w:tr>
        <w:trPr>
          <w:cantSplit w:val="true"/>
        </w:trPr>
        <w:tc>
          <w:tcPr>
            <w:tcW w:w="3960" w:type="dxa"/>
            <w:tcBorders>
              <w:top w:val="nil"/>
              <w:left w:val="nil"/>
              <w:bottom w:val="single" w:sz="4" w:space="0" w:color="000000"/>
              <w:insideH w:val="single" w:sz="4" w:space="0" w:color="000000"/>
              <w:right w:val="nil"/>
              <w:insideV w:val="nil"/>
            </w:tcBorders>
            <w:shd w:fill="auto" w:val="clear"/>
          </w:tcPr>
          <w:p>
            <w:pPr>
              <w:pStyle w:val="Normal"/>
              <w:snapToGrid w:val="false"/>
              <w:spacing w:before="60" w:after="60"/>
              <w:jc w:val="center"/>
              <w:rPr>
                <w:b/>
                <w:bCs/>
                <w:sz w:val="22"/>
                <w:szCs w:val="22"/>
              </w:rPr>
            </w:pPr>
            <w:r>
              <w:rPr>
                <w:b/>
                <w:bCs/>
                <w:sz w:val="22"/>
                <w:szCs w:val="22"/>
              </w:rPr>
            </w:r>
          </w:p>
        </w:tc>
        <w:tc>
          <w:tcPr>
            <w:tcW w:w="162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Frequency (n)</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Valid %</w:t>
            </w:r>
          </w:p>
        </w:tc>
        <w:tc>
          <w:tcPr>
            <w:tcW w:w="162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60" w:after="60"/>
              <w:jc w:val="center"/>
              <w:rPr>
                <w:b/>
                <w:bCs/>
                <w:sz w:val="22"/>
                <w:szCs w:val="22"/>
              </w:rPr>
            </w:pPr>
            <w:r>
              <w:rPr>
                <w:b/>
                <w:bCs/>
                <w:sz w:val="22"/>
                <w:szCs w:val="22"/>
              </w:rPr>
              <w:t>Frequency (n)</w:t>
            </w:r>
          </w:p>
        </w:tc>
        <w:tc>
          <w:tcPr>
            <w:tcW w:w="1361"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Valid %</w:t>
            </w:r>
          </w:p>
        </w:tc>
      </w:tr>
      <w:tr>
        <w:trPr>
          <w:cantSplit w:val="true"/>
        </w:trPr>
        <w:tc>
          <w:tcPr>
            <w:tcW w:w="396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spacing w:before="60" w:after="60"/>
              <w:jc w:val="center"/>
              <w:rPr>
                <w:sz w:val="22"/>
                <w:szCs w:val="22"/>
              </w:rPr>
            </w:pPr>
            <w:r>
              <w:rPr>
                <w:sz w:val="22"/>
                <w:szCs w:val="22"/>
              </w:rPr>
            </w:r>
          </w:p>
        </w:tc>
        <w:tc>
          <w:tcPr>
            <w:tcW w:w="6041" w:type="dxa"/>
            <w:gridSpan w:val="4"/>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Socio-demographic characteristics, tobacco use and BMI</w:t>
            </w:r>
          </w:p>
        </w:tc>
      </w:tr>
      <w:tr>
        <w:trPr>
          <w:cantSplit w:val="true"/>
        </w:trPr>
        <w:tc>
          <w:tcPr>
            <w:tcW w:w="3960" w:type="dxa"/>
            <w:tcBorders>
              <w:top w:val="single" w:sz="4" w:space="0" w:color="000000"/>
              <w:left w:val="nil"/>
              <w:bottom w:val="nil"/>
              <w:insideH w:val="nil"/>
              <w:right w:val="nil"/>
              <w:insideV w:val="nil"/>
            </w:tcBorders>
            <w:shd w:fill="auto" w:val="clear"/>
          </w:tcPr>
          <w:p>
            <w:pPr>
              <w:pStyle w:val="Heading4"/>
              <w:numPr>
                <w:ilvl w:val="3"/>
                <w:numId w:val="1"/>
              </w:numPr>
              <w:spacing w:before="144" w:after="0"/>
              <w:rPr>
                <w:b/>
                <w:i/>
                <w:sz w:val="22"/>
                <w:szCs w:val="22"/>
                <w:u w:val="none"/>
              </w:rPr>
            </w:pPr>
            <w:r>
              <w:rPr>
                <w:b/>
                <w:i/>
                <w:sz w:val="22"/>
                <w:szCs w:val="22"/>
                <w:u w:val="none"/>
              </w:rPr>
              <w:t xml:space="preserve">Marital Status </w:t>
            </w:r>
          </w:p>
        </w:tc>
        <w:tc>
          <w:tcPr>
            <w:tcW w:w="1620" w:type="dxa"/>
            <w:tcBorders>
              <w:top w:val="single" w:sz="4" w:space="0" w:color="000000"/>
              <w:left w:val="nil"/>
              <w:bottom w:val="nil"/>
              <w:insideH w:val="nil"/>
              <w:right w:val="nil"/>
              <w:insideV w:val="nil"/>
            </w:tcBorders>
            <w:shd w:fill="auto" w:val="clear"/>
          </w:tcPr>
          <w:p>
            <w:pPr>
              <w:pStyle w:val="Normal"/>
              <w:snapToGrid w:val="false"/>
              <w:spacing w:before="144" w:after="0"/>
              <w:jc w:val="center"/>
              <w:rPr>
                <w:sz w:val="22"/>
                <w:szCs w:val="22"/>
              </w:rPr>
            </w:pPr>
            <w:r>
              <w:rPr>
                <w:sz w:val="22"/>
                <w:szCs w:val="22"/>
              </w:rPr>
            </w:r>
          </w:p>
        </w:tc>
        <w:tc>
          <w:tcPr>
            <w:tcW w:w="1440" w:type="dxa"/>
            <w:tcBorders>
              <w:top w:val="single" w:sz="4" w:space="0" w:color="000000"/>
              <w:left w:val="nil"/>
              <w:bottom w:val="nil"/>
              <w:insideH w:val="nil"/>
              <w:right w:val="nil"/>
              <w:insideV w:val="nil"/>
            </w:tcBorders>
            <w:shd w:fill="auto" w:val="clear"/>
          </w:tcPr>
          <w:p>
            <w:pPr>
              <w:pStyle w:val="Normal"/>
              <w:snapToGrid w:val="false"/>
              <w:spacing w:before="144" w:after="0"/>
              <w:jc w:val="center"/>
              <w:rPr>
                <w:sz w:val="22"/>
                <w:szCs w:val="22"/>
              </w:rPr>
            </w:pPr>
            <w:r>
              <w:rPr>
                <w:sz w:val="22"/>
                <w:szCs w:val="22"/>
              </w:rPr>
            </w:r>
          </w:p>
        </w:tc>
        <w:tc>
          <w:tcPr>
            <w:tcW w:w="1620"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144" w:after="0"/>
              <w:jc w:val="center"/>
              <w:rPr>
                <w:sz w:val="22"/>
                <w:szCs w:val="22"/>
              </w:rPr>
            </w:pPr>
            <w:r>
              <w:rPr>
                <w:sz w:val="22"/>
                <w:szCs w:val="22"/>
              </w:rPr>
            </w:r>
          </w:p>
        </w:tc>
        <w:tc>
          <w:tcPr>
            <w:tcW w:w="1361" w:type="dxa"/>
            <w:tcBorders>
              <w:top w:val="single" w:sz="4" w:space="0" w:color="000000"/>
              <w:left w:val="nil"/>
              <w:bottom w:val="nil"/>
              <w:insideH w:val="nil"/>
              <w:right w:val="nil"/>
              <w:insideV w:val="nil"/>
            </w:tcBorders>
            <w:shd w:fill="auto" w:val="clear"/>
          </w:tcPr>
          <w:p>
            <w:pPr>
              <w:pStyle w:val="Normal"/>
              <w:snapToGrid w:val="false"/>
              <w:spacing w:before="144"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Footnote"/>
              <w:jc w:val="right"/>
              <w:rPr>
                <w:sz w:val="22"/>
                <w:szCs w:val="22"/>
              </w:rPr>
            </w:pPr>
            <w:r>
              <w:rPr>
                <w:sz w:val="22"/>
                <w:szCs w:val="22"/>
              </w:rPr>
              <w:t>Married</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825</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(79.7)</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404</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(80.3)</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Not Married</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210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(20.3)</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99</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(19.7)</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Employment Status</w:t>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Working (part &amp; full time)</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876</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(84.8)</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204</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(40.5)</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Unemployed</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(2.1)</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4</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(0.8)</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Retired</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74</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(7.2)</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271</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(53.8)</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Other</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61</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(5.9)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25</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(5.0)</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tabs>
                <w:tab w:val="left" w:pos="1278" w:leader="none"/>
              </w:tabs>
              <w:spacing w:before="60" w:after="0"/>
              <w:rPr>
                <w:b/>
                <w:i/>
                <w:sz w:val="22"/>
                <w:szCs w:val="22"/>
                <w:u w:val="none"/>
              </w:rPr>
            </w:pPr>
            <w:r>
              <w:rPr>
                <w:b/>
                <w:i/>
                <w:sz w:val="22"/>
                <w:szCs w:val="22"/>
                <w:u w:val="none"/>
              </w:rPr>
              <w:t>Education</w:t>
              <w:tab/>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Less than high school</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129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(12.5)</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154</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(30.6)</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High school diploma</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157</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(15.2)</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89</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(17.7)</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Some college/ university</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219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(21.2)</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90</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(17.9)</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Completed college</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251</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(24.3)</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82</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(16.3)</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Completed university</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278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(26.9)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88</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(17.5)</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Income</w:t>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&lt;$19,999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50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55</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(11.3)</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$20,000-$39,999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125</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(12.3)</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151</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(30.9)</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$40,000-$59,999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202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(19.8)</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119</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(24.4)</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$60,000-$79,999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222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(21.8)</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87</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(17.8)</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$80,000-$99,999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149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(14.6)</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36</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(7.4)</w:t>
            </w:r>
          </w:p>
        </w:tc>
      </w:tr>
      <w:tr>
        <w:trPr>
          <w:cantSplit w:val="true"/>
        </w:trPr>
        <w:tc>
          <w:tcPr>
            <w:tcW w:w="3960" w:type="dxa"/>
            <w:tcBorders>
              <w:top w:val="nil"/>
              <w:left w:val="nil"/>
              <w:bottom w:val="nil"/>
              <w:insideH w:val="nil"/>
              <w:right w:val="nil"/>
              <w:insideV w:val="nil"/>
            </w:tcBorders>
            <w:shd w:fill="auto" w:val="clear"/>
          </w:tcPr>
          <w:p>
            <w:pPr>
              <w:pStyle w:val="Normal"/>
              <w:spacing w:before="0" w:after="40"/>
              <w:jc w:val="right"/>
              <w:rPr>
                <w:sz w:val="22"/>
                <w:szCs w:val="22"/>
              </w:rPr>
            </w:pPr>
            <w:r>
              <w:rPr>
                <w:sz w:val="22"/>
                <w:szCs w:val="22"/>
              </w:rPr>
              <w:t xml:space="preserve">     </w:t>
            </w:r>
            <w:r>
              <w:rPr>
                <w:sz w:val="22"/>
                <w:szCs w:val="22"/>
              </w:rPr>
              <w:t>&gt;$100,000</w:t>
            </w:r>
          </w:p>
        </w:tc>
        <w:tc>
          <w:tcPr>
            <w:tcW w:w="1620" w:type="dxa"/>
            <w:tcBorders>
              <w:top w:val="nil"/>
              <w:left w:val="nil"/>
              <w:bottom w:val="nil"/>
              <w:insideH w:val="nil"/>
              <w:right w:val="nil"/>
              <w:insideV w:val="nil"/>
            </w:tcBorders>
            <w:shd w:fill="auto" w:val="clear"/>
          </w:tcPr>
          <w:p>
            <w:pPr>
              <w:pStyle w:val="Normal"/>
              <w:spacing w:before="0" w:after="40"/>
              <w:jc w:val="center"/>
              <w:rPr>
                <w:sz w:val="22"/>
                <w:szCs w:val="22"/>
              </w:rPr>
            </w:pPr>
            <w:r>
              <w:rPr>
                <w:sz w:val="22"/>
                <w:szCs w:val="22"/>
              </w:rPr>
              <w:t>270</w:t>
            </w:r>
          </w:p>
        </w:tc>
        <w:tc>
          <w:tcPr>
            <w:tcW w:w="1440" w:type="dxa"/>
            <w:tcBorders>
              <w:top w:val="nil"/>
              <w:left w:val="nil"/>
              <w:bottom w:val="nil"/>
              <w:insideH w:val="nil"/>
              <w:right w:val="nil"/>
              <w:insideV w:val="nil"/>
            </w:tcBorders>
            <w:shd w:fill="auto" w:val="clear"/>
          </w:tcPr>
          <w:p>
            <w:pPr>
              <w:pStyle w:val="Normal"/>
              <w:spacing w:before="0" w:after="40"/>
              <w:jc w:val="center"/>
              <w:rPr>
                <w:sz w:val="22"/>
                <w:szCs w:val="22"/>
              </w:rPr>
            </w:pPr>
            <w:r>
              <w:rPr>
                <w:sz w:val="22"/>
                <w:szCs w:val="22"/>
              </w:rPr>
              <w:t>(26.5)</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pacing w:before="0" w:after="40"/>
              <w:jc w:val="center"/>
              <w:rPr>
                <w:sz w:val="22"/>
                <w:szCs w:val="22"/>
              </w:rPr>
            </w:pPr>
            <w:r>
              <w:rPr>
                <w:sz w:val="22"/>
                <w:szCs w:val="22"/>
              </w:rPr>
              <w:t>40</w:t>
            </w:r>
          </w:p>
        </w:tc>
        <w:tc>
          <w:tcPr>
            <w:tcW w:w="1361" w:type="dxa"/>
            <w:tcBorders>
              <w:top w:val="nil"/>
              <w:left w:val="nil"/>
              <w:bottom w:val="nil"/>
              <w:insideH w:val="nil"/>
              <w:right w:val="nil"/>
              <w:insideV w:val="nil"/>
            </w:tcBorders>
            <w:shd w:fill="auto" w:val="clear"/>
          </w:tcPr>
          <w:p>
            <w:pPr>
              <w:pStyle w:val="Normal"/>
              <w:spacing w:before="0" w:after="40"/>
              <w:jc w:val="center"/>
              <w:rPr>
                <w:sz w:val="22"/>
                <w:szCs w:val="22"/>
              </w:rPr>
            </w:pPr>
            <w:r>
              <w:rPr>
                <w:sz w:val="22"/>
                <w:szCs w:val="22"/>
              </w:rPr>
              <w:t>(8.2)</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0"/>
              <w:rPr>
                <w:b/>
                <w:i/>
                <w:sz w:val="22"/>
                <w:szCs w:val="22"/>
              </w:rPr>
            </w:pPr>
            <w:r>
              <w:rPr>
                <w:b/>
                <w:i/>
                <w:sz w:val="22"/>
                <w:szCs w:val="22"/>
              </w:rPr>
              <w:t>Race</w:t>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White</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970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(93.7)</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470</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(93.3)</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Asian</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(2.1)</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10</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(2.0)</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First Nations</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17</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(3.4)</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Other</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6</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(1.2)</w:t>
            </w:r>
          </w:p>
        </w:tc>
      </w:tr>
      <w:tr>
        <w:trPr>
          <w:cantSplit w:val="true"/>
        </w:trPr>
        <w:tc>
          <w:tcPr>
            <w:tcW w:w="3960" w:type="dxa"/>
            <w:tcBorders>
              <w:top w:val="nil"/>
              <w:left w:val="nil"/>
              <w:bottom w:val="nil"/>
              <w:insideH w:val="nil"/>
              <w:right w:val="nil"/>
              <w:insideV w:val="nil"/>
            </w:tcBorders>
            <w:shd w:fill="auto" w:val="clear"/>
          </w:tcPr>
          <w:p>
            <w:pPr>
              <w:pStyle w:val="Normal"/>
              <w:snapToGrid w:val="false"/>
              <w:rPr>
                <w:sz w:val="22"/>
                <w:szCs w:val="22"/>
              </w:rPr>
            </w:pPr>
            <w:r>
              <w:rPr>
                <w:sz w:val="22"/>
                <w:szCs w:val="22"/>
              </w:rPr>
            </w:r>
          </w:p>
        </w:tc>
        <w:tc>
          <w:tcPr>
            <w:tcW w:w="1620" w:type="dxa"/>
            <w:tcBorders>
              <w:top w:val="nil"/>
              <w:left w:val="nil"/>
              <w:bottom w:val="nil"/>
              <w:insideH w:val="nil"/>
              <w:right w:val="nil"/>
              <w:insideV w:val="nil"/>
            </w:tcBorders>
            <w:shd w:fill="auto" w:val="clear"/>
          </w:tcPr>
          <w:p>
            <w:pPr>
              <w:pStyle w:val="Normal"/>
              <w:snapToGrid w:val="false"/>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Healthcare delivery region</w:t>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trHeight w:val="63" w:hRule="atLeast"/>
          <w:cantSplit w:val="true"/>
        </w:trPr>
        <w:tc>
          <w:tcPr>
            <w:tcW w:w="3960" w:type="dxa"/>
            <w:tcBorders>
              <w:top w:val="nil"/>
              <w:left w:val="nil"/>
              <w:bottom w:val="nil"/>
              <w:insideH w:val="nil"/>
              <w:right w:val="nil"/>
              <w:insideV w:val="nil"/>
            </w:tcBorders>
            <w:shd w:fill="auto" w:val="clear"/>
          </w:tcPr>
          <w:p>
            <w:pPr>
              <w:pStyle w:val="Normal"/>
              <w:ind w:left="180" w:right="0" w:hanging="0"/>
              <w:jc w:val="right"/>
              <w:rPr>
                <w:sz w:val="22"/>
                <w:szCs w:val="22"/>
              </w:rPr>
            </w:pPr>
            <w:r>
              <w:rPr>
                <w:sz w:val="22"/>
                <w:szCs w:val="22"/>
              </w:rPr>
              <w:t xml:space="preserve">Capital </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158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(15.3)</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79</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(15.7)</w:t>
            </w:r>
          </w:p>
        </w:tc>
      </w:tr>
      <w:tr>
        <w:trPr>
          <w:cantSplit w:val="true"/>
        </w:trPr>
        <w:tc>
          <w:tcPr>
            <w:tcW w:w="3960" w:type="dxa"/>
            <w:tcBorders>
              <w:top w:val="nil"/>
              <w:left w:val="nil"/>
              <w:bottom w:val="nil"/>
              <w:insideH w:val="nil"/>
              <w:right w:val="nil"/>
              <w:insideV w:val="nil"/>
            </w:tcBorders>
            <w:shd w:fill="auto" w:val="clear"/>
          </w:tcPr>
          <w:p>
            <w:pPr>
              <w:pStyle w:val="Normal"/>
              <w:ind w:left="180" w:right="0" w:hanging="0"/>
              <w:jc w:val="right"/>
              <w:rPr>
                <w:sz w:val="22"/>
                <w:szCs w:val="22"/>
              </w:rPr>
            </w:pPr>
            <w:r>
              <w:rPr>
                <w:sz w:val="22"/>
                <w:szCs w:val="22"/>
              </w:rPr>
              <w:t xml:space="preserve">Calgary </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160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(15.5)</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71</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(14.1)</w:t>
            </w:r>
          </w:p>
        </w:tc>
      </w:tr>
      <w:tr>
        <w:trPr>
          <w:cantSplit w:val="true"/>
        </w:trPr>
        <w:tc>
          <w:tcPr>
            <w:tcW w:w="3960" w:type="dxa"/>
            <w:tcBorders>
              <w:top w:val="nil"/>
              <w:left w:val="nil"/>
              <w:bottom w:val="nil"/>
              <w:insideH w:val="nil"/>
              <w:right w:val="nil"/>
              <w:insideV w:val="nil"/>
            </w:tcBorders>
            <w:shd w:fill="auto" w:val="clear"/>
          </w:tcPr>
          <w:p>
            <w:pPr>
              <w:pStyle w:val="Normal"/>
              <w:ind w:left="180" w:right="0" w:hanging="0"/>
              <w:jc w:val="right"/>
              <w:rPr>
                <w:sz w:val="22"/>
                <w:szCs w:val="22"/>
              </w:rPr>
            </w:pPr>
            <w:r>
              <w:rPr>
                <w:sz w:val="22"/>
                <w:szCs w:val="22"/>
              </w:rPr>
              <w:t xml:space="preserve">South </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289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(27.9)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127</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(25.2)</w:t>
            </w:r>
          </w:p>
        </w:tc>
      </w:tr>
      <w:tr>
        <w:trPr>
          <w:cantSplit w:val="true"/>
        </w:trPr>
        <w:tc>
          <w:tcPr>
            <w:tcW w:w="3960" w:type="dxa"/>
            <w:tcBorders>
              <w:top w:val="nil"/>
              <w:left w:val="nil"/>
              <w:bottom w:val="nil"/>
              <w:insideH w:val="nil"/>
              <w:right w:val="nil"/>
              <w:insideV w:val="nil"/>
            </w:tcBorders>
            <w:shd w:fill="auto" w:val="clear"/>
          </w:tcPr>
          <w:p>
            <w:pPr>
              <w:pStyle w:val="Normal"/>
              <w:ind w:left="180" w:right="0" w:hanging="0"/>
              <w:jc w:val="right"/>
              <w:rPr>
                <w:sz w:val="22"/>
                <w:szCs w:val="22"/>
              </w:rPr>
            </w:pPr>
            <w:r>
              <w:rPr>
                <w:sz w:val="22"/>
                <w:szCs w:val="22"/>
              </w:rPr>
              <w:t xml:space="preserve">Central </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351</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(33.9)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195</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(38.7)</w:t>
            </w:r>
          </w:p>
        </w:tc>
      </w:tr>
      <w:tr>
        <w:trPr>
          <w:cantSplit w:val="true"/>
        </w:trPr>
        <w:tc>
          <w:tcPr>
            <w:tcW w:w="3960" w:type="dxa"/>
            <w:tcBorders>
              <w:top w:val="nil"/>
              <w:left w:val="nil"/>
              <w:bottom w:val="nil"/>
              <w:insideH w:val="nil"/>
              <w:right w:val="nil"/>
              <w:insideV w:val="nil"/>
            </w:tcBorders>
            <w:shd w:fill="auto" w:val="clear"/>
          </w:tcPr>
          <w:p>
            <w:pPr>
              <w:pStyle w:val="Normal"/>
              <w:spacing w:before="0" w:after="40"/>
              <w:jc w:val="right"/>
              <w:rPr>
                <w:sz w:val="22"/>
                <w:szCs w:val="22"/>
              </w:rPr>
            </w:pPr>
            <w:r>
              <w:rPr>
                <w:sz w:val="22"/>
                <w:szCs w:val="22"/>
              </w:rPr>
              <w:t xml:space="preserve">North </w:t>
            </w:r>
          </w:p>
        </w:tc>
        <w:tc>
          <w:tcPr>
            <w:tcW w:w="1620" w:type="dxa"/>
            <w:tcBorders>
              <w:top w:val="nil"/>
              <w:left w:val="nil"/>
              <w:bottom w:val="nil"/>
              <w:insideH w:val="nil"/>
              <w:right w:val="nil"/>
              <w:insideV w:val="nil"/>
            </w:tcBorders>
            <w:shd w:fill="auto" w:val="clear"/>
          </w:tcPr>
          <w:p>
            <w:pPr>
              <w:pStyle w:val="Normal"/>
              <w:spacing w:before="0" w:after="40"/>
              <w:jc w:val="center"/>
              <w:rPr>
                <w:sz w:val="22"/>
                <w:szCs w:val="22"/>
              </w:rPr>
            </w:pPr>
            <w:r>
              <w:rPr>
                <w:sz w:val="22"/>
                <w:szCs w:val="22"/>
              </w:rPr>
              <w:t>77</w:t>
            </w:r>
          </w:p>
        </w:tc>
        <w:tc>
          <w:tcPr>
            <w:tcW w:w="1440" w:type="dxa"/>
            <w:tcBorders>
              <w:top w:val="nil"/>
              <w:left w:val="nil"/>
              <w:bottom w:val="nil"/>
              <w:insideH w:val="nil"/>
              <w:right w:val="nil"/>
              <w:insideV w:val="nil"/>
            </w:tcBorders>
            <w:shd w:fill="auto" w:val="clear"/>
          </w:tcPr>
          <w:p>
            <w:pPr>
              <w:pStyle w:val="Normal"/>
              <w:spacing w:before="0" w:after="40"/>
              <w:jc w:val="center"/>
              <w:rPr>
                <w:sz w:val="22"/>
                <w:szCs w:val="22"/>
              </w:rPr>
            </w:pPr>
            <w:r>
              <w:rPr>
                <w:sz w:val="22"/>
                <w:szCs w:val="22"/>
              </w:rPr>
              <w:t>(7.4)</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pacing w:before="0" w:after="40"/>
              <w:jc w:val="center"/>
              <w:rPr>
                <w:sz w:val="22"/>
                <w:szCs w:val="22"/>
              </w:rPr>
            </w:pPr>
            <w:r>
              <w:rPr>
                <w:sz w:val="22"/>
                <w:szCs w:val="22"/>
              </w:rPr>
              <w:t>32</w:t>
            </w:r>
          </w:p>
        </w:tc>
        <w:tc>
          <w:tcPr>
            <w:tcW w:w="1361" w:type="dxa"/>
            <w:tcBorders>
              <w:top w:val="nil"/>
              <w:left w:val="nil"/>
              <w:bottom w:val="nil"/>
              <w:insideH w:val="nil"/>
              <w:right w:val="nil"/>
              <w:insideV w:val="nil"/>
            </w:tcBorders>
            <w:shd w:fill="auto" w:val="clear"/>
          </w:tcPr>
          <w:p>
            <w:pPr>
              <w:pStyle w:val="Normal"/>
              <w:spacing w:before="0" w:after="40"/>
              <w:jc w:val="center"/>
              <w:rPr>
                <w:sz w:val="22"/>
                <w:szCs w:val="22"/>
              </w:rPr>
            </w:pPr>
            <w:r>
              <w:rPr>
                <w:sz w:val="22"/>
                <w:szCs w:val="22"/>
              </w:rPr>
              <w:t>(6.3)</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Current smoking status</w:t>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Non-smoker</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348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(33.9)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135</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(26.8)</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Past smoker</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482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(46.9)</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287</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(57.1)</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Current-smoker</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198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(19.3)</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81</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(16.1)</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Body mass index</w:t>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361"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tabs>
                <w:tab w:val="right" w:pos="3744" w:leader="none"/>
              </w:tabs>
              <w:jc w:val="right"/>
              <w:rPr>
                <w:sz w:val="22"/>
                <w:szCs w:val="22"/>
              </w:rPr>
            </w:pPr>
            <w:r>
              <w:rPr>
                <w:sz w:val="22"/>
                <w:szCs w:val="22"/>
              </w:rPr>
              <w:t xml:space="preserve">Underweight /Normal/ (&lt;25)   </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198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(19.1)</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107</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(21.2)</w:t>
            </w:r>
          </w:p>
        </w:tc>
      </w:tr>
      <w:tr>
        <w:trPr>
          <w:cantSplit w:val="true"/>
        </w:trPr>
        <w:tc>
          <w:tcPr>
            <w:tcW w:w="3960" w:type="dxa"/>
            <w:tcBorders>
              <w:top w:val="nil"/>
              <w:left w:val="nil"/>
              <w:bottom w:val="nil"/>
              <w:insideH w:val="nil"/>
              <w:right w:val="nil"/>
              <w:insideV w:val="nil"/>
            </w:tcBorders>
            <w:shd w:fill="auto" w:val="clear"/>
          </w:tcPr>
          <w:p>
            <w:pPr>
              <w:pStyle w:val="Normal"/>
              <w:tabs>
                <w:tab w:val="right" w:pos="3744" w:leader="none"/>
              </w:tabs>
              <w:jc w:val="center"/>
              <w:rPr>
                <w:sz w:val="22"/>
                <w:szCs w:val="22"/>
              </w:rPr>
            </w:pPr>
            <w:r>
              <w:rPr>
                <w:sz w:val="22"/>
                <w:szCs w:val="22"/>
              </w:rPr>
              <w:tab/>
              <w:t xml:space="preserve">Overweight (25-29.9)     </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498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(48.2)</w:t>
            </w:r>
          </w:p>
        </w:tc>
        <w:tc>
          <w:tcPr>
            <w:tcW w:w="162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247</w:t>
            </w:r>
          </w:p>
        </w:tc>
        <w:tc>
          <w:tcPr>
            <w:tcW w:w="1361" w:type="dxa"/>
            <w:tcBorders>
              <w:top w:val="nil"/>
              <w:left w:val="nil"/>
              <w:bottom w:val="nil"/>
              <w:insideH w:val="nil"/>
              <w:right w:val="nil"/>
              <w:insideV w:val="nil"/>
            </w:tcBorders>
            <w:shd w:fill="auto" w:val="clear"/>
          </w:tcPr>
          <w:p>
            <w:pPr>
              <w:pStyle w:val="Normal"/>
              <w:jc w:val="center"/>
              <w:rPr>
                <w:sz w:val="22"/>
                <w:szCs w:val="22"/>
              </w:rPr>
            </w:pPr>
            <w:r>
              <w:rPr>
                <w:sz w:val="22"/>
                <w:szCs w:val="22"/>
              </w:rPr>
              <w:t>(49.0)</w:t>
            </w:r>
          </w:p>
        </w:tc>
      </w:tr>
      <w:tr>
        <w:trPr>
          <w:cantSplit w:val="true"/>
        </w:trPr>
        <w:tc>
          <w:tcPr>
            <w:tcW w:w="3960" w:type="dxa"/>
            <w:tcBorders>
              <w:top w:val="nil"/>
              <w:left w:val="nil"/>
              <w:bottom w:val="single" w:sz="4" w:space="0" w:color="000000"/>
              <w:insideH w:val="single" w:sz="4" w:space="0" w:color="000000"/>
              <w:right w:val="nil"/>
              <w:insideV w:val="nil"/>
            </w:tcBorders>
            <w:shd w:fill="auto" w:val="clear"/>
          </w:tcPr>
          <w:p>
            <w:pPr>
              <w:pStyle w:val="Normal"/>
              <w:tabs>
                <w:tab w:val="right" w:pos="3744" w:leader="none"/>
              </w:tabs>
              <w:spacing w:before="0" w:after="40"/>
              <w:jc w:val="center"/>
              <w:rPr>
                <w:sz w:val="22"/>
                <w:szCs w:val="22"/>
              </w:rPr>
            </w:pPr>
            <w:r>
              <w:rPr>
                <w:sz w:val="22"/>
                <w:szCs w:val="22"/>
              </w:rPr>
              <w:tab/>
              <w:t xml:space="preserve">Very overweight (30+)     </w:t>
            </w:r>
          </w:p>
        </w:tc>
        <w:tc>
          <w:tcPr>
            <w:tcW w:w="1620"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sz w:val="22"/>
                <w:szCs w:val="22"/>
              </w:rPr>
            </w:pPr>
            <w:r>
              <w:rPr>
                <w:sz w:val="22"/>
                <w:szCs w:val="22"/>
              </w:rPr>
              <w:t>338</w:t>
            </w:r>
          </w:p>
        </w:tc>
        <w:tc>
          <w:tcPr>
            <w:tcW w:w="1440"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sz w:val="22"/>
                <w:szCs w:val="22"/>
              </w:rPr>
            </w:pPr>
            <w:r>
              <w:rPr>
                <w:sz w:val="22"/>
                <w:szCs w:val="22"/>
              </w:rPr>
              <w:t>(32.7)</w:t>
            </w:r>
          </w:p>
        </w:tc>
        <w:tc>
          <w:tcPr>
            <w:tcW w:w="1620"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sz w:val="22"/>
                <w:szCs w:val="22"/>
              </w:rPr>
            </w:pPr>
            <w:r>
              <w:rPr>
                <w:sz w:val="22"/>
                <w:szCs w:val="22"/>
              </w:rPr>
              <w:t>150</w:t>
            </w:r>
          </w:p>
        </w:tc>
        <w:tc>
          <w:tcPr>
            <w:tcW w:w="1361"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sz w:val="22"/>
                <w:szCs w:val="22"/>
              </w:rPr>
            </w:pPr>
            <w:r>
              <w:rPr>
                <w:sz w:val="22"/>
                <w:szCs w:val="22"/>
              </w:rPr>
              <w:t>(29.8)</w:t>
            </w:r>
          </w:p>
        </w:tc>
      </w:tr>
    </w:tbl>
    <w:p>
      <w:pPr>
        <w:pStyle w:val="Normal"/>
        <w:rPr>
          <w:i/>
          <w:sz w:val="20"/>
          <w:szCs w:val="20"/>
        </w:rPr>
      </w:pPr>
      <w:r>
        <w:rPr>
          <w:i/>
          <w:sz w:val="20"/>
          <w:szCs w:val="20"/>
        </w:rPr>
        <w:t>* Selected cohort includes those men never tested for PSA (N=949) and asymptomatic men who were PSA tested (N=590)</w:t>
      </w:r>
    </w:p>
    <w:p>
      <w:pPr>
        <w:pStyle w:val="Normal"/>
        <w:pageBreakBefore/>
        <w:jc w:val="center"/>
        <w:rPr>
          <w:b/>
        </w:rPr>
      </w:pPr>
      <w:r>
        <w:rPr>
          <w:b/>
        </w:rPr>
      </w:r>
    </w:p>
    <w:p>
      <w:pPr>
        <w:pStyle w:val="Normal"/>
        <w:ind w:left="360" w:right="0" w:hanging="0"/>
        <w:rPr>
          <w:b/>
        </w:rPr>
      </w:pPr>
      <w:r>
        <w:rPr>
          <w:b/>
        </w:rPr>
        <w:t>Table 2:  Characteristics of selected cohort* stratified by age (continued)</w:t>
      </w:r>
    </w:p>
    <w:p>
      <w:pPr>
        <w:pStyle w:val="Normal"/>
        <w:jc w:val="center"/>
        <w:rPr>
          <w:sz w:val="16"/>
          <w:szCs w:val="16"/>
        </w:rPr>
      </w:pPr>
      <w:r>
        <w:rPr>
          <w:sz w:val="16"/>
          <w:szCs w:val="16"/>
        </w:rPr>
      </w:r>
    </w:p>
    <w:tbl>
      <w:tblPr>
        <w:jc w:val="left"/>
        <w:tblInd w:w="288" w:type="dxa"/>
        <w:tblBorders>
          <w:top w:val="single" w:sz="4" w:space="0" w:color="000000"/>
          <w:left w:val="nil"/>
          <w:bottom w:val="nil"/>
          <w:insideH w:val="nil"/>
          <w:right w:val="nil"/>
          <w:insideV w:val="nil"/>
        </w:tblBorders>
        <w:tblCellMar>
          <w:top w:w="0" w:type="dxa"/>
          <w:left w:w="108" w:type="dxa"/>
          <w:bottom w:w="0" w:type="dxa"/>
          <w:right w:w="108" w:type="dxa"/>
        </w:tblCellMar>
      </w:tblPr>
      <w:tblGrid>
        <w:gridCol w:w="3960"/>
        <w:gridCol w:w="1440"/>
        <w:gridCol w:w="1620"/>
        <w:gridCol w:w="1440"/>
        <w:gridCol w:w="1440"/>
      </w:tblGrid>
      <w:tr>
        <w:trPr>
          <w:cantSplit w:val="true"/>
        </w:trPr>
        <w:tc>
          <w:tcPr>
            <w:tcW w:w="3960" w:type="dxa"/>
            <w:tcBorders>
              <w:top w:val="single" w:sz="4" w:space="0" w:color="000000"/>
              <w:left w:val="nil"/>
              <w:bottom w:val="nil"/>
              <w:insideH w:val="nil"/>
              <w:right w:val="nil"/>
              <w:insideV w:val="nil"/>
            </w:tcBorders>
            <w:shd w:fill="auto" w:val="clear"/>
          </w:tcPr>
          <w:p>
            <w:pPr>
              <w:pStyle w:val="Normal"/>
              <w:snapToGrid w:val="false"/>
              <w:spacing w:before="60" w:after="60"/>
              <w:jc w:val="center"/>
              <w:rPr>
                <w:b/>
                <w:bCs/>
                <w:sz w:val="22"/>
                <w:szCs w:val="22"/>
              </w:rPr>
            </w:pPr>
            <w:r>
              <w:rPr>
                <w:b/>
                <w:bCs/>
                <w:sz w:val="22"/>
                <w:szCs w:val="22"/>
              </w:rPr>
            </w:r>
          </w:p>
        </w:tc>
        <w:tc>
          <w:tcPr>
            <w:tcW w:w="3060" w:type="dxa"/>
            <w:gridSpan w:val="2"/>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50-59 years (N=1035)</w:t>
            </w:r>
          </w:p>
        </w:tc>
        <w:tc>
          <w:tcPr>
            <w:tcW w:w="2880"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60" w:after="60"/>
              <w:jc w:val="center"/>
              <w:rPr>
                <w:b/>
                <w:bCs/>
                <w:sz w:val="22"/>
                <w:szCs w:val="22"/>
              </w:rPr>
            </w:pPr>
            <w:r>
              <w:rPr>
                <w:b/>
                <w:bCs/>
                <w:sz w:val="22"/>
                <w:szCs w:val="22"/>
              </w:rPr>
              <w:t>60+ years (N=504)</w:t>
            </w:r>
          </w:p>
        </w:tc>
      </w:tr>
      <w:tr>
        <w:trPr>
          <w:trHeight w:val="318" w:hRule="atLeast"/>
          <w:cantSplit w:val="true"/>
        </w:trPr>
        <w:tc>
          <w:tcPr>
            <w:tcW w:w="3960" w:type="dxa"/>
            <w:tcBorders>
              <w:top w:val="nil"/>
              <w:left w:val="nil"/>
              <w:bottom w:val="single" w:sz="4" w:space="0" w:color="000000"/>
              <w:insideH w:val="single" w:sz="4" w:space="0" w:color="000000"/>
              <w:right w:val="nil"/>
              <w:insideV w:val="nil"/>
            </w:tcBorders>
            <w:shd w:fill="auto" w:val="clear"/>
          </w:tcPr>
          <w:p>
            <w:pPr>
              <w:pStyle w:val="Normal"/>
              <w:snapToGrid w:val="false"/>
              <w:spacing w:before="60" w:after="60"/>
              <w:jc w:val="center"/>
              <w:rPr>
                <w:b/>
                <w:bCs/>
                <w:sz w:val="22"/>
                <w:szCs w:val="22"/>
              </w:rPr>
            </w:pPr>
            <w:r>
              <w:rPr>
                <w:b/>
                <w:bCs/>
                <w:sz w:val="22"/>
                <w:szCs w:val="22"/>
              </w:rPr>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 xml:space="preserve">n </w:t>
            </w:r>
          </w:p>
        </w:tc>
        <w:tc>
          <w:tcPr>
            <w:tcW w:w="162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(Valid %)</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60" w:after="60"/>
              <w:jc w:val="center"/>
              <w:rPr>
                <w:b/>
                <w:bCs/>
                <w:sz w:val="22"/>
                <w:szCs w:val="22"/>
              </w:rPr>
            </w:pPr>
            <w:r>
              <w:rPr>
                <w:b/>
                <w:bCs/>
                <w:sz w:val="22"/>
                <w:szCs w:val="22"/>
              </w:rPr>
              <w:t>n</w:t>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(Valid %)</w:t>
            </w:r>
          </w:p>
        </w:tc>
      </w:tr>
      <w:tr>
        <w:trPr>
          <w:cantSplit w:val="true"/>
        </w:trPr>
        <w:tc>
          <w:tcPr>
            <w:tcW w:w="3960" w:type="dxa"/>
            <w:tcBorders>
              <w:top w:val="single" w:sz="4" w:space="0" w:color="000000"/>
              <w:left w:val="nil"/>
              <w:bottom w:val="single" w:sz="4" w:space="0" w:color="000000"/>
              <w:insideH w:val="single" w:sz="4" w:space="0" w:color="000000"/>
              <w:right w:val="nil"/>
              <w:insideV w:val="nil"/>
            </w:tcBorders>
            <w:shd w:fill="auto" w:val="clear"/>
          </w:tcPr>
          <w:p>
            <w:pPr>
              <w:pStyle w:val="Normal"/>
              <w:snapToGrid w:val="false"/>
              <w:spacing w:before="60" w:after="60"/>
              <w:jc w:val="center"/>
              <w:rPr>
                <w:b/>
                <w:i/>
                <w:sz w:val="22"/>
                <w:szCs w:val="22"/>
              </w:rPr>
            </w:pPr>
            <w:r>
              <w:rPr>
                <w:b/>
                <w:i/>
                <w:sz w:val="22"/>
                <w:szCs w:val="22"/>
              </w:rPr>
            </w:r>
          </w:p>
        </w:tc>
        <w:tc>
          <w:tcPr>
            <w:tcW w:w="5940" w:type="dxa"/>
            <w:gridSpan w:val="4"/>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2"/>
                <w:szCs w:val="22"/>
              </w:rPr>
            </w:pPr>
            <w:r>
              <w:rPr>
                <w:b/>
                <w:bCs/>
                <w:sz w:val="22"/>
                <w:szCs w:val="22"/>
              </w:rPr>
              <w:t>Health and screening characteristics</w:t>
            </w:r>
          </w:p>
        </w:tc>
      </w:tr>
      <w:tr>
        <w:trPr>
          <w:cantSplit w:val="true"/>
        </w:trPr>
        <w:tc>
          <w:tcPr>
            <w:tcW w:w="3960" w:type="dxa"/>
            <w:tcBorders>
              <w:top w:val="single" w:sz="4" w:space="0" w:color="000000"/>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Time of last PSA</w:t>
            </w:r>
          </w:p>
        </w:tc>
        <w:tc>
          <w:tcPr>
            <w:tcW w:w="144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b/>
                <w:i/>
                <w:sz w:val="22"/>
                <w:szCs w:val="22"/>
              </w:rPr>
            </w:pPr>
            <w:r>
              <w:rPr>
                <w:b/>
                <w:i/>
                <w:sz w:val="22"/>
                <w:szCs w:val="22"/>
              </w:rPr>
            </w:r>
          </w:p>
        </w:tc>
        <w:tc>
          <w:tcPr>
            <w:tcW w:w="162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b/>
                <w:i/>
                <w:sz w:val="22"/>
                <w:szCs w:val="22"/>
              </w:rPr>
            </w:pPr>
            <w:r>
              <w:rPr>
                <w:b/>
                <w:i/>
                <w:sz w:val="22"/>
                <w:szCs w:val="22"/>
              </w:rPr>
            </w:r>
          </w:p>
        </w:tc>
        <w:tc>
          <w:tcPr>
            <w:tcW w:w="1440"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b/>
                <w:i/>
                <w:sz w:val="22"/>
                <w:szCs w:val="22"/>
              </w:rPr>
            </w:pPr>
            <w:r>
              <w:rPr>
                <w:b/>
                <w:i/>
                <w:sz w:val="22"/>
                <w:szCs w:val="22"/>
              </w:rPr>
            </w:r>
          </w:p>
        </w:tc>
        <w:tc>
          <w:tcPr>
            <w:tcW w:w="144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b/>
                <w:i/>
                <w:sz w:val="22"/>
                <w:szCs w:val="22"/>
              </w:rPr>
            </w:pPr>
            <w:r>
              <w:rPr>
                <w:b/>
                <w:i/>
                <w:sz w:val="22"/>
                <w:szCs w:val="22"/>
              </w:rPr>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Never had a PSA test</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680</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(65.7)</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269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(53.3)</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&lt;6 months</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123</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(11.9)</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76</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(15.1)</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6 mo. to &lt;1 year</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95</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(9.2)</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70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(13.9)</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1 yr to &lt; 2 yrs</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79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(7.6)</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49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(9.7)</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2 yrs to &lt; 5 yrs</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(4.7)</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36</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(7.1)</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 xml:space="preserve">  ≥</w:t>
            </w:r>
            <w:r>
              <w:rPr>
                <w:sz w:val="22"/>
                <w:szCs w:val="22"/>
                <w:u w:val="none"/>
              </w:rPr>
              <w:t>5 yrs ago</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(0.9)</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4</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(0.8)</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Lifetime number of PSA tests</w:t>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Never had a PSA test</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680</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(65.7)</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269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(53.3)</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1 test</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177</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(17.1</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93</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(18.5)</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2 tests</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82</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(7.9)</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54</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(10.7)</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3 tests</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36</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(3.5)</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32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(6.3)</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jc w:val="right"/>
              <w:rPr>
                <w:sz w:val="22"/>
                <w:szCs w:val="22"/>
                <w:u w:val="none"/>
              </w:rPr>
            </w:pPr>
            <w:r>
              <w:rPr>
                <w:sz w:val="22"/>
                <w:szCs w:val="22"/>
                <w:u w:val="none"/>
              </w:rPr>
              <w:t>≥</w:t>
            </w:r>
            <w:r>
              <w:rPr>
                <w:sz w:val="22"/>
                <w:szCs w:val="22"/>
                <w:u w:val="none"/>
              </w:rPr>
              <w:t>4 tests in life</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57</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(5.5)</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52</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(10.3)</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Self-rated health status</w:t>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Excellent</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143</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(14.2)</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50</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(10.3)</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Very good</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454</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(45.0)</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189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(38.8)</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Good</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342</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(33.9)</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199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(40.9)</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Fair/ Poor</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69</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(6.8)</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49</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(10.1)</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0"/>
              <w:rPr>
                <w:b/>
                <w:i/>
                <w:sz w:val="22"/>
                <w:szCs w:val="22"/>
                <w:u w:val="none"/>
              </w:rPr>
            </w:pPr>
            <w:r>
              <w:rPr>
                <w:b/>
                <w:i/>
                <w:sz w:val="22"/>
                <w:szCs w:val="22"/>
                <w:u w:val="none"/>
              </w:rPr>
              <w:t>Chronic Conditions</w:t>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sz w:val="22"/>
                <w:szCs w:val="22"/>
              </w:rPr>
            </w:pPr>
            <w:r>
              <w:rPr>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sz w:val="22"/>
                <w:szCs w:val="22"/>
              </w:rPr>
            </w:pPr>
            <w:r>
              <w:rPr>
                <w:sz w:val="22"/>
                <w:szCs w:val="22"/>
              </w:rPr>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No</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424</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(42.0)</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153</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(31.9)</w:t>
            </w:r>
          </w:p>
        </w:tc>
      </w:tr>
      <w:tr>
        <w:trPr>
          <w:cantSplit w:val="true"/>
        </w:trPr>
        <w:tc>
          <w:tcPr>
            <w:tcW w:w="3960" w:type="dxa"/>
            <w:tcBorders>
              <w:top w:val="nil"/>
              <w:left w:val="nil"/>
              <w:bottom w:val="nil"/>
              <w:insideH w:val="nil"/>
              <w:right w:val="nil"/>
              <w:insideV w:val="nil"/>
            </w:tcBorders>
            <w:shd w:fill="auto" w:val="clear"/>
          </w:tcPr>
          <w:p>
            <w:pPr>
              <w:pStyle w:val="Normal"/>
              <w:jc w:val="right"/>
              <w:rPr>
                <w:sz w:val="22"/>
                <w:szCs w:val="22"/>
              </w:rPr>
            </w:pPr>
            <w:r>
              <w:rPr>
                <w:sz w:val="22"/>
                <w:szCs w:val="22"/>
              </w:rPr>
              <w:t xml:space="preserve">     </w:t>
            </w:r>
            <w:r>
              <w:rPr>
                <w:sz w:val="22"/>
                <w:szCs w:val="22"/>
              </w:rPr>
              <w:t>Yes</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611</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(58.0)</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351</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(68.1)</w:t>
            </w:r>
          </w:p>
        </w:tc>
      </w:tr>
      <w:tr>
        <w:trPr>
          <w:cantSplit w:val="true"/>
        </w:trPr>
        <w:tc>
          <w:tcPr>
            <w:tcW w:w="3960" w:type="dxa"/>
            <w:tcBorders>
              <w:top w:val="nil"/>
              <w:left w:val="nil"/>
              <w:bottom w:val="nil"/>
              <w:insideH w:val="nil"/>
              <w:right w:val="nil"/>
              <w:insideV w:val="nil"/>
            </w:tcBorders>
            <w:shd w:fill="auto" w:val="clear"/>
          </w:tcPr>
          <w:p>
            <w:pPr>
              <w:pStyle w:val="Footnote"/>
              <w:spacing w:before="60" w:after="0"/>
              <w:rPr>
                <w:b/>
                <w:i/>
                <w:sz w:val="22"/>
                <w:szCs w:val="22"/>
              </w:rPr>
            </w:pPr>
            <w:r>
              <w:rPr>
                <w:b/>
                <w:i/>
                <w:sz w:val="22"/>
                <w:szCs w:val="22"/>
              </w:rPr>
              <w:t>Number of Chronic Conditions</w:t>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i/>
                <w:iCs/>
                <w:sz w:val="22"/>
                <w:szCs w:val="22"/>
              </w:rPr>
            </w:pPr>
            <w:r>
              <w:rPr>
                <w:i/>
                <w:iCs/>
                <w:sz w:val="22"/>
                <w:szCs w:val="22"/>
              </w:rPr>
            </w:r>
          </w:p>
        </w:tc>
        <w:tc>
          <w:tcPr>
            <w:tcW w:w="1620" w:type="dxa"/>
            <w:tcBorders>
              <w:top w:val="nil"/>
              <w:left w:val="nil"/>
              <w:bottom w:val="nil"/>
              <w:insideH w:val="nil"/>
              <w:right w:val="nil"/>
              <w:insideV w:val="nil"/>
            </w:tcBorders>
            <w:shd w:fill="auto" w:val="clear"/>
          </w:tcPr>
          <w:p>
            <w:pPr>
              <w:pStyle w:val="Normal"/>
              <w:snapToGrid w:val="false"/>
              <w:spacing w:before="60" w:after="0"/>
              <w:jc w:val="center"/>
              <w:rPr>
                <w:i/>
                <w:iCs/>
                <w:sz w:val="22"/>
                <w:szCs w:val="22"/>
              </w:rPr>
            </w:pPr>
            <w:r>
              <w:rPr>
                <w:i/>
                <w:iCs/>
                <w:sz w:val="22"/>
                <w:szCs w:val="22"/>
              </w:rPr>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napToGrid w:val="false"/>
              <w:spacing w:before="60" w:after="0"/>
              <w:jc w:val="center"/>
              <w:rPr>
                <w:i/>
                <w:iCs/>
                <w:sz w:val="22"/>
                <w:szCs w:val="22"/>
              </w:rPr>
            </w:pPr>
            <w:r>
              <w:rPr>
                <w:i/>
                <w:iCs/>
                <w:sz w:val="22"/>
                <w:szCs w:val="22"/>
              </w:rPr>
            </w:r>
          </w:p>
        </w:tc>
        <w:tc>
          <w:tcPr>
            <w:tcW w:w="1440" w:type="dxa"/>
            <w:tcBorders>
              <w:top w:val="nil"/>
              <w:left w:val="nil"/>
              <w:bottom w:val="nil"/>
              <w:insideH w:val="nil"/>
              <w:right w:val="nil"/>
              <w:insideV w:val="nil"/>
            </w:tcBorders>
            <w:shd w:fill="auto" w:val="clear"/>
          </w:tcPr>
          <w:p>
            <w:pPr>
              <w:pStyle w:val="Normal"/>
              <w:snapToGrid w:val="false"/>
              <w:spacing w:before="60" w:after="0"/>
              <w:jc w:val="center"/>
              <w:rPr>
                <w:i/>
                <w:iCs/>
                <w:sz w:val="22"/>
                <w:szCs w:val="22"/>
              </w:rPr>
            </w:pPr>
            <w:r>
              <w:rPr>
                <w:i/>
                <w:iCs/>
                <w:sz w:val="22"/>
                <w:szCs w:val="22"/>
              </w:rPr>
            </w:r>
          </w:p>
        </w:tc>
      </w:tr>
      <w:tr>
        <w:trPr>
          <w:cantSplit w:val="true"/>
        </w:trPr>
        <w:tc>
          <w:tcPr>
            <w:tcW w:w="3960" w:type="dxa"/>
            <w:tcBorders>
              <w:top w:val="nil"/>
              <w:left w:val="nil"/>
              <w:bottom w:val="nil"/>
              <w:insideH w:val="nil"/>
              <w:right w:val="nil"/>
              <w:insideV w:val="nil"/>
            </w:tcBorders>
            <w:shd w:fill="auto" w:val="clear"/>
          </w:tcPr>
          <w:p>
            <w:pPr>
              <w:pStyle w:val="Footnote"/>
              <w:jc w:val="right"/>
              <w:rPr>
                <w:sz w:val="22"/>
                <w:szCs w:val="22"/>
              </w:rPr>
            </w:pPr>
            <w:r>
              <w:rPr>
                <w:sz w:val="22"/>
                <w:szCs w:val="22"/>
              </w:rPr>
              <w:t>None</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424</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(42.0)</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153</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(31.9)</w:t>
            </w:r>
          </w:p>
        </w:tc>
      </w:tr>
      <w:tr>
        <w:trPr>
          <w:cantSplit w:val="true"/>
        </w:trPr>
        <w:tc>
          <w:tcPr>
            <w:tcW w:w="3960" w:type="dxa"/>
            <w:tcBorders>
              <w:top w:val="nil"/>
              <w:left w:val="nil"/>
              <w:bottom w:val="nil"/>
              <w:insideH w:val="nil"/>
              <w:right w:val="nil"/>
              <w:insideV w:val="nil"/>
            </w:tcBorders>
            <w:shd w:fill="auto" w:val="clear"/>
          </w:tcPr>
          <w:p>
            <w:pPr>
              <w:pStyle w:val="Footnote"/>
              <w:jc w:val="right"/>
              <w:rPr>
                <w:sz w:val="22"/>
                <w:szCs w:val="22"/>
              </w:rPr>
            </w:pPr>
            <w:r>
              <w:rPr>
                <w:sz w:val="22"/>
                <w:szCs w:val="22"/>
              </w:rPr>
              <w:t xml:space="preserve">1 </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336</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(33.3)</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141</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(29.4)</w:t>
            </w:r>
          </w:p>
        </w:tc>
      </w:tr>
      <w:tr>
        <w:trPr>
          <w:cantSplit w:val="true"/>
        </w:trPr>
        <w:tc>
          <w:tcPr>
            <w:tcW w:w="3960" w:type="dxa"/>
            <w:tcBorders>
              <w:top w:val="nil"/>
              <w:left w:val="nil"/>
              <w:bottom w:val="nil"/>
              <w:insideH w:val="nil"/>
              <w:right w:val="nil"/>
              <w:insideV w:val="nil"/>
            </w:tcBorders>
            <w:shd w:fill="auto" w:val="clear"/>
          </w:tcPr>
          <w:p>
            <w:pPr>
              <w:pStyle w:val="Footnote"/>
              <w:jc w:val="right"/>
              <w:rPr>
                <w:sz w:val="22"/>
                <w:szCs w:val="22"/>
              </w:rPr>
            </w:pPr>
            <w:r>
              <w:rPr>
                <w:sz w:val="22"/>
                <w:szCs w:val="22"/>
              </w:rPr>
              <w:t xml:space="preserve">2 </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165</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(16.3)</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98</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(20.4)</w:t>
            </w:r>
          </w:p>
        </w:tc>
      </w:tr>
      <w:tr>
        <w:trPr>
          <w:cantSplit w:val="true"/>
        </w:trPr>
        <w:tc>
          <w:tcPr>
            <w:tcW w:w="3960" w:type="dxa"/>
            <w:tcBorders>
              <w:top w:val="nil"/>
              <w:left w:val="nil"/>
              <w:bottom w:val="nil"/>
              <w:insideH w:val="nil"/>
              <w:right w:val="nil"/>
              <w:insideV w:val="nil"/>
            </w:tcBorders>
            <w:shd w:fill="auto" w:val="clear"/>
          </w:tcPr>
          <w:p>
            <w:pPr>
              <w:pStyle w:val="Footnote"/>
              <w:jc w:val="right"/>
              <w:rPr>
                <w:sz w:val="22"/>
                <w:szCs w:val="22"/>
              </w:rPr>
            </w:pPr>
            <w:r>
              <w:rPr>
                <w:sz w:val="22"/>
                <w:szCs w:val="22"/>
              </w:rPr>
              <w:t xml:space="preserve">3 </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61</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(6.0)</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61</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(12.7)</w:t>
            </w:r>
          </w:p>
        </w:tc>
      </w:tr>
      <w:tr>
        <w:trPr>
          <w:cantSplit w:val="true"/>
        </w:trPr>
        <w:tc>
          <w:tcPr>
            <w:tcW w:w="3960" w:type="dxa"/>
            <w:tcBorders>
              <w:top w:val="nil"/>
              <w:left w:val="nil"/>
              <w:bottom w:val="nil"/>
              <w:insideH w:val="nil"/>
              <w:right w:val="nil"/>
              <w:insideV w:val="nil"/>
            </w:tcBorders>
            <w:shd w:fill="auto" w:val="clear"/>
          </w:tcPr>
          <w:p>
            <w:pPr>
              <w:pStyle w:val="Footnote"/>
              <w:jc w:val="right"/>
              <w:rPr>
                <w:sz w:val="22"/>
                <w:szCs w:val="22"/>
              </w:rPr>
            </w:pPr>
            <w:r>
              <w:rPr>
                <w:sz w:val="22"/>
                <w:szCs w:val="22"/>
              </w:rPr>
              <w:t>≥</w:t>
            </w:r>
            <w:r>
              <w:rPr>
                <w:sz w:val="22"/>
                <w:szCs w:val="22"/>
              </w:rPr>
              <w:t xml:space="preserve">4 </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24</w:t>
            </w:r>
          </w:p>
        </w:tc>
        <w:tc>
          <w:tcPr>
            <w:tcW w:w="1620" w:type="dxa"/>
            <w:tcBorders>
              <w:top w:val="nil"/>
              <w:left w:val="nil"/>
              <w:bottom w:val="nil"/>
              <w:insideH w:val="nil"/>
              <w:right w:val="nil"/>
              <w:insideV w:val="nil"/>
            </w:tcBorders>
            <w:shd w:fill="auto" w:val="clear"/>
          </w:tcPr>
          <w:p>
            <w:pPr>
              <w:pStyle w:val="Normal"/>
              <w:jc w:val="center"/>
              <w:rPr>
                <w:sz w:val="22"/>
                <w:szCs w:val="22"/>
              </w:rPr>
            </w:pPr>
            <w:r>
              <w:rPr>
                <w:sz w:val="22"/>
                <w:szCs w:val="22"/>
              </w:rPr>
              <w:t>(2.4)</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jc w:val="center"/>
              <w:rPr>
                <w:sz w:val="22"/>
                <w:szCs w:val="22"/>
              </w:rPr>
            </w:pPr>
            <w:r>
              <w:rPr>
                <w:sz w:val="22"/>
                <w:szCs w:val="22"/>
              </w:rPr>
              <w:t>27</w:t>
            </w:r>
          </w:p>
        </w:tc>
        <w:tc>
          <w:tcPr>
            <w:tcW w:w="1440" w:type="dxa"/>
            <w:tcBorders>
              <w:top w:val="nil"/>
              <w:left w:val="nil"/>
              <w:bottom w:val="nil"/>
              <w:insideH w:val="nil"/>
              <w:right w:val="nil"/>
              <w:insideV w:val="nil"/>
            </w:tcBorders>
            <w:shd w:fill="auto" w:val="clear"/>
          </w:tcPr>
          <w:p>
            <w:pPr>
              <w:pStyle w:val="Normal"/>
              <w:jc w:val="center"/>
              <w:rPr>
                <w:sz w:val="22"/>
                <w:szCs w:val="22"/>
              </w:rPr>
            </w:pPr>
            <w:r>
              <w:rPr>
                <w:sz w:val="22"/>
                <w:szCs w:val="22"/>
              </w:rPr>
              <w:t>(5.6)</w:t>
            </w:r>
          </w:p>
        </w:tc>
      </w:tr>
      <w:tr>
        <w:trPr>
          <w:cantSplit w:val="true"/>
        </w:trPr>
        <w:tc>
          <w:tcPr>
            <w:tcW w:w="3960" w:type="dxa"/>
            <w:tcBorders>
              <w:top w:val="nil"/>
              <w:left w:val="nil"/>
              <w:bottom w:val="nil"/>
              <w:insideH w:val="nil"/>
              <w:right w:val="nil"/>
              <w:insideV w:val="nil"/>
            </w:tcBorders>
            <w:shd w:fill="auto" w:val="clear"/>
          </w:tcPr>
          <w:p>
            <w:pPr>
              <w:pStyle w:val="Footnote"/>
              <w:spacing w:before="120" w:after="60"/>
              <w:rPr>
                <w:sz w:val="22"/>
                <w:szCs w:val="22"/>
              </w:rPr>
            </w:pPr>
            <w:r>
              <w:rPr>
                <w:b/>
                <w:i/>
                <w:sz w:val="22"/>
                <w:szCs w:val="22"/>
              </w:rPr>
              <w:t>High Blood Pressure</w:t>
            </w:r>
            <w:r>
              <w:rPr>
                <w:sz w:val="22"/>
                <w:szCs w:val="22"/>
              </w:rPr>
              <w:t xml:space="preserve"> (yes)</w:t>
            </w:r>
          </w:p>
        </w:tc>
        <w:tc>
          <w:tcPr>
            <w:tcW w:w="1440" w:type="dxa"/>
            <w:tcBorders>
              <w:top w:val="nil"/>
              <w:left w:val="nil"/>
              <w:bottom w:val="nil"/>
              <w:insideH w:val="nil"/>
              <w:right w:val="nil"/>
              <w:insideV w:val="nil"/>
            </w:tcBorders>
            <w:shd w:fill="auto" w:val="clear"/>
            <w:vAlign w:val="center"/>
          </w:tcPr>
          <w:p>
            <w:pPr>
              <w:pStyle w:val="Normal"/>
              <w:spacing w:before="120" w:after="60"/>
              <w:jc w:val="center"/>
              <w:rPr>
                <w:sz w:val="22"/>
                <w:szCs w:val="22"/>
              </w:rPr>
            </w:pPr>
            <w:r>
              <w:rPr>
                <w:sz w:val="22"/>
                <w:szCs w:val="22"/>
              </w:rPr>
              <w:t>296</w:t>
            </w:r>
          </w:p>
        </w:tc>
        <w:tc>
          <w:tcPr>
            <w:tcW w:w="1620" w:type="dxa"/>
            <w:tcBorders>
              <w:top w:val="nil"/>
              <w:left w:val="nil"/>
              <w:bottom w:val="nil"/>
              <w:insideH w:val="nil"/>
              <w:right w:val="nil"/>
              <w:insideV w:val="nil"/>
            </w:tcBorders>
            <w:shd w:fill="auto" w:val="clear"/>
            <w:vAlign w:val="center"/>
          </w:tcPr>
          <w:p>
            <w:pPr>
              <w:pStyle w:val="Normal"/>
              <w:spacing w:before="120" w:after="60"/>
              <w:jc w:val="center"/>
              <w:rPr>
                <w:sz w:val="22"/>
                <w:szCs w:val="22"/>
              </w:rPr>
            </w:pPr>
            <w:r>
              <w:rPr>
                <w:sz w:val="22"/>
                <w:szCs w:val="22"/>
              </w:rPr>
              <w:t>(28.8)</w:t>
            </w:r>
          </w:p>
        </w:tc>
        <w:tc>
          <w:tcPr>
            <w:tcW w:w="14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120" w:after="60"/>
              <w:jc w:val="center"/>
              <w:rPr>
                <w:sz w:val="22"/>
                <w:szCs w:val="22"/>
              </w:rPr>
            </w:pPr>
            <w:r>
              <w:rPr>
                <w:sz w:val="22"/>
                <w:szCs w:val="22"/>
              </w:rPr>
              <w:t>193</w:t>
            </w:r>
          </w:p>
        </w:tc>
        <w:tc>
          <w:tcPr>
            <w:tcW w:w="1440" w:type="dxa"/>
            <w:tcBorders>
              <w:top w:val="nil"/>
              <w:left w:val="nil"/>
              <w:bottom w:val="nil"/>
              <w:insideH w:val="nil"/>
              <w:right w:val="nil"/>
              <w:insideV w:val="nil"/>
            </w:tcBorders>
            <w:shd w:fill="auto" w:val="clear"/>
            <w:vAlign w:val="center"/>
          </w:tcPr>
          <w:p>
            <w:pPr>
              <w:pStyle w:val="Normal"/>
              <w:spacing w:before="120" w:after="60"/>
              <w:jc w:val="center"/>
              <w:rPr>
                <w:sz w:val="22"/>
                <w:szCs w:val="22"/>
              </w:rPr>
            </w:pPr>
            <w:r>
              <w:rPr>
                <w:sz w:val="22"/>
                <w:szCs w:val="22"/>
              </w:rPr>
              <w:t>(38.7)</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i/>
                <w:sz w:val="22"/>
                <w:szCs w:val="22"/>
              </w:rPr>
            </w:pPr>
            <w:r>
              <w:rPr>
                <w:b/>
                <w:i/>
                <w:sz w:val="22"/>
                <w:szCs w:val="22"/>
              </w:rPr>
              <w:t xml:space="preserve">High cholesterol </w:t>
            </w:r>
            <w:r>
              <w:rPr>
                <w:i/>
                <w:sz w:val="22"/>
                <w:szCs w:val="22"/>
              </w:rPr>
              <w:t>(yes)</w:t>
            </w:r>
          </w:p>
        </w:tc>
        <w:tc>
          <w:tcPr>
            <w:tcW w:w="144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377</w:t>
            </w:r>
          </w:p>
        </w:tc>
        <w:tc>
          <w:tcPr>
            <w:tcW w:w="162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(36.7)</w:t>
            </w:r>
          </w:p>
        </w:tc>
        <w:tc>
          <w:tcPr>
            <w:tcW w:w="14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60" w:after="60"/>
              <w:jc w:val="center"/>
              <w:rPr>
                <w:sz w:val="22"/>
                <w:szCs w:val="22"/>
              </w:rPr>
            </w:pPr>
            <w:r>
              <w:rPr>
                <w:sz w:val="22"/>
                <w:szCs w:val="22"/>
              </w:rPr>
              <w:t>202</w:t>
            </w:r>
          </w:p>
        </w:tc>
        <w:tc>
          <w:tcPr>
            <w:tcW w:w="144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(40.6)</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 xml:space="preserve">Angina </w:t>
            </w:r>
            <w:r>
              <w:rPr>
                <w:sz w:val="22"/>
                <w:szCs w:val="22"/>
              </w:rPr>
              <w:t>(yes)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64</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(6.2)</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pacing w:before="60" w:after="60"/>
              <w:jc w:val="center"/>
              <w:rPr>
                <w:sz w:val="22"/>
                <w:szCs w:val="22"/>
              </w:rPr>
            </w:pPr>
            <w:r>
              <w:rPr>
                <w:sz w:val="22"/>
                <w:szCs w:val="22"/>
              </w:rPr>
              <w:t>64</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(13.0)</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Heart attack</w:t>
            </w:r>
            <w:r>
              <w:rPr>
                <w:sz w:val="22"/>
                <w:szCs w:val="22"/>
                <w:u w:val="single"/>
              </w:rPr>
              <w:t xml:space="preserve"> </w:t>
            </w:r>
            <w:r>
              <w:rPr>
                <w:sz w:val="22"/>
                <w:szCs w:val="22"/>
              </w:rPr>
              <w:t>(yes)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34</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(3.3)</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pacing w:before="60" w:after="60"/>
              <w:jc w:val="center"/>
              <w:rPr>
                <w:sz w:val="22"/>
                <w:szCs w:val="22"/>
              </w:rPr>
            </w:pPr>
            <w:r>
              <w:rPr>
                <w:sz w:val="22"/>
                <w:szCs w:val="22"/>
              </w:rPr>
              <w:t>49</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(9.7)</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 xml:space="preserve">Diabetes </w:t>
            </w:r>
            <w:r>
              <w:rPr>
                <w:sz w:val="22"/>
                <w:szCs w:val="22"/>
              </w:rPr>
              <w:t>(yes)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61</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(6.0)</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pacing w:before="60" w:after="60"/>
              <w:jc w:val="center"/>
              <w:rPr>
                <w:sz w:val="22"/>
                <w:szCs w:val="22"/>
              </w:rPr>
            </w:pPr>
            <w:r>
              <w:rPr>
                <w:sz w:val="22"/>
                <w:szCs w:val="22"/>
              </w:rPr>
              <w:t>58</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(11.5)</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Polyps in Colon/Rectum</w:t>
            </w:r>
            <w:r>
              <w:rPr>
                <w:sz w:val="22"/>
                <w:szCs w:val="22"/>
                <w:u w:val="single"/>
              </w:rPr>
              <w:t xml:space="preserve"> </w:t>
            </w:r>
            <w:r>
              <w:rPr>
                <w:sz w:val="22"/>
                <w:szCs w:val="22"/>
              </w:rPr>
              <w:t>(yes)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50</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(4.8)</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pacing w:before="60" w:after="60"/>
              <w:jc w:val="center"/>
              <w:rPr>
                <w:sz w:val="22"/>
                <w:szCs w:val="22"/>
              </w:rPr>
            </w:pPr>
            <w:r>
              <w:rPr>
                <w:sz w:val="22"/>
                <w:szCs w:val="22"/>
              </w:rPr>
              <w:t>43</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(8.5)</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Vasectomy</w:t>
            </w:r>
            <w:r>
              <w:rPr>
                <w:sz w:val="22"/>
                <w:szCs w:val="22"/>
              </w:rPr>
              <w:t xml:space="preserve"> (yes)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308</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(29.8)</w:t>
            </w:r>
          </w:p>
        </w:tc>
        <w:tc>
          <w:tcPr>
            <w:tcW w:w="1440" w:type="dxa"/>
            <w:tcBorders>
              <w:top w:val="nil"/>
              <w:left w:val="single" w:sz="4" w:space="0" w:color="000000"/>
              <w:bottom w:val="nil"/>
              <w:insideH w:val="nil"/>
              <w:right w:val="nil"/>
              <w:insideV w:val="nil"/>
            </w:tcBorders>
            <w:shd w:fill="auto" w:val="clear"/>
            <w:tcMar>
              <w:left w:w="103" w:type="dxa"/>
            </w:tcMar>
          </w:tcPr>
          <w:p>
            <w:pPr>
              <w:pStyle w:val="Normal"/>
              <w:spacing w:before="60" w:after="60"/>
              <w:jc w:val="center"/>
              <w:rPr>
                <w:sz w:val="22"/>
                <w:szCs w:val="22"/>
              </w:rPr>
            </w:pPr>
            <w:r>
              <w:rPr>
                <w:sz w:val="22"/>
                <w:szCs w:val="22"/>
              </w:rPr>
              <w:t>133</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(26.4)</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Family history of prostate cancer</w:t>
            </w:r>
            <w:r>
              <w:rPr>
                <w:sz w:val="22"/>
                <w:szCs w:val="22"/>
              </w:rPr>
              <w:t xml:space="preserve"> (yes)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36</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(3.5)</w:t>
            </w:r>
          </w:p>
        </w:tc>
        <w:tc>
          <w:tcPr>
            <w:tcW w:w="14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60" w:after="60"/>
              <w:jc w:val="center"/>
              <w:rPr>
                <w:sz w:val="22"/>
                <w:szCs w:val="22"/>
              </w:rPr>
            </w:pPr>
            <w:r>
              <w:rPr>
                <w:sz w:val="22"/>
                <w:szCs w:val="22"/>
              </w:rPr>
              <w:t>12</w:t>
            </w:r>
          </w:p>
        </w:tc>
        <w:tc>
          <w:tcPr>
            <w:tcW w:w="144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(2.4)</w:t>
            </w:r>
          </w:p>
        </w:tc>
      </w:tr>
      <w:tr>
        <w:trPr>
          <w:cantSplit w:val="true"/>
        </w:trPr>
        <w:tc>
          <w:tcPr>
            <w:tcW w:w="3960" w:type="dxa"/>
            <w:tcBorders>
              <w:top w:val="nil"/>
              <w:left w:val="nil"/>
              <w:bottom w:val="nil"/>
              <w:insideH w:val="nil"/>
              <w:right w:val="nil"/>
              <w:insideV w:val="nil"/>
            </w:tcBorders>
            <w:shd w:fill="auto" w:val="clear"/>
          </w:tcPr>
          <w:p>
            <w:pPr>
              <w:pStyle w:val="Heading4"/>
              <w:numPr>
                <w:ilvl w:val="3"/>
                <w:numId w:val="1"/>
              </w:numPr>
              <w:spacing w:before="60" w:after="60"/>
              <w:rPr>
                <w:sz w:val="22"/>
                <w:szCs w:val="22"/>
                <w:u w:val="none"/>
              </w:rPr>
            </w:pPr>
            <w:r>
              <w:rPr>
                <w:b/>
                <w:i/>
                <w:sz w:val="22"/>
                <w:szCs w:val="22"/>
                <w:u w:val="none"/>
              </w:rPr>
              <w:t>Family history of breast cancer</w:t>
            </w:r>
            <w:r>
              <w:rPr>
                <w:sz w:val="22"/>
                <w:szCs w:val="22"/>
                <w:u w:val="none"/>
              </w:rPr>
              <w:t xml:space="preserve"> (yes)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134</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(12.9)</w:t>
            </w:r>
          </w:p>
        </w:tc>
        <w:tc>
          <w:tcPr>
            <w:tcW w:w="14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60" w:after="60"/>
              <w:jc w:val="center"/>
              <w:rPr>
                <w:sz w:val="22"/>
                <w:szCs w:val="22"/>
              </w:rPr>
            </w:pPr>
            <w:r>
              <w:rPr>
                <w:sz w:val="22"/>
                <w:szCs w:val="22"/>
              </w:rPr>
              <w:t>75</w:t>
            </w:r>
          </w:p>
        </w:tc>
        <w:tc>
          <w:tcPr>
            <w:tcW w:w="144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(14.9)</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Family history of other cancers</w:t>
            </w:r>
            <w:r>
              <w:rPr>
                <w:sz w:val="22"/>
                <w:szCs w:val="22"/>
              </w:rPr>
              <w:t xml:space="preserve"> (yes)</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110</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(10.6)</w:t>
            </w:r>
          </w:p>
        </w:tc>
        <w:tc>
          <w:tcPr>
            <w:tcW w:w="14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60" w:after="60"/>
              <w:jc w:val="center"/>
              <w:rPr>
                <w:sz w:val="22"/>
                <w:szCs w:val="22"/>
              </w:rPr>
            </w:pPr>
            <w:r>
              <w:rPr>
                <w:sz w:val="22"/>
                <w:szCs w:val="22"/>
              </w:rPr>
              <w:t>76</w:t>
            </w:r>
          </w:p>
        </w:tc>
        <w:tc>
          <w:tcPr>
            <w:tcW w:w="144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(15.1)</w:t>
            </w:r>
          </w:p>
        </w:tc>
      </w:tr>
      <w:tr>
        <w:trPr>
          <w:cantSplit w:val="true"/>
        </w:trPr>
        <w:tc>
          <w:tcPr>
            <w:tcW w:w="3960" w:type="dxa"/>
            <w:tcBorders>
              <w:top w:val="nil"/>
              <w:left w:val="nil"/>
              <w:bottom w:val="nil"/>
              <w:insideH w:val="nil"/>
              <w:right w:val="nil"/>
              <w:insideV w:val="nil"/>
            </w:tcBorders>
            <w:shd w:fill="auto" w:val="clear"/>
          </w:tcPr>
          <w:p>
            <w:pPr>
              <w:pStyle w:val="Normal"/>
              <w:spacing w:before="60" w:after="60"/>
              <w:rPr>
                <w:sz w:val="22"/>
                <w:szCs w:val="22"/>
              </w:rPr>
            </w:pPr>
            <w:r>
              <w:rPr>
                <w:b/>
                <w:i/>
                <w:sz w:val="22"/>
                <w:szCs w:val="22"/>
              </w:rPr>
              <w:t xml:space="preserve">Fecal Occult Blood Test  </w:t>
            </w:r>
            <w:r>
              <w:rPr>
                <w:sz w:val="22"/>
                <w:szCs w:val="22"/>
              </w:rPr>
              <w:t>(Ever)</w:t>
            </w:r>
          </w:p>
        </w:tc>
        <w:tc>
          <w:tcPr>
            <w:tcW w:w="144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317</w:t>
            </w:r>
          </w:p>
        </w:tc>
        <w:tc>
          <w:tcPr>
            <w:tcW w:w="1620" w:type="dxa"/>
            <w:tcBorders>
              <w:top w:val="nil"/>
              <w:left w:val="nil"/>
              <w:bottom w:val="nil"/>
              <w:insideH w:val="nil"/>
              <w:right w:val="nil"/>
              <w:insideV w:val="nil"/>
            </w:tcBorders>
            <w:shd w:fill="auto" w:val="clear"/>
          </w:tcPr>
          <w:p>
            <w:pPr>
              <w:pStyle w:val="Normal"/>
              <w:spacing w:before="60" w:after="60"/>
              <w:jc w:val="center"/>
              <w:rPr>
                <w:sz w:val="22"/>
                <w:szCs w:val="22"/>
              </w:rPr>
            </w:pPr>
            <w:r>
              <w:rPr>
                <w:sz w:val="22"/>
                <w:szCs w:val="22"/>
              </w:rPr>
              <w:t>(31.7)</w:t>
            </w:r>
          </w:p>
        </w:tc>
        <w:tc>
          <w:tcPr>
            <w:tcW w:w="14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60" w:after="60"/>
              <w:jc w:val="center"/>
              <w:rPr>
                <w:sz w:val="22"/>
                <w:szCs w:val="22"/>
              </w:rPr>
            </w:pPr>
            <w:r>
              <w:rPr>
                <w:sz w:val="22"/>
                <w:szCs w:val="22"/>
              </w:rPr>
              <w:t>193</w:t>
            </w:r>
          </w:p>
        </w:tc>
        <w:tc>
          <w:tcPr>
            <w:tcW w:w="1440" w:type="dxa"/>
            <w:tcBorders>
              <w:top w:val="nil"/>
              <w:left w:val="nil"/>
              <w:bottom w:val="nil"/>
              <w:insideH w:val="nil"/>
              <w:right w:val="nil"/>
              <w:insideV w:val="nil"/>
            </w:tcBorders>
            <w:shd w:fill="auto" w:val="clear"/>
            <w:vAlign w:val="center"/>
          </w:tcPr>
          <w:p>
            <w:pPr>
              <w:pStyle w:val="Normal"/>
              <w:spacing w:before="60" w:after="60"/>
              <w:jc w:val="center"/>
              <w:rPr>
                <w:sz w:val="22"/>
                <w:szCs w:val="22"/>
              </w:rPr>
            </w:pPr>
            <w:r>
              <w:rPr>
                <w:sz w:val="22"/>
                <w:szCs w:val="22"/>
              </w:rPr>
              <w:t>(39.9)</w:t>
            </w:r>
          </w:p>
        </w:tc>
      </w:tr>
      <w:tr>
        <w:trPr>
          <w:cantSplit w:val="true"/>
        </w:trPr>
        <w:tc>
          <w:tcPr>
            <w:tcW w:w="3960" w:type="dxa"/>
            <w:tcBorders>
              <w:top w:val="nil"/>
              <w:left w:val="nil"/>
              <w:bottom w:val="single" w:sz="4" w:space="0" w:color="000000"/>
              <w:insideH w:val="single" w:sz="4" w:space="0" w:color="000000"/>
              <w:right w:val="nil"/>
              <w:insideV w:val="nil"/>
            </w:tcBorders>
            <w:shd w:fill="auto" w:val="clear"/>
          </w:tcPr>
          <w:p>
            <w:pPr>
              <w:pStyle w:val="Heading4"/>
              <w:numPr>
                <w:ilvl w:val="3"/>
                <w:numId w:val="1"/>
              </w:numPr>
              <w:spacing w:before="60" w:after="60"/>
              <w:rPr>
                <w:sz w:val="22"/>
                <w:szCs w:val="22"/>
                <w:u w:val="none"/>
              </w:rPr>
            </w:pPr>
            <w:r>
              <w:rPr>
                <w:b/>
                <w:i/>
                <w:sz w:val="22"/>
                <w:szCs w:val="22"/>
                <w:u w:val="none"/>
              </w:rPr>
              <w:t>Endoscopy</w:t>
            </w:r>
            <w:r>
              <w:rPr>
                <w:sz w:val="22"/>
                <w:szCs w:val="22"/>
                <w:u w:val="none"/>
              </w:rPr>
              <w:t xml:space="preserve"> (Ever)</w:t>
            </w:r>
          </w:p>
        </w:tc>
        <w:tc>
          <w:tcPr>
            <w:tcW w:w="1440" w:type="dxa"/>
            <w:tcBorders>
              <w:top w:val="nil"/>
              <w:left w:val="nil"/>
              <w:bottom w:val="single" w:sz="4" w:space="0" w:color="000000"/>
              <w:insideH w:val="single" w:sz="4" w:space="0" w:color="000000"/>
              <w:right w:val="nil"/>
              <w:insideV w:val="nil"/>
            </w:tcBorders>
            <w:shd w:fill="auto" w:val="clear"/>
          </w:tcPr>
          <w:p>
            <w:pPr>
              <w:pStyle w:val="Normal"/>
              <w:spacing w:before="60" w:after="60"/>
              <w:jc w:val="center"/>
              <w:rPr>
                <w:sz w:val="22"/>
                <w:szCs w:val="22"/>
              </w:rPr>
            </w:pPr>
            <w:r>
              <w:rPr>
                <w:sz w:val="22"/>
                <w:szCs w:val="22"/>
              </w:rPr>
              <w:t>190</w:t>
            </w:r>
          </w:p>
        </w:tc>
        <w:tc>
          <w:tcPr>
            <w:tcW w:w="1620" w:type="dxa"/>
            <w:tcBorders>
              <w:top w:val="nil"/>
              <w:left w:val="nil"/>
              <w:bottom w:val="single" w:sz="4" w:space="0" w:color="000000"/>
              <w:insideH w:val="single" w:sz="4" w:space="0" w:color="000000"/>
              <w:right w:val="nil"/>
              <w:insideV w:val="nil"/>
            </w:tcBorders>
            <w:shd w:fill="auto" w:val="clear"/>
          </w:tcPr>
          <w:p>
            <w:pPr>
              <w:pStyle w:val="Normal"/>
              <w:spacing w:before="60" w:after="60"/>
              <w:jc w:val="center"/>
              <w:rPr>
                <w:sz w:val="22"/>
                <w:szCs w:val="22"/>
              </w:rPr>
            </w:pPr>
            <w:r>
              <w:rPr>
                <w:sz w:val="22"/>
                <w:szCs w:val="22"/>
              </w:rPr>
              <w:t>(18.4)</w:t>
            </w:r>
          </w:p>
        </w:tc>
        <w:tc>
          <w:tcPr>
            <w:tcW w:w="1440"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60" w:after="60"/>
              <w:jc w:val="center"/>
              <w:rPr>
                <w:sz w:val="22"/>
                <w:szCs w:val="22"/>
              </w:rPr>
            </w:pPr>
            <w:r>
              <w:rPr>
                <w:sz w:val="22"/>
                <w:szCs w:val="22"/>
              </w:rPr>
              <w:t>139</w:t>
            </w:r>
          </w:p>
        </w:tc>
        <w:tc>
          <w:tcPr>
            <w:tcW w:w="1440" w:type="dxa"/>
            <w:tcBorders>
              <w:top w:val="nil"/>
              <w:left w:val="nil"/>
              <w:bottom w:val="single" w:sz="4" w:space="0" w:color="000000"/>
              <w:insideH w:val="single" w:sz="4" w:space="0" w:color="000000"/>
              <w:right w:val="nil"/>
              <w:insideV w:val="nil"/>
            </w:tcBorders>
            <w:shd w:fill="auto" w:val="clear"/>
          </w:tcPr>
          <w:p>
            <w:pPr>
              <w:pStyle w:val="Normal"/>
              <w:spacing w:before="60" w:after="60"/>
              <w:jc w:val="center"/>
              <w:rPr>
                <w:sz w:val="22"/>
                <w:szCs w:val="22"/>
              </w:rPr>
            </w:pPr>
            <w:r>
              <w:rPr>
                <w:sz w:val="22"/>
                <w:szCs w:val="22"/>
              </w:rPr>
              <w:t>(27.8)</w:t>
            </w:r>
          </w:p>
        </w:tc>
      </w:tr>
    </w:tbl>
    <w:p>
      <w:pPr>
        <w:pStyle w:val="Normal"/>
        <w:rPr>
          <w:i/>
          <w:sz w:val="20"/>
          <w:szCs w:val="20"/>
        </w:rPr>
      </w:pPr>
      <w:r>
        <w:rPr>
          <w:i/>
          <w:sz w:val="20"/>
          <w:szCs w:val="20"/>
        </w:rPr>
        <w:t>* Selected cohort includes those men never tested for PSA (N=949) and asymptomatic men who were PSA tested (N=590)</w:t>
      </w:r>
    </w:p>
    <w:p>
      <w:pPr>
        <w:pStyle w:val="Normal"/>
        <w:pageBreakBefore/>
        <w:ind w:left="360" w:right="0" w:hanging="0"/>
        <w:jc w:val="center"/>
        <w:rPr>
          <w:b/>
        </w:rPr>
      </w:pPr>
      <w:r>
        <w:rPr>
          <w:b/>
        </w:rPr>
        <w:t xml:space="preserve"> </w:t>
      </w:r>
      <w:r>
        <w:rPr>
          <w:b/>
        </w:rPr>
        <w:t>Table 3: Predictors of PSA “screening”: crude and adjusted odds ratios*</w:t>
      </w:r>
    </w:p>
    <w:p>
      <w:pPr>
        <w:pStyle w:val="Normal"/>
        <w:ind w:left="360" w:right="0" w:hanging="0"/>
        <w:rPr>
          <w:sz w:val="22"/>
        </w:rPr>
      </w:pPr>
      <w:r>
        <w:rPr>
          <w:sz w:val="22"/>
        </w:rPr>
      </w:r>
    </w:p>
    <w:tbl>
      <w:tblPr>
        <w:jc w:val="left"/>
        <w:tblInd w:w="36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2808"/>
        <w:gridCol w:w="720"/>
        <w:gridCol w:w="3060"/>
        <w:gridCol w:w="3240"/>
      </w:tblGrid>
      <w:tr>
        <w:trPr>
          <w:cantSplit w:val="false"/>
        </w:trPr>
        <w:tc>
          <w:tcPr>
            <w:tcW w:w="2808"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Characteristics</w:t>
            </w:r>
          </w:p>
        </w:tc>
        <w:tc>
          <w:tcPr>
            <w:tcW w:w="72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N</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Crude OR (95% CI)</w:t>
            </w:r>
          </w:p>
        </w:tc>
        <w:tc>
          <w:tcPr>
            <w:tcW w:w="324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Multivariate OR (95% CI)</w:t>
            </w:r>
          </w:p>
        </w:tc>
      </w:tr>
      <w:tr>
        <w:trPr>
          <w:cantSplit w:val="false"/>
        </w:trPr>
        <w:tc>
          <w:tcPr>
            <w:tcW w:w="9828" w:type="dxa"/>
            <w:gridSpan w:val="4"/>
            <w:tcBorders>
              <w:top w:val="single" w:sz="4" w:space="0" w:color="000000"/>
              <w:left w:val="nil"/>
              <w:bottom w:val="single" w:sz="4" w:space="0" w:color="000000"/>
              <w:insideH w:val="single" w:sz="4" w:space="0" w:color="000000"/>
              <w:right w:val="nil"/>
              <w:insideV w:val="nil"/>
            </w:tcBorders>
            <w:shd w:fill="auto" w:val="clear"/>
          </w:tcPr>
          <w:p>
            <w:pPr>
              <w:pStyle w:val="Heading6"/>
              <w:numPr>
                <w:ilvl w:val="5"/>
                <w:numId w:val="1"/>
              </w:numPr>
              <w:spacing w:before="40" w:after="0"/>
              <w:rPr/>
            </w:pPr>
            <w:r>
              <w:rPr/>
              <w:t>Socio-demographic characteristics</w:t>
            </w:r>
          </w:p>
        </w:tc>
      </w:tr>
      <w:tr>
        <w:trPr>
          <w:cantSplit w:val="true"/>
        </w:trPr>
        <w:tc>
          <w:tcPr>
            <w:tcW w:w="2808" w:type="dxa"/>
            <w:tcBorders>
              <w:top w:val="single" w:sz="4" w:space="0" w:color="000000"/>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Age Group</w:t>
            </w:r>
          </w:p>
        </w:tc>
        <w:tc>
          <w:tcPr>
            <w:tcW w:w="72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Normal"/>
              <w:jc w:val="right"/>
              <w:rPr>
                <w:sz w:val="20"/>
                <w:szCs w:val="20"/>
              </w:rPr>
            </w:pPr>
            <w:r>
              <w:rPr>
                <w:sz w:val="20"/>
                <w:szCs w:val="20"/>
              </w:rPr>
              <w:t xml:space="preserve">     </w:t>
            </w:r>
            <w:r>
              <w:rPr>
                <w:sz w:val="20"/>
                <w:szCs w:val="20"/>
              </w:rPr>
              <w:t>50-54</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611</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6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55-59</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424</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1.27 (0.98, 1.65)</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 xml:space="preserve">1.38 (1.02, 1.87) </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60-64</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275</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1.64 (1.22, 2.20)</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2.20 (1.55, 3.12)</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65+</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229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2.14 (1.57, 2.91)</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2.60 (1.77, 3.83)</w:t>
            </w:r>
          </w:p>
        </w:tc>
      </w:tr>
      <w:tr>
        <w:trPr>
          <w:cantSplit w:val="true"/>
        </w:trPr>
        <w:tc>
          <w:tcPr>
            <w:tcW w:w="2808" w:type="dxa"/>
            <w:tcBorders>
              <w:top w:val="nil"/>
              <w:left w:val="nil"/>
              <w:bottom w:val="nil"/>
              <w:insideH w:val="nil"/>
              <w:right w:val="nil"/>
              <w:insideV w:val="nil"/>
            </w:tcBorders>
            <w:shd w:fill="auto" w:val="clear"/>
          </w:tcPr>
          <w:p>
            <w:pPr>
              <w:pStyle w:val="Normal"/>
              <w:snapToGrid w:val="false"/>
              <w:jc w:val="right"/>
              <w:rPr>
                <w:sz w:val="20"/>
                <w:szCs w:val="20"/>
              </w:rPr>
            </w:pPr>
            <w:r>
              <w:rPr>
                <w:sz w:val="20"/>
                <w:szCs w:val="20"/>
              </w:rPr>
            </w:r>
          </w:p>
        </w:tc>
        <w:tc>
          <w:tcPr>
            <w:tcW w:w="72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06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240" w:type="dxa"/>
            <w:tcBorders>
              <w:top w:val="nil"/>
              <w:left w:val="nil"/>
              <w:bottom w:val="nil"/>
              <w:insideH w:val="nil"/>
              <w:right w:val="nil"/>
              <w:insideV w:val="nil"/>
            </w:tcBorders>
            <w:shd w:fill="auto" w:val="clear"/>
          </w:tcPr>
          <w:p>
            <w:pPr>
              <w:pStyle w:val="Normal"/>
              <w:jc w:val="center"/>
              <w:rPr>
                <w:b/>
                <w:bCs/>
                <w:i/>
                <w:iCs/>
                <w:sz w:val="20"/>
                <w:szCs w:val="20"/>
              </w:rPr>
            </w:pPr>
            <w:r>
              <w:rPr>
                <w:b/>
                <w:bCs/>
                <w:i/>
                <w:iCs/>
                <w:sz w:val="20"/>
                <w:szCs w:val="20"/>
              </w:rPr>
              <w:t xml:space="preserve">p-value </w:t>
            </w:r>
            <w:r>
              <w:rPr>
                <w:b/>
                <w:bCs/>
                <w:i/>
                <w:iCs/>
                <w:sz w:val="20"/>
                <w:szCs w:val="20"/>
                <w:vertAlign w:val="subscript"/>
              </w:rPr>
              <w:t xml:space="preserve">Test for trend  </w:t>
            </w:r>
            <w:r>
              <w:rPr>
                <w:b/>
                <w:bCs/>
                <w:i/>
                <w:iCs/>
                <w:sz w:val="20"/>
                <w:szCs w:val="20"/>
              </w:rPr>
              <w:t>&lt;0.001</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Marital Status</w:t>
            </w:r>
          </w:p>
        </w:tc>
        <w:tc>
          <w:tcPr>
            <w:tcW w:w="72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Footnote"/>
              <w:jc w:val="right"/>
              <w:rPr/>
            </w:pPr>
            <w:r>
              <w:rPr/>
              <w:t>Married</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1229</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napToGrid w:val="false"/>
              <w:spacing w:before="60" w:after="0"/>
              <w:rPr/>
            </w:pPr>
            <w:r>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Not Married</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309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 xml:space="preserve">0.66 (0.51, 0.86) </w:t>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Employment Status</w:t>
            </w:r>
          </w:p>
        </w:tc>
        <w:tc>
          <w:tcPr>
            <w:tcW w:w="72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Normal"/>
              <w:jc w:val="right"/>
              <w:rPr>
                <w:sz w:val="20"/>
                <w:szCs w:val="20"/>
              </w:rPr>
            </w:pPr>
            <w:r>
              <w:rPr>
                <w:sz w:val="20"/>
                <w:szCs w:val="20"/>
              </w:rPr>
              <w:t xml:space="preserve">     </w:t>
            </w:r>
            <w:r>
              <w:rPr>
                <w:sz w:val="20"/>
                <w:szCs w:val="20"/>
              </w:rPr>
              <w:t>Working (part &amp; full time)</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1080</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Unemployed</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1.30 (0.59, 2.86)</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Retired</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345</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1.63 (1.27, 2.08)</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Other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86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0.69 (0.42, 1.09)</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Education</w:t>
            </w:r>
          </w:p>
        </w:tc>
        <w:tc>
          <w:tcPr>
            <w:tcW w:w="72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Normal"/>
              <w:jc w:val="right"/>
              <w:rPr>
                <w:sz w:val="20"/>
                <w:szCs w:val="20"/>
              </w:rPr>
            </w:pPr>
            <w:r>
              <w:rPr>
                <w:sz w:val="20"/>
                <w:szCs w:val="20"/>
              </w:rPr>
              <w:t xml:space="preserve">     </w:t>
            </w:r>
            <w:r>
              <w:rPr>
                <w:sz w:val="20"/>
                <w:szCs w:val="20"/>
              </w:rPr>
              <w:t>Less than high school</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283</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High school diploma</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246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0.83 (0.58, 1.19)</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Some college/university</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309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1.16 (0.83, 1.61)</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Completed college</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333</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0.73 (0.53, 1.02)</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Completed university</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366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1.13 (0.82, 1.54)</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Income</w:t>
            </w:r>
          </w:p>
        </w:tc>
        <w:tc>
          <w:tcPr>
            <w:tcW w:w="72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Normal"/>
              <w:jc w:val="right"/>
              <w:rPr>
                <w:sz w:val="20"/>
                <w:szCs w:val="20"/>
              </w:rPr>
            </w:pPr>
            <w:r>
              <w:rPr>
                <w:sz w:val="20"/>
                <w:szCs w:val="20"/>
              </w:rPr>
              <w:t xml:space="preserve">     </w:t>
            </w:r>
            <w:r>
              <w:rPr>
                <w:sz w:val="20"/>
                <w:szCs w:val="20"/>
              </w:rPr>
              <w:t>&lt;$19,999</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105</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6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$20,000-$39,999</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276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 xml:space="preserve">1.24 (0.77, 2.00) </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1.28 (0.74 2.23)</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$40,000-$59,999</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321</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0.99 (0.61 1.59)</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1.04 (0.60, 1. 82)</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$60,000-$79,999</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309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1.48 (0.93, 2.37)</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1.88 (0.97, 2.92)</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$80,000-$99,999</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185</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1.78 (1.07, 2.90)</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1.97 (1.09 3.55)</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&gt;$100,000</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310</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1.68 (1.05, 2.69)</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1.88 (1.07, 3.31)</w:t>
            </w:r>
          </w:p>
        </w:tc>
      </w:tr>
      <w:tr>
        <w:trPr>
          <w:cantSplit w:val="true"/>
        </w:trPr>
        <w:tc>
          <w:tcPr>
            <w:tcW w:w="2808" w:type="dxa"/>
            <w:tcBorders>
              <w:top w:val="nil"/>
              <w:left w:val="nil"/>
              <w:bottom w:val="nil"/>
              <w:insideH w:val="nil"/>
              <w:right w:val="nil"/>
              <w:insideV w:val="nil"/>
            </w:tcBorders>
            <w:shd w:fill="auto" w:val="clear"/>
          </w:tcPr>
          <w:p>
            <w:pPr>
              <w:pStyle w:val="Normal"/>
              <w:snapToGrid w:val="false"/>
              <w:jc w:val="right"/>
              <w:rPr>
                <w:sz w:val="20"/>
                <w:szCs w:val="20"/>
              </w:rPr>
            </w:pPr>
            <w:r>
              <w:rPr>
                <w:sz w:val="20"/>
                <w:szCs w:val="20"/>
              </w:rPr>
            </w:r>
          </w:p>
        </w:tc>
        <w:tc>
          <w:tcPr>
            <w:tcW w:w="72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06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240" w:type="dxa"/>
            <w:tcBorders>
              <w:top w:val="nil"/>
              <w:left w:val="nil"/>
              <w:bottom w:val="nil"/>
              <w:insideH w:val="nil"/>
              <w:right w:val="nil"/>
              <w:insideV w:val="nil"/>
            </w:tcBorders>
            <w:shd w:fill="auto" w:val="clear"/>
          </w:tcPr>
          <w:p>
            <w:pPr>
              <w:pStyle w:val="Normal"/>
              <w:jc w:val="center"/>
              <w:rPr>
                <w:b/>
                <w:bCs/>
                <w:i/>
                <w:iCs/>
                <w:sz w:val="20"/>
                <w:szCs w:val="20"/>
              </w:rPr>
            </w:pPr>
            <w:r>
              <w:rPr>
                <w:b/>
                <w:bCs/>
                <w:i/>
                <w:iCs/>
                <w:sz w:val="20"/>
                <w:szCs w:val="20"/>
              </w:rPr>
              <w:t xml:space="preserve">p-value </w:t>
            </w:r>
            <w:r>
              <w:rPr>
                <w:b/>
                <w:bCs/>
                <w:i/>
                <w:iCs/>
                <w:sz w:val="20"/>
                <w:szCs w:val="20"/>
                <w:vertAlign w:val="subscript"/>
              </w:rPr>
              <w:t xml:space="preserve">Test for trend  </w:t>
            </w:r>
            <w:r>
              <w:rPr>
                <w:b/>
                <w:bCs/>
                <w:i/>
                <w:iCs/>
                <w:sz w:val="20"/>
                <w:szCs w:val="20"/>
              </w:rPr>
              <w:t>&lt;0.001</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Race</w:t>
            </w:r>
          </w:p>
        </w:tc>
        <w:tc>
          <w:tcPr>
            <w:tcW w:w="72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Normal"/>
              <w:jc w:val="right"/>
              <w:rPr>
                <w:sz w:val="20"/>
                <w:szCs w:val="20"/>
              </w:rPr>
            </w:pPr>
            <w:r>
              <w:rPr>
                <w:sz w:val="20"/>
                <w:szCs w:val="20"/>
              </w:rPr>
              <w:t xml:space="preserve">     </w:t>
            </w:r>
            <w:r>
              <w:rPr>
                <w:sz w:val="20"/>
                <w:szCs w:val="20"/>
              </w:rPr>
              <w:t>White</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1440</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Asian</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32</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0.73 (0.34, 1.60)</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First Nations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37</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0.61 (0.21, 1.77)</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Other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0.43 (0.15, 1.25)</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spacing w:before="60" w:after="0"/>
              <w:rPr>
                <w:b/>
                <w:i/>
                <w:szCs w:val="20"/>
                <w:u w:val="none"/>
              </w:rPr>
            </w:pPr>
            <w:r>
              <w:rPr>
                <w:b/>
                <w:i/>
                <w:szCs w:val="20"/>
                <w:u w:val="none"/>
              </w:rPr>
              <w:t>Healthcare delivery region</w:t>
            </w:r>
          </w:p>
        </w:tc>
        <w:tc>
          <w:tcPr>
            <w:tcW w:w="72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vAlign w:val="bottom"/>
          </w:tcPr>
          <w:p>
            <w:pPr>
              <w:pStyle w:val="Normal"/>
              <w:ind w:left="180" w:right="0" w:hanging="0"/>
              <w:jc w:val="right"/>
              <w:rPr>
                <w:sz w:val="20"/>
                <w:szCs w:val="20"/>
              </w:rPr>
            </w:pPr>
            <w:r>
              <w:rPr>
                <w:sz w:val="20"/>
                <w:szCs w:val="20"/>
              </w:rPr>
              <w:t xml:space="preserve">Capital </w:t>
            </w:r>
          </w:p>
        </w:tc>
        <w:tc>
          <w:tcPr>
            <w:tcW w:w="720" w:type="dxa"/>
            <w:tcBorders>
              <w:top w:val="nil"/>
              <w:left w:val="nil"/>
              <w:bottom w:val="nil"/>
              <w:insideH w:val="nil"/>
              <w:right w:val="nil"/>
              <w:insideV w:val="nil"/>
            </w:tcBorders>
            <w:shd w:fill="auto" w:val="clear"/>
          </w:tcPr>
          <w:p>
            <w:pPr>
              <w:pStyle w:val="Normal"/>
              <w:spacing w:before="60" w:after="0"/>
              <w:jc w:val="center"/>
              <w:rPr>
                <w:color w:val="000000"/>
                <w:sz w:val="20"/>
                <w:szCs w:val="16"/>
              </w:rPr>
            </w:pPr>
            <w:r>
              <w:rPr>
                <w:color w:val="000000"/>
                <w:sz w:val="20"/>
                <w:szCs w:val="16"/>
              </w:rPr>
              <w:t>237</w:t>
            </w:r>
          </w:p>
        </w:tc>
        <w:tc>
          <w:tcPr>
            <w:tcW w:w="3060" w:type="dxa"/>
            <w:tcBorders>
              <w:top w:val="nil"/>
              <w:left w:val="nil"/>
              <w:bottom w:val="nil"/>
              <w:insideH w:val="nil"/>
              <w:right w:val="nil"/>
              <w:insideV w:val="nil"/>
            </w:tcBorders>
            <w:shd w:fill="auto" w:val="clear"/>
          </w:tcPr>
          <w:p>
            <w:pPr>
              <w:pStyle w:val="Normal"/>
              <w:spacing w:before="60" w:after="0"/>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6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Normal"/>
              <w:ind w:left="180" w:right="0" w:hanging="0"/>
              <w:jc w:val="right"/>
              <w:rPr>
                <w:sz w:val="20"/>
                <w:szCs w:val="20"/>
              </w:rPr>
            </w:pPr>
            <w:r>
              <w:rPr>
                <w:sz w:val="20"/>
                <w:szCs w:val="20"/>
              </w:rPr>
              <w:t>Calgary</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231</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2.19 (1.51, 3.18)</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2.81 (1.83, 4.32)</w:t>
            </w:r>
          </w:p>
        </w:tc>
      </w:tr>
      <w:tr>
        <w:trPr>
          <w:cantSplit w:val="true"/>
        </w:trPr>
        <w:tc>
          <w:tcPr>
            <w:tcW w:w="2808" w:type="dxa"/>
            <w:tcBorders>
              <w:top w:val="nil"/>
              <w:left w:val="nil"/>
              <w:bottom w:val="nil"/>
              <w:insideH w:val="nil"/>
              <w:right w:val="nil"/>
              <w:insideV w:val="nil"/>
            </w:tcBorders>
            <w:shd w:fill="auto" w:val="clear"/>
          </w:tcPr>
          <w:p>
            <w:pPr>
              <w:pStyle w:val="Normal"/>
              <w:ind w:left="180" w:right="0" w:hanging="0"/>
              <w:jc w:val="right"/>
              <w:rPr>
                <w:sz w:val="20"/>
                <w:szCs w:val="20"/>
              </w:rPr>
            </w:pPr>
            <w:r>
              <w:rPr>
                <w:sz w:val="20"/>
                <w:szCs w:val="20"/>
              </w:rPr>
              <w:t xml:space="preserve">South </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414</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1.62 (1.16, 2.25)</w:t>
            </w:r>
          </w:p>
        </w:tc>
        <w:tc>
          <w:tcPr>
            <w:tcW w:w="3240" w:type="dxa"/>
            <w:tcBorders>
              <w:top w:val="nil"/>
              <w:left w:val="nil"/>
              <w:bottom w:val="nil"/>
              <w:insideH w:val="nil"/>
              <w:right w:val="nil"/>
              <w:insideV w:val="nil"/>
            </w:tcBorders>
            <w:shd w:fill="auto" w:val="clear"/>
          </w:tcPr>
          <w:p>
            <w:pPr>
              <w:pStyle w:val="Normal"/>
              <w:ind w:left="0" w:right="-108" w:hanging="0"/>
              <w:jc w:val="center"/>
              <w:rPr>
                <w:b/>
                <w:bCs/>
                <w:color w:val="000000"/>
                <w:sz w:val="20"/>
                <w:szCs w:val="16"/>
              </w:rPr>
            </w:pPr>
            <w:r>
              <w:rPr>
                <w:b/>
                <w:bCs/>
                <w:color w:val="000000"/>
                <w:sz w:val="20"/>
                <w:szCs w:val="16"/>
              </w:rPr>
              <w:t>2.20 (1.50, 3.22)</w:t>
            </w:r>
          </w:p>
        </w:tc>
      </w:tr>
      <w:tr>
        <w:trPr>
          <w:cantSplit w:val="true"/>
        </w:trPr>
        <w:tc>
          <w:tcPr>
            <w:tcW w:w="2808" w:type="dxa"/>
            <w:tcBorders>
              <w:top w:val="nil"/>
              <w:left w:val="nil"/>
              <w:bottom w:val="nil"/>
              <w:insideH w:val="nil"/>
              <w:right w:val="nil"/>
              <w:insideV w:val="nil"/>
            </w:tcBorders>
            <w:shd w:fill="auto" w:val="clear"/>
          </w:tcPr>
          <w:p>
            <w:pPr>
              <w:pStyle w:val="Normal"/>
              <w:ind w:left="180" w:right="0" w:hanging="0"/>
              <w:jc w:val="right"/>
              <w:rPr>
                <w:sz w:val="20"/>
                <w:szCs w:val="20"/>
              </w:rPr>
            </w:pPr>
            <w:r>
              <w:rPr>
                <w:sz w:val="20"/>
                <w:szCs w:val="20"/>
              </w:rPr>
              <w:t xml:space="preserve">Central </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546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0.82 (0.59, 1.13)</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1.10 (0.76, 1.60)</w:t>
            </w:r>
          </w:p>
        </w:tc>
      </w:tr>
      <w:tr>
        <w:trPr>
          <w:cantSplit w:val="true"/>
        </w:trPr>
        <w:tc>
          <w:tcPr>
            <w:tcW w:w="2808" w:type="dxa"/>
            <w:tcBorders>
              <w:top w:val="nil"/>
              <w:left w:val="nil"/>
              <w:bottom w:val="single" w:sz="4" w:space="0" w:color="000000"/>
              <w:insideH w:val="single" w:sz="4" w:space="0" w:color="000000"/>
              <w:right w:val="nil"/>
              <w:insideV w:val="nil"/>
            </w:tcBorders>
            <w:shd w:fill="auto" w:val="clear"/>
          </w:tcPr>
          <w:p>
            <w:pPr>
              <w:pStyle w:val="Normal"/>
              <w:spacing w:before="0" w:after="40"/>
              <w:ind w:left="180" w:right="0" w:hanging="0"/>
              <w:jc w:val="right"/>
              <w:rPr>
                <w:sz w:val="20"/>
                <w:szCs w:val="20"/>
              </w:rPr>
            </w:pPr>
            <w:r>
              <w:rPr>
                <w:sz w:val="20"/>
                <w:szCs w:val="20"/>
              </w:rPr>
              <w:t>North</w:t>
            </w:r>
          </w:p>
        </w:tc>
        <w:tc>
          <w:tcPr>
            <w:tcW w:w="720"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color w:val="000000"/>
                <w:sz w:val="20"/>
                <w:szCs w:val="16"/>
              </w:rPr>
            </w:pPr>
            <w:r>
              <w:rPr>
                <w:color w:val="000000"/>
                <w:sz w:val="20"/>
                <w:szCs w:val="16"/>
              </w:rPr>
              <w:t>109</w:t>
            </w:r>
          </w:p>
        </w:tc>
        <w:tc>
          <w:tcPr>
            <w:tcW w:w="3060"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color w:val="000000"/>
                <w:sz w:val="20"/>
                <w:szCs w:val="16"/>
              </w:rPr>
            </w:pPr>
            <w:r>
              <w:rPr>
                <w:color w:val="000000"/>
                <w:sz w:val="20"/>
                <w:szCs w:val="16"/>
              </w:rPr>
              <w:t>0.84 (0.51, 1.36)</w:t>
            </w:r>
          </w:p>
        </w:tc>
        <w:tc>
          <w:tcPr>
            <w:tcW w:w="3240" w:type="dxa"/>
            <w:tcBorders>
              <w:top w:val="nil"/>
              <w:left w:val="nil"/>
              <w:bottom w:val="single" w:sz="4" w:space="0" w:color="000000"/>
              <w:insideH w:val="single" w:sz="4" w:space="0" w:color="000000"/>
              <w:right w:val="nil"/>
              <w:insideV w:val="nil"/>
            </w:tcBorders>
            <w:shd w:fill="auto" w:val="clear"/>
          </w:tcPr>
          <w:p>
            <w:pPr>
              <w:pStyle w:val="Normal"/>
              <w:spacing w:before="0" w:after="40"/>
              <w:jc w:val="center"/>
              <w:rPr>
                <w:b/>
                <w:bCs/>
                <w:color w:val="000000"/>
                <w:sz w:val="20"/>
                <w:szCs w:val="16"/>
              </w:rPr>
            </w:pPr>
            <w:r>
              <w:rPr>
                <w:b/>
                <w:bCs/>
                <w:color w:val="000000"/>
                <w:sz w:val="20"/>
                <w:szCs w:val="16"/>
              </w:rPr>
              <w:t>0.93 (0.52, 1.66)</w:t>
            </w:r>
          </w:p>
        </w:tc>
      </w:tr>
    </w:tbl>
    <w:p>
      <w:pPr>
        <w:pStyle w:val="Normal"/>
        <w:rPr>
          <w:i/>
          <w:sz w:val="20"/>
          <w:szCs w:val="20"/>
        </w:rPr>
      </w:pPr>
      <w:r>
        <w:rPr>
          <w:i/>
          <w:sz w:val="20"/>
          <w:szCs w:val="20"/>
        </w:rPr>
        <w:t>* Analysis included those men never tested for PSA (N=949) and asymptomatic men who were PSA tested (N=590)</w:t>
      </w:r>
    </w:p>
    <w:p>
      <w:pPr>
        <w:pStyle w:val="Normal"/>
        <w:pageBreakBefore/>
        <w:ind w:left="360" w:right="0" w:hanging="0"/>
        <w:jc w:val="center"/>
        <w:rPr>
          <w:b/>
        </w:rPr>
      </w:pPr>
      <w:r>
        <w:rPr>
          <w:b/>
        </w:rPr>
        <w:t>Table 3: Predictors of PSA “screening”: crude and adjusted odds ratios* (continued)</w:t>
      </w:r>
    </w:p>
    <w:p>
      <w:pPr>
        <w:pStyle w:val="Normal"/>
        <w:ind w:left="360" w:right="0" w:hanging="0"/>
        <w:jc w:val="center"/>
        <w:rPr>
          <w:b/>
        </w:rPr>
      </w:pPr>
      <w:r>
        <w:rPr>
          <w:b/>
        </w:rPr>
      </w:r>
    </w:p>
    <w:tbl>
      <w:tblPr>
        <w:jc w:val="left"/>
        <w:tblInd w:w="360" w:type="dxa"/>
        <w:tblBorders>
          <w:top w:val="single" w:sz="4"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2808"/>
        <w:gridCol w:w="720"/>
        <w:gridCol w:w="3060"/>
        <w:gridCol w:w="3240"/>
      </w:tblGrid>
      <w:tr>
        <w:trPr>
          <w:cantSplit w:val="true"/>
        </w:trPr>
        <w:tc>
          <w:tcPr>
            <w:tcW w:w="2808"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Characteristics</w:t>
            </w:r>
          </w:p>
        </w:tc>
        <w:tc>
          <w:tcPr>
            <w:tcW w:w="72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N</w:t>
            </w:r>
          </w:p>
        </w:tc>
        <w:tc>
          <w:tcPr>
            <w:tcW w:w="306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Crude OR (95% CI)</w:t>
            </w:r>
          </w:p>
        </w:tc>
        <w:tc>
          <w:tcPr>
            <w:tcW w:w="3240" w:type="dxa"/>
            <w:tcBorders>
              <w:top w:val="single" w:sz="4" w:space="0" w:color="000000"/>
              <w:left w:val="nil"/>
              <w:bottom w:val="single" w:sz="4" w:space="0" w:color="000000"/>
              <w:insideH w:val="single" w:sz="4" w:space="0" w:color="000000"/>
              <w:right w:val="nil"/>
              <w:insideV w:val="nil"/>
            </w:tcBorders>
            <w:shd w:fill="auto" w:val="clear"/>
          </w:tcPr>
          <w:p>
            <w:pPr>
              <w:pStyle w:val="Normal"/>
              <w:spacing w:before="40" w:after="0"/>
              <w:jc w:val="center"/>
              <w:rPr>
                <w:b/>
                <w:bCs/>
                <w:sz w:val="20"/>
                <w:szCs w:val="20"/>
              </w:rPr>
            </w:pPr>
            <w:r>
              <w:rPr>
                <w:b/>
                <w:bCs/>
                <w:sz w:val="20"/>
                <w:szCs w:val="20"/>
              </w:rPr>
              <w:t>Multivariate OR (95% CI)</w:t>
            </w:r>
          </w:p>
        </w:tc>
      </w:tr>
      <w:tr>
        <w:trPr>
          <w:cantSplit w:val="true"/>
        </w:trPr>
        <w:tc>
          <w:tcPr>
            <w:tcW w:w="9828" w:type="dxa"/>
            <w:gridSpan w:val="4"/>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0"/>
                <w:szCs w:val="20"/>
              </w:rPr>
            </w:pPr>
            <w:r>
              <w:rPr>
                <w:b/>
                <w:bCs/>
                <w:sz w:val="20"/>
                <w:szCs w:val="20"/>
              </w:rPr>
              <w:t>Health characteristics</w:t>
            </w:r>
          </w:p>
        </w:tc>
      </w:tr>
      <w:tr>
        <w:trPr>
          <w:cantSplit w:val="true"/>
        </w:trPr>
        <w:tc>
          <w:tcPr>
            <w:tcW w:w="2808" w:type="dxa"/>
            <w:tcBorders>
              <w:top w:val="single" w:sz="4" w:space="0" w:color="000000"/>
              <w:left w:val="nil"/>
              <w:bottom w:val="nil"/>
              <w:insideH w:val="nil"/>
              <w:right w:val="nil"/>
              <w:insideV w:val="nil"/>
            </w:tcBorders>
            <w:shd w:fill="auto" w:val="clear"/>
          </w:tcPr>
          <w:p>
            <w:pPr>
              <w:pStyle w:val="Heading4"/>
              <w:numPr>
                <w:ilvl w:val="3"/>
                <w:numId w:val="1"/>
              </w:numPr>
              <w:rPr>
                <w:b/>
                <w:i/>
                <w:szCs w:val="20"/>
                <w:u w:val="none"/>
              </w:rPr>
            </w:pPr>
            <w:r>
              <w:rPr>
                <w:b/>
                <w:i/>
                <w:szCs w:val="20"/>
                <w:u w:val="none"/>
              </w:rPr>
              <w:t>Self-rated health status</w:t>
            </w:r>
          </w:p>
        </w:tc>
        <w:tc>
          <w:tcPr>
            <w:tcW w:w="720" w:type="dxa"/>
            <w:tcBorders>
              <w:top w:val="single" w:sz="4" w:space="0" w:color="000000"/>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single" w:sz="4" w:space="0" w:color="000000"/>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single" w:sz="4" w:space="0" w:color="000000"/>
              <w:left w:val="nil"/>
              <w:bottom w:val="nil"/>
              <w:insideH w:val="nil"/>
              <w:right w:val="nil"/>
              <w:insideV w:val="nil"/>
            </w:tcBorders>
            <w:shd w:fill="auto" w:val="clear"/>
          </w:tcPr>
          <w:p>
            <w:pPr>
              <w:pStyle w:val="Normal"/>
              <w:snapToGrid w:val="false"/>
              <w:jc w:val="center"/>
              <w:rPr>
                <w:b/>
                <w:bCs/>
                <w:i/>
                <w:iCs/>
                <w:sz w:val="20"/>
                <w:szCs w:val="20"/>
              </w:rPr>
            </w:pPr>
            <w:r>
              <w:rPr>
                <w:b/>
                <w:bCs/>
                <w:i/>
                <w:iCs/>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Excellent</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193</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Very good</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643</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1.00 (0.72, 1.38)</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0.96 (0.66, 1.38)</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Good</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541</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0.76 (0.54, 1.06)</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0.65 (0.43, 0.96)</w:t>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Fair/ Poor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118</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0.63 (0. 39, 1.02)</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0.59 (0.33, 1.06)</w:t>
            </w:r>
          </w:p>
        </w:tc>
      </w:tr>
      <w:tr>
        <w:trPr>
          <w:cantSplit w:val="true"/>
        </w:trPr>
        <w:tc>
          <w:tcPr>
            <w:tcW w:w="2808" w:type="dxa"/>
            <w:tcBorders>
              <w:top w:val="nil"/>
              <w:left w:val="nil"/>
              <w:bottom w:val="nil"/>
              <w:insideH w:val="nil"/>
              <w:right w:val="nil"/>
              <w:insideV w:val="nil"/>
            </w:tcBorders>
            <w:shd w:fill="auto" w:val="clear"/>
          </w:tcPr>
          <w:p>
            <w:pPr>
              <w:pStyle w:val="Normal"/>
              <w:snapToGrid w:val="false"/>
              <w:jc w:val="right"/>
              <w:rPr>
                <w:sz w:val="20"/>
                <w:szCs w:val="20"/>
              </w:rPr>
            </w:pPr>
            <w:r>
              <w:rPr>
                <w:sz w:val="20"/>
                <w:szCs w:val="20"/>
              </w:rPr>
            </w:r>
          </w:p>
        </w:tc>
        <w:tc>
          <w:tcPr>
            <w:tcW w:w="72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06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240" w:type="dxa"/>
            <w:tcBorders>
              <w:top w:val="nil"/>
              <w:left w:val="nil"/>
              <w:bottom w:val="nil"/>
              <w:insideH w:val="nil"/>
              <w:right w:val="nil"/>
              <w:insideV w:val="nil"/>
            </w:tcBorders>
            <w:shd w:fill="auto" w:val="clear"/>
          </w:tcPr>
          <w:p>
            <w:pPr>
              <w:pStyle w:val="Normal"/>
              <w:jc w:val="center"/>
              <w:rPr>
                <w:b/>
                <w:bCs/>
                <w:i/>
                <w:iCs/>
                <w:sz w:val="20"/>
                <w:szCs w:val="20"/>
              </w:rPr>
            </w:pPr>
            <w:r>
              <w:rPr>
                <w:b/>
                <w:bCs/>
                <w:i/>
                <w:iCs/>
                <w:sz w:val="20"/>
                <w:szCs w:val="20"/>
              </w:rPr>
              <w:t xml:space="preserve">p-value </w:t>
            </w:r>
            <w:r>
              <w:rPr>
                <w:b/>
                <w:bCs/>
                <w:i/>
                <w:iCs/>
                <w:sz w:val="20"/>
                <w:szCs w:val="20"/>
                <w:vertAlign w:val="subscript"/>
              </w:rPr>
              <w:t xml:space="preserve">Test for trend  </w:t>
            </w:r>
            <w:r>
              <w:rPr>
                <w:b/>
                <w:bCs/>
                <w:i/>
                <w:iCs/>
                <w:sz w:val="20"/>
                <w:szCs w:val="20"/>
              </w:rPr>
              <w:t>0.010</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rPr>
                <w:b/>
                <w:i/>
                <w:szCs w:val="20"/>
                <w:u w:val="none"/>
              </w:rPr>
            </w:pPr>
            <w:r>
              <w:rPr>
                <w:b/>
                <w:i/>
                <w:szCs w:val="20"/>
                <w:u w:val="none"/>
              </w:rPr>
              <w:t>Current smoking status</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Non-smoker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483</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Past smoker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769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0.97 (0.77, 1.22)</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Current smoker     </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279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0.58 (0.43, 0.80)</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rPr>
                <w:b/>
                <w:i/>
                <w:szCs w:val="20"/>
                <w:u w:val="none"/>
              </w:rPr>
            </w:pPr>
            <w:r>
              <w:rPr>
                <w:b/>
                <w:i/>
                <w:szCs w:val="20"/>
                <w:u w:val="none"/>
              </w:rPr>
              <w:t>Body mass index</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Normal/Underweight (&lt;25)</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305</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Overweight (25 – 29.9)</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745</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1.26 (0.95, 1.66)</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spacing w:before="0" w:after="40"/>
              <w:jc w:val="right"/>
              <w:rPr>
                <w:sz w:val="20"/>
                <w:szCs w:val="20"/>
              </w:rPr>
            </w:pPr>
            <w:r>
              <w:rPr>
                <w:sz w:val="20"/>
                <w:szCs w:val="20"/>
              </w:rPr>
              <w:t xml:space="preserve">     </w:t>
            </w:r>
            <w:r>
              <w:rPr>
                <w:sz w:val="20"/>
                <w:szCs w:val="20"/>
              </w:rPr>
              <w:t>Obese (30+)</w:t>
            </w:r>
          </w:p>
        </w:tc>
        <w:tc>
          <w:tcPr>
            <w:tcW w:w="720" w:type="dxa"/>
            <w:tcBorders>
              <w:top w:val="nil"/>
              <w:left w:val="nil"/>
              <w:bottom w:val="nil"/>
              <w:insideH w:val="nil"/>
              <w:right w:val="nil"/>
              <w:insideV w:val="nil"/>
            </w:tcBorders>
            <w:shd w:fill="auto" w:val="clear"/>
          </w:tcPr>
          <w:p>
            <w:pPr>
              <w:pStyle w:val="Normal"/>
              <w:spacing w:before="0" w:after="40"/>
              <w:jc w:val="center"/>
              <w:rPr>
                <w:color w:val="000000"/>
                <w:sz w:val="20"/>
                <w:szCs w:val="16"/>
              </w:rPr>
            </w:pPr>
            <w:r>
              <w:rPr>
                <w:color w:val="000000"/>
                <w:sz w:val="20"/>
                <w:szCs w:val="16"/>
              </w:rPr>
              <w:t>488</w:t>
            </w:r>
          </w:p>
        </w:tc>
        <w:tc>
          <w:tcPr>
            <w:tcW w:w="3060" w:type="dxa"/>
            <w:tcBorders>
              <w:top w:val="nil"/>
              <w:left w:val="nil"/>
              <w:bottom w:val="nil"/>
              <w:insideH w:val="nil"/>
              <w:right w:val="nil"/>
              <w:insideV w:val="nil"/>
            </w:tcBorders>
            <w:shd w:fill="auto" w:val="clear"/>
          </w:tcPr>
          <w:p>
            <w:pPr>
              <w:pStyle w:val="Normal"/>
              <w:spacing w:before="0" w:after="40"/>
              <w:jc w:val="center"/>
              <w:rPr>
                <w:color w:val="000000"/>
                <w:sz w:val="20"/>
                <w:szCs w:val="16"/>
              </w:rPr>
            </w:pPr>
            <w:r>
              <w:rPr>
                <w:color w:val="000000"/>
                <w:sz w:val="20"/>
                <w:szCs w:val="16"/>
              </w:rPr>
              <w:t>1.20 (0.89, 1.62)</w:t>
            </w:r>
          </w:p>
        </w:tc>
        <w:tc>
          <w:tcPr>
            <w:tcW w:w="3240" w:type="dxa"/>
            <w:tcBorders>
              <w:top w:val="nil"/>
              <w:left w:val="nil"/>
              <w:bottom w:val="nil"/>
              <w:insideH w:val="nil"/>
              <w:right w:val="nil"/>
              <w:insideV w:val="nil"/>
            </w:tcBorders>
            <w:shd w:fill="auto" w:val="clear"/>
          </w:tcPr>
          <w:p>
            <w:pPr>
              <w:pStyle w:val="Normal"/>
              <w:snapToGrid w:val="false"/>
              <w:spacing w:before="0" w:after="4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rPr>
                <w:b/>
                <w:i/>
                <w:szCs w:val="20"/>
                <w:u w:val="none"/>
              </w:rPr>
            </w:pPr>
            <w:r>
              <w:rPr>
                <w:b/>
                <w:i/>
                <w:szCs w:val="20"/>
                <w:u w:val="none"/>
              </w:rPr>
              <w:t>Chronic Conditions</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No</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589</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jc w:val="right"/>
              <w:rPr>
                <w:sz w:val="20"/>
                <w:szCs w:val="20"/>
              </w:rPr>
            </w:pPr>
            <w:r>
              <w:rPr>
                <w:sz w:val="20"/>
                <w:szCs w:val="20"/>
              </w:rPr>
              <w:t xml:space="preserve">     </w:t>
            </w:r>
            <w:r>
              <w:rPr>
                <w:sz w:val="20"/>
                <w:szCs w:val="20"/>
              </w:rPr>
              <w:t>Yes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950</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1.64 (1.32, 2.04)</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Footnote"/>
              <w:rPr>
                <w:b/>
                <w:i/>
              </w:rPr>
            </w:pPr>
            <w:r>
              <w:rPr>
                <w:b/>
                <w:i/>
              </w:rPr>
              <w:t>Number of Chronic Conditions</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0 Conditions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577</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1 Condition</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477</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1.72 (1.34, 2.21)</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1.69 (1.22, 2.36)</w:t>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2+ Conditions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436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1.59 (1.23, 2.07)</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1.73 (1.10, 2.71)</w:t>
            </w:r>
          </w:p>
        </w:tc>
      </w:tr>
      <w:tr>
        <w:trPr>
          <w:cantSplit w:val="true"/>
        </w:trPr>
        <w:tc>
          <w:tcPr>
            <w:tcW w:w="2808" w:type="dxa"/>
            <w:tcBorders>
              <w:top w:val="nil"/>
              <w:left w:val="nil"/>
              <w:bottom w:val="nil"/>
              <w:insideH w:val="nil"/>
              <w:right w:val="nil"/>
              <w:insideV w:val="nil"/>
            </w:tcBorders>
            <w:shd w:fill="auto" w:val="clear"/>
          </w:tcPr>
          <w:p>
            <w:pPr>
              <w:pStyle w:val="Footnote"/>
              <w:snapToGrid w:val="false"/>
              <w:jc w:val="right"/>
              <w:rPr>
                <w:sz w:val="20"/>
                <w:szCs w:val="20"/>
              </w:rPr>
            </w:pPr>
            <w:r>
              <w:rPr>
                <w:sz w:val="20"/>
                <w:szCs w:val="20"/>
              </w:rPr>
            </w:r>
          </w:p>
        </w:tc>
        <w:tc>
          <w:tcPr>
            <w:tcW w:w="72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060" w:type="dxa"/>
            <w:tcBorders>
              <w:top w:val="nil"/>
              <w:left w:val="nil"/>
              <w:bottom w:val="nil"/>
              <w:insideH w:val="nil"/>
              <w:right w:val="nil"/>
              <w:insideV w:val="nil"/>
            </w:tcBorders>
            <w:shd w:fill="auto" w:val="clear"/>
          </w:tcPr>
          <w:p>
            <w:pPr>
              <w:pStyle w:val="Normal"/>
              <w:snapToGrid w:val="false"/>
              <w:jc w:val="center"/>
              <w:rPr>
                <w:color w:val="000000"/>
                <w:sz w:val="20"/>
                <w:szCs w:val="16"/>
              </w:rPr>
            </w:pPr>
            <w:r>
              <w:rPr>
                <w:color w:val="000000"/>
                <w:sz w:val="20"/>
                <w:szCs w:val="16"/>
              </w:rPr>
            </w:r>
          </w:p>
        </w:tc>
        <w:tc>
          <w:tcPr>
            <w:tcW w:w="3240" w:type="dxa"/>
            <w:tcBorders>
              <w:top w:val="nil"/>
              <w:left w:val="nil"/>
              <w:bottom w:val="nil"/>
              <w:insideH w:val="nil"/>
              <w:right w:val="nil"/>
              <w:insideV w:val="nil"/>
            </w:tcBorders>
            <w:shd w:fill="auto" w:val="clear"/>
          </w:tcPr>
          <w:p>
            <w:pPr>
              <w:pStyle w:val="Normal"/>
              <w:jc w:val="center"/>
              <w:rPr>
                <w:b/>
                <w:bCs/>
                <w:i/>
                <w:iCs/>
                <w:sz w:val="20"/>
                <w:szCs w:val="20"/>
              </w:rPr>
            </w:pPr>
            <w:r>
              <w:rPr>
                <w:b/>
                <w:bCs/>
                <w:i/>
                <w:iCs/>
                <w:sz w:val="20"/>
                <w:szCs w:val="20"/>
              </w:rPr>
              <w:t xml:space="preserve">p-value </w:t>
            </w:r>
            <w:r>
              <w:rPr>
                <w:b/>
                <w:bCs/>
                <w:i/>
                <w:iCs/>
                <w:sz w:val="20"/>
                <w:szCs w:val="20"/>
                <w:vertAlign w:val="subscript"/>
              </w:rPr>
              <w:t xml:space="preserve">Test for trend  </w:t>
            </w:r>
            <w:r>
              <w:rPr>
                <w:b/>
                <w:bCs/>
                <w:i/>
                <w:iCs/>
                <w:sz w:val="20"/>
                <w:szCs w:val="20"/>
              </w:rPr>
              <w:t>&lt;0.005</w:t>
            </w:r>
          </w:p>
        </w:tc>
      </w:tr>
      <w:tr>
        <w:trPr>
          <w:cantSplit w:val="true"/>
        </w:trPr>
        <w:tc>
          <w:tcPr>
            <w:tcW w:w="2808" w:type="dxa"/>
            <w:tcBorders>
              <w:top w:val="nil"/>
              <w:left w:val="nil"/>
              <w:bottom w:val="nil"/>
              <w:insideH w:val="nil"/>
              <w:right w:val="nil"/>
              <w:insideV w:val="nil"/>
            </w:tcBorders>
            <w:shd w:fill="auto" w:val="clear"/>
          </w:tcPr>
          <w:p>
            <w:pPr>
              <w:pStyle w:val="Footnote"/>
              <w:rPr>
                <w:b/>
                <w:i/>
              </w:rPr>
            </w:pPr>
            <w:r>
              <w:rPr>
                <w:b/>
                <w:i/>
              </w:rPr>
              <w:t>Angina</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No</w:t>
            </w:r>
          </w:p>
        </w:tc>
        <w:tc>
          <w:tcPr>
            <w:tcW w:w="720" w:type="dxa"/>
            <w:tcBorders>
              <w:top w:val="nil"/>
              <w:left w:val="nil"/>
              <w:bottom w:val="nil"/>
              <w:insideH w:val="nil"/>
              <w:right w:val="nil"/>
              <w:insideV w:val="nil"/>
            </w:tcBorders>
            <w:shd w:fill="auto" w:val="clear"/>
          </w:tcPr>
          <w:p>
            <w:pPr>
              <w:pStyle w:val="Normal"/>
              <w:jc w:val="center"/>
              <w:rPr>
                <w:sz w:val="20"/>
                <w:szCs w:val="20"/>
              </w:rPr>
            </w:pPr>
            <w:r>
              <w:rPr>
                <w:sz w:val="20"/>
                <w:szCs w:val="20"/>
              </w:rPr>
              <w:t>1386</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Yes</w:t>
            </w:r>
          </w:p>
        </w:tc>
        <w:tc>
          <w:tcPr>
            <w:tcW w:w="720" w:type="dxa"/>
            <w:tcBorders>
              <w:top w:val="nil"/>
              <w:left w:val="nil"/>
              <w:bottom w:val="nil"/>
              <w:insideH w:val="nil"/>
              <w:right w:val="nil"/>
              <w:insideV w:val="nil"/>
            </w:tcBorders>
            <w:shd w:fill="auto" w:val="clear"/>
          </w:tcPr>
          <w:p>
            <w:pPr>
              <w:pStyle w:val="Normal"/>
              <w:jc w:val="center"/>
              <w:rPr>
                <w:sz w:val="20"/>
                <w:szCs w:val="20"/>
              </w:rPr>
            </w:pPr>
            <w:r>
              <w:rPr>
                <w:sz w:val="20"/>
                <w:szCs w:val="20"/>
              </w:rPr>
              <w:t>128</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0.77 (0.52, 1.13)</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0.59 (0.36, 0.98)</w:t>
            </w:r>
          </w:p>
        </w:tc>
      </w:tr>
      <w:tr>
        <w:trPr>
          <w:cantSplit w:val="true"/>
        </w:trPr>
        <w:tc>
          <w:tcPr>
            <w:tcW w:w="2808" w:type="dxa"/>
            <w:tcBorders>
              <w:top w:val="nil"/>
              <w:left w:val="nil"/>
              <w:bottom w:val="nil"/>
              <w:insideH w:val="nil"/>
              <w:right w:val="nil"/>
              <w:insideV w:val="nil"/>
            </w:tcBorders>
            <w:shd w:fill="auto" w:val="clear"/>
          </w:tcPr>
          <w:p>
            <w:pPr>
              <w:pStyle w:val="Normal"/>
              <w:rPr>
                <w:b/>
                <w:i/>
                <w:sz w:val="20"/>
                <w:szCs w:val="20"/>
              </w:rPr>
            </w:pPr>
            <w:r>
              <w:rPr>
                <w:b/>
                <w:i/>
                <w:sz w:val="20"/>
                <w:szCs w:val="20"/>
              </w:rPr>
              <w:t>High Cholesterol</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No</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946</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Yes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579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1.63 (1.32, 2.02)</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1.38 (1.00, 1.91)</w:t>
            </w:r>
          </w:p>
        </w:tc>
      </w:tr>
      <w:tr>
        <w:trPr>
          <w:cantSplit w:val="true"/>
        </w:trPr>
        <w:tc>
          <w:tcPr>
            <w:tcW w:w="2808" w:type="dxa"/>
            <w:tcBorders>
              <w:top w:val="nil"/>
              <w:left w:val="nil"/>
              <w:bottom w:val="nil"/>
              <w:insideH w:val="nil"/>
              <w:right w:val="nil"/>
              <w:insideV w:val="nil"/>
            </w:tcBorders>
            <w:shd w:fill="auto" w:val="clear"/>
          </w:tcPr>
          <w:p>
            <w:pPr>
              <w:pStyle w:val="Normal"/>
              <w:rPr>
                <w:b/>
                <w:i/>
                <w:sz w:val="20"/>
                <w:szCs w:val="20"/>
              </w:rPr>
            </w:pPr>
            <w:r>
              <w:rPr>
                <w:b/>
                <w:i/>
                <w:sz w:val="20"/>
                <w:szCs w:val="20"/>
              </w:rPr>
              <w:t>Diabetes</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Footnote"/>
              <w:jc w:val="right"/>
              <w:rPr/>
            </w:pPr>
            <w:r>
              <w:rPr/>
              <w:t>No</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1397</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0" w:after="0"/>
              <w:rPr/>
            </w:pPr>
            <w:r>
              <w:rPr/>
              <w:t>Reference</w:t>
            </w:r>
          </w:p>
        </w:tc>
      </w:tr>
      <w:tr>
        <w:trPr>
          <w:cantSplit w:val="true"/>
        </w:trPr>
        <w:tc>
          <w:tcPr>
            <w:tcW w:w="2808" w:type="dxa"/>
            <w:tcBorders>
              <w:top w:val="nil"/>
              <w:left w:val="nil"/>
              <w:bottom w:val="single" w:sz="4" w:space="0" w:color="000000"/>
              <w:insideH w:val="single" w:sz="4" w:space="0" w:color="000000"/>
              <w:right w:val="nil"/>
              <w:insideV w:val="nil"/>
            </w:tcBorders>
            <w:shd w:fill="auto" w:val="clear"/>
          </w:tcPr>
          <w:p>
            <w:pPr>
              <w:pStyle w:val="Footnote"/>
              <w:jc w:val="right"/>
              <w:rPr/>
            </w:pPr>
            <w:r>
              <w:rPr/>
              <w:t>Yes</w:t>
            </w:r>
          </w:p>
        </w:tc>
        <w:tc>
          <w:tcPr>
            <w:tcW w:w="720" w:type="dxa"/>
            <w:tcBorders>
              <w:top w:val="nil"/>
              <w:left w:val="nil"/>
              <w:bottom w:val="single" w:sz="4" w:space="0" w:color="000000"/>
              <w:insideH w:val="single" w:sz="4" w:space="0" w:color="000000"/>
              <w:right w:val="nil"/>
              <w:insideV w:val="nil"/>
            </w:tcBorders>
            <w:shd w:fill="auto" w:val="clear"/>
          </w:tcPr>
          <w:p>
            <w:pPr>
              <w:pStyle w:val="Normal"/>
              <w:jc w:val="center"/>
              <w:rPr>
                <w:color w:val="000000"/>
                <w:sz w:val="20"/>
                <w:szCs w:val="16"/>
              </w:rPr>
            </w:pPr>
            <w:r>
              <w:rPr>
                <w:color w:val="000000"/>
                <w:sz w:val="20"/>
                <w:szCs w:val="16"/>
              </w:rPr>
              <w:t>119</w:t>
            </w:r>
          </w:p>
        </w:tc>
        <w:tc>
          <w:tcPr>
            <w:tcW w:w="3060" w:type="dxa"/>
            <w:tcBorders>
              <w:top w:val="nil"/>
              <w:left w:val="nil"/>
              <w:bottom w:val="single" w:sz="4" w:space="0" w:color="000000"/>
              <w:insideH w:val="single" w:sz="4" w:space="0" w:color="000000"/>
              <w:right w:val="nil"/>
              <w:insideV w:val="nil"/>
            </w:tcBorders>
            <w:shd w:fill="auto" w:val="clear"/>
          </w:tcPr>
          <w:p>
            <w:pPr>
              <w:pStyle w:val="Normal"/>
              <w:jc w:val="center"/>
              <w:rPr>
                <w:sz w:val="20"/>
                <w:szCs w:val="20"/>
              </w:rPr>
            </w:pPr>
            <w:r>
              <w:rPr>
                <w:sz w:val="20"/>
                <w:szCs w:val="20"/>
              </w:rPr>
              <w:t>0.74 (0.49, 1.11)</w:t>
            </w:r>
          </w:p>
        </w:tc>
        <w:tc>
          <w:tcPr>
            <w:tcW w:w="3240" w:type="dxa"/>
            <w:tcBorders>
              <w:top w:val="nil"/>
              <w:left w:val="nil"/>
              <w:bottom w:val="single" w:sz="4" w:space="0" w:color="000000"/>
              <w:insideH w:val="single" w:sz="4" w:space="0" w:color="000000"/>
              <w:right w:val="nil"/>
              <w:insideV w:val="nil"/>
            </w:tcBorders>
            <w:shd w:fill="auto" w:val="clear"/>
          </w:tcPr>
          <w:p>
            <w:pPr>
              <w:pStyle w:val="Normal"/>
              <w:jc w:val="center"/>
              <w:rPr>
                <w:b/>
                <w:bCs/>
                <w:color w:val="000000"/>
                <w:sz w:val="20"/>
                <w:szCs w:val="16"/>
              </w:rPr>
            </w:pPr>
            <w:r>
              <w:rPr>
                <w:b/>
                <w:bCs/>
                <w:color w:val="000000"/>
                <w:sz w:val="20"/>
                <w:szCs w:val="16"/>
              </w:rPr>
              <w:t>0.59 (0.36, 0.98)</w:t>
            </w:r>
          </w:p>
        </w:tc>
      </w:tr>
      <w:tr>
        <w:trPr>
          <w:cantSplit w:val="true"/>
        </w:trPr>
        <w:tc>
          <w:tcPr>
            <w:tcW w:w="9828" w:type="dxa"/>
            <w:gridSpan w:val="4"/>
            <w:tcBorders>
              <w:top w:val="single" w:sz="4" w:space="0" w:color="000000"/>
              <w:left w:val="nil"/>
              <w:bottom w:val="single" w:sz="4" w:space="0" w:color="000000"/>
              <w:insideH w:val="single" w:sz="4" w:space="0" w:color="000000"/>
              <w:right w:val="nil"/>
              <w:insideV w:val="nil"/>
            </w:tcBorders>
            <w:shd w:fill="auto" w:val="clear"/>
          </w:tcPr>
          <w:p>
            <w:pPr>
              <w:pStyle w:val="Normal"/>
              <w:spacing w:before="60" w:after="60"/>
              <w:jc w:val="center"/>
              <w:rPr>
                <w:b/>
                <w:bCs/>
                <w:sz w:val="20"/>
                <w:szCs w:val="20"/>
              </w:rPr>
            </w:pPr>
            <w:r>
              <w:rPr>
                <w:b/>
                <w:bCs/>
                <w:sz w:val="20"/>
                <w:szCs w:val="20"/>
              </w:rPr>
              <w:t>Reproductive male health</w:t>
            </w:r>
          </w:p>
        </w:tc>
      </w:tr>
      <w:tr>
        <w:trPr>
          <w:cantSplit w:val="true"/>
        </w:trPr>
        <w:tc>
          <w:tcPr>
            <w:tcW w:w="2808" w:type="dxa"/>
            <w:tcBorders>
              <w:top w:val="single" w:sz="4" w:space="0" w:color="000000"/>
              <w:left w:val="nil"/>
              <w:bottom w:val="nil"/>
              <w:insideH w:val="nil"/>
              <w:right w:val="nil"/>
              <w:insideV w:val="nil"/>
            </w:tcBorders>
            <w:shd w:fill="auto" w:val="clear"/>
          </w:tcPr>
          <w:p>
            <w:pPr>
              <w:pStyle w:val="Normal"/>
              <w:spacing w:before="60" w:after="0"/>
              <w:rPr>
                <w:b/>
                <w:i/>
                <w:sz w:val="20"/>
                <w:szCs w:val="20"/>
              </w:rPr>
            </w:pPr>
            <w:r>
              <w:rPr>
                <w:b/>
                <w:i/>
                <w:sz w:val="20"/>
                <w:szCs w:val="20"/>
              </w:rPr>
              <w:t>Vasectomy</w:t>
            </w:r>
          </w:p>
        </w:tc>
        <w:tc>
          <w:tcPr>
            <w:tcW w:w="72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06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c>
          <w:tcPr>
            <w:tcW w:w="3240" w:type="dxa"/>
            <w:tcBorders>
              <w:top w:val="single" w:sz="4" w:space="0" w:color="000000"/>
              <w:left w:val="nil"/>
              <w:bottom w:val="nil"/>
              <w:insideH w:val="nil"/>
              <w:right w:val="nil"/>
              <w:insideV w:val="nil"/>
            </w:tcBorders>
            <w:shd w:fill="auto" w:val="clear"/>
          </w:tcPr>
          <w:p>
            <w:pPr>
              <w:pStyle w:val="Normal"/>
              <w:snapToGrid w:val="false"/>
              <w:spacing w:before="60" w:after="0"/>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No</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1096</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Heading6"/>
              <w:numPr>
                <w:ilvl w:val="5"/>
                <w:numId w:val="1"/>
              </w:numPr>
              <w:spacing w:before="0" w:after="0"/>
              <w:rPr/>
            </w:pPr>
            <w:r>
              <w:rPr/>
              <w:t>Reference</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Yes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441</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1.26 (1.01, 1.58)</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1.26 (0.97, 1.63)</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rPr>
                <w:b/>
                <w:i/>
                <w:szCs w:val="20"/>
                <w:u w:val="none"/>
              </w:rPr>
            </w:pPr>
            <w:r>
              <w:rPr>
                <w:b/>
                <w:i/>
                <w:szCs w:val="20"/>
                <w:u w:val="none"/>
              </w:rPr>
              <w:t>Family history of breast cancer</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No</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1330</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Yes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209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1.50 (1.12, 2.02)</w:t>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rPr>
                <w:b/>
                <w:i/>
                <w:sz w:val="20"/>
                <w:szCs w:val="20"/>
              </w:rPr>
            </w:pPr>
            <w:r>
              <w:rPr>
                <w:b/>
                <w:i/>
                <w:sz w:val="20"/>
                <w:szCs w:val="20"/>
              </w:rPr>
              <w:t>Family history of other cancers (excluding breast or prostate)</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No</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1353</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Yes</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186</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1.31 (0.96, 1.79)</w:t>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Normal"/>
              <w:rPr>
                <w:b/>
                <w:i/>
                <w:sz w:val="22"/>
                <w:szCs w:val="22"/>
              </w:rPr>
            </w:pPr>
            <w:r>
              <w:rPr>
                <w:b/>
                <w:i/>
                <w:sz w:val="22"/>
                <w:szCs w:val="22"/>
              </w:rPr>
              <w:t xml:space="preserve">Fecal Occult Blood Test </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b/>
                <w:bCs/>
                <w:sz w:val="20"/>
                <w:szCs w:val="20"/>
              </w:rPr>
            </w:pPr>
            <w:r>
              <w:rPr>
                <w:b/>
                <w:bCs/>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Never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974</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jc w:val="center"/>
              <w:rPr>
                <w:b/>
                <w:bCs/>
                <w:sz w:val="20"/>
                <w:szCs w:val="20"/>
              </w:rPr>
            </w:pPr>
            <w:r>
              <w:rPr>
                <w:b/>
                <w:bCs/>
                <w:sz w:val="20"/>
                <w:szCs w:val="20"/>
              </w:rPr>
              <w:t>Reference</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Ever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510</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2.32 (1.87, 2.90)</w:t>
            </w:r>
          </w:p>
        </w:tc>
        <w:tc>
          <w:tcPr>
            <w:tcW w:w="3240" w:type="dxa"/>
            <w:tcBorders>
              <w:top w:val="nil"/>
              <w:left w:val="nil"/>
              <w:bottom w:val="nil"/>
              <w:insideH w:val="nil"/>
              <w:right w:val="nil"/>
              <w:insideV w:val="nil"/>
            </w:tcBorders>
            <w:shd w:fill="auto" w:val="clear"/>
          </w:tcPr>
          <w:p>
            <w:pPr>
              <w:pStyle w:val="Normal"/>
              <w:jc w:val="center"/>
              <w:rPr>
                <w:b/>
                <w:bCs/>
                <w:color w:val="000000"/>
                <w:sz w:val="20"/>
                <w:szCs w:val="16"/>
              </w:rPr>
            </w:pPr>
            <w:r>
              <w:rPr>
                <w:b/>
                <w:bCs/>
                <w:color w:val="000000"/>
                <w:sz w:val="20"/>
                <w:szCs w:val="16"/>
              </w:rPr>
              <w:t>2.21 (1.73, 2.83)</w:t>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rPr>
                <w:b/>
                <w:i/>
                <w:szCs w:val="20"/>
                <w:u w:val="none"/>
              </w:rPr>
            </w:pPr>
            <w:r>
              <w:rPr>
                <w:b/>
                <w:i/>
                <w:szCs w:val="20"/>
                <w:u w:val="none"/>
              </w:rPr>
              <w:t>Endoscopy</w:t>
            </w:r>
          </w:p>
        </w:tc>
        <w:tc>
          <w:tcPr>
            <w:tcW w:w="72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Never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1202</w:t>
            </w:r>
          </w:p>
        </w:tc>
        <w:tc>
          <w:tcPr>
            <w:tcW w:w="3060" w:type="dxa"/>
            <w:tcBorders>
              <w:top w:val="nil"/>
              <w:left w:val="nil"/>
              <w:bottom w:val="nil"/>
              <w:insideH w:val="nil"/>
              <w:right w:val="nil"/>
              <w:insideV w:val="nil"/>
            </w:tcBorders>
            <w:shd w:fill="auto" w:val="clear"/>
          </w:tcPr>
          <w:p>
            <w:pPr>
              <w:pStyle w:val="Normal"/>
              <w:jc w:val="center"/>
              <w:rPr>
                <w:sz w:val="20"/>
                <w:szCs w:val="20"/>
              </w:rPr>
            </w:pPr>
            <w:r>
              <w:rPr>
                <w:sz w:val="20"/>
                <w:szCs w:val="20"/>
              </w:rPr>
              <w:t>Reference</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nil"/>
              <w:insideH w:val="nil"/>
              <w:right w:val="nil"/>
              <w:insideV w:val="nil"/>
            </w:tcBorders>
            <w:shd w:fill="auto" w:val="clear"/>
          </w:tcPr>
          <w:p>
            <w:pPr>
              <w:pStyle w:val="Heading4"/>
              <w:numPr>
                <w:ilvl w:val="3"/>
                <w:numId w:val="1"/>
              </w:numPr>
              <w:jc w:val="right"/>
              <w:rPr>
                <w:szCs w:val="20"/>
                <w:u w:val="none"/>
              </w:rPr>
            </w:pPr>
            <w:r>
              <w:rPr>
                <w:szCs w:val="20"/>
                <w:u w:val="none"/>
              </w:rPr>
              <w:t>Ever</w:t>
            </w:r>
          </w:p>
        </w:tc>
        <w:tc>
          <w:tcPr>
            <w:tcW w:w="72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329</w:t>
            </w:r>
          </w:p>
        </w:tc>
        <w:tc>
          <w:tcPr>
            <w:tcW w:w="3060" w:type="dxa"/>
            <w:tcBorders>
              <w:top w:val="nil"/>
              <w:left w:val="nil"/>
              <w:bottom w:val="nil"/>
              <w:insideH w:val="nil"/>
              <w:right w:val="nil"/>
              <w:insideV w:val="nil"/>
            </w:tcBorders>
            <w:shd w:fill="auto" w:val="clear"/>
          </w:tcPr>
          <w:p>
            <w:pPr>
              <w:pStyle w:val="Normal"/>
              <w:jc w:val="center"/>
              <w:rPr>
                <w:color w:val="000000"/>
                <w:sz w:val="20"/>
                <w:szCs w:val="16"/>
              </w:rPr>
            </w:pPr>
            <w:r>
              <w:rPr>
                <w:color w:val="000000"/>
                <w:sz w:val="20"/>
                <w:szCs w:val="16"/>
              </w:rPr>
              <w:t>1.45 (1.13, 1.86)</w:t>
            </w:r>
          </w:p>
        </w:tc>
        <w:tc>
          <w:tcPr>
            <w:tcW w:w="3240" w:type="dxa"/>
            <w:tcBorders>
              <w:top w:val="nil"/>
              <w:left w:val="nil"/>
              <w:bottom w:val="nil"/>
              <w:insideH w:val="nil"/>
              <w:right w:val="nil"/>
              <w:insideV w:val="nil"/>
            </w:tcBorders>
            <w:shd w:fill="auto" w:val="clear"/>
          </w:tcPr>
          <w:p>
            <w:pPr>
              <w:pStyle w:val="Normal"/>
              <w:snapToGrid w:val="false"/>
              <w:jc w:val="center"/>
              <w:rPr>
                <w:sz w:val="20"/>
                <w:szCs w:val="20"/>
              </w:rPr>
            </w:pPr>
            <w:r>
              <w:rPr>
                <w:sz w:val="20"/>
                <w:szCs w:val="20"/>
              </w:rPr>
            </w:r>
          </w:p>
        </w:tc>
      </w:tr>
      <w:tr>
        <w:trPr>
          <w:cantSplit w:val="true"/>
        </w:trPr>
        <w:tc>
          <w:tcPr>
            <w:tcW w:w="2808" w:type="dxa"/>
            <w:tcBorders>
              <w:top w:val="nil"/>
              <w:left w:val="nil"/>
              <w:bottom w:val="single" w:sz="4" w:space="0" w:color="000000"/>
              <w:insideH w:val="single" w:sz="4" w:space="0" w:color="000000"/>
              <w:right w:val="nil"/>
              <w:insideV w:val="nil"/>
            </w:tcBorders>
            <w:shd w:fill="auto" w:val="clear"/>
          </w:tcPr>
          <w:p>
            <w:pPr>
              <w:pStyle w:val="Normal"/>
              <w:snapToGrid w:val="false"/>
              <w:jc w:val="right"/>
              <w:rPr>
                <w:sz w:val="20"/>
                <w:szCs w:val="20"/>
              </w:rPr>
            </w:pPr>
            <w:r>
              <w:rPr>
                <w:sz w:val="20"/>
                <w:szCs w:val="20"/>
              </w:rPr>
            </w:r>
          </w:p>
        </w:tc>
        <w:tc>
          <w:tcPr>
            <w:tcW w:w="720" w:type="dxa"/>
            <w:tcBorders>
              <w:top w:val="nil"/>
              <w:left w:val="nil"/>
              <w:bottom w:val="single" w:sz="4" w:space="0" w:color="000000"/>
              <w:insideH w:val="single" w:sz="4" w:space="0" w:color="000000"/>
              <w:right w:val="nil"/>
              <w:insideV w:val="nil"/>
            </w:tcBorders>
            <w:shd w:fill="auto" w:val="clear"/>
          </w:tcPr>
          <w:p>
            <w:pPr>
              <w:pStyle w:val="Normal"/>
              <w:snapToGrid w:val="false"/>
              <w:jc w:val="center"/>
              <w:rPr>
                <w:sz w:val="20"/>
                <w:szCs w:val="20"/>
              </w:rPr>
            </w:pPr>
            <w:r>
              <w:rPr>
                <w:sz w:val="20"/>
                <w:szCs w:val="20"/>
              </w:rPr>
            </w:r>
          </w:p>
        </w:tc>
        <w:tc>
          <w:tcPr>
            <w:tcW w:w="3060" w:type="dxa"/>
            <w:tcBorders>
              <w:top w:val="nil"/>
              <w:left w:val="nil"/>
              <w:bottom w:val="single" w:sz="4" w:space="0" w:color="000000"/>
              <w:insideH w:val="single" w:sz="4" w:space="0" w:color="000000"/>
              <w:right w:val="nil"/>
              <w:insideV w:val="nil"/>
            </w:tcBorders>
            <w:shd w:fill="auto" w:val="clear"/>
          </w:tcPr>
          <w:p>
            <w:pPr>
              <w:pStyle w:val="Normal"/>
              <w:snapToGrid w:val="false"/>
              <w:jc w:val="center"/>
              <w:rPr>
                <w:sz w:val="20"/>
                <w:szCs w:val="20"/>
              </w:rPr>
            </w:pPr>
            <w:r>
              <w:rPr>
                <w:sz w:val="20"/>
                <w:szCs w:val="20"/>
              </w:rPr>
            </w:r>
          </w:p>
        </w:tc>
        <w:tc>
          <w:tcPr>
            <w:tcW w:w="3240" w:type="dxa"/>
            <w:tcBorders>
              <w:top w:val="nil"/>
              <w:left w:val="nil"/>
              <w:bottom w:val="single" w:sz="4" w:space="0" w:color="000000"/>
              <w:insideH w:val="single" w:sz="4" w:space="0" w:color="000000"/>
              <w:right w:val="nil"/>
              <w:insideV w:val="nil"/>
            </w:tcBorders>
            <w:shd w:fill="auto" w:val="clear"/>
          </w:tcPr>
          <w:p>
            <w:pPr>
              <w:pStyle w:val="Normal"/>
              <w:snapToGrid w:val="false"/>
              <w:jc w:val="center"/>
              <w:rPr>
                <w:sz w:val="20"/>
                <w:szCs w:val="20"/>
              </w:rPr>
            </w:pPr>
            <w:r>
              <w:rPr>
                <w:sz w:val="20"/>
                <w:szCs w:val="20"/>
              </w:rPr>
            </w:r>
          </w:p>
        </w:tc>
      </w:tr>
    </w:tbl>
    <w:p>
      <w:pPr>
        <w:pStyle w:val="Normal"/>
        <w:rPr>
          <w:i/>
          <w:sz w:val="20"/>
          <w:szCs w:val="20"/>
        </w:rPr>
      </w:pPr>
      <w:r>
        <w:rPr>
          <w:i/>
          <w:sz w:val="20"/>
          <w:szCs w:val="20"/>
        </w:rPr>
        <w:t>* Analysis included those men never tested for PSA (N=949) and asymptomatic men who were PSA tested (N=590)</w:t>
      </w:r>
    </w:p>
    <w:p>
      <w:pPr>
        <w:pStyle w:val="Normal"/>
        <w:ind w:left="360" w:right="0" w:hanging="0"/>
        <w:rPr>
          <w:sz w:val="20"/>
          <w:szCs w:val="20"/>
        </w:rPr>
      </w:pPr>
      <w:r>
        <w:rPr>
          <w:sz w:val="20"/>
          <w:szCs w:val="20"/>
        </w:rPr>
      </w:r>
    </w:p>
    <w:p>
      <w:pPr>
        <w:pStyle w:val="Normal"/>
        <w:pageBreakBefore/>
        <w:spacing w:lineRule="auto" w:line="480"/>
        <w:rPr>
          <w:b/>
          <w:bCs/>
        </w:rPr>
      </w:pPr>
      <w:r>
        <w:rPr>
          <w:b/>
        </w:rPr>
        <w:t xml:space="preserve"> </w:t>
      </w:r>
      <w:r>
        <w:rPr>
          <w:b/>
          <w:bCs/>
        </w:rPr>
        <w:t>REFERENCES</w:t>
      </w:r>
    </w:p>
    <w:p>
      <w:pPr>
        <w:pStyle w:val="Normal"/>
        <w:spacing w:lineRule="auto" w:line="480"/>
        <w:rPr/>
      </w:pPr>
      <w:r>
        <w:rPr/>
        <w:t>Alberta Medical Association (2002). Guideline for the use of PSA and the early diagnosis of prostate cancer.  Available at: http://mdm.ca/cpgsnew/cpgs-f/search/french/help/2ACPGP.htm</w:t>
      </w:r>
    </w:p>
    <w:p>
      <w:pPr>
        <w:pStyle w:val="Normal"/>
        <w:spacing w:lineRule="auto" w:line="480"/>
        <w:rPr>
          <w:u w:val="single"/>
        </w:rPr>
      </w:pPr>
      <w:r>
        <w:rPr>
          <w:u w:val="single"/>
        </w:rPr>
      </w:r>
    </w:p>
    <w:p>
      <w:pPr>
        <w:pStyle w:val="Normal"/>
        <w:spacing w:lineRule="auto" w:line="480"/>
        <w:rPr/>
      </w:pPr>
      <w:r>
        <w:rPr>
          <w:u w:val="single"/>
        </w:rPr>
        <w:t>American Urological Association (AUA)</w:t>
      </w:r>
      <w:r>
        <w:rPr/>
        <w:t xml:space="preserve"> (2000). Prostate-specific antigen (PSA) best practice policy. </w:t>
      </w:r>
      <w:r>
        <w:rPr>
          <w:u w:val="single"/>
        </w:rPr>
        <w:t>Oncology</w:t>
      </w:r>
      <w:r>
        <w:rPr/>
        <w:t>: 14;267-272, 277-278, 280, 283-286.</w:t>
      </w:r>
    </w:p>
    <w:p>
      <w:pPr>
        <w:pStyle w:val="Normal"/>
        <w:spacing w:lineRule="auto" w:line="480"/>
        <w:rPr/>
      </w:pPr>
      <w:r>
        <w:rPr/>
      </w:r>
    </w:p>
    <w:p>
      <w:pPr>
        <w:pStyle w:val="Normal"/>
        <w:spacing w:lineRule="auto" w:line="480"/>
        <w:rPr/>
      </w:pPr>
      <w:r>
        <w:rPr/>
        <w:t xml:space="preserve">Bryant, H., Robson P.J., Ullman, R., Friedenreich C., Dawe, U. (2006) Population-based cohort development in Alberta, Canada: A Feasibility Study. (Chronic Diseases in Canada, </w:t>
      </w:r>
      <w:r>
        <w:rPr>
          <w:i/>
        </w:rPr>
        <w:t>In Press</w:t>
      </w:r>
      <w:r>
        <w:rPr/>
        <w:t>)</w:t>
      </w:r>
    </w:p>
    <w:p>
      <w:pPr>
        <w:pStyle w:val="Normal"/>
        <w:spacing w:lineRule="auto" w:line="480"/>
        <w:rPr/>
      </w:pPr>
      <w:r>
        <w:rPr/>
      </w:r>
    </w:p>
    <w:p>
      <w:pPr>
        <w:pStyle w:val="Normal"/>
        <w:spacing w:lineRule="auto" w:line="480"/>
        <w:rPr/>
      </w:pPr>
      <w:r>
        <w:rPr/>
        <w:t xml:space="preserve">Bunting, P.S., Goel, V., Williams, J.I., Iscoe, N.A. (1999) Prostate specific antigen testing in Ontario: reasons for testing patients without diagnosed prostate cancer. </w:t>
      </w:r>
      <w:r>
        <w:rPr>
          <w:u w:val="single"/>
        </w:rPr>
        <w:t>Canadian Medical Association Journal,</w:t>
      </w:r>
      <w:r>
        <w:rPr/>
        <w:t xml:space="preserve"> 160(1): 70-75.</w:t>
      </w:r>
    </w:p>
    <w:p>
      <w:pPr>
        <w:pStyle w:val="Normal"/>
        <w:spacing w:lineRule="auto" w:line="480"/>
        <w:rPr/>
      </w:pPr>
      <w:r>
        <w:rPr/>
      </w:r>
    </w:p>
    <w:p>
      <w:pPr>
        <w:pStyle w:val="Normal"/>
        <w:spacing w:lineRule="auto" w:line="480"/>
        <w:rPr>
          <w:rStyle w:val="InternetLink"/>
        </w:rPr>
      </w:pPr>
      <w:r>
        <w:rPr/>
        <w:t xml:space="preserve">Canadian Cancer Society (CCS) (2002) Prostate cancer screening.  </w:t>
      </w:r>
      <w:hyperlink r:id="rId2">
        <w:r>
          <w:rPr>
            <w:rStyle w:val="InternetLink"/>
          </w:rPr>
          <w:t>http://www.cancer.ca/ccs/internet/standard/0,2939,3172_428338__langId-en,00.html</w:t>
        </w:r>
      </w:hyperlink>
    </w:p>
    <w:p>
      <w:pPr>
        <w:pStyle w:val="Normal"/>
        <w:spacing w:lineRule="auto" w:line="480"/>
        <w:rPr/>
      </w:pPr>
      <w:r>
        <w:rPr/>
      </w:r>
    </w:p>
    <w:p>
      <w:pPr>
        <w:pStyle w:val="Normal"/>
        <w:spacing w:lineRule="auto" w:line="480"/>
        <w:rPr/>
      </w:pPr>
      <w:r>
        <w:rPr/>
        <w:t xml:space="preserve">Carter, F., Graham, E., Pal, N., Gonazlez, E., Roetzheim, R.  (1999) Prostate cancer screening in primary care.  </w:t>
      </w:r>
      <w:r>
        <w:rPr>
          <w:u w:val="single"/>
        </w:rPr>
        <w:t>South Med J,</w:t>
      </w:r>
      <w:r>
        <w:rPr/>
        <w:t xml:space="preserve"> 92(3): 300-4.  </w:t>
      </w:r>
    </w:p>
    <w:p>
      <w:pPr>
        <w:pStyle w:val="Normal"/>
        <w:spacing w:lineRule="auto" w:line="480"/>
        <w:rPr/>
      </w:pPr>
      <w:r>
        <w:rPr/>
      </w:r>
    </w:p>
    <w:p>
      <w:pPr>
        <w:pStyle w:val="Normal"/>
        <w:spacing w:lineRule="auto" w:line="480"/>
        <w:rPr/>
      </w:pPr>
      <w:r>
        <w:rPr/>
        <w:t xml:space="preserve">Close, D.R., Kristal, A.R., Li, S., Patterson, R.E., White, E. (1998) Associations of demographic and health-related characteristics with prostate cancer screening in Washington State. </w:t>
      </w:r>
      <w:r>
        <w:rPr>
          <w:u w:val="single"/>
        </w:rPr>
        <w:t>Cancer Epidemiol Biomarkers Prev,</w:t>
      </w:r>
      <w:r>
        <w:rPr/>
        <w:t xml:space="preserve"> 7: 627-630.</w:t>
      </w:r>
    </w:p>
    <w:p>
      <w:pPr>
        <w:pStyle w:val="Normal"/>
        <w:spacing w:lineRule="auto" w:line="480"/>
        <w:rPr/>
      </w:pPr>
      <w:r>
        <w:rPr/>
      </w:r>
    </w:p>
    <w:p>
      <w:pPr>
        <w:pStyle w:val="Normal"/>
        <w:spacing w:lineRule="auto" w:line="480"/>
        <w:rPr/>
      </w:pPr>
      <w:r>
        <w:rPr/>
        <w:t xml:space="preserve">Coldman, A.J., Phillips, N., Pickles, T.A. (2003).  Trends in prostate cancer incidence and mortality: an analysis of mortality changes by screening intensity.  </w:t>
      </w:r>
      <w:r>
        <w:rPr>
          <w:u w:val="single"/>
        </w:rPr>
        <w:t>Canadian Medical Association Journal,</w:t>
      </w:r>
      <w:r>
        <w:rPr/>
        <w:t xml:space="preserve"> 168(1): 51-5.  </w:t>
      </w:r>
    </w:p>
    <w:p>
      <w:pPr>
        <w:pStyle w:val="Normal"/>
        <w:spacing w:lineRule="auto" w:line="480"/>
        <w:ind w:left="360" w:right="0" w:hanging="0"/>
        <w:rPr/>
      </w:pPr>
      <w:r>
        <w:rPr/>
      </w:r>
    </w:p>
    <w:p>
      <w:pPr>
        <w:pStyle w:val="Normal"/>
        <w:spacing w:lineRule="auto" w:line="480"/>
        <w:rPr/>
      </w:pPr>
      <w:r>
        <w:rPr/>
        <w:t xml:space="preserve">De Grasse, C.E., O’Connor, A.M., Boulet, J., Edwards, N., Bryant, H., Breithaupt, K. (1999) Changes in Canadian women’s mammography rates since the implementation of mass screening programs.  </w:t>
      </w:r>
      <w:r>
        <w:rPr>
          <w:u w:val="single"/>
        </w:rPr>
        <w:t>Am J Public Health,</w:t>
      </w:r>
      <w:r>
        <w:rPr/>
        <w:t xml:space="preserve"> 89(6): 927-9.  </w:t>
      </w:r>
    </w:p>
    <w:p>
      <w:pPr>
        <w:pStyle w:val="Normal"/>
        <w:spacing w:lineRule="auto" w:line="480"/>
        <w:rPr/>
      </w:pPr>
      <w:r>
        <w:rPr/>
      </w:r>
    </w:p>
    <w:p>
      <w:pPr>
        <w:pStyle w:val="Normal"/>
        <w:spacing w:lineRule="auto" w:line="480"/>
        <w:rPr>
          <w:szCs w:val="20"/>
          <w:lang w:val="da-DK"/>
        </w:rPr>
      </w:pPr>
      <w:r>
        <w:rPr/>
        <w:t xml:space="preserve">Edwards, N., Boulet, J. (1997) Implementing breast cancer screening guidelines: results of the Ontario Health Status Survey. </w:t>
      </w:r>
      <w:r>
        <w:rPr>
          <w:szCs w:val="20"/>
          <w:u w:val="single"/>
          <w:lang w:val="da-DK"/>
        </w:rPr>
        <w:t>Am J Prev Med</w:t>
      </w:r>
      <w:r>
        <w:rPr>
          <w:szCs w:val="20"/>
          <w:lang w:val="da-DK"/>
        </w:rPr>
        <w:t>, 13(2):143-9.</w:t>
      </w:r>
    </w:p>
    <w:p>
      <w:pPr>
        <w:pStyle w:val="Normal"/>
        <w:spacing w:lineRule="auto" w:line="480"/>
        <w:rPr>
          <w:lang w:val="da-DK"/>
        </w:rPr>
      </w:pPr>
      <w:r>
        <w:rPr>
          <w:lang w:val="da-DK"/>
        </w:rPr>
      </w:r>
    </w:p>
    <w:p>
      <w:pPr>
        <w:pStyle w:val="Normal"/>
        <w:spacing w:lineRule="auto" w:line="480"/>
        <w:rPr/>
      </w:pPr>
      <w:r>
        <w:rPr>
          <w:lang w:val="da-DK"/>
        </w:rPr>
        <w:t xml:space="preserve">Eisen, S.A., Waterman, B., Skinner, C.S., Scherrer, J.F., Romeis, J.C. et al.  </w:t>
      </w:r>
      <w:r>
        <w:rPr/>
        <w:t xml:space="preserve">(1999) Socio-demographic and health status characteristics associated with prostate cancer screening in a national cohort of middle-aged male veterans.  </w:t>
      </w:r>
      <w:r>
        <w:rPr>
          <w:u w:val="single"/>
        </w:rPr>
        <w:t>Urology,</w:t>
      </w:r>
      <w:r>
        <w:rPr/>
        <w:t xml:space="preserve"> 53: 516-522.  </w:t>
      </w:r>
    </w:p>
    <w:p>
      <w:pPr>
        <w:pStyle w:val="Normal"/>
        <w:spacing w:lineRule="auto" w:line="480"/>
        <w:rPr/>
      </w:pPr>
      <w:r>
        <w:rPr/>
      </w:r>
    </w:p>
    <w:p>
      <w:pPr>
        <w:pStyle w:val="Normal"/>
        <w:spacing w:lineRule="auto" w:line="480"/>
        <w:rPr/>
      </w:pPr>
      <w:r>
        <w:rPr/>
        <w:t xml:space="preserve">Feightner, J.W., editor (1994). Screening for prostate cancer.  </w:t>
      </w:r>
      <w:r>
        <w:rPr>
          <w:u w:val="single"/>
        </w:rPr>
        <w:t>Canadian Task Force on Periodic Health Examination.</w:t>
      </w:r>
      <w:r>
        <w:rPr/>
        <w:t xml:space="preserve">  Ottawa, Health Canada: 812-823.  </w:t>
      </w:r>
    </w:p>
    <w:p>
      <w:pPr>
        <w:pStyle w:val="Header"/>
        <w:spacing w:lineRule="auto" w:line="480"/>
        <w:rPr/>
      </w:pPr>
      <w:r>
        <w:rPr/>
      </w:r>
    </w:p>
    <w:p>
      <w:pPr>
        <w:pStyle w:val="Normal"/>
        <w:spacing w:lineRule="auto" w:line="480"/>
        <w:rPr/>
      </w:pPr>
      <w:r>
        <w:rPr/>
        <w:t xml:space="preserve">Finkelstein, M.M. (2002). Preventive screening. What factors influence testing?  </w:t>
      </w:r>
      <w:r>
        <w:rPr>
          <w:u w:val="single"/>
        </w:rPr>
        <w:t>Can Fam Physician,</w:t>
      </w:r>
      <w:r>
        <w:rPr/>
        <w:t xml:space="preserve"> 48:1494-501.  </w:t>
      </w:r>
    </w:p>
    <w:p>
      <w:pPr>
        <w:pStyle w:val="Normal"/>
        <w:spacing w:lineRule="auto" w:line="480"/>
        <w:rPr/>
      </w:pPr>
      <w:r>
        <w:rPr/>
      </w:r>
    </w:p>
    <w:p>
      <w:pPr>
        <w:pStyle w:val="Normal"/>
        <w:spacing w:lineRule="auto" w:line="480"/>
        <w:rPr/>
      </w:pPr>
      <w:r>
        <w:rPr/>
        <w:t xml:space="preserve">Gibbons, L., Waters, C., Mao, Y., Ellison, L. (2001) Trends in colorectal cancer incidence and mortality. </w:t>
      </w:r>
      <w:r>
        <w:rPr>
          <w:u w:val="single"/>
        </w:rPr>
        <w:t>Statistics Canada Health Report,</w:t>
      </w:r>
      <w:r>
        <w:rPr/>
        <w:t xml:space="preserve"> 12(2):41-55.</w:t>
      </w:r>
    </w:p>
    <w:p>
      <w:pPr>
        <w:pStyle w:val="Normal"/>
        <w:spacing w:lineRule="auto" w:line="480"/>
        <w:rPr/>
      </w:pPr>
      <w:r>
        <w:rPr/>
      </w:r>
    </w:p>
    <w:p>
      <w:pPr>
        <w:pStyle w:val="Normal"/>
        <w:spacing w:lineRule="auto" w:line="480"/>
        <w:rPr/>
      </w:pPr>
      <w:r>
        <w:rPr/>
        <w:t xml:space="preserve">Gibbons, L. and Waters, C. (2003). Prostate cancer – testing, incidence, surgery and mortality. </w:t>
      </w:r>
      <w:r>
        <w:rPr>
          <w:u w:val="single"/>
        </w:rPr>
        <w:t>Statistics Canada Health Report</w:t>
      </w:r>
      <w:r>
        <w:rPr/>
        <w:t>, 14(3): 9-20.</w:t>
      </w:r>
    </w:p>
    <w:p>
      <w:pPr>
        <w:pStyle w:val="Normal"/>
        <w:spacing w:lineRule="auto" w:line="480"/>
        <w:rPr/>
      </w:pPr>
      <w:r>
        <w:rPr/>
      </w:r>
    </w:p>
    <w:p>
      <w:pPr>
        <w:pStyle w:val="Normal"/>
        <w:spacing w:lineRule="auto" w:line="480"/>
        <w:rPr/>
      </w:pPr>
      <w:hyperlink r:id="rId3">
        <w:r>
          <w:rPr>
            <w:rStyle w:val="InternetLink"/>
            <w:color w:val="000000"/>
            <w:u w:val="none"/>
          </w:rPr>
          <w:t>Gohagan JK, Prorok PC, Kramer BS, Cornett JE. Prostate cancer screening in the prostate, lung, colorectal and ovarian cancer screening trial of the National Cancer Institute. J Urol. 1994 Nov;152(5 Pt 2):1905-9.</w:t>
        </w:r>
      </w:hyperlink>
      <w:r>
        <w:rPr/>
        <w:t xml:space="preserve"> (Available at:  http://www.cancer.gov/prevention/plco)</w:t>
      </w:r>
    </w:p>
    <w:p>
      <w:pPr>
        <w:pStyle w:val="Normal"/>
        <w:spacing w:lineRule="auto" w:line="480"/>
        <w:rPr/>
      </w:pPr>
      <w:r>
        <w:rPr/>
      </w:r>
    </w:p>
    <w:p>
      <w:pPr>
        <w:pStyle w:val="Normal"/>
        <w:spacing w:lineRule="auto" w:line="480"/>
        <w:rPr>
          <w:rStyle w:val="InternetLink"/>
        </w:rPr>
      </w:pPr>
      <w:r>
        <w:rPr/>
        <w:t xml:space="preserve">Health Canada. (1999) Statistical report on the health of Canadians. Ottawa, Ont. </w:t>
        <w:br/>
        <w:t xml:space="preserve">Available at: </w:t>
      </w:r>
      <w:hyperlink r:id="rId4">
        <w:r>
          <w:rPr>
            <w:rStyle w:val="InternetLink"/>
          </w:rPr>
          <w:t>http://www.statcan.ca/english/IPS/Data/82-570-XIE.htm</w:t>
        </w:r>
      </w:hyperlink>
    </w:p>
    <w:p>
      <w:pPr>
        <w:pStyle w:val="Normal"/>
        <w:spacing w:lineRule="auto" w:line="480"/>
        <w:rPr/>
      </w:pPr>
      <w:r>
        <w:rPr/>
      </w:r>
    </w:p>
    <w:p>
      <w:pPr>
        <w:pStyle w:val="Normal"/>
        <w:autoSpaceDE w:val="false"/>
        <w:spacing w:lineRule="auto" w:line="480"/>
        <w:rPr>
          <w:bCs/>
          <w:color w:val="292526"/>
        </w:rPr>
      </w:pPr>
      <w:r>
        <w:rPr/>
        <w:t>Health Canada. (2004) Progress report on cancer control in Canada. Ottawa, Ont.</w:t>
        <w:br/>
      </w:r>
      <w:r>
        <w:rPr>
          <w:color w:val="292526"/>
        </w:rPr>
        <w:t xml:space="preserve">Cat. No. H39-4/50-2004E-PDF    </w:t>
      </w:r>
      <w:r>
        <w:rPr/>
        <w:t xml:space="preserve">Available at: </w:t>
      </w:r>
      <w:r>
        <w:rPr>
          <w:color w:val="292526"/>
        </w:rPr>
        <w:t xml:space="preserve">at </w:t>
      </w:r>
      <w:r>
        <w:rPr>
          <w:bCs/>
          <w:color w:val="292526"/>
        </w:rPr>
        <w:t>http://www.hc-sc.gc.ca</w:t>
      </w:r>
    </w:p>
    <w:p>
      <w:pPr>
        <w:pStyle w:val="Normal"/>
        <w:spacing w:lineRule="auto" w:line="480"/>
        <w:ind w:left="360" w:right="0" w:hanging="0"/>
        <w:rPr/>
      </w:pPr>
      <w:r>
        <w:rPr/>
      </w:r>
    </w:p>
    <w:p>
      <w:pPr>
        <w:pStyle w:val="Normal"/>
        <w:spacing w:lineRule="auto" w:line="480"/>
        <w:rPr/>
      </w:pPr>
      <w:r>
        <w:rPr>
          <w:lang w:val="da-DK"/>
        </w:rPr>
        <w:t xml:space="preserve">Hoffman, R.M., Papenfuss, M.R., Buller, D.B, et al.  </w:t>
      </w:r>
      <w:r>
        <w:rPr/>
        <w:t xml:space="preserve">(1996). Attitudes and practices of primary care physicians for prostate cancer screening.  </w:t>
      </w:r>
      <w:r>
        <w:rPr>
          <w:u w:val="single"/>
        </w:rPr>
        <w:t>Am J Prev Med,</w:t>
      </w:r>
      <w:r>
        <w:rPr/>
        <w:t xml:space="preserve"> 12: 277-281</w:t>
      </w:r>
    </w:p>
    <w:p>
      <w:pPr>
        <w:pStyle w:val="Normal"/>
        <w:spacing w:lineRule="auto" w:line="480"/>
        <w:rPr/>
      </w:pPr>
      <w:r>
        <w:rPr/>
      </w:r>
    </w:p>
    <w:p>
      <w:pPr>
        <w:pStyle w:val="Normal"/>
        <w:spacing w:lineRule="auto" w:line="480"/>
        <w:rPr/>
      </w:pPr>
      <w:r>
        <w:rPr/>
        <w:t xml:space="preserve">Hoffman, R.M., and Gilliland, F.D. (1999) A population-based survey of prostate cancer testing in New Mexico. </w:t>
      </w:r>
      <w:r>
        <w:rPr>
          <w:u w:val="single"/>
        </w:rPr>
        <w:t>J Community Health,</w:t>
      </w:r>
      <w:r>
        <w:rPr/>
        <w:t xml:space="preserve"> 24: 409-419</w:t>
      </w:r>
    </w:p>
    <w:p>
      <w:pPr>
        <w:pStyle w:val="Normal"/>
        <w:spacing w:lineRule="auto" w:line="480"/>
        <w:rPr/>
      </w:pPr>
      <w:r>
        <w:rPr/>
      </w:r>
    </w:p>
    <w:p>
      <w:pPr>
        <w:pStyle w:val="Normal"/>
        <w:spacing w:lineRule="auto" w:line="480"/>
        <w:rPr/>
      </w:pPr>
      <w:r>
        <w:rPr/>
        <w:t xml:space="preserve">Hoffman, R.M. (2003) An argument against routine prostate cancer screening. </w:t>
      </w:r>
      <w:r>
        <w:rPr>
          <w:u w:val="single"/>
        </w:rPr>
        <w:t>Arch Intern Med,</w:t>
      </w:r>
      <w:r>
        <w:rPr/>
        <w:t xml:space="preserve"> 163: 663-665.</w:t>
      </w:r>
    </w:p>
    <w:p>
      <w:pPr>
        <w:pStyle w:val="Normal"/>
        <w:spacing w:lineRule="auto" w:line="480"/>
        <w:rPr/>
      </w:pPr>
      <w:r>
        <w:rPr/>
      </w:r>
    </w:p>
    <w:p>
      <w:pPr>
        <w:pStyle w:val="Normal"/>
        <w:spacing w:lineRule="auto" w:line="480"/>
        <w:rPr/>
      </w:pPr>
      <w:r>
        <w:rPr/>
        <w:t xml:space="preserve">Klein, D. (2003) Short Report: Adolescents’ health. Does having a family physician make a difference? </w:t>
      </w:r>
      <w:r>
        <w:rPr>
          <w:u w:val="single"/>
        </w:rPr>
        <w:t>Can Fam Physician,</w:t>
      </w:r>
      <w:r>
        <w:rPr/>
        <w:t xml:space="preserve"> 49: 1000-1002.</w:t>
      </w:r>
    </w:p>
    <w:p>
      <w:pPr>
        <w:pStyle w:val="Normal"/>
        <w:spacing w:lineRule="auto" w:line="480"/>
        <w:rPr>
          <w:color w:val="FF0000"/>
        </w:rPr>
      </w:pPr>
      <w:r>
        <w:rPr>
          <w:color w:val="FF0000"/>
        </w:rPr>
      </w:r>
    </w:p>
    <w:p>
      <w:pPr>
        <w:pStyle w:val="Normal"/>
        <w:spacing w:lineRule="auto" w:line="480"/>
        <w:rPr/>
      </w:pPr>
      <w:r>
        <w:rPr/>
        <w:t xml:space="preserve">Lemon, S., Zapka, J., Puleo, E., Luckman, r., Chasen-Taber, L. (2001) Colorectal cancer screening participation: comparisons with mammography and prostate-specific antigen screening. </w:t>
      </w:r>
      <w:r>
        <w:rPr>
          <w:u w:val="single"/>
        </w:rPr>
        <w:t>Am J Public Health,</w:t>
      </w:r>
      <w:r>
        <w:rPr/>
        <w:t xml:space="preserve"> 91(8): 1264-1272.</w:t>
      </w:r>
    </w:p>
    <w:p>
      <w:pPr>
        <w:pStyle w:val="Normal"/>
        <w:spacing w:lineRule="auto" w:line="480"/>
        <w:rPr/>
      </w:pPr>
      <w:r>
        <w:rPr/>
      </w:r>
    </w:p>
    <w:p>
      <w:pPr>
        <w:pStyle w:val="Normal"/>
        <w:spacing w:lineRule="auto" w:line="480"/>
        <w:rPr/>
      </w:pPr>
      <w:r>
        <w:rPr/>
        <w:t xml:space="preserve">Livingston, P., Cohen, P., Frydenberg, M., Borland, R., Reading, D., Clarke, V., Hill, D. (2002).  Knowledge, attitudes and experience associated with testing for prostate cancer: a comparison between male doctors and men in the community.  </w:t>
      </w:r>
      <w:r>
        <w:rPr>
          <w:u w:val="single"/>
        </w:rPr>
        <w:t>Intern Med J,</w:t>
      </w:r>
      <w:r>
        <w:rPr/>
        <w:t xml:space="preserve"> 32(5-6): 215-23</w:t>
      </w:r>
    </w:p>
    <w:p>
      <w:pPr>
        <w:pStyle w:val="Header"/>
        <w:spacing w:lineRule="auto" w:line="480"/>
        <w:rPr/>
      </w:pPr>
      <w:r>
        <w:rPr/>
      </w:r>
    </w:p>
    <w:p>
      <w:pPr>
        <w:pStyle w:val="Header"/>
        <w:spacing w:lineRule="auto" w:line="480"/>
        <w:rPr/>
      </w:pPr>
      <w:r>
        <w:rPr/>
        <w:t xml:space="preserve">McDavid, K., Melnik, T.A., Derderian, H. (2000) Prostate cancer screening trends of New York State men at least 50 years of age, 1994 to 1997. </w:t>
      </w:r>
      <w:r>
        <w:rPr>
          <w:u w:val="single"/>
        </w:rPr>
        <w:t>Prev Med</w:t>
      </w:r>
      <w:r>
        <w:rPr/>
        <w:t>, 31: 195-202.</w:t>
      </w:r>
    </w:p>
    <w:p>
      <w:pPr>
        <w:pStyle w:val="Header"/>
        <w:spacing w:lineRule="auto" w:line="480"/>
        <w:rPr/>
      </w:pPr>
      <w:r>
        <w:rPr/>
      </w:r>
    </w:p>
    <w:p>
      <w:pPr>
        <w:pStyle w:val="Normal"/>
        <w:spacing w:lineRule="auto" w:line="480"/>
        <w:rPr/>
      </w:pPr>
      <w:r>
        <w:rPr/>
        <w:t xml:space="preserve">McGregor, S.E., Bryant, H.E., Brant, R.F., Corbett, P.J.  (2002). Prevalence of PSA testing and effect of clinical indications on pattern of PSA testing in a population-based sample of Alberta men.  </w:t>
      </w:r>
      <w:r>
        <w:rPr>
          <w:u w:val="single"/>
        </w:rPr>
        <w:t>Chronic Dis Canada,</w:t>
      </w:r>
      <w:r>
        <w:rPr/>
        <w:t xml:space="preserve"> 23(3): 111-119.</w:t>
      </w:r>
    </w:p>
    <w:p>
      <w:pPr>
        <w:pStyle w:val="Normal"/>
        <w:spacing w:lineRule="auto" w:line="480"/>
        <w:rPr>
          <w:color w:val="FF0000"/>
        </w:rPr>
      </w:pPr>
      <w:r>
        <w:rPr>
          <w:color w:val="FF0000"/>
        </w:rPr>
      </w:r>
    </w:p>
    <w:p>
      <w:pPr>
        <w:pStyle w:val="Normal"/>
        <w:spacing w:lineRule="auto" w:line="480"/>
        <w:rPr/>
      </w:pPr>
      <w:r>
        <w:rPr/>
        <w:t xml:space="preserve">McIssac, W.J., Fuller-Thomson, E., Talbot, Y. (2001) Does having regular care by a family physician improve preventive care? </w:t>
      </w:r>
      <w:r>
        <w:rPr>
          <w:u w:val="single"/>
        </w:rPr>
        <w:t>Can Fam Physician,</w:t>
      </w:r>
      <w:r>
        <w:rPr/>
        <w:t xml:space="preserve"> 47: 70-76.</w:t>
      </w:r>
    </w:p>
    <w:p>
      <w:pPr>
        <w:pStyle w:val="Normal"/>
        <w:spacing w:lineRule="auto" w:line="480"/>
        <w:rPr>
          <w:color w:val="FF0000"/>
        </w:rPr>
      </w:pPr>
      <w:r>
        <w:rPr>
          <w:color w:val="FF0000"/>
        </w:rPr>
      </w:r>
    </w:p>
    <w:p>
      <w:pPr>
        <w:pStyle w:val="Normal"/>
        <w:spacing w:lineRule="auto" w:line="480"/>
        <w:rPr/>
      </w:pPr>
      <w:r>
        <w:rPr/>
        <w:t xml:space="preserve">McNaughton, C.M., Stafford R.S., Barry, M.J. (2000) Age-specific patterns of prostate-specific antigen testing among primary care physician visits. </w:t>
      </w:r>
      <w:r>
        <w:rPr>
          <w:u w:val="single"/>
        </w:rPr>
        <w:t>J Fam Pract,</w:t>
      </w:r>
      <w:r>
        <w:rPr/>
        <w:t xml:space="preserve"> 49(2): 169-172.</w:t>
      </w:r>
    </w:p>
    <w:p>
      <w:pPr>
        <w:pStyle w:val="Normal"/>
        <w:spacing w:lineRule="auto" w:line="480"/>
        <w:rPr/>
      </w:pPr>
      <w:r>
        <w:rPr/>
        <w:t xml:space="preserve">Meigs, J.B., Barry, M.J., Giovannucci, E., Rimm, E.B., Stampfer, M.J., Kawachi, I. (1998) High rates of prostate specific antigen testing in men with evidence of benign prostatic hyperplasia. </w:t>
      </w:r>
      <w:r>
        <w:rPr>
          <w:u w:val="single"/>
        </w:rPr>
        <w:t>Am J Med</w:t>
      </w:r>
      <w:r>
        <w:rPr/>
        <w:t>, 104(6): 517-25.</w:t>
      </w:r>
    </w:p>
    <w:p>
      <w:pPr>
        <w:pStyle w:val="Normal"/>
        <w:spacing w:lineRule="auto" w:line="480"/>
        <w:rPr/>
      </w:pPr>
      <w:r>
        <w:rPr/>
      </w:r>
    </w:p>
    <w:p>
      <w:pPr>
        <w:pStyle w:val="Normal"/>
        <w:spacing w:lineRule="auto" w:line="480"/>
        <w:rPr/>
      </w:pPr>
      <w:r>
        <w:rPr/>
        <w:t xml:space="preserve">Mitka, M. (2004) Is PSA testing still useful? </w:t>
      </w:r>
      <w:r>
        <w:rPr>
          <w:u w:val="single"/>
        </w:rPr>
        <w:t>JAMA,</w:t>
      </w:r>
      <w:r>
        <w:rPr/>
        <w:t xml:space="preserve"> 292(19): 2326-2327.</w:t>
      </w:r>
    </w:p>
    <w:p>
      <w:pPr>
        <w:pStyle w:val="Normal"/>
        <w:spacing w:lineRule="auto" w:line="480"/>
        <w:rPr/>
      </w:pPr>
      <w:r>
        <w:rPr/>
      </w:r>
    </w:p>
    <w:p>
      <w:pPr>
        <w:pStyle w:val="Normal"/>
        <w:spacing w:lineRule="auto" w:line="480"/>
        <w:rPr/>
      </w:pPr>
      <w:r>
        <w:rPr/>
        <w:t xml:space="preserve">Mercer, S.L., Goel, V. (1997) Factors associated with the use of mammography: the Ontario Health Survey.  </w:t>
      </w:r>
      <w:r>
        <w:rPr>
          <w:u w:val="single"/>
        </w:rPr>
        <w:t>Cancer Prev and Control,</w:t>
      </w:r>
      <w:r>
        <w:rPr/>
        <w:t xml:space="preserve"> 1(2): 144-51.  </w:t>
      </w:r>
    </w:p>
    <w:p>
      <w:pPr>
        <w:pStyle w:val="Normal"/>
        <w:spacing w:lineRule="auto" w:line="480"/>
        <w:rPr/>
      </w:pPr>
      <w:r>
        <w:rPr/>
      </w:r>
    </w:p>
    <w:p>
      <w:pPr>
        <w:pStyle w:val="Normal"/>
        <w:spacing w:lineRule="auto" w:line="480"/>
        <w:rPr/>
      </w:pPr>
      <w:r>
        <w:rPr/>
        <w:t xml:space="preserve">Merrill, R.M.  Demographics and health-related factors of men receiving prostate-specific antigen screening in Utah.  </w:t>
      </w:r>
      <w:r>
        <w:rPr>
          <w:u w:val="single"/>
        </w:rPr>
        <w:t>Prev Med</w:t>
      </w:r>
      <w:r>
        <w:rPr/>
        <w:t xml:space="preserve">, 33: 646-652.   </w:t>
      </w:r>
    </w:p>
    <w:p>
      <w:pPr>
        <w:pStyle w:val="Normal"/>
        <w:spacing w:lineRule="auto" w:line="480"/>
        <w:ind w:left="360" w:right="0" w:hanging="0"/>
        <w:rPr/>
      </w:pPr>
      <w:r>
        <w:rPr/>
      </w:r>
    </w:p>
    <w:p>
      <w:pPr>
        <w:pStyle w:val="Normal"/>
        <w:spacing w:lineRule="auto" w:line="480"/>
        <w:rPr/>
      </w:pPr>
      <w:r>
        <w:rPr/>
        <w:t xml:space="preserve">Moran, W.P., Cohen, S.J., Preisser, J.S., Wofford, J.L., Shelton, B.J., McClatchey, M.W. (2000).  Factors influencing use of prostate-specific antigen screening test in primary care.  </w:t>
      </w:r>
      <w:r>
        <w:rPr>
          <w:u w:val="single"/>
        </w:rPr>
        <w:t>Am J Manag Care</w:t>
      </w:r>
      <w:r>
        <w:rPr/>
        <w:t xml:space="preserve">, 6(3): 315-24.  </w:t>
      </w:r>
    </w:p>
    <w:p>
      <w:pPr>
        <w:pStyle w:val="Normal"/>
        <w:spacing w:lineRule="auto" w:line="480"/>
        <w:rPr/>
      </w:pPr>
      <w:r>
        <w:rPr/>
      </w:r>
    </w:p>
    <w:p>
      <w:pPr>
        <w:pStyle w:val="Normal"/>
        <w:spacing w:lineRule="auto" w:line="480"/>
        <w:rPr>
          <w:color w:val="333333"/>
        </w:rPr>
      </w:pPr>
      <w:r>
        <w:rPr>
          <w:color w:val="333333"/>
        </w:rPr>
        <w:t xml:space="preserve">Perkins, J.J., Sanson-Fishe, R.W., Clarke, S.J., Youman, P. (1998) An exploration of prostate cancer screening practices and associated community expenditure. </w:t>
      </w:r>
      <w:r>
        <w:rPr>
          <w:color w:val="333333"/>
          <w:u w:val="single"/>
        </w:rPr>
        <w:t>British Journal of Urology,</w:t>
      </w:r>
      <w:r>
        <w:rPr>
          <w:color w:val="333333"/>
        </w:rPr>
        <w:t xml:space="preserve"> 82:524-29.</w:t>
      </w:r>
    </w:p>
    <w:p>
      <w:pPr>
        <w:pStyle w:val="Normal"/>
        <w:spacing w:lineRule="auto" w:line="480"/>
        <w:rPr>
          <w:color w:val="333333"/>
        </w:rPr>
      </w:pPr>
      <w:r>
        <w:rPr>
          <w:color w:val="333333"/>
        </w:rPr>
      </w:r>
    </w:p>
    <w:p>
      <w:pPr>
        <w:pStyle w:val="Normal"/>
        <w:spacing w:lineRule="auto" w:line="480"/>
        <w:rPr>
          <w:color w:val="333333"/>
        </w:rPr>
      </w:pPr>
      <w:r>
        <w:rPr>
          <w:color w:val="333333"/>
        </w:rPr>
        <w:t>Pickles T. (2004) Current Status of PSA screening. Can Fam Physician, 50:57-63.</w:t>
      </w:r>
    </w:p>
    <w:p>
      <w:pPr>
        <w:pStyle w:val="Normal"/>
        <w:spacing w:lineRule="auto" w:line="480"/>
        <w:rPr/>
      </w:pPr>
      <w:r>
        <w:rPr/>
      </w:r>
    </w:p>
    <w:p>
      <w:pPr>
        <w:pStyle w:val="Normal"/>
        <w:spacing w:lineRule="auto" w:line="480"/>
        <w:rPr/>
      </w:pPr>
      <w:r>
        <w:rPr>
          <w:rFonts w:cs="Arial"/>
        </w:rPr>
        <w:t xml:space="preserve">Rothman, K. (2002). </w:t>
      </w:r>
      <w:r>
        <w:rPr>
          <w:rFonts w:cs="Arial"/>
          <w:u w:val="single"/>
        </w:rPr>
        <w:t>Epidemiology. An Introduction.</w:t>
      </w:r>
      <w:r>
        <w:rPr>
          <w:rFonts w:cs="Arial"/>
        </w:rPr>
        <w:t xml:space="preserve"> Oxford University Press, Inc. New York pp 204</w:t>
      </w:r>
      <w:r>
        <w:rPr/>
        <w:t>.</w:t>
      </w:r>
    </w:p>
    <w:p>
      <w:pPr>
        <w:pStyle w:val="Normal"/>
        <w:spacing w:lineRule="auto" w:line="480"/>
        <w:rPr/>
      </w:pPr>
      <w:r>
        <w:rPr/>
      </w:r>
    </w:p>
    <w:p>
      <w:pPr>
        <w:pStyle w:val="Normal"/>
        <w:spacing w:lineRule="auto" w:line="480"/>
        <w:rPr>
          <w:rStyle w:val="InternetLink"/>
        </w:rPr>
      </w:pPr>
      <w:r>
        <w:rPr/>
        <w:t xml:space="preserve">Saskatchewan Cancer Control Report (2002). Available at: </w:t>
      </w:r>
      <w:hyperlink r:id="rId5">
        <w:r>
          <w:rPr>
            <w:rStyle w:val="InternetLink"/>
          </w:rPr>
          <w:t>http://www.scf.sk.ca/sccr/2004/sccr_2004.pdf</w:t>
        </w:r>
      </w:hyperlink>
    </w:p>
    <w:p>
      <w:pPr>
        <w:pStyle w:val="Normal"/>
        <w:spacing w:lineRule="auto" w:line="480"/>
        <w:rPr/>
      </w:pPr>
      <w:r>
        <w:rPr/>
      </w:r>
    </w:p>
    <w:p>
      <w:pPr>
        <w:pStyle w:val="Normal"/>
        <w:spacing w:lineRule="auto" w:line="480"/>
        <w:rPr>
          <w:rStyle w:val="InternetLink"/>
        </w:rPr>
      </w:pPr>
      <w:r>
        <w:rPr/>
        <w:t xml:space="preserve">Schroder FH. (2006) </w:t>
      </w:r>
      <w:r>
        <w:rPr>
          <w:rStyle w:val="Normalbold1"/>
          <w:rFonts w:cs="Times New Roman"/>
          <w:b w:val="false"/>
          <w:sz w:val="24"/>
          <w:szCs w:val="24"/>
        </w:rPr>
        <w:t>European Randomized Study of Screening for Prostate Cancer.</w:t>
      </w:r>
      <w:r>
        <w:rPr>
          <w:b/>
        </w:rPr>
        <w:t xml:space="preserve"> </w:t>
      </w:r>
      <w:r>
        <w:rPr/>
        <w:t xml:space="preserve">Nederlands Trial Register. Available at: </w:t>
      </w:r>
      <w:hyperlink r:id="rId6">
        <w:r>
          <w:rPr>
            <w:rStyle w:val="InternetLink"/>
          </w:rPr>
          <w:t>http://www.trialregister.nl/trialreg/admin/contactview.asp?CC=131</w:t>
        </w:r>
      </w:hyperlink>
    </w:p>
    <w:p>
      <w:pPr>
        <w:pStyle w:val="Normal"/>
        <w:spacing w:lineRule="auto" w:line="480"/>
        <w:rPr/>
      </w:pPr>
      <w:r>
        <w:rPr/>
      </w:r>
    </w:p>
    <w:p>
      <w:pPr>
        <w:pStyle w:val="Normal"/>
        <w:spacing w:lineRule="auto" w:line="480"/>
        <w:rPr/>
      </w:pPr>
      <w:r>
        <w:rPr/>
        <w:t xml:space="preserve">Sirovich B.E., Schwartz L.M., Woloshin, S. (2003) Screening men for prostate and colorectal cancer in the United States. </w:t>
      </w:r>
      <w:r>
        <w:rPr>
          <w:u w:val="single"/>
        </w:rPr>
        <w:t>JAMA,</w:t>
      </w:r>
      <w:r>
        <w:rPr/>
        <w:t xml:space="preserve"> 289(11): 1414-1420.</w:t>
      </w:r>
    </w:p>
    <w:p>
      <w:pPr>
        <w:pStyle w:val="Normal"/>
        <w:spacing w:lineRule="auto" w:line="480"/>
        <w:rPr/>
      </w:pPr>
      <w:r>
        <w:rPr/>
      </w:r>
    </w:p>
    <w:p>
      <w:pPr>
        <w:pStyle w:val="Normal"/>
        <w:spacing w:lineRule="auto" w:line="480"/>
        <w:rPr/>
      </w:pPr>
      <w:r>
        <w:rPr/>
        <w:t xml:space="preserve">Smith, RA., Mettlin, C.J., Davis, K.J., Eyre, H. (2000). American Cancer Society guidelines for the early detection of cancer.  </w:t>
      </w:r>
      <w:r>
        <w:rPr>
          <w:u w:val="single"/>
        </w:rPr>
        <w:t>CA Cancer J Clin</w:t>
      </w:r>
      <w:r>
        <w:rPr/>
        <w:t>, 50(1): 34-49.</w:t>
      </w:r>
    </w:p>
    <w:p>
      <w:pPr>
        <w:pStyle w:val="Normal"/>
        <w:spacing w:lineRule="auto" w:line="480"/>
        <w:rPr/>
      </w:pPr>
      <w:r>
        <w:rPr/>
      </w:r>
    </w:p>
    <w:p>
      <w:pPr>
        <w:pStyle w:val="Normal"/>
        <w:spacing w:lineRule="auto" w:line="480"/>
        <w:rPr/>
      </w:pPr>
      <w:r>
        <w:rPr/>
        <w:t xml:space="preserve">Stamey, T.A., Caldwell, M., McNeal, J.E., Nolley, R., Hemenez, M., Downs, J. (2004) The prostate specific antigen era in the United States is over for prostate cancer: What happened in the last 20 years? </w:t>
      </w:r>
    </w:p>
    <w:p>
      <w:pPr>
        <w:pStyle w:val="Normal"/>
        <w:spacing w:lineRule="auto" w:line="480"/>
        <w:rPr/>
      </w:pPr>
      <w:r>
        <w:rPr>
          <w:u w:val="single"/>
        </w:rPr>
        <w:t>J Urology,</w:t>
      </w:r>
      <w:r>
        <w:rPr/>
        <w:t xml:space="preserve"> 172: 1297-1301.</w:t>
      </w:r>
    </w:p>
    <w:p>
      <w:pPr>
        <w:pStyle w:val="Normal"/>
        <w:spacing w:lineRule="auto" w:line="480"/>
        <w:rPr/>
      </w:pPr>
      <w:r>
        <w:rPr/>
      </w:r>
    </w:p>
    <w:p>
      <w:pPr>
        <w:pStyle w:val="Normal"/>
        <w:spacing w:lineRule="auto" w:line="480"/>
        <w:rPr/>
      </w:pPr>
      <w:r>
        <w:rPr/>
        <w:t xml:space="preserve">Tudiver, F., Fuller-Thomson, E. (1999) Who has screening mammography?  Results from the 1994-1995 National Population Health Survey.  </w:t>
      </w:r>
      <w:r>
        <w:rPr>
          <w:u w:val="single"/>
        </w:rPr>
        <w:t xml:space="preserve">Can Fam Physician, 45: </w:t>
      </w:r>
      <w:r>
        <w:rPr/>
        <w:t xml:space="preserve">1901-7.  </w:t>
      </w:r>
    </w:p>
    <w:p>
      <w:pPr>
        <w:pStyle w:val="Normal"/>
        <w:spacing w:lineRule="auto" w:line="480"/>
        <w:rPr/>
      </w:pPr>
      <w:r>
        <w:rPr/>
      </w:r>
    </w:p>
    <w:p>
      <w:pPr>
        <w:pStyle w:val="Normal"/>
        <w:spacing w:lineRule="auto" w:line="480"/>
        <w:rPr/>
      </w:pPr>
      <w:r>
        <w:rPr/>
        <w:t xml:space="preserve">Tudiver, F., Guibert, R., Haggerty, J., Ciampi, A., Medved, W., Brown, J.B., Herbert, C., Katz, A., Ritvo, P., Grant, B., Goel, V., Smith, P., O’Beirne, M., Williams, J.I., Moliner, P. (2002) What influences family physician’s cancer screening decisions when practice guidelines are unclear or conflicting? </w:t>
      </w:r>
      <w:r>
        <w:rPr>
          <w:u w:val="single"/>
        </w:rPr>
        <w:t>J Fam Pract,</w:t>
      </w:r>
      <w:r>
        <w:rPr/>
        <w:t xml:space="preserve"> 51(9): 760.</w:t>
      </w:r>
    </w:p>
    <w:p>
      <w:pPr>
        <w:pStyle w:val="Header"/>
        <w:spacing w:lineRule="auto" w:line="480"/>
        <w:rPr/>
      </w:pPr>
      <w:r>
        <w:rPr/>
      </w:r>
    </w:p>
    <w:p>
      <w:pPr>
        <w:pStyle w:val="Normal"/>
        <w:spacing w:lineRule="auto" w:line="480"/>
        <w:rPr/>
      </w:pPr>
      <w:r>
        <w:rPr/>
        <w:t>Ward, J.E., Hughes, A.M., Hirst, G.H., Winchester, L. (1997).  Men’s estimates of prostate cancer risk and self-reported rates of screening</w:t>
      </w:r>
      <w:r>
        <w:rPr>
          <w:u w:val="single"/>
        </w:rPr>
        <w:t xml:space="preserve">.  Med J Aust, </w:t>
      </w:r>
      <w:r>
        <w:rPr/>
        <w:t>167(5): 250-253</w:t>
      </w:r>
    </w:p>
    <w:p>
      <w:pPr>
        <w:pStyle w:val="Normal"/>
        <w:spacing w:lineRule="auto" w:line="480"/>
        <w:rPr/>
      </w:pPr>
      <w:r>
        <w:rPr/>
      </w:r>
    </w:p>
    <w:p>
      <w:pPr>
        <w:pStyle w:val="Normal"/>
        <w:spacing w:lineRule="auto" w:line="480"/>
        <w:rPr/>
      </w:pPr>
      <w:r>
        <w:rPr/>
        <w:t xml:space="preserve">Weller, D., Pinnock, C., Silagy, C., Hiller, J.E., Marshall, V.R. (1998).  Prostate cancer testing in SA men: Influence of sociodemographic factors, health beliefs and LUTS.  </w:t>
      </w:r>
      <w:r>
        <w:rPr>
          <w:u w:val="single"/>
        </w:rPr>
        <w:t>Australian and New Zealand Journal of Public Health</w:t>
      </w:r>
      <w:r>
        <w:rPr/>
        <w:t xml:space="preserve">, 22(3): 400-402.  </w:t>
      </w:r>
    </w:p>
    <w:p>
      <w:pPr>
        <w:pStyle w:val="Normal"/>
        <w:spacing w:lineRule="auto" w:line="480"/>
        <w:rPr/>
      </w:pPr>
      <w:r>
        <w:rPr/>
      </w:r>
    </w:p>
    <w:p>
      <w:pPr>
        <w:pStyle w:val="Normal"/>
        <w:spacing w:lineRule="auto" w:line="480"/>
        <w:rPr/>
      </w:pPr>
      <w:r>
        <w:rPr/>
        <w:t xml:space="preserve">Williams, R.B., Boles, M.D., and Johnson, R.E. (1995)  Use of prostate-specific antigen for prostate cancer screening in primary care practice.  </w:t>
      </w:r>
      <w:r>
        <w:rPr>
          <w:u w:val="single"/>
        </w:rPr>
        <w:t>Arch Fam Med</w:t>
      </w:r>
      <w:r>
        <w:rPr/>
        <w:t xml:space="preserve">, 4: 311-315.  </w:t>
      </w:r>
    </w:p>
    <w:p>
      <w:pPr>
        <w:pStyle w:val="Normal"/>
        <w:spacing w:lineRule="auto" w:line="480"/>
        <w:rPr/>
      </w:pPr>
      <w:r>
        <w:rPr/>
      </w:r>
    </w:p>
    <w:sectPr>
      <w:headerReference w:type="default" r:id="rId7"/>
      <w:footerReference w:type="default" r:id="rId8"/>
      <w:type w:val="nextPage"/>
      <w:pgSz w:w="12240" w:h="15840"/>
      <w:pgMar w:left="1259" w:right="907" w:header="720" w:top="851" w:footer="72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sz w:val="20"/>
      </w:rPr>
    </w:pPr>
    <w:r>
      <w:rPr>
        <w:sz w:val="20"/>
      </w:rPr>
      <w:fldChar w:fldCharType="begin"/>
    </w:r>
    <w:r>
      <w:instrText> DATE \@"M\/d\/yyyy" </w:instrText>
    </w:r>
    <w:r>
      <w:fldChar w:fldCharType="separate"/>
    </w:r>
    <w:r>
      <w:t>5/27/2015</w:t>
    </w:r>
    <w:r>
      <w:fldChar w:fldCharType="end"/>
    </w:r>
    <w:r>
      <w:pict>
        <v:rect fillcolor="#FFFFFF" style="position:absolute;width:10.05pt;height:25.3pt;margin-top:0.05pt;margin-left:493.65pt">
          <v:fill opacity="0f"/>
          <v:textbox>
            <w:txbxContent>
              <w:p>
                <w:pPr>
                  <w:pStyle w:val="Footer"/>
                  <w:rPr>
                    <w:rStyle w:val="PageNumber"/>
                    <w:sz w:val="20"/>
                  </w:rPr>
                </w:pPr>
                <w:r>
                  <w:rPr>
                    <w:rStyle w:val="PageNumber"/>
                    <w:sz w:val="20"/>
                  </w:rPr>
                  <w:fldChar w:fldCharType="begin"/>
                </w:r>
                <w:r>
                  <w:instrText> PAGE </w:instrText>
                </w:r>
                <w:r>
                  <w:fldChar w:fldCharType="separate"/>
                </w:r>
                <w:r>
                  <w:t>24</w:t>
                </w:r>
                <w:r>
                  <w:fldChar w:fldCharType="end"/>
                </w:r>
              </w:p>
              <w:p>
                <w:pPr>
                  <w:pStyle w:val="Footer"/>
                  <w:rPr/>
                </w:pPr>
                <w:r>
                  <w:rPr/>
                </w:r>
              </w:p>
            </w:txbxContent>
          </v:textbox>
          <w10:wrap type="square" side="largest"/>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trackRevisions/>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jc w:val="center"/>
      <w:outlineLvl w:val="0"/>
      <w:outlineLvl w:val="0"/>
    </w:pPr>
    <w:rPr>
      <w:b/>
      <w:bCs/>
    </w:rPr>
  </w:style>
  <w:style w:type="paragraph" w:styleId="Heading2">
    <w:name w:val="Heading 2"/>
    <w:basedOn w:val="Normal"/>
    <w:next w:val="Normal"/>
    <w:pPr>
      <w:keepNext/>
      <w:numPr>
        <w:ilvl w:val="1"/>
        <w:numId w:val="1"/>
      </w:numPr>
      <w:outlineLvl w:val="1"/>
      <w:outlineLvl w:val="1"/>
    </w:pPr>
    <w:rPr>
      <w:b/>
      <w:bCs/>
    </w:rPr>
  </w:style>
  <w:style w:type="paragraph" w:styleId="Heading3">
    <w:name w:val="Heading 3"/>
    <w:basedOn w:val="Normal"/>
    <w:next w:val="Normal"/>
    <w:pPr>
      <w:keepNext/>
      <w:numPr>
        <w:ilvl w:val="2"/>
        <w:numId w:val="1"/>
      </w:numPr>
      <w:outlineLvl w:val="2"/>
      <w:outlineLvl w:val="2"/>
    </w:pPr>
    <w:rPr>
      <w:b/>
      <w:bCs/>
      <w:sz w:val="20"/>
    </w:rPr>
  </w:style>
  <w:style w:type="paragraph" w:styleId="Heading4">
    <w:name w:val="Heading 4"/>
    <w:basedOn w:val="Normal"/>
    <w:next w:val="Normal"/>
    <w:pPr>
      <w:keepNext/>
      <w:numPr>
        <w:ilvl w:val="3"/>
        <w:numId w:val="1"/>
      </w:numPr>
      <w:outlineLvl w:val="3"/>
      <w:outlineLvl w:val="3"/>
    </w:pPr>
    <w:rPr>
      <w:sz w:val="20"/>
      <w:u w:val="single"/>
    </w:rPr>
  </w:style>
  <w:style w:type="paragraph" w:styleId="Heading5">
    <w:name w:val="Heading 5"/>
    <w:basedOn w:val="Normal"/>
    <w:next w:val="Normal"/>
    <w:pPr>
      <w:numPr>
        <w:ilvl w:val="4"/>
        <w:numId w:val="1"/>
      </w:numPr>
      <w:spacing w:before="240" w:after="60"/>
      <w:outlineLvl w:val="4"/>
      <w:outlineLvl w:val="4"/>
    </w:pPr>
    <w:rPr>
      <w:b/>
      <w:bCs/>
      <w:i/>
      <w:iCs/>
      <w:sz w:val="26"/>
      <w:szCs w:val="26"/>
    </w:rPr>
  </w:style>
  <w:style w:type="paragraph" w:styleId="Heading6">
    <w:name w:val="Heading 6"/>
    <w:basedOn w:val="Normal"/>
    <w:next w:val="Normal"/>
    <w:pPr>
      <w:keepNext/>
      <w:numPr>
        <w:ilvl w:val="5"/>
        <w:numId w:val="1"/>
      </w:numPr>
      <w:spacing w:before="40" w:after="0"/>
      <w:jc w:val="center"/>
      <w:outlineLvl w:val="5"/>
      <w:outlineLvl w:val="5"/>
    </w:pPr>
    <w:rPr>
      <w:b/>
      <w:bCs/>
      <w:sz w:val="20"/>
      <w:szCs w:val="20"/>
    </w:rPr>
  </w:style>
  <w:style w:type="paragraph" w:styleId="Heading7">
    <w:name w:val="Heading 7"/>
    <w:basedOn w:val="Normal"/>
    <w:next w:val="Normal"/>
    <w:pPr>
      <w:keepNext/>
      <w:numPr>
        <w:ilvl w:val="6"/>
        <w:numId w:val="1"/>
      </w:numPr>
      <w:jc w:val="right"/>
      <w:outlineLvl w:val="6"/>
      <w:outlineLvl w:val="6"/>
    </w:pPr>
    <w:rPr>
      <w:i/>
      <w:sz w:val="22"/>
    </w:rPr>
  </w:style>
  <w:style w:type="paragraph" w:styleId="Heading8">
    <w:name w:val="Heading 8"/>
    <w:basedOn w:val="Normal"/>
    <w:next w:val="Normal"/>
    <w:pPr>
      <w:keepNext/>
      <w:numPr>
        <w:ilvl w:val="7"/>
        <w:numId w:val="1"/>
      </w:numPr>
      <w:spacing w:before="60" w:after="0"/>
      <w:outlineLvl w:val="7"/>
      <w:outlineLvl w:val="7"/>
    </w:pPr>
    <w:rPr>
      <w:b/>
      <w:i/>
      <w:sz w:val="20"/>
      <w:szCs w:val="20"/>
    </w:rPr>
  </w:style>
  <w:style w:type="paragraph" w:styleId="Heading9">
    <w:name w:val="Heading 9"/>
    <w:basedOn w:val="Normal"/>
    <w:next w:val="Normal"/>
    <w:pPr>
      <w:keepNext/>
      <w:numPr>
        <w:ilvl w:val="8"/>
        <w:numId w:val="1"/>
      </w:numPr>
      <w:autoSpaceDE w:val="false"/>
      <w:ind w:left="2160" w:right="0" w:firstLine="720"/>
      <w:outlineLvl w:val="8"/>
      <w:outlineLvl w:val="8"/>
    </w:pPr>
    <w:rPr>
      <w:b/>
      <w:bCs/>
    </w:rPr>
  </w:style>
  <w:style w:type="character" w:styleId="WW8Num1z0">
    <w:name w:val="WW8Num1z0"/>
    <w:rPr>
      <w:rFonts w:ascii="Symbol" w:hAnsi="Symbol" w:cs="Symbol"/>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cs="Symbo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sz w:val="24"/>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Times New Roman" w:hAnsi="Times New Roman" w:cs="Times New Roman"/>
      <w:b w:val="false"/>
      <w:i w:val="false"/>
      <w:sz w:val="22"/>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b w:val="false"/>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rFonts w:ascii="Symbol" w:hAnsi="Symbol" w:cs="Symbol"/>
    </w:rPr>
  </w:style>
  <w:style w:type="character" w:styleId="WW8Num9z1">
    <w:name w:val="WW8Num9z1"/>
    <w:rPr>
      <w:rFonts w:ascii="Courier New" w:hAnsi="Courier New" w:cs="Courier New"/>
    </w:rPr>
  </w:style>
  <w:style w:type="character" w:styleId="WW8Num9z2">
    <w:name w:val="WW8Num9z2"/>
    <w:rPr>
      <w:rFonts w:ascii="Wingdings" w:hAnsi="Wingdings" w:cs="Wingdings"/>
    </w:rPr>
  </w:style>
  <w:style w:type="character" w:styleId="WW8Num10z0">
    <w:name w:val="WW8Num10z0"/>
    <w:rPr/>
  </w:style>
  <w:style w:type="character" w:styleId="WW8Num10z1">
    <w:name w:val="WW8Num10z1"/>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rFonts w:ascii="Symbol" w:hAnsi="Symbol" w:cs="Symbol"/>
    </w:rPr>
  </w:style>
  <w:style w:type="character" w:styleId="WW8Num11z1">
    <w:name w:val="WW8Num11z1"/>
    <w:rPr>
      <w:rFonts w:ascii="Courier New" w:hAnsi="Courier New" w:cs="Courier New"/>
    </w:rPr>
  </w:style>
  <w:style w:type="character" w:styleId="WW8Num11z2">
    <w:name w:val="WW8Num11z2"/>
    <w:rPr>
      <w:rFonts w:ascii="Wingdings" w:hAnsi="Wingdings" w:cs="Wingdings"/>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character" w:styleId="WW8Num13z0">
    <w:name w:val="WW8Num13z0"/>
    <w:rPr>
      <w:rFonts w:ascii="Symbol" w:hAnsi="Symbol" w:cs="Symbol"/>
    </w:rPr>
  </w:style>
  <w:style w:type="character" w:styleId="WW8Num13z1">
    <w:name w:val="WW8Num13z1"/>
    <w:rPr>
      <w:rFonts w:ascii="Courier New" w:hAnsi="Courier New" w:cs="Courier New"/>
    </w:rPr>
  </w:style>
  <w:style w:type="character" w:styleId="WW8Num13z2">
    <w:name w:val="WW8Num13z2"/>
    <w:rPr>
      <w:rFonts w:ascii="Wingdings" w:hAnsi="Wingdings" w:cs="Wingdings"/>
    </w:rPr>
  </w:style>
  <w:style w:type="character" w:styleId="WW8Num14z0">
    <w:name w:val="WW8Num14z0"/>
    <w:rPr>
      <w:rFonts w:ascii="Symbol" w:hAnsi="Symbol" w:cs="Symbol"/>
    </w:rPr>
  </w:style>
  <w:style w:type="character" w:styleId="WW8Num14z1">
    <w:name w:val="WW8Num14z1"/>
    <w:rPr>
      <w:rFonts w:ascii="Courier New" w:hAnsi="Courier New" w:cs="Courier New"/>
    </w:rPr>
  </w:style>
  <w:style w:type="character" w:styleId="WW8Num14z2">
    <w:name w:val="WW8Num14z2"/>
    <w:rPr>
      <w:rFonts w:ascii="Wingdings" w:hAnsi="Wingdings" w:cs="Wingdings"/>
    </w:rPr>
  </w:style>
  <w:style w:type="character" w:styleId="WW8Num15z0">
    <w:name w:val="WW8Num15z0"/>
    <w:rPr>
      <w:rFonts w:ascii="Wingdings" w:hAnsi="Wingdings" w:cs="Wingdings"/>
    </w:rPr>
  </w:style>
  <w:style w:type="character" w:styleId="WW8Num15z2">
    <w:name w:val="WW8Num15z2"/>
    <w:rPr/>
  </w:style>
  <w:style w:type="character" w:styleId="WW8Num15z3">
    <w:name w:val="WW8Num15z3"/>
    <w:rPr/>
  </w:style>
  <w:style w:type="character" w:styleId="WW8Num15z4">
    <w:name w:val="WW8Num15z4"/>
    <w:rPr/>
  </w:style>
  <w:style w:type="character" w:styleId="WW8Num15z5">
    <w:name w:val="WW8Num15z5"/>
    <w:rPr/>
  </w:style>
  <w:style w:type="character" w:styleId="WW8Num15z6">
    <w:name w:val="WW8Num15z6"/>
    <w:rPr/>
  </w:style>
  <w:style w:type="character" w:styleId="WW8Num15z7">
    <w:name w:val="WW8Num15z7"/>
    <w:rPr/>
  </w:style>
  <w:style w:type="character" w:styleId="WW8Num15z8">
    <w:name w:val="WW8Num15z8"/>
    <w:rPr/>
  </w:style>
  <w:style w:type="character" w:styleId="WW8Num16z0">
    <w:name w:val="WW8Num16z0"/>
    <w:rPr>
      <w:rFonts w:ascii="Symbol" w:hAnsi="Symbol" w:cs="Symbol"/>
    </w:rPr>
  </w:style>
  <w:style w:type="character" w:styleId="WW8Num16z1">
    <w:name w:val="WW8Num16z1"/>
    <w:rPr>
      <w:rFonts w:ascii="Courier New" w:hAnsi="Courier New" w:cs="Courier New"/>
    </w:rPr>
  </w:style>
  <w:style w:type="character" w:styleId="WW8Num16z2">
    <w:name w:val="WW8Num16z2"/>
    <w:rPr>
      <w:rFonts w:ascii="Wingdings" w:hAnsi="Wingdings" w:cs="Wingdings"/>
    </w:rPr>
  </w:style>
  <w:style w:type="character" w:styleId="WW8Num17z0">
    <w:name w:val="WW8Num17z0"/>
    <w:rPr>
      <w:rFonts w:ascii="Symbol" w:hAnsi="Symbol" w:cs="Symbol"/>
    </w:rPr>
  </w:style>
  <w:style w:type="character" w:styleId="WW8Num17z1">
    <w:name w:val="WW8Num17z1"/>
    <w:rPr>
      <w:rFonts w:ascii="Courier New" w:hAnsi="Courier New" w:cs="Courier New"/>
    </w:rPr>
  </w:style>
  <w:style w:type="character" w:styleId="WW8Num17z2">
    <w:name w:val="WW8Num17z2"/>
    <w:rPr>
      <w:rFonts w:ascii="Wingdings" w:hAnsi="Wingdings" w:cs="Wingdings"/>
    </w:rPr>
  </w:style>
  <w:style w:type="character" w:styleId="WW8Num18z0">
    <w:name w:val="WW8Num18z0"/>
    <w:rPr>
      <w:rFonts w:ascii="Symbol" w:hAnsi="Symbol" w:cs="Symbol"/>
    </w:rPr>
  </w:style>
  <w:style w:type="character" w:styleId="WW8Num18z1">
    <w:name w:val="WW8Num18z1"/>
    <w:rPr>
      <w:rFonts w:ascii="Courier New" w:hAnsi="Courier New" w:cs="Courier New"/>
    </w:rPr>
  </w:style>
  <w:style w:type="character" w:styleId="WW8Num18z2">
    <w:name w:val="WW8Num18z2"/>
    <w:rPr>
      <w:rFonts w:ascii="Wingdings" w:hAnsi="Wingdings" w:cs="Wingdings"/>
    </w:rPr>
  </w:style>
  <w:style w:type="character" w:styleId="WW8Num19z0">
    <w:name w:val="WW8Num19z0"/>
    <w:rPr/>
  </w:style>
  <w:style w:type="character" w:styleId="WW8Num19z1">
    <w:name w:val="WW8Num19z1"/>
    <w:rPr/>
  </w:style>
  <w:style w:type="character" w:styleId="WW8Num19z2">
    <w:name w:val="WW8Num19z2"/>
    <w:rPr/>
  </w:style>
  <w:style w:type="character" w:styleId="WW8Num19z3">
    <w:name w:val="WW8Num19z3"/>
    <w:rPr/>
  </w:style>
  <w:style w:type="character" w:styleId="WW8Num19z4">
    <w:name w:val="WW8Num19z4"/>
    <w:rPr/>
  </w:style>
  <w:style w:type="character" w:styleId="WW8Num19z5">
    <w:name w:val="WW8Num19z5"/>
    <w:rPr/>
  </w:style>
  <w:style w:type="character" w:styleId="WW8Num19z6">
    <w:name w:val="WW8Num19z6"/>
    <w:rPr/>
  </w:style>
  <w:style w:type="character" w:styleId="WW8Num19z7">
    <w:name w:val="WW8Num19z7"/>
    <w:rPr/>
  </w:style>
  <w:style w:type="character" w:styleId="WW8Num19z8">
    <w:name w:val="WW8Num19z8"/>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rPr>
      <w:sz w:val="16"/>
      <w:szCs w:val="16"/>
    </w:rPr>
  </w:style>
  <w:style w:type="character" w:styleId="Protocoltitle1">
    <w:name w:val="protocol-title1"/>
    <w:basedOn w:val="DefaultParagraphFont"/>
    <w:rPr>
      <w:b/>
      <w:bCs/>
      <w:color w:val="000000"/>
      <w:sz w:val="26"/>
      <w:szCs w:val="26"/>
    </w:rPr>
  </w:style>
  <w:style w:type="character" w:styleId="Normalbold1">
    <w:name w:val="normalbold1"/>
    <w:basedOn w:val="DefaultParagraphFont"/>
    <w:rPr>
      <w:rFonts w:ascii="Verdana" w:hAnsi="Verdana" w:cs="Verdana"/>
      <w:b/>
      <w:bCs/>
      <w:caps w:val="false"/>
      <w:smallCaps w:val="false"/>
      <w:color w:val="000033"/>
      <w:sz w:val="18"/>
      <w:szCs w:val="18"/>
    </w:rPr>
  </w:style>
  <w:style w:type="paragraph" w:styleId="Heading">
    <w:name w:val="Heading"/>
    <w:basedOn w:val="Normal"/>
    <w:next w:val="TextBody"/>
    <w:pPr>
      <w:jc w:val="center"/>
    </w:pPr>
    <w:rPr>
      <w:b/>
      <w:bCs/>
    </w:rPr>
  </w:style>
  <w:style w:type="paragraph" w:styleId="TextBody">
    <w:name w:val="Text Body"/>
    <w:basedOn w:val="Normal"/>
    <w:pPr/>
    <w:rPr>
      <w:i/>
      <w:iC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
    <w:name w:val="Footnote"/>
    <w:basedOn w:val="Normal"/>
    <w:pPr/>
    <w:rPr>
      <w:sz w:val="20"/>
      <w:szCs w:val="20"/>
    </w:rPr>
  </w:style>
  <w:style w:type="paragraph" w:styleId="BlockText">
    <w:name w:val="Block Text"/>
    <w:basedOn w:val="Normal"/>
    <w:pPr>
      <w:autoSpaceDE w:val="false"/>
      <w:ind w:left="720" w:right="-792" w:hanging="0"/>
      <w:jc w:val="both"/>
    </w:pPr>
    <w:rPr>
      <w:szCs w:val="22"/>
    </w:rPr>
  </w:style>
  <w:style w:type="paragraph" w:styleId="BodyText2">
    <w:name w:val="Body Text 2"/>
    <w:basedOn w:val="Normal"/>
    <w:pPr/>
    <w:rPr>
      <w:b/>
      <w:bCs/>
    </w:rPr>
  </w:style>
  <w:style w:type="paragraph" w:styleId="TextBodyIndent">
    <w:name w:val="Text Body Indent"/>
    <w:basedOn w:val="Normal"/>
    <w:pPr>
      <w:tabs>
        <w:tab w:val="left" w:pos="595" w:leader="none"/>
        <w:tab w:val="left" w:pos="1027" w:leader="none"/>
        <w:tab w:val="left" w:pos="1459" w:leader="none"/>
        <w:tab w:val="left" w:pos="1891" w:leader="none"/>
        <w:tab w:val="left" w:pos="2323" w:leader="none"/>
        <w:tab w:val="left" w:pos="2755" w:leader="none"/>
        <w:tab w:val="left" w:pos="3187" w:leader="none"/>
        <w:tab w:val="left" w:pos="3619" w:leader="none"/>
        <w:tab w:val="left" w:pos="4051" w:leader="none"/>
        <w:tab w:val="left" w:pos="4483" w:leader="none"/>
        <w:tab w:val="left" w:pos="4915" w:leader="none"/>
        <w:tab w:val="left" w:pos="5347" w:leader="none"/>
        <w:tab w:val="left" w:pos="5779" w:leader="none"/>
        <w:tab w:val="left" w:pos="6211" w:leader="none"/>
        <w:tab w:val="left" w:pos="6643" w:leader="none"/>
        <w:tab w:val="left" w:pos="7075" w:leader="none"/>
        <w:tab w:val="left" w:pos="7507" w:leader="none"/>
        <w:tab w:val="left" w:pos="7939" w:leader="none"/>
        <w:tab w:val="left" w:pos="8371" w:leader="none"/>
        <w:tab w:val="left" w:pos="8803" w:leader="none"/>
        <w:tab w:val="left" w:pos="9235" w:leader="none"/>
        <w:tab w:val="left" w:pos="9667" w:leader="none"/>
        <w:tab w:val="left" w:pos="10099" w:leader="none"/>
        <w:tab w:val="left" w:pos="10531" w:leader="none"/>
      </w:tabs>
      <w:ind w:left="595" w:right="0" w:hanging="0"/>
      <w:jc w:val="both"/>
    </w:pPr>
    <w:rPr/>
  </w:style>
  <w:style w:type="paragraph" w:styleId="BodyTextIndent2">
    <w:name w:val="Body Text Indent 2"/>
    <w:basedOn w:val="Normal"/>
    <w:pPr>
      <w:ind w:left="0" w:right="0" w:firstLine="360"/>
    </w:pPr>
    <w:rPr/>
  </w:style>
  <w:style w:type="paragraph" w:styleId="BodyTextIndent3">
    <w:name w:val="Body Text Indent 3"/>
    <w:basedOn w:val="Normal"/>
    <w:pPr>
      <w:ind w:left="0" w:right="0" w:firstLine="720"/>
    </w:pPr>
    <w:rPr/>
  </w:style>
  <w:style w:type="paragraph" w:styleId="BalloonText">
    <w:name w:val="Balloon Text"/>
    <w:basedOn w:val="Normal"/>
    <w:pPr/>
    <w:rPr>
      <w:rFonts w:ascii="Tahoma" w:hAnsi="Tahoma" w:cs="Tahoma"/>
      <w:sz w:val="16"/>
      <w:szCs w:val="16"/>
    </w:rPr>
  </w:style>
  <w:style w:type="paragraph" w:styleId="HTMLBody">
    <w:name w:val="HTML Body"/>
    <w:pPr>
      <w:widowControl/>
      <w:suppressAutoHyphens w:val="true"/>
      <w:autoSpaceDE w:val="false"/>
    </w:pPr>
    <w:rPr>
      <w:rFonts w:ascii="Arial" w:hAnsi="Arial" w:eastAsia="Times New Roman" w:cs="Arial"/>
      <w:color w:val="auto"/>
      <w:sz w:val="20"/>
      <w:szCs w:val="20"/>
      <w:lang w:val="en-US" w:bidi="ar-SA" w:eastAsia="zh-CN"/>
    </w:rPr>
  </w:style>
  <w:style w:type="paragraph" w:styleId="HTMLHeading2">
    <w:name w:val="HTML Heading 2"/>
    <w:pPr>
      <w:widowControl/>
      <w:suppressAutoHyphens w:val="true"/>
      <w:autoSpaceDE w:val="false"/>
    </w:pPr>
    <w:rPr>
      <w:rFonts w:ascii="Arial" w:hAnsi="Arial" w:eastAsia="Times New Roman" w:cs="Arial"/>
      <w:b/>
      <w:bCs/>
      <w:color w:val="auto"/>
      <w:sz w:val="36"/>
      <w:szCs w:val="36"/>
      <w:lang w:val="en-US" w:bidi="ar-SA" w:eastAsia="zh-CN"/>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 w:type="numbering" w:styleId="WW8Num17">
    <w:name w:val="WW8Num17"/>
  </w:style>
  <w:style w:type="numbering" w:styleId="WW8Num18">
    <w:name w:val="WW8Num18"/>
  </w:style>
  <w:style w:type="numbering" w:styleId="WW8Num19">
    <w:name w:val="WW8Num19"/>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ncer.ca/ccs/internet/standard/0,2939,3172_428338__langId-en,00.html" TargetMode="External"/><Relationship Id="rId3" Type="http://schemas.openxmlformats.org/officeDocument/2006/relationships/hyperlink" Target="http://clinicaltrials.gov/ct/visit?uid=7a3H4sIAAAAAAAAAAXB4QpAMBAA4LfZz1uRlFryAEpeQLY7XDFsN4un932byNVonXMG7yyD3w%2FwvMF6%0APpq8BPr0nSi8sLiVW3egGUkC00MKrRmS7QkVnpeYzkYJsxO1c5QpMUZTV0VZl9UPSgSdKmQAAAA%3D%0A&amp;warn=false" TargetMode="External"/><Relationship Id="rId4" Type="http://schemas.openxmlformats.org/officeDocument/2006/relationships/hyperlink" Target="http://www.statcan.ca/english/IPS/Data/82-570-XIE.htm" TargetMode="External"/><Relationship Id="rId5" Type="http://schemas.openxmlformats.org/officeDocument/2006/relationships/hyperlink" Target="http://www.scf.sk.ca/sccr/2004/sccr_2004.pdf" TargetMode="External"/><Relationship Id="rId6" Type="http://schemas.openxmlformats.org/officeDocument/2006/relationships/hyperlink" Target="http://www.trialregister.nl/trialreg/admin/contactview.asp?CC=131"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2006-08-02T10:44:00Z</dcterms:created>
  <dc:creator>Ruth Ullman</dc:creator>
  <dc:language>en-CA</dc:language>
  <cp:lastModifiedBy>hrichardson</cp:lastModifiedBy>
  <cp:lastPrinted>2006-07-20T12:14:00Z</cp:lastPrinted>
  <dcterms:modified xsi:type="dcterms:W3CDTF">2006-08-02T10:44:00Z</dcterms:modified>
  <cp:revision>3</cp:revision>
  <dc:title>DATA REQUEST COMMITTEE</dc:title>
</cp:coreProperties>
</file>