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Georgia" w:ascii="Georgia" w:hAnsi="Georgia"/>
          <w:b/>
          <w:sz w:val="22"/>
        </w:rPr>
      </w:pPr>
      <w:r>
        <w:rPr>
          <w:rFonts w:cs="Georgia" w:ascii="Georgia" w:hAnsi="Georgia"/>
          <w:b/>
          <w:sz w:val="22"/>
        </w:rPr>
        <w:t>Finding healing hands: the global health workforce shortage</w:t>
      </w:r>
    </w:p>
    <w:p>
      <w:pPr>
        <w:pStyle w:val="Normal"/>
        <w:rPr>
          <w:rFonts w:cs="Georgia" w:ascii="Georgia" w:hAnsi="Georgia"/>
          <w:sz w:val="22"/>
        </w:rPr>
      </w:pPr>
      <w:r>
        <w:rPr>
          <w:rFonts w:cs="Georgia" w:ascii="Georgia" w:hAnsi="Georgia"/>
          <w:sz w:val="22"/>
        </w:rPr>
      </w:r>
    </w:p>
    <w:p>
      <w:pPr>
        <w:pStyle w:val="Normal"/>
        <w:rPr>
          <w:rFonts w:cs="Georgia" w:ascii="Georgia" w:hAnsi="Georgia"/>
          <w:sz w:val="22"/>
        </w:rPr>
      </w:pPr>
      <w:r>
        <w:rPr>
          <w:rFonts w:cs="Georgia" w:ascii="Georgia" w:hAnsi="Georgia"/>
          <w:sz w:val="22"/>
        </w:rPr>
        <w:t>Sally Murray</w:t>
      </w:r>
    </w:p>
    <w:p>
      <w:pPr>
        <w:pStyle w:val="Normal"/>
        <w:rPr>
          <w:rFonts w:cs="Georgia" w:ascii="Georgia" w:hAnsi="Georgia"/>
          <w:sz w:val="22"/>
        </w:rPr>
      </w:pPr>
      <w:r>
        <w:rPr>
          <w:rFonts w:cs="Georgia" w:ascii="Georgia" w:hAnsi="Georgia"/>
          <w:sz w:val="22"/>
        </w:rPr>
      </w:r>
    </w:p>
    <w:p>
      <w:pPr>
        <w:pStyle w:val="Normal"/>
        <w:widowControl w:val="false"/>
        <w:autoSpaceDE w:val="false"/>
        <w:ind w:left="720" w:right="1410" w:hanging="0"/>
        <w:rPr>
          <w:rFonts w:cs="Georgia" w:ascii="Georgia" w:hAnsi="Georgia"/>
          <w:sz w:val="20"/>
          <w:szCs w:val="20"/>
          <w:lang w:val="en-US"/>
        </w:rPr>
      </w:pPr>
      <w:r>
        <w:rPr>
          <w:rFonts w:cs="Georgia" w:ascii="Georgia" w:hAnsi="Georgia"/>
          <w:sz w:val="20"/>
          <w:szCs w:val="20"/>
          <w:lang w:val="en-US"/>
        </w:rPr>
        <w:t>The African region has 24% of [disease] burden but only 3% of health workers, commanding less than 1% of world health expenditure</w:t>
      </w:r>
      <w:r>
        <w:fldChar w:fldCharType="begin"/>
      </w:r>
      <w:r>
        <w:instrText> ADDIN EN.CITE &lt;EndNote&gt;&lt;Cite&gt;&lt;Author&gt;World Health Organization&lt;/Author&gt;&lt;Year&gt;2006&lt;/Year&gt;&lt;RecNum&gt;100&lt;/RecNum&gt;&lt;record&gt;&lt;rec-number&gt;100&lt;/rec-number&gt;&lt;foreign-keys&gt;&lt;key app="EN" db-id="wttddvwzlfesv3e0ts6vspr8ez055adfrzez"&gt;100&lt;/key&gt;&lt;/foreign-keys&gt;&lt;ref-type name="Report"&gt;27&lt;/ref-type&gt;&lt;contributors&gt;&lt;authors&gt;&lt;author&gt;World Health Organization,&lt;/author&gt;&lt;/authors&gt;&lt;/contributors&gt;&lt;titles&gt;&lt;title&gt;The World Health Report 2006: working together for health&lt;/title&gt;&lt;/titles&gt;&lt;dates&gt;&lt;year&gt;2006&lt;/year&gt;&lt;/dates&gt;&lt;pub-location&gt;Geneva&lt;/pub-location&gt;&lt;publisher&gt;World Health Organization&lt;/publisher&gt;&lt;urls&gt;&lt;/urls&gt;&lt;/record&gt;&lt;/Cite&gt;&lt;/EndNote&gt;</w:instrText>
      </w:r>
      <w:r>
        <w:fldChar w:fldCharType="separate"/>
      </w:r>
      <w:bookmarkStart w:id="0" w:name="__Fieldmark__29_1024893045"/>
      <w:r>
        <w:rPr>
          <w:rFonts w:cs="Georgia" w:ascii="Georgia" w:hAnsi="Georgia"/>
          <w:sz w:val="20"/>
          <w:szCs w:val="20"/>
          <w:lang w:val="en-US"/>
        </w:rPr>
        <w:t>[1]</w:t>
      </w:r>
      <w:r>
        <w:rPr>
          <w:rFonts w:cs="Georgia" w:ascii="Georgia" w:hAnsi="Georgia"/>
          <w:sz w:val="20"/>
          <w:szCs w:val="20"/>
          <w:lang w:val="en-US"/>
        </w:rPr>
      </w:r>
      <w:r>
        <w:fldChar w:fldCharType="end"/>
      </w:r>
      <w:bookmarkEnd w:id="0"/>
      <w:r>
        <w:rPr>
          <w:rFonts w:cs="Georgia" w:ascii="Georgia" w:hAnsi="Georgia"/>
          <w:sz w:val="20"/>
          <w:szCs w:val="20"/>
          <w:lang w:val="en-US"/>
        </w:rPr>
        <w:t xml:space="preserve">.  </w:t>
      </w:r>
    </w:p>
    <w:p>
      <w:pPr>
        <w:pStyle w:val="Normal"/>
        <w:widowControl w:val="false"/>
        <w:autoSpaceDE w:val="false"/>
        <w:rPr>
          <w:rFonts w:cs="Georgia" w:ascii="Georgia" w:hAnsi="Georgia"/>
          <w:sz w:val="22"/>
        </w:rPr>
      </w:pPr>
      <w:r>
        <w:rPr>
          <w:rFonts w:cs="Georgia" w:ascii="Georgia" w:hAnsi="Georgia"/>
          <w:sz w:val="22"/>
        </w:rPr>
      </w:r>
    </w:p>
    <w:p>
      <w:pPr>
        <w:pStyle w:val="Normal"/>
        <w:widowControl w:val="false"/>
        <w:autoSpaceDE w:val="false"/>
        <w:spacing w:before="0" w:after="240"/>
        <w:rPr>
          <w:rFonts w:cs="Georgia" w:ascii="Georgia" w:hAnsi="Georgia"/>
          <w:sz w:val="22"/>
          <w:lang w:val="en-US"/>
        </w:rPr>
      </w:pPr>
      <w:r>
        <w:rPr>
          <w:rFonts w:cs="Georgia" w:ascii="Georgia" w:hAnsi="Georgia"/>
          <w:sz w:val="22"/>
        </w:rPr>
        <w:t xml:space="preserve">There is a worldwide shortage of nearly 4.3 million doctors, nurses, midwives, community health workers and pharmacists, with a further </w:t>
      </w:r>
      <w:r>
        <w:rPr>
          <w:rFonts w:cs="Georgia" w:ascii="Georgia" w:hAnsi="Georgia"/>
          <w:sz w:val="22"/>
          <w:lang w:val="en-US"/>
        </w:rPr>
        <w:t>20 percent more needed in the next two decades</w:t>
      </w:r>
      <w:r>
        <w:fldChar w:fldCharType="begin"/>
      </w:r>
      <w:r>
        <w:instrText> ADDIN EN.CITE &lt;EndNote&gt;&lt;Cite&gt;&lt;Author&gt;World Health Organization&lt;/Author&gt;&lt;Year&gt;2006&lt;/Year&gt;&lt;RecNum&gt;100&lt;/RecNum&gt;&lt;record&gt;&lt;rec-number&gt;100&lt;/rec-number&gt;&lt;foreign-keys&gt;&lt;key app="EN" db-id="wttddvwzlfesv3e0ts6vspr8ez055adfrzez"&gt;100&lt;/key&gt;&lt;/foreign-keys&gt;&lt;ref-type name="Report"&gt;27&lt;/ref-type&gt;&lt;contributors&gt;&lt;authors&gt;&lt;author&gt;World Health Organization,&lt;/author&gt;&lt;/authors&gt;&lt;/contributors&gt;&lt;titles&gt;&lt;title&gt;The World Health Report 2006: working together for health&lt;/title&gt;&lt;/titles&gt;&lt;dates&gt;&lt;year&gt;2006&lt;/year&gt;&lt;/dates&gt;&lt;pub-location&gt;Geneva&lt;/pub-location&gt;&lt;publisher&gt;World Health Organization&lt;/publisher&gt;&lt;urls&gt;&lt;/urls&gt;&lt;/record&gt;&lt;/Cite&gt;&lt;/EndNote&gt;</w:instrText>
      </w:r>
      <w:r>
        <w:fldChar w:fldCharType="separate"/>
      </w:r>
      <w:bookmarkStart w:id="1" w:name="__Fieldmark__30_1024893045"/>
      <w:r>
        <w:rPr>
          <w:rFonts w:cs="Georgia" w:ascii="Georgia" w:hAnsi="Georgia"/>
          <w:sz w:val="22"/>
        </w:rPr>
        <w:t>[1]</w:t>
      </w:r>
      <w:r>
        <w:rPr>
          <w:rFonts w:cs="Georgia" w:ascii="Georgia" w:hAnsi="Georgia"/>
          <w:sz w:val="22"/>
        </w:rPr>
      </w:r>
      <w:r>
        <w:fldChar w:fldCharType="end"/>
      </w:r>
      <w:bookmarkEnd w:id="1"/>
      <w:r>
        <w:rPr>
          <w:rFonts w:cs="Georgia" w:ascii="Georgia" w:hAnsi="Georgia"/>
          <w:sz w:val="22"/>
          <w:lang w:val="en-US"/>
        </w:rPr>
        <w:t>. Most of these shortages can be attributed to changing health needs, broad systemic factors and a fluid labour market</w:t>
      </w:r>
      <w:r>
        <w:fldChar w:fldCharType="begin"/>
      </w:r>
      <w:r>
        <w:instrText> ADDIN EN.CITE &lt;EndNote&gt;&lt;Cite&gt;&lt;Author&gt;World Health Organization&lt;/Author&gt;&lt;Year&gt;2006&lt;/Year&gt;&lt;RecNum&gt;100&lt;/RecNum&gt;&lt;record&gt;&lt;rec-number&gt;100&lt;/rec-number&gt;&lt;foreign-keys&gt;&lt;key app="EN" db-id="wttddvwzlfesv3e0ts6vspr8ez055adfrzez"&gt;100&lt;/key&gt;&lt;/foreign-keys&gt;&lt;ref-type name="Report"&gt;27&lt;/ref-type&gt;&lt;contributors&gt;&lt;authors&gt;&lt;author&gt;World Health Organization,&lt;/author&gt;&lt;/authors&gt;&lt;/contributors&gt;&lt;titles&gt;&lt;title&gt;The World Health Report 2006: working together for health&lt;/title&gt;&lt;/titles&gt;&lt;dates&gt;&lt;year&gt;2006&lt;/year&gt;&lt;/dates&gt;&lt;pub-location&gt;Geneva&lt;/pub-location&gt;&lt;publisher&gt;World Health Organization&lt;/publisher&gt;&lt;urls&gt;&lt;/urls&gt;&lt;/record&gt;&lt;/Cite&gt;&lt;/EndNote&gt;</w:instrText>
      </w:r>
      <w:r>
        <w:fldChar w:fldCharType="separate"/>
      </w:r>
      <w:bookmarkStart w:id="2" w:name="__Fieldmark__31_1024893045"/>
      <w:r>
        <w:rPr>
          <w:rFonts w:cs="Georgia" w:ascii="Georgia" w:hAnsi="Georgia"/>
          <w:sz w:val="22"/>
          <w:lang w:val="en-US"/>
        </w:rPr>
        <w:t>[1]</w:t>
      </w:r>
      <w:r>
        <w:rPr>
          <w:rFonts w:cs="Georgia" w:ascii="Georgia" w:hAnsi="Georgia"/>
          <w:sz w:val="22"/>
          <w:lang w:val="en-US"/>
        </w:rPr>
      </w:r>
      <w:r>
        <w:fldChar w:fldCharType="end"/>
      </w:r>
      <w:bookmarkEnd w:id="2"/>
      <w:r>
        <w:rPr>
          <w:rFonts w:cs="Georgia" w:ascii="Georgia" w:hAnsi="Georgia"/>
          <w:sz w:val="22"/>
          <w:lang w:val="en-US"/>
        </w:rPr>
        <w:t>. In this rapidly shifting ‘healthscape’, just where, and how, are we expected to find this many healing hands?</w:t>
      </w:r>
    </w:p>
    <w:p>
      <w:pPr>
        <w:pStyle w:val="Normal"/>
        <w:widowControl w:val="false"/>
        <w:autoSpaceDE w:val="false"/>
        <w:spacing w:before="0" w:after="240"/>
        <w:rPr>
          <w:rFonts w:cs="Georgia" w:ascii="Georgia" w:hAnsi="Georgia"/>
          <w:sz w:val="22"/>
          <w:lang w:val="en-US"/>
        </w:rPr>
      </w:pPr>
      <w:r>
        <w:rPr>
          <w:rFonts w:cs="Georgia" w:ascii="Georgia" w:hAnsi="Georgia"/>
          <w:sz w:val="22"/>
          <w:lang w:val="en-US"/>
        </w:rPr>
        <w:t>The human immunodeficiency virus (HIV) epidemic in Sub-Saharan Africa exemplifies the impact changing disease patterns have on workforce needs: research predicts that Tanzania will require 60% more health staff, while Chad will require 300% more health care workers due to increased healthcare needs and the reduction in workforce personnel due to personal HIV-related illness or death</w:t>
      </w:r>
      <w:r>
        <w:fldChar w:fldCharType="begin"/>
      </w:r>
      <w:r>
        <w:instrText> ADDIN EN.CITE &lt;EndNote&gt;&lt;Cite&gt;&lt;Author&gt;World Health Organization&lt;/Author&gt;&lt;Year&gt;2006&lt;/Year&gt;&lt;RecNum&gt;100&lt;/RecNum&gt;&lt;record&gt;&lt;rec-number&gt;100&lt;/rec-number&gt;&lt;foreign-keys&gt;&lt;key app="EN" db-id="wttddvwzlfesv3e0ts6vspr8ez055adfrzez"&gt;100&lt;/key&gt;&lt;/foreign-keys&gt;&lt;ref-type name="Report"&gt;27&lt;/ref-type&gt;&lt;contributors&gt;&lt;authors&gt;&lt;author&gt;World Health Organization,&lt;/author&gt;&lt;/authors&gt;&lt;/contributors&gt;&lt;titles&gt;&lt;title&gt;The World Health Report 2006: working together for health&lt;/title&gt;&lt;/titles&gt;&lt;dates&gt;&lt;year&gt;2006&lt;/year&gt;&lt;/dates&gt;&lt;pub-location&gt;Geneva&lt;/pub-location&gt;&lt;publisher&gt;World Health Organization&lt;/publisher&gt;&lt;urls&gt;&lt;/urls&gt;&lt;/record&gt;&lt;/Cite&gt;&lt;/EndNote&gt;</w:instrText>
      </w:r>
      <w:r>
        <w:fldChar w:fldCharType="separate"/>
      </w:r>
      <w:bookmarkStart w:id="3" w:name="__Fieldmark__32_1024893045"/>
      <w:r>
        <w:rPr>
          <w:rFonts w:cs="Georgia" w:ascii="Georgia" w:hAnsi="Georgia"/>
          <w:sz w:val="22"/>
          <w:lang w:val="en-US"/>
        </w:rPr>
        <w:t>[1]</w:t>
      </w:r>
      <w:r>
        <w:rPr>
          <w:rFonts w:cs="Georgia" w:ascii="Georgia" w:hAnsi="Georgia"/>
          <w:sz w:val="22"/>
          <w:lang w:val="en-US"/>
        </w:rPr>
      </w:r>
      <w:r>
        <w:fldChar w:fldCharType="end"/>
      </w:r>
      <w:bookmarkEnd w:id="3"/>
      <w:r>
        <w:rPr>
          <w:rFonts w:cs="Georgia" w:ascii="Georgia" w:hAnsi="Georgia"/>
          <w:sz w:val="22"/>
          <w:lang w:val="en-US"/>
        </w:rPr>
        <w:t>. In other settings longer life expectancies and improved treatments translate into increased chronic disease with attendant healthcare requirements and health worker skill deficits</w:t>
      </w:r>
      <w:r>
        <w:fldChar w:fldCharType="begin"/>
      </w:r>
      <w:r>
        <w:instrText> ADDIN EN.CITE &lt;EndNote&gt;&lt;Cite&gt;&lt;Author&gt;Pruitt&lt;/Author&gt;&lt;Year&gt;2005&lt;/Year&gt;&lt;RecNum&gt;99&lt;/RecNum&gt;&lt;record&gt;&lt;rec-number&gt;99&lt;/rec-number&gt;&lt;foreign-keys&gt;&lt;key app="EN" db-id="wttddvwzlfesv3e0ts6vspr8ez055adfrzez"&gt;99&lt;/key&gt;&lt;/foreign-keys&gt;&lt;ref-type name="Journal Article"&gt;17&lt;/ref-type&gt;&lt;contributors&gt;&lt;authors&gt;&lt;author&gt;Pruitt, Sheri D.&lt;/author&gt;&lt;author&gt;Epping-Jordan, JoAnne E.&lt;/author&gt;&lt;/authors&gt;&lt;/contributors&gt;&lt;titles&gt;&lt;title&gt;Preparing the 21st century global healthcare workforce&lt;/title&gt;&lt;secondary-title&gt;BMJ&lt;/secondary-title&gt;&lt;/titles&gt;&lt;periodical&gt;&lt;full-title&gt;BMJ&lt;/full-title&gt;&lt;/periodical&gt;&lt;pages&gt;637-639&lt;/pages&gt;&lt;volume&gt;330&lt;/volume&gt;&lt;number&gt;7492&lt;/number&gt;&lt;dates&gt;&lt;year&gt;2005&lt;/year&gt;&lt;pub-dates&gt;&lt;date&gt;March 19, 2005&lt;/date&gt;&lt;/pub-dates&gt;&lt;/dates&gt;&lt;urls&gt;&lt;related-urls&gt;&lt;url&gt;http://www.bmj.com &lt;/url&gt;&lt;/related-urls&gt;&lt;/urls&gt;&lt;electronic-resource-num&gt;10.1136/bmj.330.7492.637&lt;/electronic-resource-num&gt;&lt;/record&gt;&lt;/Cite&gt;&lt;/EndNote&gt;</w:instrText>
      </w:r>
      <w:r>
        <w:fldChar w:fldCharType="separate"/>
      </w:r>
      <w:bookmarkStart w:id="4" w:name="__Fieldmark__33_1024893045"/>
      <w:r>
        <w:rPr>
          <w:rFonts w:cs="Georgia" w:ascii="Georgia" w:hAnsi="Georgia"/>
          <w:sz w:val="22"/>
          <w:lang w:val="en-US"/>
        </w:rPr>
        <w:t>[2]</w:t>
      </w:r>
      <w:r>
        <w:rPr>
          <w:rFonts w:cs="Georgia" w:ascii="Georgia" w:hAnsi="Georgia"/>
          <w:sz w:val="22"/>
          <w:lang w:val="en-US"/>
        </w:rPr>
      </w:r>
      <w:r>
        <w:fldChar w:fldCharType="end"/>
      </w:r>
      <w:bookmarkEnd w:id="4"/>
      <w:r>
        <w:rPr>
          <w:rFonts w:cs="Georgia" w:ascii="Georgia" w:hAnsi="Georgia"/>
          <w:sz w:val="22"/>
          <w:lang w:val="en-US"/>
        </w:rPr>
        <w:t>. An ageing, and retiring, healthcare workforce creates further problems in other countries:</w:t>
      </w:r>
      <w:r>
        <w:rPr>
          <w:rFonts w:cs="Georgia" w:ascii="Georgia" w:hAnsi="Georgia"/>
          <w:b/>
          <w:sz w:val="22"/>
          <w:lang w:val="en-US"/>
        </w:rPr>
        <w:t xml:space="preserve"> </w:t>
      </w:r>
      <w:r>
        <w:rPr>
          <w:rFonts w:cs="Georgia" w:ascii="Georgia" w:hAnsi="Georgia"/>
          <w:sz w:val="22"/>
          <w:lang w:val="en-US"/>
        </w:rPr>
        <w:t>in two years, the United States will not have enough health care workers to meet demand</w:t>
      </w:r>
      <w:r>
        <w:fldChar w:fldCharType="begin"/>
      </w:r>
      <w:r>
        <w:instrText> ADDIN EN.CITE &lt;EndNote&gt;&lt;Cite&gt;&lt;Author&gt;Health Research and Educational Trust (HRET)&lt;/Author&gt;&lt;Year&gt;2007&lt;/Year&gt;&lt;RecNum&gt;104&lt;/RecNum&gt;&lt;record&gt;&lt;rec-number&gt;104&lt;/rec-number&gt;&lt;foreign-keys&gt;&lt;key app="EN" db-id="wttddvwzlfesv3e0ts6vspr8ez055adfrzez"&gt;104&lt;/key&gt;&lt;/foreign-keys&gt;&lt;ref-type name="Conference Proceedings"&gt;10&lt;/ref-type&gt;&lt;contributors&gt;&lt;authors&gt;&lt;author&gt;Health Research and Educational Trust (HRET),&lt;/author&gt;&lt;/authors&gt;&lt;/contributors&gt;&lt;titles&gt;&lt;title&gt;Proceedings Report&lt;/title&gt;&lt;secondary-title&gt;A Call to Action. Ensuring global human resources for health.&lt;/secondary-title&gt;&lt;/titles&gt;&lt;dates&gt;&lt;year&gt;2007&lt;/year&gt;&lt;pub-dates&gt;&lt;date&gt;March 22-23rd&lt;/date&gt;&lt;/pub-dates&gt;&lt;/dates&gt;&lt;pub-location&gt;International Conference Centre, Geneva, Switzerland&lt;/pub-location&gt;&lt;urls&gt;&lt;/urls&gt;&lt;/record&gt;&lt;/Cite&gt;&lt;/EndNote&gt;</w:instrText>
      </w:r>
      <w:r>
        <w:fldChar w:fldCharType="separate"/>
      </w:r>
      <w:bookmarkStart w:id="5" w:name="__Fieldmark__34_1024893045"/>
      <w:r>
        <w:rPr>
          <w:rFonts w:cs="Georgia" w:ascii="Georgia" w:hAnsi="Georgia"/>
          <w:sz w:val="22"/>
          <w:lang w:val="en-US"/>
        </w:rPr>
        <w:t>[3]</w:t>
      </w:r>
      <w:r>
        <w:rPr>
          <w:rFonts w:cs="Georgia" w:ascii="Georgia" w:hAnsi="Georgia"/>
          <w:sz w:val="22"/>
          <w:lang w:val="en-US"/>
        </w:rPr>
      </w:r>
      <w:r>
        <w:fldChar w:fldCharType="end"/>
      </w:r>
      <w:bookmarkEnd w:id="5"/>
      <w:r>
        <w:rPr>
          <w:rFonts w:cs="Georgia" w:ascii="Georgia" w:hAnsi="Georgia"/>
          <w:sz w:val="22"/>
          <w:lang w:val="en-US"/>
        </w:rPr>
        <w:t>.</w:t>
      </w:r>
    </w:p>
    <w:p>
      <w:pPr>
        <w:pStyle w:val="Normal"/>
        <w:widowControl w:val="false"/>
        <w:autoSpaceDE w:val="false"/>
        <w:spacing w:before="0" w:after="240"/>
        <w:rPr>
          <w:rFonts w:cs="Georgia" w:ascii="Georgia" w:hAnsi="Georgia"/>
          <w:sz w:val="22"/>
          <w:lang w:val="en-US"/>
        </w:rPr>
      </w:pPr>
      <w:r>
        <w:rPr>
          <w:rFonts w:cs="Georgia" w:ascii="Georgia" w:hAnsi="Georgia"/>
          <w:sz w:val="22"/>
          <w:lang w:val="en-US"/>
        </w:rPr>
        <w:t>Health system factors such as health sector financing, increased technology use and changing consumer preferences have also resulted in health worker deficits. For example, past structural adjustment programs capping investment in public health sector employment has meant that there are now too few trained health workers in some countries</w:t>
      </w:r>
      <w:r>
        <w:fldChar w:fldCharType="begin"/>
      </w:r>
      <w:r>
        <w:instrText> ADDIN EN.CITE &lt;EndNote&gt;&lt;Cite&gt;&lt;Author&gt;World Health Organization&lt;/Author&gt;&lt;Year&gt;2006&lt;/Year&gt;&lt;RecNum&gt;100&lt;/RecNum&gt;&lt;record&gt;&lt;rec-number&gt;100&lt;/rec-number&gt;&lt;foreign-keys&gt;&lt;key app="EN" db-id="wttddvwzlfesv3e0ts6vspr8ez055adfrzez"&gt;100&lt;/key&gt;&lt;/foreign-keys&gt;&lt;ref-type name="Report"&gt;27&lt;/ref-type&gt;&lt;contributors&gt;&lt;authors&gt;&lt;author&gt;World Health Organization,&lt;/author&gt;&lt;/authors&gt;&lt;/contributors&gt;&lt;titles&gt;&lt;title&gt;The World Health Report 2006: working together for health&lt;/title&gt;&lt;/titles&gt;&lt;dates&gt;&lt;year&gt;2006&lt;/year&gt;&lt;/dates&gt;&lt;pub-location&gt;Geneva&lt;/pub-location&gt;&lt;publisher&gt;World Health Organization&lt;/publisher&gt;&lt;urls&gt;&lt;/urls&gt;&lt;/record&gt;&lt;/Cite&gt;&lt;/EndNote&gt;</w:instrText>
      </w:r>
      <w:r>
        <w:fldChar w:fldCharType="separate"/>
      </w:r>
      <w:bookmarkStart w:id="6" w:name="__Fieldmark__35_1024893045"/>
      <w:r>
        <w:rPr>
          <w:rFonts w:cs="Georgia" w:ascii="Georgia" w:hAnsi="Georgia"/>
          <w:sz w:val="22"/>
          <w:lang w:val="en-US"/>
        </w:rPr>
        <w:t>[1]</w:t>
      </w:r>
      <w:r>
        <w:rPr>
          <w:rFonts w:cs="Georgia" w:ascii="Georgia" w:hAnsi="Georgia"/>
          <w:sz w:val="22"/>
          <w:lang w:val="en-US"/>
        </w:rPr>
      </w:r>
      <w:r>
        <w:fldChar w:fldCharType="end"/>
      </w:r>
      <w:bookmarkEnd w:id="6"/>
      <w:r>
        <w:rPr>
          <w:rFonts w:cs="Georgia" w:ascii="Georgia" w:hAnsi="Georgia"/>
          <w:sz w:val="22"/>
          <w:lang w:val="en-US"/>
        </w:rPr>
        <w:t xml:space="preserve">. Availability of, and increased patient demand for, newer procedures and investigations has also increased workload in every setting. </w:t>
      </w:r>
    </w:p>
    <w:p>
      <w:pPr>
        <w:pStyle w:val="Normal"/>
        <w:widowControl w:val="false"/>
        <w:autoSpaceDE w:val="false"/>
        <w:spacing w:before="0" w:after="240"/>
        <w:rPr>
          <w:rFonts w:cs="Georgia" w:ascii="Georgia" w:hAnsi="Georgia"/>
          <w:sz w:val="22"/>
          <w:lang w:val="en-US"/>
        </w:rPr>
      </w:pPr>
      <w:r>
        <w:rPr>
          <w:rFonts w:cs="Georgia" w:ascii="Georgia" w:hAnsi="Georgia"/>
          <w:sz w:val="22"/>
          <w:lang w:val="en-US"/>
        </w:rPr>
        <w:t xml:space="preserve">Other countries are simply unable to train enough workers due to resource limitations: </w:t>
      </w:r>
      <w:r>
        <w:rPr>
          <w:rFonts w:cs="Georgia" w:ascii="Georgia" w:hAnsi="Georgia"/>
          <w:sz w:val="22"/>
          <w:szCs w:val="20"/>
          <w:lang w:val="en-US"/>
        </w:rPr>
        <w:t>Ethiopia trains about 200 doctors a year for a population of about 75 million. In comparison, the United Kingdom trains more than 6,000 doctors for a population of about 60 million</w:t>
      </w:r>
      <w:r>
        <w:fldChar w:fldCharType="begin"/>
      </w:r>
      <w:r>
        <w:instrText> ADDIN EN.CITE &lt;EndNote&gt;&lt;Cite&gt;&lt;Author&gt;Crisp N&lt;/Author&gt;&lt;Year&gt;2008&lt;/Year&gt;&lt;RecNum&gt;106&lt;/RecNum&gt;&lt;record&gt;&lt;rec-number&gt;106&lt;/rec-number&gt;&lt;foreign-keys&gt;&lt;key app="EN" db-id="wttddvwzlfesv3e0ts6vspr8ez055adfrzez"&gt;106&lt;/key&gt;&lt;/foreign-keys&gt;&lt;ref-type name="Journal Article"&gt;17&lt;/ref-type&gt;&lt;contributors&gt;&lt;authors&gt;&lt;author&gt;Crisp N,&lt;/author&gt;&lt;author&gt;Gawanas B,&lt;/author&gt;&lt;author&gt;Sharp I,&lt;/author&gt;&lt;/authors&gt;&lt;/contributors&gt;&lt;titles&gt;&lt;title&gt;Training the health workforce: scaling up, saving lives&lt;/title&gt;&lt;secondary-title&gt;Lancet&lt;/secondary-title&gt;&lt;/titles&gt;&lt;periodical&gt;&lt;full-title&gt;Lancet&lt;/full-title&gt;&lt;/periodical&gt;&lt;pages&gt;689-91&lt;/pages&gt;&lt;volume&gt;371&lt;/volume&gt;&lt;dates&gt;&lt;year&gt;2008&lt;/year&gt;&lt;/dates&gt;&lt;urls&gt;&lt;/urls&gt;&lt;/record&gt;&lt;/Cite&gt;&lt;/EndNote&gt;</w:instrText>
      </w:r>
      <w:r>
        <w:fldChar w:fldCharType="separate"/>
      </w:r>
      <w:bookmarkStart w:id="7" w:name="__Fieldmark__36_1024893045"/>
      <w:r>
        <w:rPr>
          <w:rFonts w:cs="Georgia" w:ascii="Georgia" w:hAnsi="Georgia"/>
          <w:sz w:val="22"/>
          <w:szCs w:val="20"/>
          <w:lang w:val="en-US"/>
        </w:rPr>
        <w:t>[4]</w:t>
      </w:r>
      <w:r>
        <w:rPr>
          <w:rFonts w:cs="Georgia" w:ascii="Georgia" w:hAnsi="Georgia"/>
          <w:sz w:val="22"/>
          <w:szCs w:val="20"/>
          <w:lang w:val="en-US"/>
        </w:rPr>
      </w:r>
      <w:r>
        <w:fldChar w:fldCharType="end"/>
      </w:r>
      <w:bookmarkEnd w:id="7"/>
      <w:r>
        <w:rPr>
          <w:rFonts w:cs="Georgia" w:ascii="Georgia" w:hAnsi="Georgia"/>
          <w:sz w:val="22"/>
          <w:szCs w:val="20"/>
          <w:lang w:val="en-US"/>
        </w:rPr>
        <w:t xml:space="preserve">. </w:t>
      </w:r>
      <w:r>
        <w:rPr>
          <w:rFonts w:cs="Georgia" w:ascii="Georgia" w:hAnsi="Georgia"/>
          <w:sz w:val="22"/>
          <w:lang w:val="en-US"/>
        </w:rPr>
        <w:t xml:space="preserve"> Globalization of the health workforce also means that many countries face serious shortages as the skilled workers that they have trained seek employment in nations with improved work conditions or pay scales</w:t>
      </w:r>
      <w:r>
        <w:fldChar w:fldCharType="begin"/>
      </w:r>
      <w:r>
        <w:instrText> ADDIN EN.CITE &lt;EndNote&gt;&lt;Cite&gt;&lt;Author&gt;Global Health Workforce Alliance&lt;/Author&gt;&lt;Year&gt;2008&lt;/Year&gt;&lt;RecNum&gt;102&lt;/RecNum&gt;&lt;record&gt;&lt;rec-number&gt;102&lt;/rec-number&gt;&lt;foreign-keys&gt;&lt;key app="EN" db-id="wttddvwzlfesv3e0ts6vspr8ez055adfrzez"&gt;102&lt;/key&gt;&lt;/foreign-keys&gt;&lt;ref-type name="Report"&gt;27&lt;/ref-type&gt;&lt;contributors&gt;&lt;authors&gt;&lt;author&gt;Global Health Workforce Alliance,&lt;/author&gt;&lt;/authors&gt;&lt;/contributors&gt;&lt;titles&gt;&lt;title&gt;Guidelines: Incentives for health professionals&lt;/title&gt;&lt;/titles&gt;&lt;dates&gt;&lt;year&gt;2008&lt;/year&gt;&lt;/dates&gt;&lt;pub-location&gt;Geneva&lt;/pub-location&gt;&lt;publisher&gt;World Health Organization&lt;/publisher&gt;&lt;urls&gt;&lt;related-urls&gt;&lt;url&gt;http://www.who.int/workforcealliance/documents/Incentives_Guidelines%20EN.pdf&lt;/url&gt;&lt;/related-urls&gt;&lt;/urls&gt;&lt;/record&gt;&lt;/Cite&gt;&lt;/EndNote&gt;</w:instrText>
      </w:r>
      <w:r>
        <w:fldChar w:fldCharType="separate"/>
      </w:r>
      <w:bookmarkStart w:id="8" w:name="__Fieldmark__37_1024893045"/>
      <w:r>
        <w:rPr>
          <w:rFonts w:cs="Georgia" w:ascii="Georgia" w:hAnsi="Georgia"/>
          <w:sz w:val="22"/>
          <w:lang w:val="en-US"/>
        </w:rPr>
        <w:t>[5]</w:t>
      </w:r>
      <w:r>
        <w:rPr>
          <w:rFonts w:cs="Georgia" w:ascii="Georgia" w:hAnsi="Georgia"/>
          <w:sz w:val="22"/>
          <w:lang w:val="en-US"/>
        </w:rPr>
      </w:r>
      <w:r>
        <w:fldChar w:fldCharType="end"/>
      </w:r>
      <w:bookmarkEnd w:id="8"/>
      <w:r>
        <w:rPr>
          <w:rFonts w:cs="Georgia" w:ascii="Georgia" w:hAnsi="Georgia"/>
          <w:sz w:val="22"/>
          <w:lang w:val="en-US"/>
        </w:rPr>
        <w:t>. In Canada nearly one quarter of the medical workforce are overseas trained workers</w:t>
      </w:r>
      <w:r>
        <w:fldChar w:fldCharType="begin"/>
      </w:r>
      <w:r>
        <w:instrText> ADDIN EN.CITE &lt;EndNote&gt;&lt;Cite&gt;&lt;Author&gt;Labonte R&lt;/Author&gt;&lt;Year&gt;2006&lt;/Year&gt;&lt;RecNum&gt;107&lt;/RecNum&gt;&lt;record&gt;&lt;rec-number&gt;107&lt;/rec-number&gt;&lt;foreign-keys&gt;&lt;key app="EN" db-id="wttddvwzlfesv3e0ts6vspr8ez055adfrzez"&gt;107&lt;/key&gt;&lt;/foreign-keys&gt;&lt;ref-type name="Report"&gt;27&lt;/ref-type&gt;&lt;contributors&gt;&lt;authors&gt;&lt;author&gt;Labonte R,&lt;/author&gt;&lt;author&gt;Packer C,&lt;/author&gt;&lt;author&gt;Klassen N,&lt;/author&gt;&lt;author&gt;Kazanjian A,&lt;/author&gt;&lt;author&gt;Apland L,&lt;/author&gt;&lt;author&gt;Adalikwu  J,&lt;/author&gt;&lt;author&gt;Crush J,&lt;/author&gt;&lt;author&gt;McIntosh T,&lt;/author&gt;&lt;author&gt;Schrecker T,&lt;/author&gt;&lt;author&gt;Walker J,&lt;/author&gt;&lt;author&gt;Zakus D,&lt;/author&gt;&lt;/authors&gt;&lt;secondary-authors&gt;&lt;author&gt;Crush J,&lt;/author&gt;&lt;/secondary-authors&gt;&lt;/contributors&gt;&lt;titles&gt;&lt;title&gt;The Brain Drain of Health Professionals from Sub Saharan Africa to Canada&lt;/title&gt;&lt;/titles&gt;&lt;dates&gt;&lt;year&gt;2006&lt;/year&gt;&lt;/dates&gt;&lt;pub-location&gt;Cape Town&lt;/pub-location&gt;&lt;publisher&gt;Southern Africa Migration Project&lt;/publisher&gt;&lt;urls&gt;&lt;/urls&gt;&lt;/record&gt;&lt;/Cite&gt;&lt;/EndNote&gt;</w:instrText>
      </w:r>
      <w:r>
        <w:fldChar w:fldCharType="separate"/>
      </w:r>
      <w:bookmarkStart w:id="9" w:name="__Fieldmark__38_1024893045"/>
      <w:r>
        <w:rPr>
          <w:rFonts w:cs="Georgia" w:ascii="Georgia" w:hAnsi="Georgia"/>
          <w:sz w:val="22"/>
          <w:lang w:val="en-US"/>
        </w:rPr>
        <w:t>[6]</w:t>
      </w:r>
      <w:r>
        <w:rPr>
          <w:rFonts w:cs="Georgia" w:ascii="Georgia" w:hAnsi="Georgia"/>
          <w:sz w:val="22"/>
          <w:lang w:val="en-US"/>
        </w:rPr>
      </w:r>
      <w:r>
        <w:fldChar w:fldCharType="end"/>
      </w:r>
      <w:bookmarkEnd w:id="9"/>
      <w:r>
        <w:rPr>
          <w:rFonts w:cs="Arial" w:ascii="Arial" w:hAnsi="Arial"/>
          <w:sz w:val="22"/>
          <w:lang w:val="en-US"/>
        </w:rPr>
        <w:t xml:space="preserve"> </w:t>
      </w:r>
      <w:r>
        <w:rPr>
          <w:rFonts w:cs="Georgia" w:ascii="Georgia" w:hAnsi="Georgia"/>
          <w:sz w:val="22"/>
          <w:lang w:val="en-US"/>
        </w:rPr>
        <w:t xml:space="preserve">and recent initiatives such as those by the Ontario Government to change legislation that currently restricts international graduates will likely increase this number </w:t>
      </w:r>
      <w:r>
        <w:fldChar w:fldCharType="begin"/>
      </w:r>
      <w:r>
        <w:instrText> ADDIN EN.CITE &lt;EndNote&gt;&lt;Cite&gt;&lt;Author&gt;Ministry of Health and Long-Term Care&lt;/Author&gt;&lt;Year&gt;2008&lt;/Year&gt;&lt;RecNum&gt;108&lt;/RecNum&gt;&lt;record&gt;&lt;rec-number&gt;108&lt;/rec-number&gt;&lt;foreign-keys&gt;&lt;key app="EN" db-id="wttddvwzlfesv3e0ts6vspr8ez055adfrzez"&gt;108&lt;/key&gt;&lt;/foreign-keys&gt;&lt;ref-type name="Report"&gt;27&lt;/ref-type&gt;&lt;contributors&gt;&lt;authors&gt;&lt;author&gt;Ministry of Health and Long-Term Care,&lt;/author&gt;&lt;/authors&gt;&lt;/contributors&gt;&lt;titles&gt;&lt;title&gt;Report on Removing Barriers for International Medical Doctors&lt;/title&gt;&lt;/titles&gt;&lt;dates&gt;&lt;year&gt;2008&lt;/year&gt;&lt;pub-dates&gt;&lt;date&gt;March 31&lt;/date&gt;&lt;/pub-dates&gt;&lt;/dates&gt;&lt;pub-location&gt;Toronto&lt;/pub-location&gt;&lt;urls&gt;&lt;/urls&gt;&lt;/record&gt;&lt;/Cite&gt;&lt;/EndNote&gt;</w:instrText>
      </w:r>
      <w:r>
        <w:fldChar w:fldCharType="separate"/>
      </w:r>
      <w:bookmarkStart w:id="10" w:name="__Fieldmark__39_1024893045"/>
      <w:r>
        <w:rPr>
          <w:rFonts w:cs="Georgia" w:ascii="Georgia" w:hAnsi="Georgia"/>
          <w:sz w:val="22"/>
          <w:lang w:val="en-US"/>
        </w:rPr>
        <w:t>[7]</w:t>
      </w:r>
      <w:r>
        <w:rPr>
          <w:rFonts w:cs="Georgia" w:ascii="Georgia" w:hAnsi="Georgia"/>
          <w:sz w:val="22"/>
          <w:lang w:val="en-US"/>
        </w:rPr>
      </w:r>
      <w:r>
        <w:fldChar w:fldCharType="end"/>
      </w:r>
      <w:bookmarkEnd w:id="10"/>
      <w:r>
        <w:rPr>
          <w:rFonts w:cs="Georgia" w:ascii="Georgia" w:hAnsi="Georgia"/>
          <w:sz w:val="22"/>
          <w:lang w:val="en-US"/>
        </w:rPr>
        <w:t>. However, reported data suggest that African-born doctors and nurses working in OECD countries account for less than 12% of the total estimated shortages in Africa</w:t>
      </w:r>
      <w:r>
        <w:fldChar w:fldCharType="begin"/>
      </w:r>
      <w:r>
        <w:instrText> ADDIN EN.CITE &lt;EndNote&gt;&lt;Cite&gt;&lt;Author&gt;Global Health Workforce Alliance&lt;/Author&gt;&lt;Year&gt;2008&lt;/Year&gt;&lt;RecNum&gt;101&lt;/RecNum&gt;&lt;record&gt;&lt;rec-number&gt;101&lt;/rec-number&gt;&lt;foreign-keys&gt;&lt;key app="EN" db-id="wttddvwzlfesv3e0ts6vspr8ez055adfrzez"&gt;101&lt;/key&gt;&lt;/foreign-keys&gt;&lt;ref-type name="Report"&gt;27&lt;/ref-type&gt;&lt;contributors&gt;&lt;authors&gt;&lt;author&gt;Global Health Workforce Alliance,&lt;/author&gt;&lt;/authors&gt;&lt;/contributors&gt;&lt;titles&gt;&lt;title&gt;Scaling Up, Saving Lives: Task Force for Scaling Up Education and Training for Health Workers, Global Health Workforce Alliance&lt;/title&gt;&lt;/titles&gt;&lt;dates&gt;&lt;year&gt;2008&lt;/year&gt;&lt;/dates&gt;&lt;pub-location&gt;Geneva&lt;/pub-location&gt;&lt;publisher&gt;World Health Organization&lt;/publisher&gt;&lt;urls&gt;&lt;/urls&gt;&lt;/record&gt;&lt;/Cite&gt;&lt;/EndNote&gt;</w:instrText>
      </w:r>
      <w:r>
        <w:fldChar w:fldCharType="separate"/>
      </w:r>
      <w:bookmarkStart w:id="11" w:name="__Fieldmark__40_1024893045"/>
      <w:r>
        <w:rPr>
          <w:rFonts w:cs="Georgia" w:ascii="Georgia" w:hAnsi="Georgia"/>
          <w:sz w:val="22"/>
          <w:lang w:val="en-US"/>
        </w:rPr>
        <w:t>[8]</w:t>
      </w:r>
      <w:r>
        <w:rPr>
          <w:rFonts w:cs="Georgia" w:ascii="Georgia" w:hAnsi="Georgia"/>
          <w:sz w:val="22"/>
          <w:lang w:val="en-US"/>
        </w:rPr>
      </w:r>
      <w:r>
        <w:fldChar w:fldCharType="end"/>
      </w:r>
      <w:bookmarkEnd w:id="11"/>
      <w:r>
        <w:rPr>
          <w:rFonts w:cs="Georgia" w:ascii="Georgia" w:hAnsi="Georgia"/>
          <w:sz w:val="22"/>
          <w:lang w:val="en-US"/>
        </w:rPr>
        <w:t xml:space="preserve">. </w:t>
      </w:r>
    </w:p>
    <w:p>
      <w:pPr>
        <w:pStyle w:val="Normal"/>
        <w:widowControl w:val="false"/>
        <w:autoSpaceDE w:val="false"/>
        <w:rPr>
          <w:rFonts w:cs="Georgia" w:ascii="Georgia" w:hAnsi="Georgia"/>
          <w:sz w:val="22"/>
        </w:rPr>
      </w:pPr>
      <w:r>
        <w:rPr>
          <w:rFonts w:cs="Georgia" w:ascii="Georgia" w:hAnsi="Georgia"/>
          <w:sz w:val="22"/>
        </w:rPr>
        <w:t>Following the release of the World Health Report in 2006 (“Working together for health”)</w:t>
      </w:r>
      <w:r>
        <w:fldChar w:fldCharType="begin"/>
      </w:r>
      <w:r>
        <w:instrText> ADDIN EN.CITE &lt;EndNote&gt;&lt;Cite&gt;&lt;Author&gt;World Health Organization&lt;/Author&gt;&lt;Year&gt;2006&lt;/Year&gt;&lt;RecNum&gt;100&lt;/RecNum&gt;&lt;record&gt;&lt;rec-number&gt;100&lt;/rec-number&gt;&lt;foreign-keys&gt;&lt;key app="EN" db-id="wttddvwzlfesv3e0ts6vspr8ez055adfrzez"&gt;100&lt;/key&gt;&lt;/foreign-keys&gt;&lt;ref-type name="Report"&gt;27&lt;/ref-type&gt;&lt;contributors&gt;&lt;authors&gt;&lt;author&gt;World Health Organization,&lt;/author&gt;&lt;/authors&gt;&lt;/contributors&gt;&lt;titles&gt;&lt;title&gt;The World Health Report 2006: working together for health&lt;/title&gt;&lt;/titles&gt;&lt;dates&gt;&lt;year&gt;2006&lt;/year&gt;&lt;/dates&gt;&lt;pub-location&gt;Geneva&lt;/pub-location&gt;&lt;publisher&gt;World Health Organization&lt;/publisher&gt;&lt;urls&gt;&lt;/urls&gt;&lt;/record&gt;&lt;/Cite&gt;&lt;/EndNote&gt;</w:instrText>
      </w:r>
      <w:r>
        <w:fldChar w:fldCharType="separate"/>
      </w:r>
      <w:bookmarkStart w:id="12" w:name="__Fieldmark__41_1024893045"/>
      <w:r>
        <w:rPr>
          <w:rFonts w:cs="Georgia" w:ascii="Georgia" w:hAnsi="Georgia"/>
          <w:sz w:val="22"/>
        </w:rPr>
        <w:t>[1]</w:t>
      </w:r>
      <w:r>
        <w:rPr>
          <w:rFonts w:cs="Georgia" w:ascii="Georgia" w:hAnsi="Georgia"/>
          <w:sz w:val="22"/>
        </w:rPr>
      </w:r>
      <w:r>
        <w:fldChar w:fldCharType="end"/>
      </w:r>
      <w:bookmarkEnd w:id="12"/>
      <w:r>
        <w:rPr>
          <w:rFonts w:cs="Georgia" w:ascii="Georgia" w:hAnsi="Georgia"/>
          <w:sz w:val="22"/>
        </w:rPr>
        <w:t xml:space="preserve"> and the World Health Assembly Resolution 59.23 - calling on all member States to contribute to a rapid scaling up of health worker production - the Global Health Workforce Alliance was formed to address the health care worker crisis. </w:t>
      </w:r>
    </w:p>
    <w:p>
      <w:pPr>
        <w:pStyle w:val="Normal"/>
        <w:widowControl w:val="false"/>
        <w:autoSpaceDE w:val="false"/>
        <w:rPr>
          <w:rFonts w:cs="Georgia" w:ascii="Georgia" w:hAnsi="Georgia"/>
          <w:sz w:val="22"/>
        </w:rPr>
      </w:pPr>
      <w:r>
        <w:rPr>
          <w:rFonts w:cs="Georgia" w:ascii="Georgia" w:hAnsi="Georgia"/>
          <w:sz w:val="22"/>
        </w:rPr>
      </w:r>
    </w:p>
    <w:p>
      <w:pPr>
        <w:pStyle w:val="Normal"/>
        <w:widowControl w:val="false"/>
        <w:autoSpaceDE w:val="false"/>
        <w:rPr>
          <w:rFonts w:cs="Georgia" w:ascii="Georgia" w:hAnsi="Georgia"/>
          <w:sz w:val="22"/>
        </w:rPr>
      </w:pPr>
      <w:r>
        <w:rPr>
          <w:rFonts w:cs="Georgia" w:ascii="Georgia" w:hAnsi="Georgia"/>
          <w:sz w:val="22"/>
        </w:rPr>
        <w:t>This year the GHWA released guidelines on both financial and non-financial incentives encouraging health professional retention such as tax waivers, allowances (eg. housing, clothing, child care), performance payments, flexible employment arrangements and career development support</w:t>
      </w:r>
      <w:r>
        <w:fldChar w:fldCharType="begin"/>
      </w:r>
      <w:r>
        <w:instrText> ADDIN EN.CITE &lt;EndNote&gt;&lt;Cite&gt;&lt;Author&gt;Global Health Workforce Alliance&lt;/Author&gt;&lt;Year&gt;2008&lt;/Year&gt;&lt;RecNum&gt;102&lt;/RecNum&gt;&lt;record&gt;&lt;rec-number&gt;102&lt;/rec-number&gt;&lt;foreign-keys&gt;&lt;key app="EN" db-id="wttddvwzlfesv3e0ts6vspr8ez055adfrzez"&gt;102&lt;/key&gt;&lt;/foreign-keys&gt;&lt;ref-type name="Report"&gt;27&lt;/ref-type&gt;&lt;contributors&gt;&lt;authors&gt;&lt;author&gt;Global Health Workforce Alliance,&lt;/author&gt;&lt;/authors&gt;&lt;/contributors&gt;&lt;titles&gt;&lt;title&gt;Guidelines: Incentives for health professionals&lt;/title&gt;&lt;/titles&gt;&lt;dates&gt;&lt;year&gt;2008&lt;/year&gt;&lt;/dates&gt;&lt;pub-location&gt;Geneva&lt;/pub-location&gt;&lt;publisher&gt;World Health Organization&lt;/publisher&gt;&lt;urls&gt;&lt;related-urls&gt;&lt;url&gt;http://www.who.int/workforcealliance/documents/Incentives_Guidelines%20EN.pdf&lt;/url&gt;&lt;/related-urls&gt;&lt;/urls&gt;&lt;/record&gt;&lt;/Cite&gt;&lt;/EndNote&gt;</w:instrText>
      </w:r>
      <w:r>
        <w:fldChar w:fldCharType="separate"/>
      </w:r>
      <w:bookmarkStart w:id="13" w:name="__Fieldmark__42_1024893045"/>
      <w:r>
        <w:rPr>
          <w:rFonts w:cs="Georgia" w:ascii="Georgia" w:hAnsi="Georgia"/>
          <w:sz w:val="22"/>
        </w:rPr>
        <w:t>[5]</w:t>
      </w:r>
      <w:r>
        <w:rPr>
          <w:rFonts w:cs="Georgia" w:ascii="Georgia" w:hAnsi="Georgia"/>
          <w:sz w:val="22"/>
        </w:rPr>
      </w:r>
      <w:r>
        <w:fldChar w:fldCharType="end"/>
      </w:r>
      <w:bookmarkEnd w:id="13"/>
      <w:r>
        <w:rPr>
          <w:rFonts w:cs="Georgia" w:ascii="Georgia" w:hAnsi="Georgia"/>
          <w:sz w:val="22"/>
        </w:rPr>
        <w:t>. They also released “Scaling up, Saving Lives”, a report reviewing measures to rapidly scale up education and training of health workers based on the practical experience of countries and research from around the world</w:t>
      </w:r>
      <w:r>
        <w:fldChar w:fldCharType="begin"/>
      </w:r>
      <w:r>
        <w:instrText> ADDIN EN.CITE &lt;EndNote&gt;&lt;Cite&gt;&lt;Author&gt;Global Health Workforce Alliance&lt;/Author&gt;&lt;Year&gt;2008&lt;/Year&gt;&lt;RecNum&gt;101&lt;/RecNum&gt;&lt;record&gt;&lt;rec-number&gt;101&lt;/rec-number&gt;&lt;foreign-keys&gt;&lt;key app="EN" db-id="wttddvwzlfesv3e0ts6vspr8ez055adfrzez"&gt;101&lt;/key&gt;&lt;/foreign-keys&gt;&lt;ref-type name="Report"&gt;27&lt;/ref-type&gt;&lt;contributors&gt;&lt;authors&gt;&lt;author&gt;Global Health Workforce Alliance,&lt;/author&gt;&lt;/authors&gt;&lt;/contributors&gt;&lt;titles&gt;&lt;title&gt;Scaling Up, Saving Lives: Task Force for Scaling Up Education and Training for Health Workers, Global Health Workforce Alliance&lt;/title&gt;&lt;/titles&gt;&lt;dates&gt;&lt;year&gt;2008&lt;/year&gt;&lt;/dates&gt;&lt;pub-location&gt;Geneva&lt;/pub-location&gt;&lt;publisher&gt;World Health Organization&lt;/publisher&gt;&lt;urls&gt;&lt;/urls&gt;&lt;/record&gt;&lt;/Cite&gt;&lt;/EndNote&gt;</w:instrText>
      </w:r>
      <w:r>
        <w:fldChar w:fldCharType="separate"/>
      </w:r>
      <w:bookmarkStart w:id="14" w:name="__Fieldmark__43_1024893045"/>
      <w:r>
        <w:rPr>
          <w:rFonts w:cs="Georgia" w:ascii="Georgia" w:hAnsi="Georgia"/>
          <w:sz w:val="22"/>
        </w:rPr>
        <w:t>[8]</w:t>
      </w:r>
      <w:r>
        <w:rPr>
          <w:rFonts w:cs="Georgia" w:ascii="Georgia" w:hAnsi="Georgia"/>
          <w:sz w:val="22"/>
        </w:rPr>
      </w:r>
      <w:r>
        <w:fldChar w:fldCharType="end"/>
      </w:r>
      <w:bookmarkEnd w:id="14"/>
      <w:r>
        <w:rPr>
          <w:rFonts w:cs="Georgia" w:ascii="Georgia" w:hAnsi="Georgia"/>
          <w:sz w:val="22"/>
        </w:rPr>
        <w:t xml:space="preserve">. The latter report - released at the “Global Forum on Human Resources for Health” in Uganda – also contributed to the Kampala Declaration and Agenda for Global Action (see textbox 1) (The Declaration can be seen at http://www.who.int/workforcealliance/forum/2_declaration_final.pdf). </w:t>
      </w:r>
    </w:p>
    <w:p>
      <w:pPr>
        <w:pStyle w:val="Normal"/>
        <w:widowControl w:val="false"/>
        <w:autoSpaceDE w:val="false"/>
        <w:rPr>
          <w:rFonts w:cs="Georgia" w:ascii="Georgia" w:hAnsi="Georgia"/>
          <w:sz w:val="22"/>
        </w:rPr>
      </w:pPr>
      <w:r>
        <w:rPr>
          <w:rFonts w:cs="Georgia" w:ascii="Georgia" w:hAnsi="Georgia"/>
          <w:sz w:val="22"/>
        </w:rPr>
      </w:r>
    </w:p>
    <w:p>
      <w:pPr>
        <w:pStyle w:val="Normal"/>
        <w:widowControl w:val="false"/>
        <w:autoSpaceDE w:val="false"/>
        <w:rPr>
          <w:rFonts w:cs="Georgia" w:ascii="Georgia" w:hAnsi="Georgia"/>
          <w:sz w:val="22"/>
        </w:rPr>
      </w:pPr>
      <w:r>
        <w:rPr>
          <w:rFonts w:cs="Georgia" w:ascii="Georgia" w:hAnsi="Georgia"/>
          <w:sz w:val="22"/>
        </w:rPr>
        <w:t>In addition to workforce information systems, data outlining successful efforts in staff training, cross-sectoral collaboration and implementation of new work practices are required. To this end, eighteen cross-sectoral journals (see on-line Appendix 1) have collaborated to publish manuscripts between June and August this year on broad topics including working with the private sector, regulation of health education and practice, changing labour market dynamics, training teams for health care provision, and changing skills mix and roles of health workers</w:t>
      </w:r>
      <w:r>
        <w:fldChar w:fldCharType="begin"/>
      </w:r>
      <w:r>
        <w:instrText> ADDIN EN.CITE &lt;EndNote&gt;&lt;Cite&gt;&lt;Author&gt;Shaw Daniel&lt;/Author&gt;&lt;Year&gt;2007&lt;/Year&gt;&lt;RecNum&gt;103&lt;/RecNum&gt;&lt;record&gt;&lt;rec-number&gt;103&lt;/rec-number&gt;&lt;foreign-keys&gt;&lt;key app="EN" db-id="wttddvwzlfesv3e0ts6vspr8ez055adfrzez"&gt;103&lt;/key&gt;&lt;/foreign-keys&gt;&lt;ref-type name="Journal Article"&gt;17&lt;/ref-type&gt;&lt;contributors&gt;&lt;authors&gt;&lt;author&gt;Shaw Daniel,&lt;/author&gt;&lt;/authors&gt;&lt;/contributors&gt;&lt;titles&gt;&lt;title&gt;Final call for papers: &amp;quot;Towards a scaling-up of training and education for health workers&amp;quot;&lt;/title&gt;&lt;secondary-title&gt;Human Resources for Health&lt;/secondary-title&gt;&lt;/titles&gt;&lt;periodical&gt;&lt;full-title&gt;Human Resources for Health&lt;/full-title&gt;&lt;/periodical&gt;&lt;volume&gt;5&lt;/volume&gt;&lt;number&gt;22&lt;/number&gt;&lt;dates&gt;&lt;year&gt;2007&lt;/year&gt;&lt;/dates&gt;&lt;urls&gt;&lt;related-urls&gt;&lt;url&gt;http://www.pubmedcentral.nih.gov/articlerender.fcgi?artid=2018692&lt;/url&gt;&lt;/related-urls&gt;&lt;/urls&gt;&lt;/record&gt;&lt;/Cite&gt;&lt;/EndNote&gt;</w:instrText>
      </w:r>
      <w:r>
        <w:fldChar w:fldCharType="separate"/>
      </w:r>
      <w:bookmarkStart w:id="15" w:name="__Fieldmark__44_1024893045"/>
      <w:r>
        <w:rPr>
          <w:rFonts w:cs="Georgia" w:ascii="Georgia" w:hAnsi="Georgia"/>
          <w:sz w:val="22"/>
        </w:rPr>
        <w:t>[9]</w:t>
      </w:r>
      <w:r>
        <w:rPr>
          <w:rFonts w:cs="Georgia" w:ascii="Georgia" w:hAnsi="Georgia"/>
          <w:sz w:val="22"/>
        </w:rPr>
      </w:r>
      <w:r>
        <w:fldChar w:fldCharType="end"/>
      </w:r>
      <w:bookmarkEnd w:id="15"/>
      <w:r>
        <w:rPr>
          <w:rFonts w:cs="Georgia" w:ascii="Georgia" w:hAnsi="Georgia"/>
          <w:sz w:val="22"/>
        </w:rPr>
        <w:t>. As researchers, users and workers in healthcare systems we encourage you to seek out these articles, engaging in and generating debate on this truly global problem.</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References</w:t>
      </w:r>
    </w:p>
    <w:p>
      <w:pPr>
        <w:pStyle w:val="Normal"/>
        <w:ind w:left="720" w:right="0" w:hanging="720"/>
        <w:rPr>
          <w:szCs w:val="32"/>
          <w:lang w:val="en-US"/>
        </w:rPr>
      </w:pPr>
      <w:r>
        <w:fldChar w:fldCharType="begin"/>
      </w:r>
      <w:r>
        <w:instrText> ADDIN EN.REFLIST </w:instrText>
      </w:r>
      <w:r>
        <w:fldChar w:fldCharType="separate"/>
      </w:r>
      <w:bookmarkStart w:id="16" w:name="__Fieldmark__45_1024893045"/>
      <w:r>
        <w:rPr>
          <w:szCs w:val="32"/>
          <w:lang w:val="en-US"/>
        </w:rPr>
        <w:t>1.</w:t>
        <w:tab/>
        <w:t xml:space="preserve">World Health Organization, </w:t>
      </w:r>
      <w:r>
        <w:rPr>
          <w:i/>
          <w:szCs w:val="32"/>
          <w:lang w:val="en-US"/>
        </w:rPr>
        <w:t>The World Health Report 2006: working together for health</w:t>
      </w:r>
      <w:r>
        <w:rPr>
          <w:szCs w:val="32"/>
          <w:lang w:val="en-US"/>
        </w:rPr>
        <w:t>. 2006, World Health Organization: Geneva. Available online at http://www.who.int/whr/2006/en/. Accessed 10</w:t>
      </w:r>
      <w:r>
        <w:rPr>
          <w:szCs w:val="32"/>
          <w:vertAlign w:val="superscript"/>
          <w:lang w:val="en-US"/>
        </w:rPr>
        <w:t>th</w:t>
      </w:r>
      <w:r>
        <w:rPr>
          <w:szCs w:val="32"/>
          <w:lang w:val="en-US"/>
        </w:rPr>
        <w:t xml:space="preserve"> June 2008</w:t>
      </w:r>
    </w:p>
    <w:p>
      <w:pPr>
        <w:pStyle w:val="Normal"/>
        <w:ind w:left="720" w:right="0" w:hanging="720"/>
        <w:rPr>
          <w:szCs w:val="32"/>
          <w:lang w:val="en-US"/>
        </w:rPr>
      </w:pPr>
      <w:r>
        <w:rPr>
          <w:szCs w:val="32"/>
          <w:lang w:val="en-US"/>
        </w:rPr>
        <w:t>2.</w:t>
        <w:tab/>
        <w:t xml:space="preserve">Pruitt, S.D. and J.E. Epping-Jordan, </w:t>
      </w:r>
      <w:r>
        <w:rPr>
          <w:i/>
          <w:szCs w:val="32"/>
          <w:lang w:val="en-US"/>
        </w:rPr>
        <w:t>Preparing the 21st century global healthcare workforce.</w:t>
      </w:r>
      <w:r>
        <w:rPr>
          <w:szCs w:val="32"/>
          <w:lang w:val="en-US"/>
        </w:rPr>
        <w:t xml:space="preserve"> BMJ, 2005. </w:t>
      </w:r>
      <w:r>
        <w:rPr>
          <w:b/>
          <w:szCs w:val="32"/>
          <w:lang w:val="en-US"/>
        </w:rPr>
        <w:t>330</w:t>
      </w:r>
      <w:r>
        <w:rPr>
          <w:szCs w:val="32"/>
          <w:lang w:val="en-US"/>
        </w:rPr>
        <w:t>(7492): p. 637-639. Available online at http://www.bmj.com/cgi/content/short/330/7492/637. Accessed 10</w:t>
      </w:r>
      <w:r>
        <w:rPr>
          <w:szCs w:val="32"/>
          <w:vertAlign w:val="superscript"/>
          <w:lang w:val="en-US"/>
        </w:rPr>
        <w:t>th</w:t>
      </w:r>
      <w:r>
        <w:rPr>
          <w:szCs w:val="32"/>
          <w:lang w:val="en-US"/>
        </w:rPr>
        <w:t xml:space="preserve"> June 2008</w:t>
      </w:r>
    </w:p>
    <w:p>
      <w:pPr>
        <w:pStyle w:val="Normal"/>
        <w:ind w:left="720" w:right="0" w:hanging="720"/>
        <w:rPr>
          <w:szCs w:val="32"/>
          <w:lang w:val="en-US"/>
        </w:rPr>
      </w:pPr>
      <w:r>
        <w:rPr>
          <w:szCs w:val="32"/>
          <w:lang w:val="en-US"/>
        </w:rPr>
        <w:t>3.</w:t>
        <w:tab/>
        <w:t xml:space="preserve">Health Research and Educational Trust (HRET). </w:t>
      </w:r>
      <w:r>
        <w:rPr>
          <w:i/>
          <w:szCs w:val="32"/>
          <w:lang w:val="en-US"/>
        </w:rPr>
        <w:t>Proceedings Report</w:t>
      </w:r>
      <w:r>
        <w:rPr>
          <w:szCs w:val="32"/>
          <w:lang w:val="en-US"/>
        </w:rPr>
        <w:t xml:space="preserve">. in </w:t>
      </w:r>
      <w:r>
        <w:rPr>
          <w:i/>
          <w:szCs w:val="32"/>
          <w:lang w:val="en-US"/>
        </w:rPr>
        <w:t>A Call to Action. Ensuring global human resources for health.</w:t>
      </w:r>
      <w:r>
        <w:rPr>
          <w:szCs w:val="32"/>
          <w:lang w:val="en-US"/>
        </w:rPr>
        <w:t xml:space="preserve"> 2007. International Conference Centre, Geneva, Switzerland. Available online at http://www.hret.org/hret/publications/ihwm.html. Accessed 10</w:t>
      </w:r>
      <w:r>
        <w:rPr>
          <w:szCs w:val="32"/>
          <w:vertAlign w:val="superscript"/>
          <w:lang w:val="en-US"/>
        </w:rPr>
        <w:t>th</w:t>
      </w:r>
      <w:r>
        <w:rPr>
          <w:szCs w:val="32"/>
          <w:lang w:val="en-US"/>
        </w:rPr>
        <w:t xml:space="preserve"> June 2008.</w:t>
      </w:r>
    </w:p>
    <w:p>
      <w:pPr>
        <w:pStyle w:val="Normal"/>
        <w:ind w:left="720" w:right="0" w:hanging="720"/>
        <w:rPr>
          <w:szCs w:val="32"/>
          <w:lang w:val="en-US"/>
        </w:rPr>
      </w:pPr>
      <w:r>
        <w:rPr>
          <w:szCs w:val="32"/>
          <w:lang w:val="en-US"/>
        </w:rPr>
        <w:t>4.</w:t>
        <w:tab/>
        <w:t xml:space="preserve">Crisp N, Gawanas B, and Sharp I, </w:t>
      </w:r>
      <w:r>
        <w:rPr>
          <w:i/>
          <w:szCs w:val="32"/>
          <w:lang w:val="en-US"/>
        </w:rPr>
        <w:t>Training the health workforce: scaling up, saving lives.</w:t>
      </w:r>
      <w:r>
        <w:rPr>
          <w:szCs w:val="32"/>
          <w:lang w:val="en-US"/>
        </w:rPr>
        <w:t xml:space="preserve"> Lancet, 2008. </w:t>
      </w:r>
      <w:r>
        <w:rPr>
          <w:b/>
          <w:szCs w:val="32"/>
          <w:lang w:val="en-US"/>
        </w:rPr>
        <w:t>371</w:t>
      </w:r>
      <w:r>
        <w:rPr>
          <w:szCs w:val="32"/>
          <w:lang w:val="en-US"/>
        </w:rPr>
        <w:t>: p. 689-91.</w:t>
      </w:r>
    </w:p>
    <w:p>
      <w:pPr>
        <w:pStyle w:val="Normal"/>
        <w:ind w:left="720" w:right="0" w:hanging="720"/>
        <w:rPr>
          <w:szCs w:val="32"/>
          <w:lang w:val="en-US"/>
        </w:rPr>
      </w:pPr>
      <w:r>
        <w:rPr>
          <w:szCs w:val="32"/>
          <w:lang w:val="en-US"/>
        </w:rPr>
        <w:t>5.</w:t>
        <w:tab/>
        <w:t xml:space="preserve">Global Health Workforce Alliance, </w:t>
      </w:r>
      <w:r>
        <w:rPr>
          <w:i/>
          <w:szCs w:val="32"/>
          <w:lang w:val="en-US"/>
        </w:rPr>
        <w:t>Guidelines: Incentives for health professionals</w:t>
      </w:r>
      <w:r>
        <w:rPr>
          <w:szCs w:val="32"/>
          <w:lang w:val="en-US"/>
        </w:rPr>
        <w:t>. 2008, World Health Organization: Geneva. Available online at http://www.who.int/workforcealliance/documents/Incentives_Guidelines%20EN.pdf. Accessed 10</w:t>
      </w:r>
      <w:r>
        <w:rPr>
          <w:szCs w:val="32"/>
          <w:vertAlign w:val="superscript"/>
          <w:lang w:val="en-US"/>
        </w:rPr>
        <w:t>th</w:t>
      </w:r>
      <w:r>
        <w:rPr>
          <w:szCs w:val="32"/>
          <w:lang w:val="en-US"/>
        </w:rPr>
        <w:t xml:space="preserve"> June 2008.</w:t>
      </w:r>
    </w:p>
    <w:p>
      <w:pPr>
        <w:pStyle w:val="Normal"/>
        <w:ind w:left="720" w:right="0" w:hanging="720"/>
        <w:rPr>
          <w:szCs w:val="32"/>
          <w:lang w:val="en-US"/>
        </w:rPr>
      </w:pPr>
      <w:r>
        <w:rPr>
          <w:szCs w:val="32"/>
          <w:lang w:val="en-US"/>
        </w:rPr>
        <w:t>6.</w:t>
        <w:tab/>
        <w:t xml:space="preserve">Labonte R, et al., </w:t>
      </w:r>
      <w:r>
        <w:rPr>
          <w:i/>
          <w:szCs w:val="32"/>
          <w:lang w:val="en-US"/>
        </w:rPr>
        <w:t>The Brain Drain of Health Professionals from Sub Saharan Africa to Canada</w:t>
      </w:r>
      <w:r>
        <w:rPr>
          <w:szCs w:val="32"/>
          <w:lang w:val="en-US"/>
        </w:rPr>
        <w:t>, Crush J, Editor. 2006, Southern Africa Migration Project: Cape Town. Available online at http://www.queensu.ca/samp/sampresources/samppublications/mad/MAD_2.pdf. Accessed 10</w:t>
      </w:r>
      <w:r>
        <w:rPr>
          <w:szCs w:val="32"/>
          <w:vertAlign w:val="superscript"/>
          <w:lang w:val="en-US"/>
        </w:rPr>
        <w:t>th</w:t>
      </w:r>
      <w:r>
        <w:rPr>
          <w:szCs w:val="32"/>
          <w:lang w:val="en-US"/>
        </w:rPr>
        <w:t xml:space="preserve"> June 2008.</w:t>
      </w:r>
    </w:p>
    <w:p>
      <w:pPr>
        <w:pStyle w:val="Normal"/>
        <w:ind w:left="720" w:right="0" w:hanging="720"/>
        <w:rPr>
          <w:szCs w:val="32"/>
          <w:lang w:val="en-US"/>
        </w:rPr>
      </w:pPr>
      <w:r>
        <w:rPr>
          <w:szCs w:val="32"/>
          <w:lang w:val="en-US"/>
        </w:rPr>
        <w:t>7.</w:t>
        <w:tab/>
        <w:t xml:space="preserve">Ministry of Health and Long-Term Care, </w:t>
      </w:r>
      <w:r>
        <w:rPr>
          <w:i/>
          <w:szCs w:val="32"/>
          <w:lang w:val="en-US"/>
        </w:rPr>
        <w:t>Report on Removing Barriers for International Medical Doctors</w:t>
      </w:r>
      <w:r>
        <w:rPr>
          <w:szCs w:val="32"/>
          <w:lang w:val="en-US"/>
        </w:rPr>
        <w:t>. 2008: Toronto. Available online at http://www.health.gov.on.ca/english/public/pub/ministry_reports/removing_barriers/removing_barriers.pdf. Accessed 10</w:t>
      </w:r>
      <w:r>
        <w:rPr>
          <w:szCs w:val="32"/>
          <w:vertAlign w:val="superscript"/>
          <w:lang w:val="en-US"/>
        </w:rPr>
        <w:t>th</w:t>
      </w:r>
      <w:r>
        <w:rPr>
          <w:szCs w:val="32"/>
          <w:lang w:val="en-US"/>
        </w:rPr>
        <w:t xml:space="preserve"> June 2008.</w:t>
      </w:r>
    </w:p>
    <w:p>
      <w:pPr>
        <w:pStyle w:val="Normal"/>
        <w:ind w:left="720" w:right="0" w:hanging="720"/>
        <w:rPr>
          <w:szCs w:val="32"/>
          <w:lang w:val="en-US"/>
        </w:rPr>
      </w:pPr>
      <w:r>
        <w:rPr>
          <w:szCs w:val="32"/>
          <w:lang w:val="en-US"/>
        </w:rPr>
        <w:t>8.</w:t>
        <w:tab/>
        <w:t xml:space="preserve">Global Health Workforce Alliance, </w:t>
      </w:r>
      <w:r>
        <w:rPr>
          <w:i/>
          <w:szCs w:val="32"/>
          <w:lang w:val="en-US"/>
        </w:rPr>
        <w:t>Scaling Up, Saving Lives: Task Force for Scaling Up Education and Training for Health Workers, Global Health Workforce Alliance</w:t>
      </w:r>
      <w:r>
        <w:rPr>
          <w:szCs w:val="32"/>
          <w:lang w:val="en-US"/>
        </w:rPr>
        <w:t>. 2008, World Health Organization: Geneva. Available online at http://www.who.int/workforcealliance/documents/Global_Health%20FINAL%20REPORT.pdf. Accessed 10</w:t>
      </w:r>
      <w:r>
        <w:rPr>
          <w:szCs w:val="32"/>
          <w:vertAlign w:val="superscript"/>
          <w:lang w:val="en-US"/>
        </w:rPr>
        <w:t>th</w:t>
      </w:r>
      <w:r>
        <w:rPr>
          <w:szCs w:val="32"/>
          <w:lang w:val="en-US"/>
        </w:rPr>
        <w:t xml:space="preserve"> June 2008.</w:t>
      </w:r>
    </w:p>
    <w:p>
      <w:pPr>
        <w:pStyle w:val="Normal"/>
        <w:ind w:left="720" w:right="0" w:hanging="720"/>
        <w:rPr>
          <w:szCs w:val="32"/>
          <w:lang w:val="en-US"/>
        </w:rPr>
      </w:pPr>
      <w:r>
        <w:rPr>
          <w:szCs w:val="32"/>
          <w:lang w:val="en-US"/>
        </w:rPr>
        <w:t>9.</w:t>
        <w:tab/>
        <w:t xml:space="preserve">Shaw Daniel, </w:t>
      </w:r>
      <w:r>
        <w:rPr>
          <w:i/>
          <w:szCs w:val="32"/>
          <w:lang w:val="en-US"/>
        </w:rPr>
        <w:t>Final call for papers: "Towards a scaling-up of training and education for health workers".</w:t>
      </w:r>
      <w:r>
        <w:rPr>
          <w:szCs w:val="32"/>
          <w:lang w:val="en-US"/>
        </w:rPr>
        <w:t xml:space="preserve"> Human Resources for Health, 2007. </w:t>
      </w:r>
      <w:r>
        <w:rPr>
          <w:b/>
          <w:szCs w:val="32"/>
          <w:lang w:val="en-US"/>
        </w:rPr>
        <w:t>5</w:t>
      </w:r>
      <w:r>
        <w:rPr>
          <w:szCs w:val="32"/>
          <w:lang w:val="en-US"/>
        </w:rPr>
        <w:t>(22). Available online at http://www.human-resources-health.com/content/5/1/22. Accessed 10</w:t>
      </w:r>
      <w:r>
        <w:rPr>
          <w:szCs w:val="32"/>
          <w:vertAlign w:val="superscript"/>
          <w:lang w:val="en-US"/>
        </w:rPr>
        <w:t>th</w:t>
      </w:r>
      <w:r>
        <w:rPr>
          <w:szCs w:val="32"/>
          <w:lang w:val="en-US"/>
        </w:rPr>
        <w:t xml:space="preserve"> June 2008.</w:t>
      </w:r>
    </w:p>
    <w:p>
      <w:pPr>
        <w:pStyle w:val="Normal"/>
        <w:rPr>
          <w:szCs w:val="32"/>
          <w:lang w:val="en-US"/>
        </w:rPr>
      </w:pPr>
      <w:r>
        <w:rPr>
          <w:szCs w:val="32"/>
          <w:lang w:val="en-US"/>
        </w:rPr>
      </w:r>
    </w:p>
    <w:p>
      <w:pPr>
        <w:pStyle w:val="Normal"/>
        <w:ind w:left="720" w:right="0" w:hanging="720"/>
        <w:rPr>
          <w:rFonts w:cs="Georgia" w:ascii="Georgia" w:hAnsi="Georgia"/>
          <w:sz w:val="22"/>
          <w:lang w:val="en-US"/>
        </w:rPr>
      </w:pPr>
      <w:bookmarkStart w:id="17" w:name="__Fieldmark__45_1024893045"/>
      <w:r>
        <w:rPr/>
      </w:r>
      <w:r>
        <w:fldChar w:fldCharType="end"/>
      </w:r>
      <w:bookmarkEnd w:id="17"/>
      <w:r>
        <w:rPr>
          <w:rFonts w:cs="Georgia" w:ascii="Georgia" w:hAnsi="Georgia"/>
          <w:sz w:val="22"/>
          <w:lang w:val="en-US"/>
        </w:rPr>
        <w:t xml:space="preserve"> </w:t>
      </w:r>
    </w:p>
    <w:tbl>
      <w:tblPr>
        <w:jc w:val="left"/>
        <w:tblInd w:w="-5" w:type="dxa"/>
        <w:tblBorders>
          <w:top w:val="single" w:sz="4" w:space="0" w:color="000000"/>
          <w:left w:val="single" w:sz="4" w:space="0" w:color="000000"/>
          <w:bottom w:val="single" w:sz="4" w:space="0" w:color="000000"/>
          <w:insideH w:val="single" w:sz="4" w:space="0" w:color="000000"/>
          <w:right w:val="single" w:sz="4" w:space="0" w:color="000000"/>
          <w:insideV w:val="single" w:sz="4" w:space="0" w:color="000000"/>
        </w:tblBorders>
        <w:tblCellMar>
          <w:top w:w="0" w:type="dxa"/>
          <w:left w:w="103" w:type="dxa"/>
          <w:bottom w:w="0" w:type="dxa"/>
          <w:right w:w="108" w:type="dxa"/>
        </w:tblCellMar>
      </w:tblPr>
      <w:tblGrid>
        <w:gridCol w:w="8866"/>
      </w:tblGrid>
      <w:tr>
        <w:trPr>
          <w:cantSplit w:val="false"/>
        </w:trPr>
        <w:tc>
          <w:tcPr>
            <w:tcW w:w="8866"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The Kampala Declaration calls for:</w:t>
            </w:r>
          </w:p>
          <w:p>
            <w:pPr>
              <w:pStyle w:val="Normal"/>
              <w:rPr>
                <w:rFonts w:cs="Georgia" w:ascii="Georgia" w:hAnsi="Georgia"/>
                <w:sz w:val="22"/>
                <w:szCs w:val="32"/>
                <w:lang w:val="en-US"/>
              </w:rPr>
            </w:pPr>
            <w:r>
              <w:rPr>
                <w:rFonts w:cs="Georgia" w:ascii="Georgia" w:hAnsi="Georgia"/>
                <w:sz w:val="22"/>
                <w:szCs w:val="32"/>
                <w:lang w:val="en-US"/>
              </w:rPr>
            </w:r>
          </w:p>
          <w:p>
            <w:pPr>
              <w:pStyle w:val="Normal"/>
              <w:numPr>
                <w:ilvl w:val="0"/>
                <w:numId w:val="1"/>
              </w:numPr>
              <w:rPr>
                <w:rFonts w:cs="Georgia" w:ascii="Georgia" w:hAnsi="Georgia"/>
                <w:sz w:val="22"/>
                <w:szCs w:val="32"/>
                <w:lang w:val="en-US"/>
              </w:rPr>
            </w:pPr>
            <w:r>
              <w:rPr>
                <w:rFonts w:cs="Georgia" w:ascii="Georgia" w:hAnsi="Georgia"/>
                <w:sz w:val="22"/>
                <w:szCs w:val="32"/>
                <w:lang w:val="en-US"/>
              </w:rPr>
              <w:t>government stewardship</w:t>
            </w:r>
          </w:p>
          <w:p>
            <w:pPr>
              <w:pStyle w:val="Normal"/>
              <w:numPr>
                <w:ilvl w:val="0"/>
                <w:numId w:val="1"/>
              </w:numPr>
              <w:rPr>
                <w:rFonts w:cs="Georgia" w:ascii="Georgia" w:hAnsi="Georgia"/>
                <w:sz w:val="22"/>
                <w:szCs w:val="32"/>
                <w:lang w:val="en-US"/>
              </w:rPr>
            </w:pPr>
            <w:r>
              <w:rPr>
                <w:rFonts w:cs="Georgia" w:ascii="Georgia" w:hAnsi="Georgia"/>
                <w:sz w:val="22"/>
                <w:szCs w:val="32"/>
                <w:lang w:val="en-US"/>
              </w:rPr>
              <w:t>an appropriate skill mix</w:t>
            </w:r>
          </w:p>
          <w:p>
            <w:pPr>
              <w:pStyle w:val="Normal"/>
              <w:numPr>
                <w:ilvl w:val="0"/>
                <w:numId w:val="1"/>
              </w:numPr>
              <w:rPr>
                <w:rFonts w:cs="Georgia" w:ascii="Georgia" w:hAnsi="Georgia"/>
                <w:sz w:val="22"/>
                <w:szCs w:val="32"/>
                <w:lang w:val="en-US"/>
              </w:rPr>
            </w:pPr>
            <w:r>
              <w:rPr>
                <w:rFonts w:cs="Georgia" w:ascii="Georgia" w:hAnsi="Georgia"/>
                <w:sz w:val="22"/>
                <w:szCs w:val="32"/>
                <w:lang w:val="en-US"/>
              </w:rPr>
              <w:t>accreditation and regulatory systems for health worker training</w:t>
            </w:r>
          </w:p>
          <w:p>
            <w:pPr>
              <w:pStyle w:val="Normal"/>
              <w:numPr>
                <w:ilvl w:val="0"/>
                <w:numId w:val="1"/>
              </w:numPr>
              <w:rPr>
                <w:rFonts w:cs="Georgia" w:ascii="Georgia" w:hAnsi="Georgia"/>
                <w:sz w:val="22"/>
                <w:szCs w:val="32"/>
                <w:lang w:val="en-US"/>
              </w:rPr>
            </w:pPr>
            <w:r>
              <w:rPr>
                <w:rFonts w:cs="Georgia" w:ascii="Georgia" w:hAnsi="Georgia"/>
                <w:sz w:val="22"/>
                <w:szCs w:val="32"/>
                <w:lang w:val="en-US"/>
              </w:rPr>
              <w:t>improved cross-sectoral leadership and management capacity</w:t>
            </w:r>
          </w:p>
          <w:p>
            <w:pPr>
              <w:pStyle w:val="Normal"/>
              <w:numPr>
                <w:ilvl w:val="0"/>
                <w:numId w:val="1"/>
              </w:numPr>
              <w:rPr>
                <w:rFonts w:cs="Georgia" w:ascii="Georgia" w:hAnsi="Georgia"/>
                <w:sz w:val="22"/>
                <w:szCs w:val="32"/>
                <w:lang w:val="en-US"/>
              </w:rPr>
            </w:pPr>
            <w:r>
              <w:rPr>
                <w:rFonts w:cs="Georgia" w:ascii="Georgia" w:hAnsi="Georgia"/>
                <w:sz w:val="22"/>
                <w:szCs w:val="32"/>
                <w:lang w:val="en-US"/>
              </w:rPr>
              <w:t>adequate incentives and working environments to encourage staff retention</w:t>
            </w:r>
          </w:p>
          <w:p>
            <w:pPr>
              <w:pStyle w:val="Normal"/>
              <w:numPr>
                <w:ilvl w:val="0"/>
                <w:numId w:val="1"/>
              </w:numPr>
              <w:rPr>
                <w:rFonts w:cs="Georgia" w:ascii="Georgia" w:hAnsi="Georgia"/>
                <w:sz w:val="22"/>
                <w:szCs w:val="32"/>
                <w:lang w:val="en-US"/>
              </w:rPr>
            </w:pPr>
            <w:r>
              <w:rPr>
                <w:rFonts w:cs="Georgia" w:ascii="Georgia" w:hAnsi="Georgia"/>
                <w:sz w:val="22"/>
                <w:szCs w:val="32"/>
                <w:lang w:val="en-US"/>
              </w:rPr>
              <w:t>relaxed macroeconomic constraints on health workforce training</w:t>
            </w:r>
          </w:p>
          <w:p>
            <w:pPr>
              <w:pStyle w:val="Normal"/>
              <w:numPr>
                <w:ilvl w:val="0"/>
                <w:numId w:val="1"/>
              </w:numPr>
              <w:rPr>
                <w:rFonts w:cs="Georgia" w:ascii="Georgia" w:hAnsi="Georgia"/>
                <w:sz w:val="22"/>
                <w:szCs w:val="32"/>
                <w:lang w:val="en-US"/>
              </w:rPr>
            </w:pPr>
            <w:r>
              <w:rPr>
                <w:rFonts w:cs="Georgia" w:ascii="Georgia" w:hAnsi="Georgia"/>
                <w:sz w:val="22"/>
                <w:szCs w:val="32"/>
                <w:lang w:val="en-US"/>
              </w:rPr>
              <w:t>dependable, sustained and adequate financial support for health worker training</w:t>
            </w:r>
          </w:p>
          <w:p>
            <w:pPr>
              <w:pStyle w:val="Normal"/>
              <w:numPr>
                <w:ilvl w:val="0"/>
                <w:numId w:val="1"/>
              </w:numPr>
              <w:rPr>
                <w:rFonts w:cs="Georgia" w:ascii="Georgia" w:hAnsi="Georgia"/>
                <w:sz w:val="22"/>
                <w:szCs w:val="32"/>
                <w:lang w:val="en-US"/>
              </w:rPr>
            </w:pPr>
            <w:r>
              <w:rPr>
                <w:rFonts w:cs="Georgia" w:ascii="Georgia" w:hAnsi="Georgia"/>
                <w:sz w:val="22"/>
                <w:szCs w:val="32"/>
                <w:lang w:val="en-US"/>
              </w:rPr>
              <w:t>the creation of health workforce information systems to support evidence-based decision-making</w:t>
            </w:r>
          </w:p>
          <w:p>
            <w:pPr>
              <w:pStyle w:val="Normal"/>
              <w:ind w:left="360" w:right="0" w:hanging="0"/>
              <w:rPr>
                <w:rFonts w:cs="Georgia" w:ascii="Georgia" w:hAnsi="Georgia"/>
                <w:sz w:val="22"/>
                <w:szCs w:val="32"/>
                <w:lang w:val="en-US"/>
              </w:rPr>
            </w:pPr>
            <w:r>
              <w:rPr>
                <w:rFonts w:cs="Georgia" w:ascii="Georgia" w:hAnsi="Georgia"/>
                <w:sz w:val="22"/>
                <w:szCs w:val="32"/>
                <w:lang w:val="en-US"/>
              </w:rPr>
            </w:r>
          </w:p>
        </w:tc>
      </w:tr>
    </w:tbl>
    <w:p>
      <w:pPr>
        <w:pStyle w:val="Normal"/>
        <w:rPr/>
      </w:pPr>
      <w:r>
        <w:rPr/>
      </w:r>
    </w:p>
    <w:p>
      <w:pPr>
        <w:pStyle w:val="Normal"/>
        <w:rPr>
          <w:rFonts w:cs="Georgia" w:ascii="Georgia" w:hAnsi="Georgia"/>
          <w:b/>
          <w:sz w:val="22"/>
          <w:szCs w:val="32"/>
          <w:lang w:val="en-US"/>
        </w:rPr>
      </w:pPr>
      <w:r>
        <w:rPr>
          <w:rFonts w:cs="Georgia" w:ascii="Georgia" w:hAnsi="Georgia"/>
          <w:b/>
          <w:sz w:val="22"/>
          <w:szCs w:val="32"/>
          <w:lang w:val="en-US"/>
        </w:rPr>
        <w:t>Online Appendix 1</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b/>
          <w:sz w:val="22"/>
          <w:szCs w:val="32"/>
          <w:lang w:val="en-US"/>
        </w:rPr>
        <w:t>Collaborating Journals</w:t>
      </w:r>
      <w:r>
        <w:rPr>
          <w:rFonts w:cs="Georgia" w:ascii="Georgia" w:hAnsi="Georgia"/>
          <w:sz w:val="22"/>
          <w:szCs w:val="32"/>
          <w:lang w:val="en-US"/>
        </w:rPr>
        <w:t xml:space="preserve"> </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American Journal of Public Health http://www.ajph.org</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Archives of Iranian Medicine http://www.ams.ac.ir/AIM/index.html</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Croatian Medical Journal http://www.cmj.hr</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Education for Health http://www.educationforhealth.net</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Human Resources for Health http://www.human-resources-health.com</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International Nursing Review http://www.blackwellpublishing.com/inr</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Leadership in Health Services http://www.ingentaconnect.com/content/mcb/211</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Journal of the Brazilian Association of Medical Schools</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New Zealand Medical Journal http://www.nzma.org.nz/journal</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Nursing Ethics http://www.sagepub.co.uk</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Online Brazilian Journal of Nursing http://www.uff.br/objnursing</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Open Medicine http://www.openmedicine.ca</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Papua New Guinea Medical Journal http://www.pngimr.org.pg/medicaljournals.htm</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PLoS Medicine http://www.plosmedicine.org</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Progress in Community Health Partnerships http://pchp.press.jhu.edu</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Public Health http://intl.elsevierhealth.com/journals/pubh/</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South African Medical Journal http://www.journals.co.za/sama/m_samj.html</w:t>
      </w:r>
    </w:p>
    <w:p>
      <w:pPr>
        <w:pStyle w:val="Normal"/>
        <w:rPr>
          <w:rFonts w:cs="Georgia" w:ascii="Georgia" w:hAnsi="Georgia"/>
          <w:sz w:val="22"/>
          <w:szCs w:val="32"/>
          <w:lang w:val="en-US"/>
        </w:rPr>
      </w:pPr>
      <w:r>
        <w:rPr>
          <w:rFonts w:cs="Georgia" w:ascii="Georgia" w:hAnsi="Georgia"/>
          <w:sz w:val="22"/>
          <w:szCs w:val="32"/>
          <w:lang w:val="en-US"/>
        </w:rPr>
      </w:r>
    </w:p>
    <w:p>
      <w:pPr>
        <w:pStyle w:val="Normal"/>
        <w:rPr>
          <w:rFonts w:cs="Georgia" w:ascii="Georgia" w:hAnsi="Georgia"/>
          <w:sz w:val="22"/>
          <w:szCs w:val="32"/>
          <w:lang w:val="en-US"/>
        </w:rPr>
      </w:pPr>
      <w:r>
        <w:rPr>
          <w:rFonts w:cs="Georgia" w:ascii="Georgia" w:hAnsi="Georgia"/>
          <w:sz w:val="22"/>
          <w:szCs w:val="32"/>
          <w:lang w:val="en-US"/>
        </w:rPr>
        <w:t>Sudanese Journal of Public Health http://www.sjph.net.sd</w:t>
      </w:r>
    </w:p>
    <w:p>
      <w:pPr>
        <w:pStyle w:val="Normal"/>
        <w:rPr>
          <w:rFonts w:cs="Georgia" w:ascii="Georgia" w:hAnsi="Georgia"/>
          <w:sz w:val="22"/>
          <w:szCs w:val="32"/>
          <w:lang w:val="en-US"/>
        </w:rPr>
      </w:pPr>
      <w:r>
        <w:rPr>
          <w:rFonts w:cs="Georgia" w:ascii="Georgia" w:hAnsi="Georgia"/>
          <w:sz w:val="22"/>
          <w:szCs w:val="32"/>
          <w:lang w:val="en-US"/>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Georgia">
    <w:charset w:val="00"/>
    <w:family w:val="auto"/>
    <w:pitch w:val="variable"/>
  </w:font>
  <w:font w:name="Courier New">
    <w:charset w:val="00"/>
    <w:family w:val="auto"/>
    <w:pitch w:val="variable"/>
  </w:font>
  <w:font w:name="Wingdings">
    <w:charset w:val="02"/>
    <w:family w:val="auto"/>
    <w:pitch w:val="variable"/>
  </w:font>
  <w:font w:name="Symbol">
    <w:charset w:val="01"/>
    <w:family w:val="auto"/>
    <w:pitch w:val="variable"/>
  </w:font>
  <w:font w:name="Ecofont Vera Sans">
    <w:charset w:val="01"/>
    <w:family w:val="swiss"/>
    <w:pitch w:val="default"/>
  </w:font>
  <w:font w:name="Lucida Grande">
    <w:charset w:val="00"/>
    <w:family w:val="auto"/>
    <w:pitch w:val="variable"/>
  </w:font>
  <w:font w:name="Georg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tabs>
          <w:tab w:val="num" w:pos="720"/>
        </w:tabs>
        <w:ind w:left="720" w:hanging="360"/>
      </w:pPr>
      <w:rPr>
        <w:rFonts w:ascii="Georgia" w:hAnsi="Georgia" w:cs="Georgia"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AU" w:eastAsia="zh-CN" w:bidi="hi-IN"/>
    </w:rPr>
  </w:style>
  <w:style w:type="character" w:styleId="WW8Num1z0">
    <w:name w:val="WW8Num1z0"/>
    <w:rPr>
      <w:rFonts w:ascii="Georgia" w:hAnsi="Georgia" w:eastAsia="Times New Roman" w:cs="Georgia"/>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CommentReference">
    <w:name w:val="Comment Reference"/>
    <w:basedOn w:val="DefaultParagraphFont"/>
    <w:rPr>
      <w:sz w:val="18"/>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alloonText">
    <w:name w:val="Balloon Text"/>
    <w:basedOn w:val="Normal"/>
    <w:pPr/>
    <w:rPr>
      <w:rFonts w:ascii="Lucida Grande" w:hAnsi="Lucida Grande" w:cs="Lucida Grande"/>
      <w:sz w:val="18"/>
      <w:szCs w:val="18"/>
    </w:rPr>
  </w:style>
  <w:style w:type="paragraph" w:styleId="CommentText">
    <w:name w:val="Comment Text"/>
    <w:basedOn w:val="Normal"/>
    <w:pPr/>
    <w:rPr/>
  </w:style>
  <w:style w:type="paragraph" w:styleId="CommentSubject">
    <w:name w:val="Comment Subject"/>
    <w:basedOn w:val="CommentText"/>
    <w:next w:val="CommentText"/>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2008-06-09T23:59:00Z</dcterms:created>
  <dc:creator>Dave Hughs</dc:creator>
  <dc:language>en-CA</dc:language>
  <cp:lastModifiedBy>Dave Hughs</cp:lastModifiedBy>
  <dcterms:modified xsi:type="dcterms:W3CDTF">2008-06-13T00:12:00Z</dcterms:modified>
  <cp:revision>4</cp:revision>
  <dc:title>Health workforce</dc:title>
</cp:coreProperties>
</file>