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714" w:hanging="0"/>
        <w:jc w:val="center"/>
        <w:rPr>
          <w:b/>
          <w:bCs/>
          <w:i/>
          <w:color w:val="000000"/>
          <w:sz w:val="28"/>
        </w:rPr>
      </w:pPr>
      <w:r>
        <w:rPr>
          <w:b/>
          <w:bCs/>
          <w:i/>
          <w:color w:val="000000"/>
          <w:sz w:val="28"/>
        </w:rPr>
      </w:r>
    </w:p>
    <w:p>
      <w:pPr>
        <w:pStyle w:val="Normal"/>
        <w:ind w:left="0" w:right="-714" w:hanging="0"/>
        <w:jc w:val="center"/>
        <w:rPr>
          <w:color w:val="000000"/>
          <w:sz w:val="28"/>
        </w:rPr>
      </w:pPr>
      <w:r>
        <w:rPr>
          <w:b/>
          <w:bCs/>
          <w:i/>
          <w:color w:val="000000"/>
          <w:sz w:val="28"/>
        </w:rPr>
        <w:t>P</w:t>
      </w:r>
      <w:r>
        <w:rPr>
          <w:b/>
          <w:bCs/>
          <w:color w:val="000000"/>
          <w:sz w:val="28"/>
        </w:rPr>
        <w:t xml:space="preserve">referred </w:t>
      </w:r>
      <w:r>
        <w:rPr>
          <w:b/>
          <w:bCs/>
          <w:i/>
          <w:color w:val="000000"/>
          <w:sz w:val="28"/>
        </w:rPr>
        <w:t>R</w:t>
      </w:r>
      <w:r>
        <w:rPr>
          <w:b/>
          <w:bCs/>
          <w:color w:val="000000"/>
          <w:sz w:val="28"/>
        </w:rPr>
        <w:t xml:space="preserve">eporting </w:t>
      </w:r>
      <w:r>
        <w:rPr>
          <w:b/>
          <w:bCs/>
          <w:i/>
          <w:color w:val="000000"/>
          <w:sz w:val="28"/>
        </w:rPr>
        <w:t>I</w:t>
      </w:r>
      <w:r>
        <w:rPr>
          <w:b/>
          <w:bCs/>
          <w:color w:val="000000"/>
          <w:sz w:val="28"/>
        </w:rPr>
        <w:t xml:space="preserve">tems for </w:t>
      </w:r>
      <w:r>
        <w:rPr>
          <w:b/>
          <w:bCs/>
          <w:i/>
          <w:color w:val="000000"/>
          <w:sz w:val="28"/>
        </w:rPr>
        <w:t>S</w:t>
      </w:r>
      <w:r>
        <w:rPr>
          <w:b/>
          <w:bCs/>
          <w:color w:val="000000"/>
          <w:sz w:val="28"/>
        </w:rPr>
        <w:t xml:space="preserve">ystematic Reviews and </w:t>
      </w:r>
      <w:r>
        <w:rPr>
          <w:b/>
          <w:bCs/>
          <w:i/>
          <w:color w:val="000000"/>
          <w:sz w:val="28"/>
        </w:rPr>
        <w:t>M</w:t>
      </w:r>
      <w:r>
        <w:rPr>
          <w:b/>
          <w:bCs/>
          <w:color w:val="000000"/>
          <w:sz w:val="28"/>
        </w:rPr>
        <w:t>eta-</w:t>
      </w:r>
      <w:r>
        <w:rPr>
          <w:b/>
          <w:bCs/>
          <w:i/>
          <w:color w:val="000000"/>
          <w:sz w:val="28"/>
        </w:rPr>
        <w:t>A</w:t>
      </w:r>
      <w:r>
        <w:rPr>
          <w:b/>
          <w:bCs/>
          <w:color w:val="000000"/>
          <w:sz w:val="28"/>
        </w:rPr>
        <w:t>nalyses: the PRISMA Statement</w:t>
      </w:r>
      <w:r>
        <w:rPr>
          <w:rStyle w:val="FootnoteCharacters"/>
          <w:rStyle w:val="FootnoteAnchor"/>
          <w:color w:val="000000"/>
          <w:sz w:val="28"/>
        </w:rPr>
        <w:footnoteReference w:id="2"/>
      </w:r>
      <w:r>
        <w:rPr>
          <w:color w:val="000000"/>
          <w:sz w:val="28"/>
        </w:rPr>
        <w:t>.</w:t>
      </w:r>
    </w:p>
    <w:p>
      <w:pPr>
        <w:pStyle w:val="Normal"/>
        <w:spacing w:lineRule="auto" w:line="360"/>
        <w:ind w:left="0" w:right="-714" w:hanging="0"/>
        <w:jc w:val="both"/>
        <w:rPr>
          <w:b/>
          <w:bCs/>
          <w:color w:val="000000"/>
        </w:rPr>
      </w:pPr>
      <w:r>
        <w:rPr>
          <w:b/>
          <w:bCs/>
          <w:color w:val="000000"/>
        </w:rPr>
      </w:r>
    </w:p>
    <w:p>
      <w:pPr>
        <w:pStyle w:val="Normal"/>
        <w:spacing w:lineRule="auto" w:line="360"/>
        <w:ind w:left="0" w:right="-714" w:hanging="0"/>
        <w:jc w:val="both"/>
        <w:rPr>
          <w:b/>
          <w:bCs/>
          <w:color w:val="000000"/>
        </w:rPr>
      </w:pPr>
      <w:r>
        <w:rPr>
          <w:b/>
          <w:bCs/>
          <w:color w:val="000000"/>
        </w:rPr>
      </w:r>
    </w:p>
    <w:p>
      <w:pPr>
        <w:pStyle w:val="Normal"/>
        <w:spacing w:lineRule="auto" w:line="360"/>
        <w:ind w:left="0" w:right="-714" w:hanging="0"/>
        <w:jc w:val="both"/>
        <w:rPr>
          <w:b/>
          <w:bCs/>
          <w:color w:val="000000"/>
        </w:rPr>
      </w:pPr>
      <w:r>
        <w:rPr>
          <w:b/>
          <w:bCs/>
          <w:color w:val="000000"/>
        </w:rPr>
      </w:r>
    </w:p>
    <w:p>
      <w:pPr>
        <w:pStyle w:val="Normal"/>
        <w:spacing w:lineRule="auto" w:line="360"/>
        <w:ind w:left="0" w:right="-714" w:hanging="0"/>
        <w:jc w:val="both"/>
        <w:rPr>
          <w:rStyle w:val="FootnoteCharacters"/>
          <w:rStyle w:val="FootnoteAnchor"/>
          <w:color w:val="000000"/>
        </w:rPr>
      </w:pPr>
      <w:r>
        <w:rPr>
          <w:color w:val="000000"/>
        </w:rPr>
        <w:t>David Moher, PhD, Alessandro Liberati, MD, Jennifer M. Tetzlaff, BSc., Douglas G. Altman, DSc., and the PRISMA Group</w:t>
      </w:r>
      <w:r>
        <w:rPr>
          <w:rStyle w:val="FootnoteCharacters"/>
          <w:rStyle w:val="FootnoteAnchor"/>
          <w:color w:val="000000"/>
        </w:rPr>
        <w:footnoteReference w:id="3"/>
      </w:r>
    </w:p>
    <w:p>
      <w:pPr>
        <w:pStyle w:val="Normal"/>
        <w:spacing w:lineRule="auto" w:line="360"/>
        <w:ind w:left="0" w:right="-714" w:hanging="0"/>
        <w:rPr>
          <w:color w:val="000000"/>
        </w:rPr>
      </w:pPr>
      <w:r>
        <w:rPr>
          <w:color w:val="000000"/>
        </w:rPr>
      </w:r>
    </w:p>
    <w:p>
      <w:pPr>
        <w:pStyle w:val="BodyText3"/>
        <w:ind w:left="0" w:right="-714" w:hanging="0"/>
        <w:jc w:val="both"/>
        <w:rPr/>
      </w:pPr>
      <w:r>
        <w:rPr>
          <w:b/>
        </w:rPr>
        <w:t>Dr. David Moher</w:t>
      </w:r>
      <w:r>
        <w:rPr/>
        <w:t xml:space="preserve"> is a Senior Research Scientist in the Clinical Epidemiology Program at the Ottawa Health Research Institute and a Faculty member in the Department of Epidemiology &amp; Community Medicine in the Faculty of Medicine at the University of Ottawa, Canada; dmoher@ohri.ca </w:t>
      </w:r>
    </w:p>
    <w:p>
      <w:pPr>
        <w:pStyle w:val="BodyText3"/>
        <w:ind w:left="0" w:right="-714" w:hanging="0"/>
        <w:jc w:val="both"/>
        <w:rPr/>
      </w:pPr>
      <w:r>
        <w:rPr>
          <w:b/>
        </w:rPr>
        <w:t>Dr. Alessandro Liberati</w:t>
      </w:r>
      <w:r>
        <w:rPr/>
        <w:t xml:space="preserve"> is Director at the Università di Modena e Reggio Emilia and Italian Cochrane Centre, Milano, Italy; </w:t>
      </w:r>
      <w:bookmarkStart w:id="0" w:name="resolved"/>
      <w:r>
        <w:rPr/>
        <w:t>alesslib@mailbase.it</w:t>
      </w:r>
      <w:bookmarkEnd w:id="0"/>
      <w:r>
        <w:rPr/>
        <w:t>.</w:t>
      </w:r>
    </w:p>
    <w:p>
      <w:pPr>
        <w:pStyle w:val="BodyText3"/>
        <w:ind w:left="0" w:right="-714" w:hanging="0"/>
        <w:jc w:val="both"/>
        <w:rPr/>
      </w:pPr>
      <w:r>
        <w:rPr>
          <w:b/>
        </w:rPr>
        <w:t xml:space="preserve">J. M. Tetzlaff </w:t>
      </w:r>
      <w:r>
        <w:rPr/>
        <w:t>is a Research Coordinator for the Cochrane Bias Methods Group in the Clinical Epidemiology Program at the Ottawa Health Research Institute, Ottawa, Canada; jtetzlaff@cheo.on.ca</w:t>
      </w:r>
    </w:p>
    <w:p>
      <w:pPr>
        <w:pStyle w:val="BodyText3"/>
        <w:ind w:left="0" w:right="-714" w:hanging="0"/>
        <w:jc w:val="both"/>
        <w:rPr>
          <w:rStyle w:val="Fldtextrecip1"/>
        </w:rPr>
      </w:pPr>
      <w:r>
        <w:rPr>
          <w:b/>
        </w:rPr>
        <w:t xml:space="preserve">Prof. D.G. Altman </w:t>
      </w:r>
      <w:r>
        <w:rPr/>
        <w:t xml:space="preserve">is a Professor of Statistics in Medicine at the Centre for Statistics in Medicine, Oxford, UK; </w:t>
      </w:r>
      <w:r>
        <w:rPr>
          <w:rStyle w:val="Fldtextrecip1"/>
        </w:rPr>
        <w:t>doug.altman@csm.ox.ac.uk.</w:t>
      </w:r>
    </w:p>
    <w:p>
      <w:pPr>
        <w:pStyle w:val="Normal"/>
        <w:spacing w:lineRule="auto" w:line="360"/>
        <w:ind w:left="0" w:right="-714" w:hanging="0"/>
        <w:rPr>
          <w:color w:val="000000"/>
        </w:rPr>
      </w:pPr>
      <w:r>
        <w:rPr>
          <w:color w:val="000000"/>
        </w:rPr>
      </w:r>
    </w:p>
    <w:p>
      <w:pPr>
        <w:pStyle w:val="Normal"/>
        <w:spacing w:lineRule="auto" w:line="360"/>
        <w:ind w:left="0" w:right="-714" w:hanging="0"/>
        <w:rPr>
          <w:color w:val="000000"/>
        </w:rPr>
      </w:pPr>
      <w:r>
        <w:rPr>
          <w:color w:val="000000"/>
        </w:rPr>
      </w:r>
    </w:p>
    <w:p>
      <w:pPr>
        <w:pStyle w:val="Normal"/>
        <w:spacing w:lineRule="auto" w:line="360"/>
        <w:ind w:left="0" w:right="-714" w:hanging="0"/>
        <w:rPr>
          <w:color w:val="000000"/>
        </w:rPr>
      </w:pPr>
      <w:r>
        <w:rPr>
          <w:color w:val="000000"/>
        </w:rPr>
        <w:t>Address correspondence and reprint requests to:</w:t>
      </w:r>
    </w:p>
    <w:p>
      <w:pPr>
        <w:pStyle w:val="Normal"/>
        <w:spacing w:lineRule="auto" w:line="360"/>
        <w:ind w:left="0" w:right="-714" w:hanging="0"/>
        <w:rPr>
          <w:color w:val="000000"/>
        </w:rPr>
      </w:pPr>
      <w:r>
        <w:rPr>
          <w:color w:val="000000"/>
        </w:rPr>
        <w:t>David Moher</w:t>
      </w:r>
    </w:p>
    <w:p>
      <w:pPr>
        <w:pStyle w:val="Normal"/>
        <w:spacing w:lineRule="auto" w:line="360"/>
        <w:ind w:left="0" w:right="-714" w:hanging="0"/>
        <w:rPr>
          <w:color w:val="000000"/>
        </w:rPr>
      </w:pPr>
      <w:r>
        <w:rPr>
          <w:color w:val="000000"/>
        </w:rPr>
        <w:t>Clinical Epidemiology Program</w:t>
      </w:r>
    </w:p>
    <w:p>
      <w:pPr>
        <w:pStyle w:val="Normal"/>
        <w:spacing w:lineRule="auto" w:line="360"/>
        <w:ind w:left="0" w:right="-714" w:hanging="0"/>
        <w:rPr>
          <w:color w:val="000000"/>
        </w:rPr>
      </w:pPr>
      <w:r>
        <w:rPr>
          <w:color w:val="000000"/>
        </w:rPr>
        <w:t>Ottawa Health Research Institute</w:t>
      </w:r>
    </w:p>
    <w:p>
      <w:pPr>
        <w:pStyle w:val="Normal"/>
        <w:spacing w:lineRule="auto" w:line="360"/>
        <w:ind w:left="0" w:right="-714" w:hanging="0"/>
        <w:rPr>
          <w:color w:val="000000"/>
        </w:rPr>
      </w:pPr>
      <w:r>
        <w:rPr>
          <w:color w:val="000000"/>
        </w:rPr>
        <w:t>401 Smyth Road, Rm 210</w:t>
      </w:r>
    </w:p>
    <w:p>
      <w:pPr>
        <w:pStyle w:val="Normal"/>
        <w:spacing w:lineRule="auto" w:line="360"/>
        <w:ind w:left="0" w:right="-714" w:hanging="0"/>
        <w:rPr>
          <w:color w:val="000000"/>
        </w:rPr>
      </w:pPr>
      <w:r>
        <w:rPr>
          <w:color w:val="000000"/>
        </w:rPr>
        <w:t>Ottawa, Ontario</w:t>
      </w:r>
    </w:p>
    <w:p>
      <w:pPr>
        <w:pStyle w:val="Normal"/>
        <w:spacing w:lineRule="auto" w:line="360"/>
        <w:ind w:left="0" w:right="-714" w:hanging="0"/>
        <w:rPr>
          <w:color w:val="000000"/>
        </w:rPr>
      </w:pPr>
      <w:r>
        <w:rPr>
          <w:color w:val="000000"/>
        </w:rPr>
        <w:t>K1H 8L1</w:t>
      </w:r>
    </w:p>
    <w:p>
      <w:pPr>
        <w:pStyle w:val="Normal"/>
        <w:spacing w:lineRule="auto" w:line="360"/>
        <w:ind w:left="0" w:right="-714" w:hanging="0"/>
        <w:rPr>
          <w:color w:val="000000"/>
        </w:rPr>
      </w:pPr>
      <w:r>
        <w:rPr>
          <w:color w:val="000000"/>
        </w:rPr>
        <w:t>Canada</w:t>
      </w:r>
    </w:p>
    <w:p>
      <w:pPr>
        <w:pStyle w:val="Normal"/>
        <w:pageBreakBefore/>
        <w:spacing w:lineRule="auto" w:line="360"/>
        <w:ind w:left="0" w:right="-714" w:hanging="0"/>
        <w:rPr>
          <w:b/>
          <w:bCs/>
          <w:color w:val="000000"/>
        </w:rPr>
      </w:pPr>
      <w:r>
        <w:rPr>
          <w:b/>
          <w:bCs/>
          <w:color w:val="000000"/>
        </w:rPr>
      </w:r>
    </w:p>
    <w:p>
      <w:pPr>
        <w:pStyle w:val="Heading1"/>
        <w:numPr>
          <w:ilvl w:val="0"/>
          <w:numId w:val="1"/>
        </w:numPr>
        <w:ind w:left="0" w:right="-714" w:hanging="0"/>
        <w:jc w:val="center"/>
        <w:rPr/>
      </w:pPr>
      <w:r>
        <w:rPr/>
        <w:t>Abstract</w:t>
      </w:r>
    </w:p>
    <w:p>
      <w:pPr>
        <w:pStyle w:val="Normal"/>
        <w:spacing w:lineRule="auto" w:line="360"/>
        <w:ind w:left="0" w:right="-714" w:hanging="0"/>
        <w:rPr>
          <w:bCs/>
          <w:color w:val="000000"/>
        </w:rPr>
      </w:pPr>
      <w:r>
        <w:rPr>
          <w:bCs/>
          <w:color w:val="000000"/>
        </w:rPr>
        <w:t>Systematic reviews and meta-analyses constitute the most reliable evidence for determining the effects of healthcare interventions.  However, surveys of the quality of their reporting suggest there is considerable room for improvement.  The QUOROM (</w:t>
      </w:r>
      <w:r>
        <w:rPr>
          <w:bCs/>
          <w:i/>
          <w:color w:val="000000"/>
        </w:rPr>
        <w:t>QU</w:t>
      </w:r>
      <w:r>
        <w:rPr>
          <w:bCs/>
          <w:color w:val="000000"/>
        </w:rPr>
        <w:t xml:space="preserve">ality </w:t>
      </w:r>
      <w:r>
        <w:rPr>
          <w:bCs/>
          <w:i/>
          <w:color w:val="000000"/>
        </w:rPr>
        <w:t>O</w:t>
      </w:r>
      <w:r>
        <w:rPr>
          <w:bCs/>
          <w:color w:val="000000"/>
        </w:rPr>
        <w:t xml:space="preserve">f </w:t>
      </w:r>
      <w:r>
        <w:rPr>
          <w:bCs/>
          <w:i/>
          <w:color w:val="000000"/>
        </w:rPr>
        <w:t>R</w:t>
      </w:r>
      <w:r>
        <w:rPr>
          <w:bCs/>
          <w:color w:val="000000"/>
        </w:rPr>
        <w:t xml:space="preserve">eporting </w:t>
      </w:r>
      <w:r>
        <w:rPr>
          <w:bCs/>
          <w:i/>
          <w:color w:val="000000"/>
        </w:rPr>
        <w:t>O</w:t>
      </w:r>
      <w:r>
        <w:rPr>
          <w:bCs/>
          <w:color w:val="000000"/>
        </w:rPr>
        <w:t xml:space="preserve">f </w:t>
      </w:r>
      <w:r>
        <w:rPr>
          <w:bCs/>
          <w:i/>
          <w:color w:val="000000"/>
        </w:rPr>
        <w:t>M</w:t>
      </w:r>
      <w:r>
        <w:rPr>
          <w:bCs/>
          <w:color w:val="000000"/>
        </w:rPr>
        <w:t xml:space="preserve">eta-analysis) Statement, a reporting guideline published in 1999, was developed to help improve the quality of reporting meta-analysis of randomized trials. Since its development the evidence base about how best to conduct and report systematic reviews and meta-analyses has increased substantially. Several conceptual, methodological and practical developments have also emerged. Accordingly, we have revised the QUOROM Statement substantially. </w:t>
      </w:r>
    </w:p>
    <w:p>
      <w:pPr>
        <w:pStyle w:val="Normal"/>
        <w:spacing w:lineRule="auto" w:line="360"/>
        <w:ind w:left="0" w:right="-714" w:firstLine="720"/>
        <w:rPr>
          <w:bCs/>
          <w:color w:val="000000"/>
        </w:rPr>
      </w:pPr>
      <w:r>
        <w:rPr>
          <w:bCs/>
          <w:color w:val="000000"/>
        </w:rPr>
        <w:t xml:space="preserve">Twenty-nine systematic review authors, methodologists, clinicians, medical editors and a consumer participated in a 3-day meeting in 2005 and extensive post meeting electronic correspondence.  A survey was used to help develop the update for the QUOROM Statement, </w:t>
      </w:r>
      <w:r>
        <w:rPr>
          <w:color w:val="000000"/>
        </w:rPr>
        <w:t>PRISMA (</w:t>
      </w:r>
      <w:r>
        <w:rPr>
          <w:bCs/>
          <w:i/>
          <w:color w:val="000000"/>
        </w:rPr>
        <w:t>P</w:t>
      </w:r>
      <w:r>
        <w:rPr>
          <w:color w:val="000000"/>
        </w:rPr>
        <w:t xml:space="preserve">referred </w:t>
      </w:r>
      <w:r>
        <w:rPr>
          <w:bCs/>
          <w:i/>
          <w:color w:val="000000"/>
        </w:rPr>
        <w:t>R</w:t>
      </w:r>
      <w:r>
        <w:rPr>
          <w:color w:val="000000"/>
        </w:rPr>
        <w:t xml:space="preserve">eporting </w:t>
      </w:r>
      <w:r>
        <w:rPr>
          <w:bCs/>
          <w:i/>
          <w:color w:val="000000"/>
        </w:rPr>
        <w:t>I</w:t>
      </w:r>
      <w:r>
        <w:rPr>
          <w:color w:val="000000"/>
        </w:rPr>
        <w:t xml:space="preserve">tems for </w:t>
      </w:r>
      <w:r>
        <w:rPr>
          <w:bCs/>
          <w:i/>
          <w:color w:val="000000"/>
        </w:rPr>
        <w:t>S</w:t>
      </w:r>
      <w:r>
        <w:rPr>
          <w:color w:val="000000"/>
        </w:rPr>
        <w:t xml:space="preserve">ystematic reviews and </w:t>
      </w:r>
      <w:r>
        <w:rPr>
          <w:bCs/>
          <w:i/>
          <w:color w:val="000000"/>
        </w:rPr>
        <w:t>M</w:t>
      </w:r>
      <w:r>
        <w:rPr>
          <w:color w:val="000000"/>
        </w:rPr>
        <w:t>eta-</w:t>
      </w:r>
      <w:r>
        <w:rPr>
          <w:bCs/>
          <w:i/>
          <w:color w:val="000000"/>
        </w:rPr>
        <w:t>A</w:t>
      </w:r>
      <w:r>
        <w:rPr>
          <w:color w:val="000000"/>
        </w:rPr>
        <w:t>nalyses)</w:t>
      </w:r>
      <w:r>
        <w:rPr>
          <w:bCs/>
          <w:color w:val="000000"/>
        </w:rPr>
        <w:t>.  PRISMA aims to improve the reporting of systematic reviews and meta-analyses of healthcare interventions. The decisions made during and after the meeting were informed by evidence, whenever possible.  Conceptual and structural changes resulted in a 27-item checklist and four-phase flow diagram. Only items deemed essential were included in the new checklist.  The flow diagram was modified to show numbers of identified records, excluded articles, and included studies.</w:t>
      </w:r>
    </w:p>
    <w:p>
      <w:pPr>
        <w:pStyle w:val="Normal"/>
        <w:spacing w:lineRule="auto" w:line="360"/>
        <w:ind w:left="0" w:right="-714" w:firstLine="720"/>
        <w:rPr>
          <w:color w:val="000000"/>
        </w:rPr>
      </w:pPr>
      <w:r>
        <w:rPr>
          <w:color w:val="000000"/>
        </w:rPr>
        <w:t xml:space="preserve">To improve the dissemination and uptake of PRISMA, an accompanying explanation and elaboration document has been developed, that provides explanation of the checklist items and summarises the underpinning evidence. </w:t>
      </w:r>
    </w:p>
    <w:p>
      <w:pPr>
        <w:pStyle w:val="Normal"/>
        <w:pageBreakBefore/>
        <w:spacing w:lineRule="auto" w:line="360"/>
        <w:ind w:left="0" w:right="-714" w:firstLine="720"/>
        <w:rPr>
          <w:rStyle w:val="Heading1Char"/>
          <w:color w:val="000000"/>
        </w:rPr>
      </w:pPr>
      <w:r>
        <w:rPr>
          <w:rStyle w:val="Heading1Char"/>
          <w:color w:val="000000"/>
        </w:rPr>
        <w:t>Introduction</w:t>
      </w:r>
    </w:p>
    <w:p>
      <w:pPr>
        <w:pStyle w:val="Normal"/>
        <w:spacing w:lineRule="auto" w:line="360"/>
        <w:ind w:left="0" w:right="-714" w:hanging="0"/>
        <w:rPr>
          <w:color w:val="000000"/>
        </w:rPr>
      </w:pPr>
      <w:r>
        <w:rPr>
          <w:color w:val="000000"/>
        </w:rPr>
        <w:t xml:space="preserve">Systematic reviews and meta-analyses have become increasingly important in healthcare. Clinicians read them to keep up to date with their field (1, 2) and they are often used as a starting point for developing clinical practice guidelines.  Granting agencies may require a systematic review to ensure there is justification for further research (3) and some healthcare journals are moving in this direction (4).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  </w:t>
      </w:r>
    </w:p>
    <w:p>
      <w:pPr>
        <w:pStyle w:val="Normal"/>
        <w:spacing w:lineRule="auto" w:line="360"/>
        <w:ind w:left="0" w:right="-714" w:firstLine="720"/>
        <w:rPr>
          <w:color w:val="000000"/>
        </w:rPr>
      </w:pPr>
      <w:r>
        <w:rPr>
          <w:color w:val="000000"/>
        </w:rPr>
        <w:t xml:space="preserve">Several studies have evaluated the quality of review reports. In 1987, </w:t>
      </w:r>
      <w:r>
        <w:rPr>
          <w:color w:val="000000"/>
          <w:szCs w:val="20"/>
        </w:rPr>
        <w:t>Mulrow examined 50 review articles published in four leading medical journals in 1985 and 1986 and found that none met all eight explicit scientific criteria, such as a quality assessment of included studies (5)</w:t>
      </w:r>
      <w:r>
        <w:rPr>
          <w:color w:val="000000"/>
        </w:rPr>
        <w:t>.  In 1987, Sacks and colleagues (6) evaluated the adequacy of reporting of 83 meta-analyses on 23 characteristics in six domains. Reporting was generally poor; between 1 and 14 characteristics were adequately reported (mean = 7.7; SD = 2.7). A 1996 update of this study found little improvement (7).</w:t>
      </w:r>
    </w:p>
    <w:p>
      <w:pPr>
        <w:pStyle w:val="Normal"/>
        <w:spacing w:lineRule="auto" w:line="360"/>
        <w:ind w:left="0" w:right="-714" w:firstLine="720"/>
        <w:rPr>
          <w:color w:val="000000"/>
        </w:rPr>
      </w:pPr>
      <w:r>
        <w:rPr>
          <w:color w:val="000000"/>
        </w:rPr>
        <w:t>To address the suboptimal reporting of meta-analyses, an international group developed a guidance called the QUOROM Statement (</w:t>
      </w:r>
      <w:r>
        <w:rPr>
          <w:i/>
          <w:color w:val="000000"/>
        </w:rPr>
        <w:t>QU</w:t>
      </w:r>
      <w:r>
        <w:rPr>
          <w:color w:val="000000"/>
        </w:rPr>
        <w:t xml:space="preserve">ality </w:t>
      </w:r>
      <w:r>
        <w:rPr>
          <w:i/>
          <w:color w:val="000000"/>
        </w:rPr>
        <w:t>O</w:t>
      </w:r>
      <w:r>
        <w:rPr>
          <w:color w:val="000000"/>
        </w:rPr>
        <w:t xml:space="preserve">f </w:t>
      </w:r>
      <w:r>
        <w:rPr>
          <w:i/>
          <w:color w:val="000000"/>
        </w:rPr>
        <w:t>R</w:t>
      </w:r>
      <w:r>
        <w:rPr>
          <w:color w:val="000000"/>
        </w:rPr>
        <w:t xml:space="preserve">eporting </w:t>
      </w:r>
      <w:r>
        <w:rPr>
          <w:i/>
          <w:color w:val="000000"/>
        </w:rPr>
        <w:t>O</w:t>
      </w:r>
      <w:r>
        <w:rPr>
          <w:color w:val="000000"/>
        </w:rPr>
        <w:t xml:space="preserve">f </w:t>
      </w:r>
      <w:r>
        <w:rPr>
          <w:i/>
          <w:color w:val="000000"/>
        </w:rPr>
        <w:t>M</w:t>
      </w:r>
      <w:r>
        <w:rPr>
          <w:color w:val="000000"/>
        </w:rPr>
        <w:t>eta-analyses), which focused on the reporting of meta-analyses of randomized controlled trials (RCTs). In this article, we summarize a revision of these guidelines, renamed PRISMA (</w:t>
      </w:r>
      <w:r>
        <w:rPr>
          <w:bCs/>
          <w:i/>
          <w:color w:val="000000"/>
        </w:rPr>
        <w:t>P</w:t>
      </w:r>
      <w:r>
        <w:rPr>
          <w:color w:val="000000"/>
        </w:rPr>
        <w:t xml:space="preserve">referred </w:t>
      </w:r>
      <w:r>
        <w:rPr>
          <w:bCs/>
          <w:i/>
          <w:color w:val="000000"/>
        </w:rPr>
        <w:t>R</w:t>
      </w:r>
      <w:r>
        <w:rPr>
          <w:color w:val="000000"/>
        </w:rPr>
        <w:t xml:space="preserve">eporting </w:t>
      </w:r>
      <w:r>
        <w:rPr>
          <w:bCs/>
          <w:i/>
          <w:color w:val="000000"/>
        </w:rPr>
        <w:t>I</w:t>
      </w:r>
      <w:r>
        <w:rPr>
          <w:color w:val="000000"/>
        </w:rPr>
        <w:t xml:space="preserve">tems for </w:t>
      </w:r>
      <w:r>
        <w:rPr>
          <w:bCs/>
          <w:i/>
          <w:color w:val="000000"/>
        </w:rPr>
        <w:t>S</w:t>
      </w:r>
      <w:r>
        <w:rPr>
          <w:color w:val="000000"/>
        </w:rPr>
        <w:t xml:space="preserve">ystematic reviews and </w:t>
      </w:r>
      <w:r>
        <w:rPr>
          <w:bCs/>
          <w:i/>
          <w:color w:val="000000"/>
        </w:rPr>
        <w:t>M</w:t>
      </w:r>
      <w:r>
        <w:rPr>
          <w:color w:val="000000"/>
        </w:rPr>
        <w:t>eta-</w:t>
      </w:r>
      <w:r>
        <w:rPr>
          <w:bCs/>
          <w:i/>
          <w:color w:val="000000"/>
        </w:rPr>
        <w:t>A</w:t>
      </w:r>
      <w:r>
        <w:rPr>
          <w:color w:val="000000"/>
        </w:rPr>
        <w:t>nalyses).</w:t>
      </w:r>
    </w:p>
    <w:p>
      <w:pPr>
        <w:pStyle w:val="Normal"/>
        <w:spacing w:lineRule="auto" w:line="360"/>
        <w:ind w:left="0" w:right="-714" w:firstLine="720"/>
        <w:rPr>
          <w:color w:val="000000"/>
        </w:rPr>
      </w:pPr>
      <w:r>
        <w:rPr>
          <w:color w:val="000000"/>
        </w:rPr>
      </w:r>
    </w:p>
    <w:p>
      <w:pPr>
        <w:pStyle w:val="Heading1"/>
        <w:numPr>
          <w:ilvl w:val="0"/>
          <w:numId w:val="1"/>
        </w:numPr>
        <w:ind w:left="0" w:right="-714" w:hanging="0"/>
        <w:rPr/>
      </w:pPr>
      <w:r>
        <w:rPr/>
        <w:t>History of QUOROM</w:t>
      </w:r>
    </w:p>
    <w:p>
      <w:pPr>
        <w:pStyle w:val="BodyText3"/>
        <w:ind w:left="0" w:right="-714" w:hanging="0"/>
        <w:rPr/>
      </w:pPr>
      <w:r>
        <w:rPr/>
        <w:t xml:space="preserve">Following the procedures used to develop the CONSORT Statement for reporting randomized trials (8), 30 individuals were invited to participate in a 2-day conference in Chicago, in 1996.  The objective was to develop evidence-based guidance for improving the quality of reporting of meta-analyses of RCTs. That conference resulted in the QUOROM Statement (9): 21 checklist items that document the process of completing a meta-analysis, and a diagram that details the number and status of included articles at each stage of the meta-analysis process. </w:t>
        <w:tab/>
      </w:r>
    </w:p>
    <w:p>
      <w:pPr>
        <w:pStyle w:val="BodyText3"/>
        <w:ind w:left="0" w:right="-714" w:hanging="0"/>
        <w:rPr/>
      </w:pPr>
      <w:r>
        <w:rPr/>
        <w:tab/>
        <w:t xml:space="preserve">Since the QUOROM publication in 1999, the evidence base underlying the conduct of systematic reviews has matured.  When </w:t>
      </w:r>
      <w:r>
        <w:rPr>
          <w:i/>
        </w:rPr>
        <w:t>The Cochrane Library’s</w:t>
      </w:r>
      <w:r>
        <w:rPr/>
        <w:t xml:space="preserve"> Methodology Register (which includes reports of studies relevant to the methods for systematic reviews and health and social care evaluations) was first developed in 1999, it contained approximately 1000 entries; the second issue in 2008 contains 10648 entries.  Recent reviews have shown, however, improvements in the quality of conducting or reporting systematic reviews have not been realized (10-14). It remains unclear whether using QUOROM is associated with more complete reporting of reviews (</w:t>
      </w:r>
      <w:r>
        <w:rPr>
          <w:rFonts w:cs="Arial"/>
          <w:szCs w:val="20"/>
        </w:rPr>
        <w:t>15</w:t>
      </w:r>
      <w:r>
        <w:rPr/>
        <w:t>).</w:t>
      </w:r>
    </w:p>
    <w:p>
      <w:pPr>
        <w:pStyle w:val="BodyText2"/>
        <w:ind w:left="0" w:right="-714" w:hanging="0"/>
        <w:jc w:val="left"/>
        <w:rPr>
          <w:color w:val="000000"/>
        </w:rPr>
      </w:pPr>
      <w:r>
        <w:rPr>
          <w:color w:val="000000"/>
        </w:rPr>
        <w:tab/>
        <w:t xml:space="preserve">Other reasons for updating QUOROM included a more comprehensive understanding of some conceptual issues, methodological advances, practical innovations in the conduct and reporting of systematic reviews, and changes in terminology.  </w:t>
      </w:r>
    </w:p>
    <w:p>
      <w:pPr>
        <w:pStyle w:val="Heading1"/>
        <w:numPr>
          <w:ilvl w:val="0"/>
          <w:numId w:val="1"/>
        </w:numPr>
        <w:ind w:left="0" w:right="-714" w:hanging="0"/>
        <w:rPr>
          <w:rFonts w:cs="Garamond" w:ascii="Garamond" w:hAnsi="Garamond"/>
          <w:sz w:val="24"/>
        </w:rPr>
      </w:pPr>
      <w:r>
        <w:rPr>
          <w:rFonts w:cs="Garamond" w:ascii="Garamond" w:hAnsi="Garamond"/>
          <w:sz w:val="24"/>
        </w:rPr>
      </w:r>
    </w:p>
    <w:p>
      <w:pPr>
        <w:pStyle w:val="Heading1"/>
        <w:numPr>
          <w:ilvl w:val="0"/>
          <w:numId w:val="1"/>
        </w:numPr>
        <w:ind w:left="0" w:right="-714" w:hanging="0"/>
        <w:rPr/>
      </w:pPr>
      <w:r>
        <w:rPr/>
        <w:t xml:space="preserve">Terminology </w:t>
      </w:r>
    </w:p>
    <w:p>
      <w:pPr>
        <w:pStyle w:val="Normal"/>
        <w:spacing w:lineRule="auto" w:line="360"/>
        <w:ind w:left="0" w:right="-714" w:hanging="0"/>
        <w:rPr>
          <w:bCs/>
          <w:color w:val="000000"/>
        </w:rPr>
      </w:pPr>
      <w:r>
        <w:rPr>
          <w:rFonts w:cs="Tahoma"/>
          <w:color w:val="000000"/>
        </w:rPr>
        <w:t xml:space="preserve">The terminology used to describe a systematic review and meta-analysis has evolved over time. </w:t>
      </w:r>
      <w:r>
        <w:rPr>
          <w:color w:val="000000"/>
        </w:rPr>
        <w:t>One reason for changing the name from QUOROM to PRISMA was the desire to encompass both systematic reviews and meta-analyses. We</w:t>
      </w:r>
      <w:r>
        <w:rPr>
          <w:b/>
          <w:color w:val="000000"/>
        </w:rPr>
        <w:t xml:space="preserve"> </w:t>
      </w:r>
      <w:r>
        <w:rPr>
          <w:color w:val="000000"/>
        </w:rPr>
        <w:t>have adopted the definitions used by the Cochrane Collaboration (16). A systematic review is a</w:t>
      </w:r>
      <w:r>
        <w:rPr>
          <w:bCs/>
          <w:color w:val="000000"/>
        </w:rPr>
        <w:t xml:space="preserve"> review of a clearly formulated question that uses systematic and explicit methods to identify, select, and critically appraise relevant research, and to collect and analyse data from the studies that are included in the review. M</w:t>
      </w:r>
      <w:r>
        <w:rPr>
          <w:color w:val="000000"/>
        </w:rPr>
        <w:t>eta-analysis is t</w:t>
      </w:r>
      <w:r>
        <w:rPr>
          <w:bCs/>
          <w:color w:val="000000"/>
        </w:rPr>
        <w:t>he use of statistical techniques in a systematic review to integrate the results of included studies. Statistical methods (meta-analysis) may or may not be used to analyse and summarise the results of the included studies in a systematic review. A more detailed discussion can be found in the accompanying PRISMA explanatory and elaboration paper (18)</w:t>
      </w:r>
    </w:p>
    <w:p>
      <w:pPr>
        <w:pStyle w:val="Normal"/>
        <w:spacing w:lineRule="auto" w:line="360"/>
        <w:ind w:left="0" w:right="-714" w:hanging="0"/>
        <w:rPr>
          <w:bCs/>
          <w:color w:val="000000"/>
        </w:rPr>
      </w:pPr>
      <w:r>
        <w:rPr>
          <w:bCs/>
          <w:color w:val="000000"/>
        </w:rPr>
      </w:r>
    </w:p>
    <w:p>
      <w:pPr>
        <w:pStyle w:val="Heading1"/>
        <w:numPr>
          <w:ilvl w:val="0"/>
          <w:numId w:val="1"/>
        </w:numPr>
        <w:ind w:left="0" w:right="-714" w:hanging="0"/>
        <w:rPr/>
      </w:pPr>
      <w:r>
        <w:rPr/>
        <w:t>Conceptual issues in the changes from QUOROM to PRISMA</w:t>
      </w:r>
    </w:p>
    <w:p>
      <w:pPr>
        <w:pStyle w:val="Heading1"/>
        <w:numPr>
          <w:ilvl w:val="0"/>
          <w:numId w:val="1"/>
        </w:numPr>
        <w:ind w:left="0" w:right="-714" w:hanging="0"/>
        <w:rPr>
          <w:rFonts w:cs="Garamond" w:ascii="Garamond" w:hAnsi="Garamond"/>
          <w:b w:val="false"/>
          <w:bCs w:val="false"/>
          <w:sz w:val="24"/>
        </w:rPr>
      </w:pPr>
      <w:r>
        <w:rPr>
          <w:rFonts w:cs="Garamond" w:ascii="Garamond" w:hAnsi="Garamond"/>
          <w:b w:val="false"/>
          <w:bCs w:val="false"/>
          <w:sz w:val="24"/>
        </w:rPr>
        <w:t xml:space="preserve">Four conceptual issues have informed the development of the PRISMA Statement. These are discussed briefly below and more fully in the accompanying explanatory and elaboration document (18). First, we recognize that completing a systematic review is an appropriately iterative process. The conduct of a systematic review depends heavily on the scope and quality of included studies and thus systematic reviewers may need to modify their original review protocol while it is being conducted. Any systematic review reporting guide should recommend that such changes can be reported and explained without suggesting that they are inappropriate. Awareness of the iterative nature of reviews is an important feature of the PRISMA Statement (items 5, 11, 16, and 23). Aside from Cochrane reviews, all of which should have a protocol, only about 10% of systematic reviews report working from a protocol (19). Without a protocol that is publicly accessible, it is difficult to judge appropriate from inappropriate modifications.    </w:t>
      </w:r>
    </w:p>
    <w:p>
      <w:pPr>
        <w:pStyle w:val="Heading1"/>
        <w:numPr>
          <w:ilvl w:val="0"/>
          <w:numId w:val="1"/>
        </w:numPr>
        <w:ind w:left="0" w:right="-714" w:firstLine="720"/>
        <w:rPr>
          <w:rFonts w:cs="Garamond" w:ascii="Garamond" w:hAnsi="Garamond"/>
          <w:b w:val="false"/>
          <w:bCs w:val="false"/>
          <w:sz w:val="24"/>
        </w:rPr>
      </w:pPr>
      <w:r>
        <w:rPr>
          <w:rFonts w:cs="Garamond" w:ascii="Garamond" w:hAnsi="Garamond"/>
          <w:b w:val="false"/>
          <w:bCs w:val="false"/>
          <w:sz w:val="24"/>
        </w:rPr>
        <w:t>Second, we distinguish between conduct and reporting research. That distinction is less straightforward for systematic reviews than when assessing the reporting of an individual study, because the reporting and conduct of systematic reviews are, by nature, closely intertwined.  For example, the failure of a systematic review to report the assessment of the risk of bias in included studies may be seen as a marker of poor conduct, given the importance of this activity in the systematic review process (20).</w:t>
      </w:r>
    </w:p>
    <w:p>
      <w:pPr>
        <w:pStyle w:val="TextBody"/>
        <w:ind w:left="0" w:right="-714" w:firstLine="720"/>
        <w:jc w:val="left"/>
        <w:rPr/>
      </w:pPr>
      <w:r>
        <w:rPr>
          <w:bCs/>
        </w:rPr>
        <w:t xml:space="preserve">Third, we acknowledge increasing awareness that for studies included in a systematic review </w:t>
      </w:r>
      <w:r>
        <w:rPr/>
        <w:t>a thorough assessment of the risk of bias requires both a “study-level” assessment (e.g., adequacy of allocation concealment) and, a newer approach, called “outcome-level” assessment. An outcome-level assessment involves evaluating the reliability and validity of the data for each important outcome by determining the methods used to assess them in each individual study (21). The quality of evidence may differ across outcomes, even within a study, such as between a primary efficacy outcome, which is likely to be very carefully and systematically measured, and the assessment of serious harms (22), which may rely on spontaneous reports by investigators; this information should be reported to allow an explicit assessment of the extent to which an estimate of effect is correct (21).</w:t>
      </w:r>
      <w:r>
        <w:rPr>
          <w:b/>
        </w:rPr>
        <w:t xml:space="preserve"> </w:t>
      </w:r>
      <w:r>
        <w:rPr/>
        <w:t xml:space="preserve">For example, evidence from several trials indicated that administering a combination of topical and systemic antibiotic prophylaxis to intensive care unit patients decreases infections and mortality (23). The outcome “emergence of bacterial antibiotic resistance”, however, has not been reliably assessed in existing studies (23). Authors should report any assessment of the risk of bias for all important outcomes, if done. </w:t>
      </w:r>
    </w:p>
    <w:p>
      <w:pPr>
        <w:pStyle w:val="Normal"/>
        <w:spacing w:lineRule="auto" w:line="360"/>
        <w:ind w:left="0" w:right="-714" w:firstLine="720"/>
        <w:rPr>
          <w:color w:val="000000"/>
        </w:rPr>
      </w:pPr>
      <w:r>
        <w:rPr>
          <w:color w:val="000000"/>
        </w:rPr>
        <w:t xml:space="preserve">Fourth, we recognize the important role selective reporting bias has among studies (e.g., publication bias) in the conduct and interpretation of systematic reviews (24). In addition, outcome reporting bias within individual studies has recently been empirically demonstrated (25,26). In light of this evidence, systematic reviewers need to consider how they will investigate possible selective reporting when conducting a systematic review and to report such results. Beyond possible selective reporting within individual studies, the implication of this bias on the conduct and reporting of systematic reviews themselves is unclear; some previous research has identified selective outcome reporting in the context of systematic reviews (27). </w:t>
      </w:r>
    </w:p>
    <w:p>
      <w:pPr>
        <w:pStyle w:val="Normal"/>
        <w:ind w:left="0" w:right="-714" w:hanging="0"/>
        <w:rPr>
          <w:color w:val="000000"/>
        </w:rPr>
      </w:pPr>
      <w:r>
        <w:rPr>
          <w:color w:val="000000"/>
        </w:rPr>
      </w:r>
    </w:p>
    <w:p>
      <w:pPr>
        <w:pStyle w:val="Heading1"/>
        <w:numPr>
          <w:ilvl w:val="0"/>
          <w:numId w:val="1"/>
        </w:numPr>
        <w:ind w:left="0" w:right="-714" w:hanging="0"/>
        <w:rPr/>
      </w:pPr>
      <w:r>
        <w:rPr/>
        <w:t>Developing the PRISMA Statement</w:t>
      </w:r>
    </w:p>
    <w:p>
      <w:pPr>
        <w:pStyle w:val="Normal"/>
        <w:spacing w:lineRule="auto" w:line="360"/>
        <w:ind w:left="0" w:right="-714" w:hanging="0"/>
        <w:rPr>
          <w:color w:val="000000"/>
        </w:rPr>
      </w:pPr>
      <w:r>
        <w:rPr>
          <w:color w:val="000000"/>
        </w:rPr>
        <w:t xml:space="preserve">A 3-day meeting was held in Ottawa, Canada, in June 2005 with 29 participants, including </w:t>
      </w:r>
      <w:r>
        <w:rPr>
          <w:bCs/>
          <w:color w:val="000000"/>
        </w:rPr>
        <w:t>review authors, methodologists, clinicians, medical editors and a consumer</w:t>
      </w:r>
      <w:r>
        <w:rPr>
          <w:color w:val="000000"/>
        </w:rPr>
        <w:t xml:space="preserve">. The objective of the Ottawa meeting was to revise and expand the QUOROM checklist and flow diagram, as needed.  </w:t>
      </w:r>
    </w:p>
    <w:p>
      <w:pPr>
        <w:pStyle w:val="Normal"/>
        <w:spacing w:lineRule="auto" w:line="360"/>
        <w:ind w:left="0" w:right="-714" w:firstLine="720"/>
        <w:rPr>
          <w:color w:val="000000"/>
        </w:rPr>
      </w:pPr>
      <w:r>
        <w:rPr>
          <w:color w:val="000000"/>
        </w:rPr>
        <w:t>The executive committee completed the following tasks, prior to the meeting: a systematic review of studies examining the quality of reporting of systematic reviews; a comprehensive literature search to identify methodological and other articles that might inform the meeting, especially in relation to modifying checklist items; and an international survey of review authors, consumers, and groups commissioning or using systematic reviews and meta-analyses, including the International Network of Agencies of Health Technology Assessment (INAHTA) and the Guidelines International Network (GIN). The survey aimed to ascertain views of QUOROM, including the merits of the existing checklist items.  The results of these activities were presented during the meeting and are summarized on the PRISMA web site (</w:t>
      </w:r>
      <w:hyperlink r:id="rId2">
        <w:r>
          <w:rPr>
            <w:rStyle w:val="InternetLink"/>
          </w:rPr>
          <w:t>www.prisma-statement.org</w:t>
        </w:r>
      </w:hyperlink>
      <w:r>
        <w:rPr>
          <w:color w:val="000000"/>
        </w:rPr>
        <w:t xml:space="preserve">).  </w:t>
      </w:r>
    </w:p>
    <w:p>
      <w:pPr>
        <w:pStyle w:val="TextBodyIndent"/>
        <w:spacing w:lineRule="auto" w:line="360"/>
        <w:ind w:left="0" w:right="-714" w:firstLine="720"/>
        <w:rPr>
          <w:color w:val="000000"/>
        </w:rPr>
      </w:pPr>
      <w:r>
        <w:rPr>
          <w:color w:val="000000"/>
        </w:rPr>
        <w:t xml:space="preserve">Only items deemed essential were retained or added to the checklist.  Some additional items are nevertheless desirable and review authors should include these, if relevant (28).  For example, it is useful to indicate whether the systematic review is an update (29) of a previous review, and to describe any changes in procedures from those described in the original protocol.  </w:t>
      </w:r>
    </w:p>
    <w:p>
      <w:pPr>
        <w:pStyle w:val="TextBodyIndent"/>
        <w:spacing w:lineRule="auto" w:line="360"/>
        <w:ind w:left="0" w:right="-714" w:firstLine="720"/>
        <w:rPr>
          <w:color w:val="000000"/>
        </w:rPr>
      </w:pPr>
      <w:r>
        <w:rPr>
          <w:color w:val="000000"/>
        </w:rPr>
        <w:t xml:space="preserve">Shortly after the meeting a draft of the PRISMA Statement was circulated to the group, including those invited to the meeting but unable to attend.  A disposition file was created containing comments and revisions from each respondent, and the Statement was subsequently revised several times.  After 11 revisions the group approved the checklist, flow diagram and this summary paper. </w:t>
      </w:r>
    </w:p>
    <w:p>
      <w:pPr>
        <w:pStyle w:val="TextBodyIndent"/>
        <w:spacing w:lineRule="auto" w:line="360"/>
        <w:ind w:left="0" w:right="-714" w:firstLine="720"/>
        <w:rPr>
          <w:color w:val="000000"/>
        </w:rPr>
      </w:pPr>
      <w:r>
        <w:rPr>
          <w:color w:val="000000"/>
        </w:rPr>
        <w:t xml:space="preserve">Although no direct evidence was found to support retaining or adding some items, evidence from other domains was believed to be relevant.  For example, Item 5 asks authors to provide registration information about the systematic review, including a registration number, if available.  Although systematic review registration is not yet widely available (30,31), the participating journals of the International Committee of Medical Journal Editors (ICMJE) (32) now require all clinical trials to be registered in an effort to increase transparency and accountability (33). Those aspects are also likely to benefit systematic reviewers, possibly reducing the risk of an excessive number of reviews addressing the same question (11; 34) and providing greater transparency when updating systematic reviews. </w:t>
      </w:r>
    </w:p>
    <w:p>
      <w:pPr>
        <w:pStyle w:val="TextBodyIndent"/>
        <w:spacing w:lineRule="auto" w:line="360"/>
        <w:ind w:left="0" w:right="-714" w:hanging="0"/>
        <w:rPr>
          <w:color w:val="000000"/>
        </w:rPr>
      </w:pPr>
      <w:r>
        <w:rPr>
          <w:color w:val="000000"/>
        </w:rPr>
      </w:r>
    </w:p>
    <w:p>
      <w:pPr>
        <w:pStyle w:val="Heading1"/>
        <w:numPr>
          <w:ilvl w:val="0"/>
          <w:numId w:val="1"/>
        </w:numPr>
        <w:ind w:left="0" w:right="-714" w:hanging="0"/>
        <w:rPr/>
      </w:pPr>
      <w:r>
        <w:rPr/>
        <w:t>The PRISMA Statement</w:t>
      </w:r>
    </w:p>
    <w:p>
      <w:pPr>
        <w:pStyle w:val="TextBodyIndent"/>
        <w:spacing w:lineRule="auto" w:line="360"/>
        <w:ind w:left="0" w:right="-714" w:hanging="0"/>
        <w:rPr>
          <w:color w:val="000000"/>
        </w:rPr>
      </w:pPr>
      <w:r>
        <w:rPr>
          <w:color w:val="000000"/>
        </w:rPr>
        <w:t xml:space="preserve">The PRISMA Statement consists of a 27-item checklist (Table 1) and a four-phase flow diagram (Figure).  The aim of the PRISMA Statement is to help authors improve the reporting of systematic reviews and meta-analyses. We have focused on trials but PRISMA can also be used as a basis for reporting systematic reviews of other types of research, particularly those evaluating interventions.  PRISMA may also be useful for critical appraisal of published systematic reviews. However, the PRISMA checklist should not be considered a quality assessment instrument to gauge the quality of a systematic review.  </w:t>
      </w:r>
    </w:p>
    <w:p>
      <w:pPr>
        <w:pStyle w:val="TextBodyIndent"/>
        <w:spacing w:lineRule="auto" w:line="360"/>
        <w:ind w:left="0" w:right="-714" w:hanging="0"/>
        <w:rPr>
          <w:color w:val="000000"/>
        </w:rPr>
      </w:pPr>
      <w:r>
        <w:rPr>
          <w:color w:val="000000"/>
        </w:rPr>
      </w:r>
    </w:p>
    <w:p>
      <w:pPr>
        <w:pStyle w:val="Heading1"/>
        <w:numPr>
          <w:ilvl w:val="0"/>
          <w:numId w:val="1"/>
        </w:numPr>
        <w:ind w:left="0" w:right="-714" w:hanging="0"/>
        <w:rPr/>
      </w:pPr>
      <w:r>
        <w:rPr/>
        <w:t>From QUOROM to PRISMA</w:t>
      </w:r>
    </w:p>
    <w:p>
      <w:pPr>
        <w:pStyle w:val="BodyText3"/>
        <w:ind w:left="0" w:right="-714" w:hanging="0"/>
        <w:rPr/>
      </w:pPr>
      <w:r>
        <w:rPr/>
        <w:t xml:space="preserve">The new PRISMA checklist differs in several respects from the QUOROM checklist and the substantive specific changes are highlighted in Table 2. Generally, the PRISMA checklist ‘decouples’ several items present in the QUOROM checklist, and where applicable, several checklist items are linked to improve consistency across the systematic review report. </w:t>
      </w:r>
    </w:p>
    <w:p>
      <w:pPr>
        <w:pStyle w:val="BodyText3"/>
        <w:ind w:left="0" w:right="-714" w:firstLine="720"/>
        <w:rPr/>
      </w:pPr>
      <w:r>
        <w:rPr/>
        <w:t xml:space="preserve">The flow diagram has also been modified. Before including studies and providing reasons for excluding others, the review team must first search the literature.  This search results in records. Once these records have been screened and eligibility criteria applied, a smaller number of articles will remain.  The number of included articles might be smaller (or larger) than the number of studies, because articles may report on multiple studies and because results from a particular study may be published in several articles. To capture this information the PRISMA flow diagram now requests information on these phases of the review process. </w:t>
      </w:r>
    </w:p>
    <w:p>
      <w:pPr>
        <w:pStyle w:val="Normal"/>
        <w:ind w:left="0" w:right="-714" w:hanging="0"/>
        <w:rPr>
          <w:color w:val="000000"/>
        </w:rPr>
      </w:pPr>
      <w:r>
        <w:rPr>
          <w:color w:val="000000"/>
        </w:rPr>
      </w:r>
    </w:p>
    <w:p>
      <w:pPr>
        <w:pStyle w:val="Heading1"/>
        <w:numPr>
          <w:ilvl w:val="0"/>
          <w:numId w:val="1"/>
        </w:numPr>
        <w:ind w:left="0" w:right="-714" w:hanging="0"/>
        <w:rPr/>
      </w:pPr>
      <w:r>
        <w:rPr/>
        <w:t>The PRISMA explanatory and elaboration paper</w:t>
      </w:r>
    </w:p>
    <w:p>
      <w:pPr>
        <w:pStyle w:val="TextBodyIndent"/>
        <w:spacing w:lineRule="auto" w:line="360"/>
        <w:ind w:left="0" w:right="-714" w:hanging="0"/>
        <w:rPr>
          <w:color w:val="000000"/>
        </w:rPr>
      </w:pPr>
      <w:r>
        <w:rPr>
          <w:color w:val="000000"/>
        </w:rPr>
        <w:t xml:space="preserve">In addition to the PRISMA Statement, a supporting explanation and elaboration document has been produced (18) following the style used for other reporting guidelines (35-37). The process of completing this document included developing a large database of exemplars to highlight how best to report each checklist item, and identifying a comprehensive evidence base to support the inclusion of each checklist item. The explanation and elaboration document was completed after several face-to-face meetings and numerous iterations among several meeting participants after which it was shared with the whole group for additional revisions and final approval (18). Finally, the group formed a dissemination subcommittee to help disseminate and implement PRISMA.  </w:t>
      </w:r>
    </w:p>
    <w:p>
      <w:pPr>
        <w:pStyle w:val="Normal"/>
        <w:spacing w:lineRule="auto" w:line="360"/>
        <w:ind w:left="0" w:right="-714" w:hanging="0"/>
        <w:rPr>
          <w:b/>
          <w:bCs/>
          <w:color w:val="000000"/>
        </w:rPr>
      </w:pPr>
      <w:r>
        <w:rPr>
          <w:b/>
          <w:bCs/>
          <w:color w:val="000000"/>
        </w:rPr>
      </w:r>
    </w:p>
    <w:p>
      <w:pPr>
        <w:pStyle w:val="Heading1"/>
        <w:numPr>
          <w:ilvl w:val="0"/>
          <w:numId w:val="1"/>
        </w:numPr>
        <w:ind w:left="0" w:right="-714" w:hanging="0"/>
        <w:rPr/>
      </w:pPr>
      <w:r>
        <w:rPr/>
        <w:t>Discussion</w:t>
      </w:r>
    </w:p>
    <w:p>
      <w:pPr>
        <w:pStyle w:val="BodyText3"/>
        <w:ind w:left="0" w:right="-714" w:hanging="0"/>
        <w:rPr/>
      </w:pPr>
      <w:r>
        <w:rPr/>
        <w:t xml:space="preserve">The quality of reporting of systematic reviews is still not optimal (10-14, 19). In a review of 300 systematic reviews few authors reported assessing for publication bias (19) even though there is overwhelming evidence both for its existence (24) and its impact on the results of systematic reviews (38). Even when publication bias is assessed, there is no guarantee that systematic reviewers have assessed or interpreted it appropriately (39). Although the absence of reporting such an assessment does not necessarily indicate that it was not done, reporting an assessment of publication bias is likely to be a marker of the thoroughness of the conduct of the systematic review.   </w:t>
      </w:r>
    </w:p>
    <w:p>
      <w:pPr>
        <w:pStyle w:val="Normal"/>
        <w:spacing w:lineRule="auto" w:line="360"/>
        <w:ind w:left="0" w:right="-714" w:firstLine="720"/>
        <w:rPr>
          <w:color w:val="000000"/>
        </w:rPr>
      </w:pPr>
      <w:r>
        <w:rPr>
          <w:color w:val="000000"/>
        </w:rPr>
        <w:t>Several approaches have been developed to conduct systematic reviews on a broader array of questions. For example, systematic reviews are now conducted to investigate cost-effectiveness (40), diagnostic (41,42) or prognostic questions (43), genetic associations (44) and policy making (45-47). The general concepts and topics covered by PRISMA are all relevant to any systematic review, not just those whose objective is to summarize the benefits and harms of a healthcare intervention. However, some modifications of the checklist items or flow diagram will be necessary in particular circumstances. For example, assessing the risk of bias is a key concept but the items used to assess this in a diagnostic review are likely to focus on issues such as the spectrum of patients and the verification of disease status, which differ from reviews of interventions. The flow diagram will need adjustments when reporting individual patient data meta-analysis (48).</w:t>
      </w:r>
    </w:p>
    <w:p>
      <w:pPr>
        <w:pStyle w:val="BodyTextIndent3"/>
        <w:spacing w:lineRule="auto" w:line="360"/>
        <w:ind w:left="0" w:right="-714" w:firstLine="720"/>
        <w:rPr/>
      </w:pPr>
      <w:r>
        <w:rPr/>
        <w:t xml:space="preserve">The PRISMA Statement should replace the QUOROM Statement for those journals that have endorsed QUOROM.  We hope that other journals will support PRISMA; they can do so by registering on the PRISMA web site. To underscore to authors, and others, the importance of transparent reporting of systematic reviews, we encourage supporting journals to reference the PRISMA Statement and include the PRISMA web address in their Instructions to Authors.  We also invite editorial organizations to consider endorsing PRISMA and encourage authors to adhere to its principles. </w:t>
      </w:r>
    </w:p>
    <w:p>
      <w:pPr>
        <w:pStyle w:val="BodyTextIndent3"/>
        <w:spacing w:lineRule="auto" w:line="360"/>
        <w:ind w:left="0" w:right="-714" w:firstLine="720"/>
        <w:rPr/>
      </w:pPr>
      <w:r>
        <w:rPr/>
        <w:t xml:space="preserve">We have developed an explanatory document (18) to increase usefulness of PRISMA. For each checklist item, this document contains an example of good reporting, a rationale for its inclusion, and supporting evidence, including references. We believe this document will also serve as a useful resource for those teaching systematic reviews.  We encourage journals to include reference to the explanatory document in their Instructions to Authors.    </w:t>
      </w:r>
    </w:p>
    <w:p>
      <w:pPr>
        <w:pStyle w:val="Normal"/>
        <w:spacing w:lineRule="auto" w:line="360"/>
        <w:ind w:left="0" w:right="-714" w:firstLine="720"/>
        <w:rPr>
          <w:color w:val="000000"/>
        </w:rPr>
      </w:pPr>
      <w:r>
        <w:rPr>
          <w:color w:val="000000"/>
        </w:rPr>
        <w:t xml:space="preserve">Like any evidence-based endeavour, PRISMA is a living document.  To this end we invite readers to comment on the revised version, particularly the new checklist and flow diagram, through the PRISMA web site. We will use such information to inform PRISMA’s continued development. </w:t>
      </w:r>
    </w:p>
    <w:p>
      <w:pPr>
        <w:pStyle w:val="Normal"/>
        <w:spacing w:lineRule="auto" w:line="360"/>
        <w:ind w:left="0" w:right="-714" w:hanging="0"/>
        <w:rPr>
          <w:color w:val="000000"/>
        </w:rPr>
      </w:pPr>
      <w:r>
        <w:rPr>
          <w:color w:val="000000"/>
        </w:rPr>
      </w:r>
    </w:p>
    <w:p>
      <w:pPr>
        <w:pStyle w:val="Heading1"/>
        <w:numPr>
          <w:ilvl w:val="0"/>
          <w:numId w:val="1"/>
        </w:numPr>
        <w:ind w:left="0" w:right="-714" w:hanging="0"/>
        <w:rPr/>
      </w:pPr>
      <w:r>
        <w:rPr/>
        <w:t>References</w:t>
      </w:r>
    </w:p>
    <w:p>
      <w:pPr>
        <w:pStyle w:val="Normal"/>
        <w:numPr>
          <w:ilvl w:val="0"/>
          <w:numId w:val="2"/>
        </w:numPr>
        <w:tabs>
          <w:tab w:val="left" w:pos="720" w:leader="none"/>
        </w:tabs>
        <w:spacing w:lineRule="auto" w:line="360"/>
        <w:ind w:left="720" w:right="0" w:hanging="432"/>
        <w:rPr>
          <w:color w:val="000000"/>
        </w:rPr>
      </w:pPr>
      <w:r>
        <w:rPr>
          <w:color w:val="000000"/>
        </w:rPr>
        <w:t>Oxman AD, Cook DJ, Guyatt GH. Users' guides to the medical literature. VI. How to use an overview. Evidence-Based Medicine Working Group. JAMA 1994;2;272(17):1367-1371.</w:t>
      </w:r>
    </w:p>
    <w:p>
      <w:pPr>
        <w:pStyle w:val="Normal"/>
        <w:numPr>
          <w:ilvl w:val="0"/>
          <w:numId w:val="3"/>
        </w:numPr>
        <w:spacing w:lineRule="auto" w:line="360"/>
        <w:rPr>
          <w:color w:val="000000"/>
        </w:rPr>
      </w:pPr>
      <w:r>
        <w:rPr>
          <w:color w:val="000000"/>
        </w:rPr>
        <w:t>Swingler GH, Volmink J, Ioannidis JP. Number of published systematic reviews and global burden of disease: database analysis. BMJ 2003;327:1083-1084.</w:t>
      </w:r>
    </w:p>
    <w:p>
      <w:pPr>
        <w:pStyle w:val="Normal"/>
        <w:numPr>
          <w:ilvl w:val="0"/>
          <w:numId w:val="3"/>
        </w:numPr>
        <w:spacing w:lineRule="auto" w:line="360"/>
        <w:rPr>
          <w:color w:val="000000"/>
        </w:rPr>
      </w:pPr>
      <w:r>
        <w:rPr>
          <w:color w:val="000000"/>
        </w:rPr>
        <w:t xml:space="preserve">Canadian Institutes of Health Research - </w:t>
      </w:r>
      <w:hyperlink r:id="rId3">
        <w:r>
          <w:rPr>
            <w:rStyle w:val="InternetLink"/>
            <w:color w:val="000000"/>
          </w:rPr>
          <w:t>http://www.cihr-irsc.gc.ca/e/documents/rct_reg_e.pdf</w:t>
        </w:r>
      </w:hyperlink>
      <w:r>
        <w:rPr>
          <w:color w:val="000000"/>
        </w:rPr>
        <w:t xml:space="preserve"> - Accessed 24 January 2006.</w:t>
      </w:r>
    </w:p>
    <w:p>
      <w:pPr>
        <w:pStyle w:val="Normal"/>
        <w:numPr>
          <w:ilvl w:val="0"/>
          <w:numId w:val="3"/>
        </w:numPr>
        <w:spacing w:lineRule="auto" w:line="360"/>
        <w:rPr>
          <w:color w:val="000000"/>
        </w:rPr>
      </w:pPr>
      <w:r>
        <w:rPr>
          <w:color w:val="000000"/>
        </w:rPr>
        <w:t>Young C, Horton R. Putting clinical trials into context. Lancet 2005;366:107.</w:t>
      </w:r>
    </w:p>
    <w:p>
      <w:pPr>
        <w:pStyle w:val="Normal"/>
        <w:numPr>
          <w:ilvl w:val="0"/>
          <w:numId w:val="3"/>
        </w:numPr>
        <w:spacing w:lineRule="auto" w:line="360"/>
        <w:rPr>
          <w:color w:val="000000"/>
        </w:rPr>
      </w:pPr>
      <w:r>
        <w:rPr>
          <w:color w:val="000000"/>
        </w:rPr>
        <w:t>Mulrow CD.  The Medical Review Article: State of the Science.  Ann Intern Med 1987;106:485-488.</w:t>
      </w:r>
    </w:p>
    <w:p>
      <w:pPr>
        <w:pStyle w:val="Normal"/>
        <w:numPr>
          <w:ilvl w:val="0"/>
          <w:numId w:val="3"/>
        </w:numPr>
        <w:spacing w:lineRule="auto" w:line="360"/>
        <w:rPr>
          <w:color w:val="000000"/>
        </w:rPr>
      </w:pPr>
      <w:r>
        <w:rPr>
          <w:color w:val="000000"/>
        </w:rPr>
        <w:t>Sacks HS, Berrier J, Reitman D, Ancona-Berk VA, Chalmers TC.  Meta-analysis of randomized controlled trials.  New Engl J Med 1987;316:450-455.</w:t>
      </w:r>
    </w:p>
    <w:p>
      <w:pPr>
        <w:pStyle w:val="Normal"/>
        <w:numPr>
          <w:ilvl w:val="0"/>
          <w:numId w:val="3"/>
        </w:numPr>
        <w:spacing w:lineRule="auto" w:line="360"/>
        <w:rPr>
          <w:rFonts w:cs="Arial"/>
          <w:color w:val="000000"/>
        </w:rPr>
      </w:pPr>
      <w:r>
        <w:rPr>
          <w:color w:val="000000"/>
        </w:rPr>
        <w:t xml:space="preserve">Sacks HS, </w:t>
      </w:r>
      <w:r>
        <w:rPr>
          <w:rFonts w:cs="Arial"/>
          <w:color w:val="000000"/>
        </w:rPr>
        <w:t>Reitman D, Pagano D, Kupelnick B. Meta-analysis: an update.</w:t>
      </w:r>
      <w:r>
        <w:rPr>
          <w:rFonts w:cs="Arial"/>
          <w:iCs/>
          <w:color w:val="000000"/>
        </w:rPr>
        <w:t xml:space="preserve"> Mt Sinai J Med</w:t>
      </w:r>
      <w:r>
        <w:rPr>
          <w:rFonts w:cs="Arial"/>
          <w:color w:val="000000"/>
        </w:rPr>
        <w:t xml:space="preserve"> 1996;63:216-224.  </w:t>
      </w:r>
    </w:p>
    <w:p>
      <w:pPr>
        <w:pStyle w:val="Normal"/>
        <w:numPr>
          <w:ilvl w:val="0"/>
          <w:numId w:val="3"/>
        </w:numPr>
        <w:spacing w:lineRule="auto" w:line="360"/>
        <w:rPr>
          <w:color w:val="000000"/>
        </w:rPr>
      </w:pPr>
      <w:r>
        <w:rPr>
          <w:color w:val="000000"/>
        </w:rPr>
        <w:t>Begg C, Cho M, Eastwood S, Horton R, Moher D, Olkin I, Rennie R. Improving the quality of reporting of randomized controlled trials: the CONSORT statement.  JAMA 1996;276:637-639.</w:t>
      </w:r>
    </w:p>
    <w:p>
      <w:pPr>
        <w:pStyle w:val="Normal"/>
        <w:numPr>
          <w:ilvl w:val="0"/>
          <w:numId w:val="3"/>
        </w:numPr>
        <w:spacing w:lineRule="auto" w:line="360"/>
        <w:rPr>
          <w:color w:val="000000"/>
        </w:rPr>
      </w:pPr>
      <w:r>
        <w:rPr>
          <w:color w:val="000000"/>
        </w:rPr>
        <w:t>Moher D, Cook DJ, Eastwood S, Olkin I, Rennie D, Stroup D, for the QUOROM group.  Improving the quality of reporting of meta-analysis of randomized controlled trials: the QUOROM statement. Lancet 1999;354:1896-1900.</w:t>
      </w:r>
    </w:p>
    <w:p>
      <w:pPr>
        <w:pStyle w:val="Normal"/>
        <w:numPr>
          <w:ilvl w:val="0"/>
          <w:numId w:val="3"/>
        </w:numPr>
        <w:tabs>
          <w:tab w:val="left" w:pos="864" w:leader="none"/>
        </w:tabs>
        <w:spacing w:lineRule="auto" w:line="360"/>
        <w:rPr>
          <w:color w:val="000000"/>
        </w:rPr>
      </w:pPr>
      <w:r>
        <w:rPr>
          <w:color w:val="000000"/>
          <w:lang w:val="nb-NO"/>
        </w:rPr>
        <w:t xml:space="preserve">Bhandari M, Morrow F, Kulkarni AV, Tornetta P.  </w:t>
      </w:r>
      <w:r>
        <w:rPr>
          <w:color w:val="000000"/>
        </w:rPr>
        <w:t>Meta-analyses in orthopaedic surgery: a systematic review of their methodologies.  J Bone Joint Surg Am 2001;83-A:15-24.</w:t>
      </w:r>
    </w:p>
    <w:p>
      <w:pPr>
        <w:pStyle w:val="Normal"/>
        <w:numPr>
          <w:ilvl w:val="0"/>
          <w:numId w:val="3"/>
        </w:numPr>
        <w:tabs>
          <w:tab w:val="left" w:pos="720" w:leader="none"/>
          <w:tab w:val="left" w:pos="864" w:leader="none"/>
        </w:tabs>
        <w:spacing w:lineRule="auto" w:line="360"/>
        <w:rPr>
          <w:color w:val="000000"/>
        </w:rPr>
      </w:pPr>
      <w:r>
        <w:rPr>
          <w:color w:val="000000"/>
        </w:rPr>
        <w:t xml:space="preserve">Biondi-Zoccai GG, Lotrionte M, Abbate A, Testa L, Remigi E, Burzotta F, Valgimigli M, Romagnoli E, Crea F, Agostoni P.  Compliance with QUOROM and quality of reporting of overlapping meta-analyses on the role of acetylcysteine in the prevention of contrast associated nephropathy. case study. BMJ 2006;332:202-209. </w:t>
      </w:r>
    </w:p>
    <w:p>
      <w:pPr>
        <w:pStyle w:val="Normal"/>
        <w:numPr>
          <w:ilvl w:val="0"/>
          <w:numId w:val="3"/>
        </w:numPr>
        <w:tabs>
          <w:tab w:val="left" w:pos="864" w:leader="none"/>
        </w:tabs>
        <w:spacing w:lineRule="auto" w:line="360"/>
        <w:rPr>
          <w:color w:val="000000"/>
        </w:rPr>
      </w:pPr>
      <w:r>
        <w:rPr>
          <w:color w:val="000000"/>
        </w:rPr>
        <w:t>Kelly KD, Travers A, Dorgan M, Slater L, Rowe BH. Evaluating the quality of systematic reviews in the emergency medicine literature. Ann Emerg Med 2001;38:518-526.</w:t>
      </w:r>
    </w:p>
    <w:p>
      <w:pPr>
        <w:pStyle w:val="Normal"/>
        <w:numPr>
          <w:ilvl w:val="0"/>
          <w:numId w:val="3"/>
        </w:numPr>
        <w:tabs>
          <w:tab w:val="left" w:pos="864" w:leader="none"/>
        </w:tabs>
        <w:spacing w:lineRule="auto" w:line="360"/>
        <w:rPr>
          <w:color w:val="000000"/>
        </w:rPr>
      </w:pPr>
      <w:r>
        <w:rPr>
          <w:color w:val="000000"/>
        </w:rPr>
        <w:t>Richards D. The quality of systematic reviews in dentistry. Evid Based Dent 2004;5(1):17.</w:t>
      </w:r>
    </w:p>
    <w:p>
      <w:pPr>
        <w:pStyle w:val="Normal"/>
        <w:numPr>
          <w:ilvl w:val="0"/>
          <w:numId w:val="3"/>
        </w:numPr>
        <w:tabs>
          <w:tab w:val="left" w:pos="864" w:leader="none"/>
        </w:tabs>
        <w:spacing w:lineRule="auto" w:line="360"/>
        <w:rPr>
          <w:color w:val="000000"/>
        </w:rPr>
      </w:pPr>
      <w:r>
        <w:rPr>
          <w:color w:val="000000"/>
        </w:rPr>
        <w:t>Choi PT, Halpern SH, Malik N, Jadad AR, Tramer MR, Walder B. Examining the evidence in anesthesia literature: a critical appraisal of systematic reviews. Anesth Analg 2001;92:700-709.</w:t>
      </w:r>
    </w:p>
    <w:p>
      <w:pPr>
        <w:pStyle w:val="Normal"/>
        <w:numPr>
          <w:ilvl w:val="0"/>
          <w:numId w:val="3"/>
        </w:numPr>
        <w:tabs>
          <w:tab w:val="left" w:pos="864" w:leader="none"/>
        </w:tabs>
        <w:spacing w:lineRule="auto" w:line="360"/>
        <w:rPr>
          <w:color w:val="000000"/>
        </w:rPr>
      </w:pPr>
      <w:r>
        <w:rPr>
          <w:color w:val="000000"/>
        </w:rPr>
        <w:t>Delaney A, Bagshaw SM, Ferland A, Manns B, Laupland KB, A systematic evaluation of the quality of meta-analyses in the critical care literature. Critical Care 2005;9:R575-R582 (DOI 10.1186/cc3803).</w:t>
      </w:r>
    </w:p>
    <w:p>
      <w:pPr>
        <w:pStyle w:val="Normal"/>
        <w:numPr>
          <w:ilvl w:val="0"/>
          <w:numId w:val="3"/>
        </w:numPr>
        <w:tabs>
          <w:tab w:val="left" w:pos="864" w:leader="none"/>
        </w:tabs>
        <w:spacing w:lineRule="auto" w:line="360"/>
        <w:rPr>
          <w:color w:val="000000"/>
        </w:rPr>
      </w:pPr>
      <w:r>
        <w:rPr>
          <w:color w:val="000000"/>
        </w:rPr>
        <w:t>Glossary of terms in The Cochrane Collaboration, version 4.2.5 (</w:t>
      </w:r>
      <w:hyperlink r:id="rId4">
        <w:r>
          <w:rPr>
            <w:rStyle w:val="InternetLink"/>
          </w:rPr>
          <w:t>http://www.cochrane.org/resources/glossary.htm</w:t>
        </w:r>
      </w:hyperlink>
      <w:r>
        <w:rPr>
          <w:color w:val="000000"/>
        </w:rPr>
        <w:t>) accessed 5</w:t>
      </w:r>
      <w:r>
        <w:rPr>
          <w:color w:val="000000"/>
          <w:vertAlign w:val="superscript"/>
        </w:rPr>
        <w:t>th</w:t>
      </w:r>
      <w:r>
        <w:rPr>
          <w:color w:val="000000"/>
        </w:rPr>
        <w:t xml:space="preserve"> February 2007. </w:t>
      </w:r>
    </w:p>
    <w:p>
      <w:pPr>
        <w:pStyle w:val="Normal"/>
        <w:numPr>
          <w:ilvl w:val="0"/>
          <w:numId w:val="3"/>
        </w:numPr>
        <w:tabs>
          <w:tab w:val="left" w:pos="864" w:leader="none"/>
        </w:tabs>
        <w:spacing w:lineRule="auto" w:line="360"/>
        <w:rPr>
          <w:color w:val="000000"/>
        </w:rPr>
      </w:pPr>
      <w:r>
        <w:rPr>
          <w:color w:val="000000"/>
        </w:rPr>
        <w:t xml:space="preserve">Last JM. A dictionary of epidemiology. Oxford: Oxford University Press, 2001.  </w:t>
      </w:r>
    </w:p>
    <w:p>
      <w:pPr>
        <w:pStyle w:val="Normal"/>
        <w:numPr>
          <w:ilvl w:val="0"/>
          <w:numId w:val="3"/>
        </w:numPr>
        <w:tabs>
          <w:tab w:val="left" w:pos="864" w:leader="none"/>
        </w:tabs>
        <w:spacing w:lineRule="auto" w:line="360"/>
        <w:rPr>
          <w:color w:val="000000"/>
        </w:rPr>
      </w:pPr>
      <w:r>
        <w:rPr>
          <w:color w:val="000000"/>
        </w:rPr>
        <w:t xml:space="preserve">Liberati A., et al. PRISMA explanatory and elaboration manuscript. </w:t>
      </w:r>
    </w:p>
    <w:p>
      <w:pPr>
        <w:pStyle w:val="Normal"/>
        <w:numPr>
          <w:ilvl w:val="0"/>
          <w:numId w:val="3"/>
        </w:numPr>
        <w:tabs>
          <w:tab w:val="left" w:pos="864" w:leader="none"/>
        </w:tabs>
        <w:spacing w:lineRule="auto" w:line="360"/>
        <w:rPr>
          <w:color w:val="000000"/>
        </w:rPr>
      </w:pPr>
      <w:r>
        <w:rPr>
          <w:color w:val="000000"/>
        </w:rPr>
        <w:t>Moher D, Tetzlaff J, Tricco A, Sampson M, Altman DG. Epidemiology and reporting characteristics of systematic reviews. PLoS Medicine 2007;4(3): e78.doi:10.1371/journal.pmed.0040078</w:t>
      </w:r>
    </w:p>
    <w:p>
      <w:pPr>
        <w:pStyle w:val="Normal"/>
        <w:numPr>
          <w:ilvl w:val="0"/>
          <w:numId w:val="3"/>
        </w:numPr>
        <w:tabs>
          <w:tab w:val="left" w:pos="864" w:leader="none"/>
        </w:tabs>
        <w:spacing w:lineRule="auto" w:line="360"/>
        <w:rPr>
          <w:color w:val="000000"/>
        </w:rPr>
      </w:pPr>
      <w:r>
        <w:rPr>
          <w:color w:val="000000"/>
        </w:rPr>
        <w:t>Moja LP, Telaro E, D'Amico R, Moschetti I, Coe L, Liberati A. Assessment of methodological quality of primary studies by systematic reviews: results of the metaquality cross sectional study. BMJ 2005;330:1053-1055.</w:t>
      </w:r>
    </w:p>
    <w:p>
      <w:pPr>
        <w:pStyle w:val="Normal"/>
        <w:numPr>
          <w:ilvl w:val="0"/>
          <w:numId w:val="3"/>
        </w:numPr>
        <w:tabs>
          <w:tab w:val="left" w:pos="864" w:leader="none"/>
        </w:tabs>
        <w:spacing w:lineRule="auto" w:line="360"/>
        <w:rPr>
          <w:color w:val="000000"/>
        </w:rPr>
      </w:pPr>
      <w:r>
        <w:rPr>
          <w:color w:val="000000"/>
        </w:rPr>
        <w:t>Guyatt GH, Oxman AD, Vist GE, Kunz R, Falck-Ytter Y, Alonso-Coello P, Schünemann HJ; GRADE Working Group. GRADE: an emerging consensus on rating quality of evidence and strength of recommendations. BMJ. 2008;336:924-926.</w:t>
      </w:r>
    </w:p>
    <w:p>
      <w:pPr>
        <w:pStyle w:val="Normal"/>
        <w:numPr>
          <w:ilvl w:val="0"/>
          <w:numId w:val="3"/>
        </w:numPr>
        <w:tabs>
          <w:tab w:val="left" w:pos="864" w:leader="none"/>
        </w:tabs>
        <w:spacing w:lineRule="auto" w:line="360"/>
        <w:rPr>
          <w:color w:val="000000"/>
        </w:rPr>
      </w:pPr>
      <w:r>
        <w:rPr>
          <w:color w:val="000000"/>
        </w:rPr>
        <w:t>Schunemann HJ, Jaeschke R, Cook DJ, Bria WF, El-Solh AA, Ernst A, Fahy BF, Gould MK, Horan KL, Krishnan JA, Manthous CA, Maurer JR, McNicholas WT, Oxman AD, Rubenfeld G, Turino GM, Guyatt G; for the ATS Documents Development and Implementation Committee. An official ATS statement: grading the quality of evidence and strength of recommendations in ATS guidelines and recommendations. Am J Respir Crit Care Med. 2006;174:605-614.</w:t>
      </w:r>
    </w:p>
    <w:p>
      <w:pPr>
        <w:pStyle w:val="Normal"/>
        <w:numPr>
          <w:ilvl w:val="0"/>
          <w:numId w:val="3"/>
        </w:numPr>
        <w:tabs>
          <w:tab w:val="left" w:pos="864" w:leader="none"/>
        </w:tabs>
        <w:spacing w:lineRule="auto" w:line="360"/>
        <w:rPr>
          <w:color w:val="000000"/>
        </w:rPr>
      </w:pPr>
      <w:r>
        <w:rPr>
          <w:color w:val="000000"/>
          <w:lang w:val="en-GB"/>
        </w:rPr>
        <w:t xml:space="preserve">Liberati A, D'Amico R, Pifferi , Torri V, Brazzi L. Antibiotic prophylaxis to reduce respiratory tract infections and mortality in adults receiving intensive care. </w:t>
      </w:r>
      <w:r>
        <w:rPr>
          <w:iCs/>
          <w:color w:val="000000"/>
          <w:lang w:val="en-GB"/>
        </w:rPr>
        <w:t>Cochrane Database of Syst Rev</w:t>
      </w:r>
      <w:r>
        <w:rPr>
          <w:color w:val="000000"/>
          <w:lang w:val="en-GB"/>
        </w:rPr>
        <w:t xml:space="preserve"> 2004, Issue 1. Art. No.: CD000022. </w:t>
      </w:r>
      <w:r>
        <w:rPr>
          <w:color w:val="000000"/>
        </w:rPr>
        <w:t>DOI: 10.1002/14651858.CD000022.pub2.</w:t>
      </w:r>
    </w:p>
    <w:p>
      <w:pPr>
        <w:pStyle w:val="Normal"/>
        <w:numPr>
          <w:ilvl w:val="0"/>
          <w:numId w:val="3"/>
        </w:numPr>
        <w:tabs>
          <w:tab w:val="left" w:pos="864" w:leader="none"/>
        </w:tabs>
        <w:spacing w:lineRule="auto" w:line="360"/>
        <w:rPr>
          <w:color w:val="000000"/>
        </w:rPr>
      </w:pPr>
      <w:r>
        <w:rPr>
          <w:color w:val="000000"/>
        </w:rPr>
        <w:t xml:space="preserve">Dickersin K. Publication bias: recognizing the problem, understanding its origins and scope, and preventing harm.  In Rothstein HR, Sutton AJ, Borenstein M, editors. Publication Bias in Meta-Analysis – Prevention, Assessment and Adjustments. Chichester, England: John Wiley &amp; Sons 2005:11-33. </w:t>
      </w:r>
    </w:p>
    <w:p>
      <w:pPr>
        <w:pStyle w:val="Normal"/>
        <w:numPr>
          <w:ilvl w:val="0"/>
          <w:numId w:val="3"/>
        </w:numPr>
        <w:tabs>
          <w:tab w:val="left" w:pos="720" w:leader="none"/>
          <w:tab w:val="left" w:pos="864" w:leader="none"/>
        </w:tabs>
        <w:spacing w:lineRule="auto" w:line="360"/>
        <w:rPr>
          <w:color w:val="000000"/>
        </w:rPr>
      </w:pPr>
      <w:r>
        <w:rPr>
          <w:color w:val="000000"/>
        </w:rPr>
        <w:t>Chan AW, Krleza-Jeric K, Schmid I, Altman DG.  Outcome reporting bias in randomized trials funded by the Canadian Institutes of Health Research.  CMAJ 2004;171:735-740.</w:t>
      </w:r>
    </w:p>
    <w:p>
      <w:pPr>
        <w:pStyle w:val="Normal"/>
        <w:numPr>
          <w:ilvl w:val="0"/>
          <w:numId w:val="3"/>
        </w:numPr>
        <w:tabs>
          <w:tab w:val="left" w:pos="864" w:leader="none"/>
        </w:tabs>
        <w:spacing w:lineRule="auto" w:line="360"/>
        <w:rPr>
          <w:color w:val="000000"/>
        </w:rPr>
      </w:pPr>
      <w:r>
        <w:rPr>
          <w:color w:val="000000"/>
        </w:rPr>
        <w:t>Chan AW, Hrobjartsson A, Haahr MT, Gøtzsche PC, Altman DG.  Empirical evidence for selective reporting of outcomes in randomized trials: comparison of protocols to published articles.  JAMA 2004;291:2457-2465.</w:t>
      </w:r>
    </w:p>
    <w:p>
      <w:pPr>
        <w:pStyle w:val="Normal"/>
        <w:numPr>
          <w:ilvl w:val="0"/>
          <w:numId w:val="3"/>
        </w:numPr>
        <w:tabs>
          <w:tab w:val="left" w:pos="864" w:leader="none"/>
        </w:tabs>
        <w:spacing w:lineRule="auto" w:line="360"/>
        <w:rPr>
          <w:color w:val="000000"/>
        </w:rPr>
      </w:pPr>
      <w:r>
        <w:rPr>
          <w:color w:val="000000"/>
        </w:rPr>
        <w:t>Silagy CA, Middleton P, Hopewell S.  Publishing protocols of systematic reviews: comparing what was done to what was planned.  JAMA 2002;287:2831-2834.</w:t>
      </w:r>
    </w:p>
    <w:p>
      <w:pPr>
        <w:pStyle w:val="Normal"/>
        <w:numPr>
          <w:ilvl w:val="0"/>
          <w:numId w:val="3"/>
        </w:numPr>
        <w:tabs>
          <w:tab w:val="left" w:pos="864" w:leader="none"/>
        </w:tabs>
        <w:spacing w:lineRule="auto" w:line="360"/>
        <w:rPr>
          <w:color w:val="000000"/>
        </w:rPr>
      </w:pPr>
      <w:r>
        <w:rPr>
          <w:color w:val="000000"/>
        </w:rPr>
        <w:t>Strech D, Tilburt J. Value judgments in the analysis and synthesis of evidence. Journal of Clinical Epidemiology 2008;61:521-524.</w:t>
      </w:r>
    </w:p>
    <w:p>
      <w:pPr>
        <w:pStyle w:val="Normal"/>
        <w:numPr>
          <w:ilvl w:val="0"/>
          <w:numId w:val="3"/>
        </w:numPr>
        <w:tabs>
          <w:tab w:val="left" w:pos="864" w:leader="none"/>
        </w:tabs>
        <w:spacing w:lineRule="auto" w:line="360"/>
        <w:rPr>
          <w:color w:val="000000"/>
        </w:rPr>
      </w:pPr>
      <w:r>
        <w:rPr>
          <w:color w:val="000000"/>
        </w:rPr>
        <w:t>Moher D, Tsertsvadze A. Systematic reviews: when is an update and update? Lancet 2006;367:881-883.</w:t>
      </w:r>
    </w:p>
    <w:p>
      <w:pPr>
        <w:pStyle w:val="Normal"/>
        <w:numPr>
          <w:ilvl w:val="0"/>
          <w:numId w:val="3"/>
        </w:numPr>
        <w:tabs>
          <w:tab w:val="left" w:pos="864" w:leader="none"/>
        </w:tabs>
        <w:spacing w:lineRule="auto" w:line="360"/>
        <w:rPr>
          <w:color w:val="000000"/>
        </w:rPr>
      </w:pPr>
      <w:r>
        <w:rPr>
          <w:color w:val="000000"/>
        </w:rPr>
        <w:t>Furukawa TA, Watanabe N, Omori IM, Montori VM, Guyatt GH. Association Between Unreported Outcomes and Effect Size Estimates in Cochrane Meta-analyses.  JAMA 2007;297:468-470.</w:t>
      </w:r>
    </w:p>
    <w:p>
      <w:pPr>
        <w:pStyle w:val="Normal"/>
        <w:numPr>
          <w:ilvl w:val="0"/>
          <w:numId w:val="3"/>
        </w:numPr>
        <w:tabs>
          <w:tab w:val="left" w:pos="864" w:leader="none"/>
        </w:tabs>
        <w:spacing w:lineRule="auto" w:line="360"/>
        <w:rPr>
          <w:color w:val="000000"/>
        </w:rPr>
      </w:pPr>
      <w:r>
        <w:rPr>
          <w:color w:val="000000"/>
        </w:rPr>
        <w:t xml:space="preserve">Centre for Reviews and Dissemination </w:t>
      </w:r>
      <w:hyperlink r:id="rId5">
        <w:r>
          <w:rPr>
            <w:rStyle w:val="InternetLink"/>
            <w:color w:val="000000"/>
          </w:rPr>
          <w:t>http://www.york.ac.uk/inst/crd/ongoing.htm</w:t>
        </w:r>
      </w:hyperlink>
      <w:r>
        <w:rPr>
          <w:color w:val="000000"/>
        </w:rPr>
        <w:t xml:space="preserve"> - Accessed on 22</w:t>
      </w:r>
      <w:r>
        <w:rPr>
          <w:color w:val="000000"/>
          <w:vertAlign w:val="superscript"/>
        </w:rPr>
        <w:t>nd</w:t>
      </w:r>
      <w:r>
        <w:rPr>
          <w:color w:val="000000"/>
        </w:rPr>
        <w:t xml:space="preserve"> January 2006.</w:t>
      </w:r>
    </w:p>
    <w:p>
      <w:pPr>
        <w:pStyle w:val="Normal"/>
        <w:numPr>
          <w:ilvl w:val="0"/>
          <w:numId w:val="3"/>
        </w:numPr>
        <w:tabs>
          <w:tab w:val="left" w:pos="864" w:leader="none"/>
        </w:tabs>
        <w:spacing w:lineRule="auto" w:line="360"/>
        <w:rPr>
          <w:color w:val="000000"/>
        </w:rPr>
      </w:pPr>
      <w:r>
        <w:rPr>
          <w:color w:val="000000"/>
        </w:rPr>
        <w:t xml:space="preserve">Australia The Joanna Briggs Institute </w:t>
      </w:r>
      <w:hyperlink r:id="rId6">
        <w:r>
          <w:rPr>
            <w:rStyle w:val="InternetLink"/>
            <w:color w:val="000000"/>
          </w:rPr>
          <w:t>http://www.joannabriggs.edu.au/pubs/systematic_reviews_prot.php</w:t>
        </w:r>
      </w:hyperlink>
      <w:r>
        <w:rPr>
          <w:color w:val="000000"/>
        </w:rPr>
        <w:t xml:space="preserve"> - Accessed on 22nd January 2006.</w:t>
      </w:r>
    </w:p>
    <w:p>
      <w:pPr>
        <w:pStyle w:val="Normal"/>
        <w:numPr>
          <w:ilvl w:val="0"/>
          <w:numId w:val="3"/>
        </w:numPr>
        <w:tabs>
          <w:tab w:val="left" w:pos="864" w:leader="none"/>
        </w:tabs>
        <w:spacing w:lineRule="auto" w:line="360"/>
        <w:rPr>
          <w:color w:val="000000"/>
        </w:rPr>
      </w:pPr>
      <w:r>
        <w:rPr>
          <w:color w:val="000000"/>
        </w:rPr>
        <w:t>De Angelis C, Drazan JM, Frizelle FA, Haug C, Hoey J, Horton R, for the International Committee Medical Journal Editors.  Clinical trial registration: a statement from the International Committee of Medical Journal Editors. Can Med Assoc J 2004;171:606-607.</w:t>
      </w:r>
    </w:p>
    <w:p>
      <w:pPr>
        <w:pStyle w:val="Normal"/>
        <w:numPr>
          <w:ilvl w:val="0"/>
          <w:numId w:val="3"/>
        </w:numPr>
        <w:tabs>
          <w:tab w:val="left" w:pos="864" w:leader="none"/>
        </w:tabs>
        <w:spacing w:lineRule="auto" w:line="360"/>
        <w:rPr>
          <w:color w:val="000000"/>
        </w:rPr>
      </w:pPr>
      <w:r>
        <w:rPr>
          <w:color w:val="000000"/>
        </w:rPr>
        <w:t>Whittington CJ, Kendall T, Fonagy P, Cottrell D, Cotgrove A, Boddington E.  Selective serotonin reuptake inhibitors in childhood depression: systematic review of published versus unpublished data.  Lancet 2004;363:1341-1345.</w:t>
      </w:r>
    </w:p>
    <w:p>
      <w:pPr>
        <w:pStyle w:val="Normal"/>
        <w:numPr>
          <w:ilvl w:val="0"/>
          <w:numId w:val="3"/>
        </w:numPr>
        <w:tabs>
          <w:tab w:val="left" w:pos="864" w:leader="none"/>
        </w:tabs>
        <w:spacing w:lineRule="auto" w:line="360"/>
        <w:rPr>
          <w:color w:val="000000"/>
        </w:rPr>
      </w:pPr>
      <w:r>
        <w:rPr>
          <w:color w:val="000000"/>
        </w:rPr>
        <w:t>Bagshaw SM, McAlister FA, Manns BJ, Ghali WA. Acetylcysteine in the prevention of contrast-induced nephropathy: a case study of the pitfalls in the evolution of evidence. Arch Intern Med 2006;166:161-166.</w:t>
      </w:r>
    </w:p>
    <w:p>
      <w:pPr>
        <w:pStyle w:val="Normal"/>
        <w:numPr>
          <w:ilvl w:val="0"/>
          <w:numId w:val="3"/>
        </w:numPr>
        <w:tabs>
          <w:tab w:val="left" w:pos="864" w:leader="none"/>
        </w:tabs>
        <w:spacing w:lineRule="auto" w:line="360"/>
        <w:rPr>
          <w:color w:val="000000"/>
        </w:rPr>
      </w:pPr>
      <w:r>
        <w:rPr>
          <w:color w:val="000000"/>
        </w:rPr>
        <w:t>Altman DG, Schulz KR, Moher D, Egger M, Davidoff F, Elbourne D, Gotzsche PC, Lang T, for the CONSORT group.  The revised CONSORT statement for reporting randomized trals: explanation and elaboration.  Ann Intern Med 2001;134:663-694.</w:t>
      </w:r>
    </w:p>
    <w:p>
      <w:pPr>
        <w:pStyle w:val="Normal"/>
        <w:numPr>
          <w:ilvl w:val="0"/>
          <w:numId w:val="3"/>
        </w:numPr>
        <w:tabs>
          <w:tab w:val="left" w:pos="864" w:leader="none"/>
        </w:tabs>
        <w:spacing w:lineRule="auto" w:line="360"/>
        <w:rPr>
          <w:color w:val="000000"/>
        </w:rPr>
      </w:pPr>
      <w:r>
        <w:rPr>
          <w:color w:val="000000"/>
        </w:rPr>
        <w:t xml:space="preserve">Bossuyt PM, Reitsma JB, Bruns DE, Gatsonis CA, Glasziou PP, Irwig LM, Lijmer JG, </w:t>
      </w:r>
      <w:r>
        <w:rPr>
          <w:bCs/>
          <w:color w:val="000000"/>
        </w:rPr>
        <w:t>Moher D</w:t>
      </w:r>
      <w:r>
        <w:rPr>
          <w:color w:val="000000"/>
        </w:rPr>
        <w:t>, Rennie D, de Vet HCW for the STARD group. Towards complete and accurate reporting of studies of diagnostic accuracy: the STARD explanation and elaboration. Ann Intern Med 2003;138:W1-W12.</w:t>
      </w:r>
    </w:p>
    <w:p>
      <w:pPr>
        <w:pStyle w:val="Normal"/>
        <w:numPr>
          <w:ilvl w:val="0"/>
          <w:numId w:val="3"/>
        </w:numPr>
        <w:tabs>
          <w:tab w:val="left" w:pos="864" w:leader="none"/>
        </w:tabs>
        <w:spacing w:lineRule="auto" w:line="360"/>
        <w:rPr>
          <w:color w:val="000000"/>
        </w:rPr>
      </w:pPr>
      <w:r>
        <w:rPr>
          <w:color w:val="000000"/>
        </w:rPr>
        <w:t>Vandenbroucke JP, von Elm E, Altman DG, Gøtzsche PC, Mulrow CD, Pocock SJ, Poole C, Schlesselman JJ, Egger M for the STROBE inititiative.  Strengthening the Reporting of Observational Studies in Epidemiology (STROBE): Explanation and Elaboration. Ann Intern Med 2007;147:W-1630-W194.</w:t>
      </w:r>
    </w:p>
    <w:p>
      <w:pPr>
        <w:pStyle w:val="Normal"/>
        <w:numPr>
          <w:ilvl w:val="0"/>
          <w:numId w:val="3"/>
        </w:numPr>
        <w:tabs>
          <w:tab w:val="left" w:pos="864" w:leader="none"/>
        </w:tabs>
        <w:spacing w:lineRule="auto" w:line="360"/>
        <w:rPr>
          <w:color w:val="000000"/>
        </w:rPr>
      </w:pPr>
      <w:r>
        <w:rPr>
          <w:color w:val="000000"/>
        </w:rPr>
        <w:t xml:space="preserve">Sutton AJ. Evidence concerning the consequences of publication and related biases.  In: Rothstein HR, Sutton AJ and Borenstein M., editors.  Publication bias in meta-analysis – prevention, assessment and adjustments. Chichester, England John Wiley &amp; Sons 2005;175-192. </w:t>
      </w:r>
    </w:p>
    <w:p>
      <w:pPr>
        <w:pStyle w:val="Normal"/>
        <w:numPr>
          <w:ilvl w:val="0"/>
          <w:numId w:val="3"/>
        </w:numPr>
        <w:tabs>
          <w:tab w:val="left" w:pos="864" w:leader="none"/>
        </w:tabs>
        <w:spacing w:lineRule="auto" w:line="360"/>
        <w:rPr>
          <w:color w:val="000000"/>
        </w:rPr>
      </w:pPr>
      <w:r>
        <w:rPr>
          <w:color w:val="000000"/>
        </w:rPr>
        <w:t>Lau J, Ioannidis JPA, Terrin N, Schmid CH, Olkin I. The case of the misleading funnel plot. BMJ 2006;333:597-600.</w:t>
      </w:r>
    </w:p>
    <w:p>
      <w:pPr>
        <w:pStyle w:val="Normal"/>
        <w:numPr>
          <w:ilvl w:val="0"/>
          <w:numId w:val="3"/>
        </w:numPr>
        <w:tabs>
          <w:tab w:val="left" w:pos="864" w:leader="none"/>
        </w:tabs>
        <w:spacing w:lineRule="auto" w:line="360"/>
        <w:rPr>
          <w:color w:val="000000"/>
        </w:rPr>
      </w:pPr>
      <w:r>
        <w:rPr>
          <w:color w:val="000000"/>
        </w:rPr>
        <w:t>Ladabaum U, Chopra CL, Huang G, Scheiman JM, Chernew ME, Fendrick AM. Aspirin as an adjunct to screening for prevention of sporadic colorectal cancer: a cost-effectiveness analysis. Ann Intern Med 2001;135(9):769-781.</w:t>
      </w:r>
    </w:p>
    <w:p>
      <w:pPr>
        <w:pStyle w:val="Normal"/>
        <w:numPr>
          <w:ilvl w:val="0"/>
          <w:numId w:val="3"/>
        </w:numPr>
        <w:tabs>
          <w:tab w:val="left" w:pos="864" w:leader="none"/>
        </w:tabs>
        <w:spacing w:lineRule="auto" w:line="360"/>
        <w:rPr>
          <w:color w:val="000000"/>
        </w:rPr>
      </w:pPr>
      <w:r>
        <w:rPr>
          <w:color w:val="000000"/>
        </w:rPr>
        <w:t>Whiting P, Rutjes AWS, Reitsma JB, Glas AS Bossuyt PMM, Kleijnen. Sources of variation and bias in studies of diagnostic accuracy: a systematic review. Ann Internal Med 2004;140:189-202</w:t>
      </w:r>
    </w:p>
    <w:p>
      <w:pPr>
        <w:pStyle w:val="Normal"/>
        <w:numPr>
          <w:ilvl w:val="0"/>
          <w:numId w:val="3"/>
        </w:numPr>
        <w:tabs>
          <w:tab w:val="left" w:pos="864" w:leader="none"/>
        </w:tabs>
        <w:spacing w:lineRule="auto" w:line="360"/>
        <w:rPr>
          <w:color w:val="000000"/>
        </w:rPr>
      </w:pPr>
      <w:r>
        <w:rPr>
          <w:color w:val="000000"/>
        </w:rPr>
        <w:t>Deeks JJ. Systematic reviews in health care: Systematic reviews of evaluations of diagnostic and screening tests. BMJ 2001;323:157-162.</w:t>
      </w:r>
    </w:p>
    <w:p>
      <w:pPr>
        <w:pStyle w:val="Normal"/>
        <w:numPr>
          <w:ilvl w:val="0"/>
          <w:numId w:val="3"/>
        </w:numPr>
        <w:tabs>
          <w:tab w:val="left" w:pos="864" w:leader="none"/>
        </w:tabs>
        <w:spacing w:lineRule="auto" w:line="360"/>
        <w:rPr>
          <w:color w:val="000000"/>
        </w:rPr>
      </w:pPr>
      <w:hyperlink r:id="rId7">
        <w:r>
          <w:rPr>
            <w:rStyle w:val="InternetLink"/>
            <w:color w:val="000000"/>
          </w:rPr>
          <w:t>Altman DG.</w:t>
        </w:r>
      </w:hyperlink>
      <w:r>
        <w:rPr>
          <w:color w:val="000000"/>
        </w:rPr>
        <w:t xml:space="preserve"> Systematic reviews of evaluations of prognostic variables. BMJ 2001;323:224-228. </w:t>
      </w:r>
    </w:p>
    <w:p>
      <w:pPr>
        <w:pStyle w:val="Normal"/>
        <w:numPr>
          <w:ilvl w:val="0"/>
          <w:numId w:val="3"/>
        </w:numPr>
        <w:tabs>
          <w:tab w:val="left" w:pos="864" w:leader="none"/>
        </w:tabs>
        <w:spacing w:lineRule="auto" w:line="360"/>
        <w:rPr>
          <w:color w:val="000000"/>
        </w:rPr>
      </w:pPr>
      <w:r>
        <w:rPr>
          <w:color w:val="000000"/>
          <w:lang w:val="fr-CA"/>
        </w:rPr>
        <w:t xml:space="preserve">Ioannidis JP, Ntzani EE, Trikalinos TA, Contopoulos-Ioannidis DG. </w:t>
      </w:r>
      <w:r>
        <w:rPr>
          <w:color w:val="000000"/>
        </w:rPr>
        <w:t>Replication validity of genetic association studies. Nat Genet. 2001;29:306-309.</w:t>
      </w:r>
    </w:p>
    <w:p>
      <w:pPr>
        <w:pStyle w:val="Normal"/>
        <w:numPr>
          <w:ilvl w:val="0"/>
          <w:numId w:val="3"/>
        </w:numPr>
        <w:tabs>
          <w:tab w:val="left" w:pos="864" w:leader="none"/>
        </w:tabs>
        <w:spacing w:lineRule="auto" w:line="360"/>
        <w:rPr>
          <w:color w:val="000000"/>
        </w:rPr>
      </w:pPr>
      <w:r>
        <w:rPr>
          <w:color w:val="000000"/>
        </w:rPr>
        <w:t>Lavis J, Davies H, Oxman A, Denis J, Golden-Biddle K, Ferlie, E.  Towards systematic reviews that inform health care management and policy-making.  J Health Serv Res Policy 2005;10:35-48.</w:t>
      </w:r>
    </w:p>
    <w:p>
      <w:pPr>
        <w:pStyle w:val="Normal"/>
        <w:numPr>
          <w:ilvl w:val="0"/>
          <w:numId w:val="3"/>
        </w:numPr>
        <w:tabs>
          <w:tab w:val="left" w:pos="864" w:leader="none"/>
        </w:tabs>
        <w:spacing w:lineRule="auto" w:line="360"/>
        <w:rPr>
          <w:color w:val="000000"/>
        </w:rPr>
      </w:pPr>
      <w:r>
        <w:rPr>
          <w:color w:val="000000"/>
        </w:rPr>
        <w:t>Pawson R, Greenhalgh T, Harvey G, Walshe K.  Realist review–a new method of systematic review designed for complex policy interventions.  J Health Serv Res Policy 2005;10:21-34.</w:t>
      </w:r>
    </w:p>
    <w:p>
      <w:pPr>
        <w:pStyle w:val="Normal"/>
        <w:numPr>
          <w:ilvl w:val="0"/>
          <w:numId w:val="3"/>
        </w:numPr>
        <w:tabs>
          <w:tab w:val="left" w:pos="864" w:leader="none"/>
        </w:tabs>
        <w:spacing w:lineRule="auto" w:line="360"/>
        <w:rPr>
          <w:color w:val="000000"/>
        </w:rPr>
      </w:pPr>
      <w:r>
        <w:rPr>
          <w:color w:val="000000"/>
        </w:rPr>
        <w:t>Mays N, Pope C, Popay J.  Systematically reviewing qualitative and quantitative evidence to inform management and policy-making in the health field.  J Health Serv Res Policy 2005;10:6-20.</w:t>
      </w:r>
    </w:p>
    <w:p>
      <w:pPr>
        <w:sectPr>
          <w:footerReference w:type="default" r:id="rId8"/>
          <w:footnotePr>
            <w:numFmt w:val="decimal"/>
          </w:footnotePr>
          <w:type w:val="nextPage"/>
          <w:pgSz w:w="12240" w:h="15840"/>
          <w:pgMar w:left="1797" w:right="1797" w:header="0" w:top="1440" w:footer="720" w:bottom="1440" w:gutter="0"/>
          <w:lnNumType w:countBy="1" w:restart="continuous"/>
          <w:pgNumType w:fmt="decimal"/>
          <w:formProt w:val="false"/>
          <w:textDirection w:val="lrTb"/>
          <w:docGrid w:type="default" w:linePitch="391" w:charSpace="0"/>
        </w:sectPr>
        <w:pStyle w:val="Normal"/>
        <w:numPr>
          <w:ilvl w:val="0"/>
          <w:numId w:val="3"/>
        </w:numPr>
        <w:tabs>
          <w:tab w:val="left" w:pos="864" w:leader="none"/>
        </w:tabs>
        <w:spacing w:lineRule="auto" w:line="360"/>
        <w:rPr>
          <w:color w:val="000000"/>
        </w:rPr>
      </w:pPr>
      <w:r>
        <w:rPr>
          <w:color w:val="000000"/>
        </w:rPr>
        <w:t>Stewart LA, Clarke MJ. Practical methodology of meta-analyses (overviews) using updated individual patient data. Cochrane Working Group. Stat Med. 1995;14:2057-2079.</w:t>
      </w:r>
    </w:p>
    <w:p>
      <w:pPr>
        <w:pStyle w:val="Normal"/>
        <w:jc w:val="center"/>
        <w:rPr>
          <w:color w:val="000000"/>
          <w:szCs w:val="26"/>
        </w:rPr>
      </w:pPr>
      <w:r>
        <w:rPr>
          <w:color w:val="000000"/>
          <w:szCs w:val="26"/>
        </w:rPr>
        <w:t>Table 1 - Checklist of items to include when reporting a systematic review or meta-analysis</w:t>
      </w:r>
    </w:p>
    <w:p>
      <w:pPr>
        <w:pStyle w:val="Normal"/>
        <w:rPr>
          <w:b/>
          <w:bCs/>
          <w:color w:val="000000"/>
          <w:szCs w:val="26"/>
        </w:rPr>
      </w:pPr>
      <w:r>
        <w:rPr>
          <w:b/>
          <w:bCs/>
          <w:color w:val="000000"/>
          <w:szCs w:val="26"/>
        </w:rPr>
      </w:r>
    </w:p>
    <w:tbl>
      <w:tblPr>
        <w:jc w:val="center"/>
        <w:tblInd w:w="0" w:type="dxa"/>
        <w:tblBorders>
          <w:top w:val="double" w:sz="4" w:space="0" w:color="000000"/>
          <w:left w:val="single" w:sz="4" w:space="0" w:color="000000"/>
          <w:bottom w:val="double" w:sz="4" w:space="0" w:color="000000"/>
          <w:insideH w:val="double" w:sz="4" w:space="0" w:color="000000"/>
          <w:right w:val="nil"/>
          <w:insideV w:val="nil"/>
        </w:tblBorders>
        <w:tblCellMar>
          <w:top w:w="0" w:type="dxa"/>
          <w:left w:w="103" w:type="dxa"/>
          <w:bottom w:w="0" w:type="dxa"/>
          <w:right w:w="108" w:type="dxa"/>
        </w:tblCellMar>
      </w:tblPr>
      <w:tblGrid>
        <w:gridCol w:w="1831"/>
        <w:gridCol w:w="430"/>
        <w:gridCol w:w="8055"/>
      </w:tblGrid>
      <w:tr>
        <w:trPr>
          <w:tblHeader w:val="true"/>
          <w:cantSplit w:val="false"/>
        </w:trPr>
        <w:tc>
          <w:tcPr>
            <w:tcW w:w="1831" w:type="dxa"/>
            <w:tcBorders>
              <w:top w:val="double" w:sz="4" w:space="0" w:color="000000"/>
              <w:left w:val="single" w:sz="4" w:space="0" w:color="000000"/>
              <w:bottom w:val="double" w:sz="4" w:space="0" w:color="000000"/>
              <w:insideH w:val="double" w:sz="4" w:space="0" w:color="000000"/>
              <w:right w:val="nil"/>
              <w:insideV w:val="nil"/>
            </w:tcBorders>
            <w:shd w:fill="CCFFCC" w:val="clear"/>
            <w:tcMar>
              <w:left w:w="103" w:type="dxa"/>
            </w:tcMar>
          </w:tcPr>
          <w:p>
            <w:pPr>
              <w:pStyle w:val="Heading7"/>
              <w:numPr>
                <w:ilvl w:val="6"/>
                <w:numId w:val="1"/>
              </w:numPr>
              <w:spacing w:before="40" w:after="40"/>
              <w:jc w:val="center"/>
              <w:rPr>
                <w:rFonts w:cs="Garamond" w:ascii="Garamond" w:hAnsi="Garamond"/>
                <w:bCs w:val="false"/>
                <w:sz w:val="24"/>
              </w:rPr>
            </w:pPr>
            <w:r>
              <w:rPr>
                <w:rFonts w:cs="Garamond" w:ascii="Garamond" w:hAnsi="Garamond"/>
                <w:bCs w:val="false"/>
                <w:sz w:val="24"/>
              </w:rPr>
              <w:t>Section/topic</w:t>
            </w:r>
          </w:p>
        </w:tc>
        <w:tc>
          <w:tcPr>
            <w:tcW w:w="430" w:type="dxa"/>
            <w:tcBorders>
              <w:top w:val="double" w:sz="4" w:space="0" w:color="000000"/>
              <w:left w:val="single" w:sz="4" w:space="0" w:color="000000"/>
              <w:bottom w:val="double" w:sz="4" w:space="0" w:color="000000"/>
              <w:insideH w:val="double" w:sz="4" w:space="0" w:color="000000"/>
              <w:right w:val="nil"/>
              <w:insideV w:val="nil"/>
            </w:tcBorders>
            <w:shd w:fill="CCFFCC" w:val="clear"/>
            <w:tcMar>
              <w:left w:w="103" w:type="dxa"/>
            </w:tcMar>
          </w:tcPr>
          <w:p>
            <w:pPr>
              <w:pStyle w:val="Heading7"/>
              <w:numPr>
                <w:ilvl w:val="6"/>
                <w:numId w:val="1"/>
              </w:numPr>
              <w:tabs>
                <w:tab w:val="decimal" w:pos="214" w:leader="none"/>
              </w:tabs>
              <w:spacing w:before="40" w:after="40"/>
              <w:rPr>
                <w:rFonts w:cs="Garamond" w:ascii="Garamond" w:hAnsi="Garamond"/>
                <w:bCs w:val="false"/>
                <w:sz w:val="24"/>
              </w:rPr>
            </w:pPr>
            <w:r>
              <w:rPr>
                <w:rFonts w:cs="Garamond" w:ascii="Garamond" w:hAnsi="Garamond"/>
                <w:bCs w:val="false"/>
                <w:sz w:val="24"/>
              </w:rPr>
              <w:t>#</w:t>
            </w:r>
          </w:p>
        </w:tc>
        <w:tc>
          <w:tcPr>
            <w:tcW w:w="8055" w:type="dxa"/>
            <w:tcBorders>
              <w:top w:val="double" w:sz="4" w:space="0" w:color="000000"/>
              <w:left w:val="single" w:sz="4" w:space="0" w:color="000000"/>
              <w:bottom w:val="double" w:sz="4" w:space="0" w:color="000000"/>
              <w:insideH w:val="double" w:sz="4" w:space="0" w:color="000000"/>
              <w:right w:val="single" w:sz="4" w:space="0" w:color="000000"/>
              <w:insideV w:val="single" w:sz="4" w:space="0" w:color="000000"/>
            </w:tcBorders>
            <w:shd w:fill="CCFFCC" w:val="clear"/>
            <w:tcMar>
              <w:left w:w="103" w:type="dxa"/>
            </w:tcMar>
          </w:tcPr>
          <w:p>
            <w:pPr>
              <w:pStyle w:val="Heading7"/>
              <w:numPr>
                <w:ilvl w:val="6"/>
                <w:numId w:val="1"/>
              </w:numPr>
              <w:spacing w:before="40" w:after="40"/>
              <w:jc w:val="center"/>
              <w:rPr>
                <w:rFonts w:cs="Garamond" w:ascii="Garamond" w:hAnsi="Garamond"/>
                <w:bCs w:val="false"/>
                <w:sz w:val="24"/>
              </w:rPr>
            </w:pPr>
            <w:r>
              <w:rPr>
                <w:rFonts w:cs="Garamond" w:ascii="Garamond" w:hAnsi="Garamond"/>
                <w:bCs w:val="false"/>
                <w:sz w:val="24"/>
              </w:rPr>
              <w:t>Checklist item</w:t>
            </w:r>
          </w:p>
        </w:tc>
      </w:tr>
      <w:tr>
        <w:trPr>
          <w:cantSplit w:val="false"/>
        </w:trPr>
        <w:tc>
          <w:tcPr>
            <w:tcW w:w="10316" w:type="dxa"/>
            <w:gridSpan w:val="3"/>
            <w:tcBorders>
              <w:top w:val="double" w:sz="4" w:space="0" w:color="000000"/>
              <w:left w:val="single" w:sz="4" w:space="0" w:color="000000"/>
              <w:bottom w:val="single" w:sz="4" w:space="0" w:color="000000"/>
              <w:insideH w:val="single" w:sz="4" w:space="0" w:color="000000"/>
              <w:right w:val="single" w:sz="4" w:space="0" w:color="000000"/>
              <w:insideV w:val="single" w:sz="4" w:space="0" w:color="000000"/>
            </w:tcBorders>
            <w:shd w:fill="FFFFCC" w:val="clear"/>
            <w:tcMar>
              <w:left w:w="103" w:type="dxa"/>
            </w:tcMar>
          </w:tcPr>
          <w:p>
            <w:pPr>
              <w:pStyle w:val="Normal"/>
              <w:tabs>
                <w:tab w:val="decimal" w:pos="214" w:leader="none"/>
              </w:tabs>
              <w:spacing w:before="40" w:after="20"/>
              <w:rPr>
                <w:b/>
                <w:bCs/>
                <w:color w:val="000000"/>
                <w:sz w:val="22"/>
                <w:szCs w:val="22"/>
                <w:lang w:val="en-GB"/>
              </w:rPr>
            </w:pPr>
            <w:r>
              <w:rPr>
                <w:b/>
                <w:bCs/>
                <w:color w:val="000000"/>
                <w:sz w:val="22"/>
                <w:szCs w:val="22"/>
                <w:lang w:val="en-GB"/>
              </w:rPr>
              <w:t>TITLE</w:t>
            </w:r>
          </w:p>
        </w:tc>
      </w:tr>
      <w:tr>
        <w:trPr>
          <w:cantSplit w:val="false"/>
        </w:trPr>
        <w:tc>
          <w:tcPr>
            <w:tcW w:w="1831"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Title</w:t>
            </w:r>
          </w:p>
        </w:tc>
        <w:tc>
          <w:tcPr>
            <w:tcW w:w="430"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tabs>
                <w:tab w:val="decimal" w:pos="214" w:leader="none"/>
              </w:tabs>
              <w:spacing w:before="40" w:after="40"/>
              <w:rPr>
                <w:b/>
                <w:bCs/>
                <w:color w:val="000000"/>
                <w:sz w:val="22"/>
                <w:szCs w:val="22"/>
                <w:lang w:val="en-GB"/>
              </w:rPr>
            </w:pPr>
            <w:r>
              <w:rPr>
                <w:b/>
                <w:bCs/>
                <w:color w:val="000000"/>
                <w:sz w:val="22"/>
                <w:szCs w:val="22"/>
                <w:lang w:val="en-GB"/>
              </w:rPr>
              <w:t>1</w:t>
            </w:r>
          </w:p>
        </w:tc>
        <w:tc>
          <w:tcPr>
            <w:tcW w:w="8055" w:type="dxa"/>
            <w:tcBorders>
              <w:top w:val="single" w:sz="4" w:space="0" w:color="000000"/>
              <w:left w:val="single" w:sz="4" w:space="0" w:color="000000"/>
              <w:bottom w:val="double" w:sz="4" w:space="0" w:color="000000"/>
              <w:insideH w:val="double" w:sz="4" w:space="0" w:color="000000"/>
              <w:right w:val="single" w:sz="4" w:space="0" w:color="000000"/>
              <w:insideV w:val="single" w:sz="4" w:space="0" w:color="000000"/>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Identify the report as a systematic review, meta-analysis, or both.</w:t>
            </w:r>
          </w:p>
        </w:tc>
      </w:tr>
      <w:tr>
        <w:trPr>
          <w:cantSplit w:val="false"/>
        </w:trPr>
        <w:tc>
          <w:tcPr>
            <w:tcW w:w="10316" w:type="dxa"/>
            <w:gridSpan w:val="3"/>
            <w:tcBorders>
              <w:top w:val="double" w:sz="4" w:space="0" w:color="000000"/>
              <w:left w:val="single" w:sz="4" w:space="0" w:color="000000"/>
              <w:bottom w:val="single" w:sz="4" w:space="0" w:color="000000"/>
              <w:insideH w:val="single" w:sz="4" w:space="0" w:color="000000"/>
              <w:right w:val="single" w:sz="4" w:space="0" w:color="000000"/>
              <w:insideV w:val="single" w:sz="4" w:space="0" w:color="000000"/>
            </w:tcBorders>
            <w:shd w:fill="FFFFCC" w:val="clear"/>
            <w:tcMar>
              <w:left w:w="103" w:type="dxa"/>
            </w:tcMar>
          </w:tcPr>
          <w:p>
            <w:pPr>
              <w:pStyle w:val="Heading2"/>
              <w:numPr>
                <w:ilvl w:val="1"/>
                <w:numId w:val="1"/>
              </w:numPr>
              <w:spacing w:before="40" w:after="20"/>
              <w:rPr>
                <w:color w:val="000000"/>
              </w:rPr>
            </w:pPr>
            <w:r>
              <w:rPr>
                <w:color w:val="000000"/>
              </w:rPr>
              <w:t>ABSTRACT</w:t>
            </w:r>
          </w:p>
        </w:tc>
      </w:tr>
      <w:tr>
        <w:trPr>
          <w:cantSplit w:val="false"/>
        </w:trPr>
        <w:tc>
          <w:tcPr>
            <w:tcW w:w="18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Structured summary</w:t>
            </w:r>
          </w:p>
        </w:tc>
        <w:tc>
          <w:tcPr>
            <w:tcW w:w="4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tabs>
                <w:tab w:val="decimal" w:pos="214" w:leader="none"/>
              </w:tabs>
              <w:spacing w:before="40" w:after="40"/>
              <w:rPr>
                <w:b/>
                <w:bCs/>
                <w:color w:val="000000"/>
                <w:sz w:val="22"/>
                <w:szCs w:val="22"/>
                <w:lang w:val="en-GB"/>
              </w:rPr>
            </w:pPr>
            <w:r>
              <w:rPr>
                <w:b/>
                <w:bCs/>
                <w:color w:val="000000"/>
                <w:sz w:val="22"/>
                <w:szCs w:val="22"/>
                <w:lang w:val="en-GB"/>
              </w:rPr>
              <w:t>2</w:t>
            </w:r>
          </w:p>
        </w:tc>
        <w:tc>
          <w:tcPr>
            <w:tcW w:w="80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 xml:space="preserve">Provide a structured summary including, as applicable: background; objectives; data sources; study eligibility criteria, participants and interventions; study appraisal and synthesis methods; results; limitations; conclusions; and implications of key findings; funding for the systematic review; systematic review registration number. </w:t>
            </w:r>
          </w:p>
        </w:tc>
      </w:tr>
      <w:tr>
        <w:trPr>
          <w:cantSplit w:val="false"/>
        </w:trPr>
        <w:tc>
          <w:tcPr>
            <w:tcW w:w="10316" w:type="dxa"/>
            <w:gridSpan w:val="3"/>
            <w:tcBorders>
              <w:top w:val="double" w:sz="4" w:space="0" w:color="000000"/>
              <w:left w:val="single" w:sz="4" w:space="0" w:color="000000"/>
              <w:bottom w:val="single" w:sz="4" w:space="0" w:color="000000"/>
              <w:insideH w:val="single" w:sz="4" w:space="0" w:color="000000"/>
              <w:right w:val="single" w:sz="4" w:space="0" w:color="000000"/>
              <w:insideV w:val="single" w:sz="4" w:space="0" w:color="000000"/>
            </w:tcBorders>
            <w:shd w:fill="FFFFCC" w:val="clear"/>
            <w:tcMar>
              <w:left w:w="103" w:type="dxa"/>
            </w:tcMar>
          </w:tcPr>
          <w:p>
            <w:pPr>
              <w:pStyle w:val="Normal"/>
              <w:tabs>
                <w:tab w:val="decimal" w:pos="214" w:leader="none"/>
              </w:tabs>
              <w:spacing w:before="40" w:after="20"/>
              <w:rPr>
                <w:b/>
                <w:bCs/>
                <w:color w:val="000000"/>
                <w:sz w:val="22"/>
                <w:szCs w:val="22"/>
                <w:lang w:val="en-GB"/>
              </w:rPr>
            </w:pPr>
            <w:r>
              <w:rPr>
                <w:b/>
                <w:bCs/>
                <w:color w:val="000000"/>
                <w:sz w:val="22"/>
                <w:szCs w:val="22"/>
                <w:lang w:val="en-GB"/>
              </w:rPr>
              <w:t>INTRODUCTION</w:t>
            </w:r>
          </w:p>
        </w:tc>
      </w:tr>
      <w:tr>
        <w:trPr>
          <w:cantSplit w:val="false"/>
        </w:trPr>
        <w:tc>
          <w:tcPr>
            <w:tcW w:w="18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Rationale</w:t>
            </w:r>
          </w:p>
        </w:tc>
        <w:tc>
          <w:tcPr>
            <w:tcW w:w="4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tabs>
                <w:tab w:val="decimal" w:pos="214" w:leader="none"/>
              </w:tabs>
              <w:spacing w:before="40" w:after="40"/>
              <w:rPr>
                <w:b/>
                <w:bCs/>
                <w:color w:val="000000"/>
                <w:sz w:val="22"/>
                <w:szCs w:val="22"/>
                <w:lang w:val="en-GB"/>
              </w:rPr>
            </w:pPr>
            <w:r>
              <w:rPr>
                <w:b/>
                <w:bCs/>
                <w:color w:val="000000"/>
                <w:sz w:val="22"/>
                <w:szCs w:val="22"/>
                <w:lang w:val="en-GB"/>
              </w:rPr>
              <w:t>3</w:t>
            </w:r>
          </w:p>
        </w:tc>
        <w:tc>
          <w:tcPr>
            <w:tcW w:w="80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 xml:space="preserve">Describe the rationale for the review in the context of what is already known. </w:t>
            </w:r>
          </w:p>
        </w:tc>
      </w:tr>
      <w:tr>
        <w:trPr>
          <w:cantSplit w:val="false"/>
        </w:trPr>
        <w:tc>
          <w:tcPr>
            <w:tcW w:w="1831"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Objectives</w:t>
            </w:r>
          </w:p>
        </w:tc>
        <w:tc>
          <w:tcPr>
            <w:tcW w:w="430"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tabs>
                <w:tab w:val="decimal" w:pos="214" w:leader="none"/>
              </w:tabs>
              <w:spacing w:before="40" w:after="40"/>
              <w:rPr>
                <w:b/>
                <w:bCs/>
                <w:color w:val="000000"/>
                <w:sz w:val="22"/>
                <w:szCs w:val="22"/>
                <w:lang w:val="en-GB"/>
              </w:rPr>
            </w:pPr>
            <w:r>
              <w:rPr>
                <w:b/>
                <w:bCs/>
                <w:color w:val="000000"/>
                <w:sz w:val="22"/>
                <w:szCs w:val="22"/>
                <w:lang w:val="en-GB"/>
              </w:rPr>
              <w:t>4</w:t>
            </w:r>
          </w:p>
        </w:tc>
        <w:tc>
          <w:tcPr>
            <w:tcW w:w="8055" w:type="dxa"/>
            <w:tcBorders>
              <w:top w:val="single" w:sz="4" w:space="0" w:color="000000"/>
              <w:left w:val="single" w:sz="4" w:space="0" w:color="000000"/>
              <w:bottom w:val="double" w:sz="4" w:space="0" w:color="000000"/>
              <w:insideH w:val="double" w:sz="4" w:space="0" w:color="000000"/>
              <w:right w:val="single" w:sz="4" w:space="0" w:color="000000"/>
              <w:insideV w:val="single" w:sz="4" w:space="0" w:color="000000"/>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 xml:space="preserve">Provide an explicit statement of questions being addressed with reference to participants, interventions, comparisons, outcomes and study design (PICOS). </w:t>
            </w:r>
          </w:p>
        </w:tc>
      </w:tr>
      <w:tr>
        <w:trPr>
          <w:cantSplit w:val="false"/>
        </w:trPr>
        <w:tc>
          <w:tcPr>
            <w:tcW w:w="10316" w:type="dxa"/>
            <w:gridSpan w:val="3"/>
            <w:tcBorders>
              <w:top w:val="double" w:sz="4" w:space="0" w:color="000000"/>
              <w:left w:val="single" w:sz="4" w:space="0" w:color="000000"/>
              <w:bottom w:val="single" w:sz="4" w:space="0" w:color="000000"/>
              <w:insideH w:val="single" w:sz="4" w:space="0" w:color="000000"/>
              <w:right w:val="single" w:sz="4" w:space="0" w:color="000000"/>
              <w:insideV w:val="single" w:sz="4" w:space="0" w:color="000000"/>
            </w:tcBorders>
            <w:shd w:fill="FFFFCC" w:val="clear"/>
            <w:tcMar>
              <w:left w:w="103" w:type="dxa"/>
            </w:tcMar>
          </w:tcPr>
          <w:p>
            <w:pPr>
              <w:pStyle w:val="Heading3"/>
              <w:numPr>
                <w:ilvl w:val="2"/>
                <w:numId w:val="1"/>
              </w:numPr>
              <w:spacing w:before="40" w:after="20"/>
              <w:rPr/>
            </w:pPr>
            <w:r>
              <w:rPr/>
              <w:t>METHODS</w:t>
            </w:r>
          </w:p>
        </w:tc>
      </w:tr>
      <w:tr>
        <w:trPr>
          <w:cantSplit w:val="false"/>
        </w:trPr>
        <w:tc>
          <w:tcPr>
            <w:tcW w:w="18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Protocol and registration</w:t>
            </w:r>
          </w:p>
        </w:tc>
        <w:tc>
          <w:tcPr>
            <w:tcW w:w="4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tabs>
                <w:tab w:val="decimal" w:pos="214" w:leader="none"/>
              </w:tabs>
              <w:spacing w:before="40" w:after="40"/>
              <w:rPr>
                <w:b/>
                <w:bCs/>
                <w:color w:val="000000"/>
                <w:sz w:val="22"/>
                <w:szCs w:val="22"/>
                <w:lang w:val="en-GB"/>
              </w:rPr>
            </w:pPr>
            <w:r>
              <w:rPr>
                <w:b/>
                <w:bCs/>
                <w:color w:val="000000"/>
                <w:sz w:val="22"/>
                <w:szCs w:val="22"/>
                <w:lang w:val="en-GB"/>
              </w:rPr>
              <w:t>5</w:t>
            </w:r>
          </w:p>
        </w:tc>
        <w:tc>
          <w:tcPr>
            <w:tcW w:w="80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 xml:space="preserve">Indicate if a review protocol exists, if and where it can be accessed (e.g. web address) and, if available, provide registration information including the registration number. </w:t>
            </w:r>
          </w:p>
        </w:tc>
      </w:tr>
      <w:tr>
        <w:trPr>
          <w:cantSplit w:val="false"/>
        </w:trPr>
        <w:tc>
          <w:tcPr>
            <w:tcW w:w="18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Eligibility criteria</w:t>
            </w:r>
          </w:p>
        </w:tc>
        <w:tc>
          <w:tcPr>
            <w:tcW w:w="4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tabs>
                <w:tab w:val="decimal" w:pos="214" w:leader="none"/>
              </w:tabs>
              <w:spacing w:before="40" w:after="40"/>
              <w:rPr>
                <w:b/>
                <w:bCs/>
                <w:color w:val="000000"/>
                <w:sz w:val="22"/>
                <w:szCs w:val="22"/>
                <w:lang w:val="en-GB"/>
              </w:rPr>
            </w:pPr>
            <w:r>
              <w:rPr>
                <w:b/>
                <w:bCs/>
                <w:color w:val="000000"/>
                <w:sz w:val="22"/>
                <w:szCs w:val="22"/>
                <w:lang w:val="en-GB"/>
              </w:rPr>
              <w:t>6</w:t>
            </w:r>
          </w:p>
        </w:tc>
        <w:tc>
          <w:tcPr>
            <w:tcW w:w="80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 xml:space="preserve">Specify study characteristics (e.g., PICOS, length of follow-up) and report characteristics (e.g., years considered, language, publication status) used as criteria for eligibility giving rationale. </w:t>
            </w:r>
          </w:p>
        </w:tc>
      </w:tr>
      <w:tr>
        <w:trPr>
          <w:cantSplit w:val="false"/>
        </w:trPr>
        <w:tc>
          <w:tcPr>
            <w:tcW w:w="18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tabs>
                <w:tab w:val="decimal" w:pos="295" w:leader="none"/>
              </w:tabs>
              <w:spacing w:before="40" w:after="40"/>
              <w:rPr>
                <w:bCs/>
                <w:color w:val="000000"/>
                <w:sz w:val="22"/>
                <w:szCs w:val="22"/>
                <w:lang w:val="en-GB"/>
              </w:rPr>
            </w:pPr>
            <w:r>
              <w:rPr>
                <w:bCs/>
                <w:color w:val="000000"/>
                <w:sz w:val="22"/>
                <w:szCs w:val="22"/>
                <w:lang w:val="en-GB"/>
              </w:rPr>
              <w:t xml:space="preserve">Information sources </w:t>
            </w:r>
          </w:p>
        </w:tc>
        <w:tc>
          <w:tcPr>
            <w:tcW w:w="4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tabs>
                <w:tab w:val="decimal" w:pos="214" w:leader="none"/>
              </w:tabs>
              <w:spacing w:before="40" w:after="40"/>
              <w:rPr>
                <w:b/>
                <w:bCs/>
                <w:color w:val="000000"/>
                <w:sz w:val="22"/>
                <w:szCs w:val="22"/>
                <w:lang w:val="en-GB"/>
              </w:rPr>
            </w:pPr>
            <w:r>
              <w:rPr>
                <w:b/>
                <w:bCs/>
                <w:color w:val="000000"/>
                <w:sz w:val="22"/>
                <w:szCs w:val="22"/>
                <w:lang w:val="en-GB"/>
              </w:rPr>
              <w:t>7</w:t>
            </w:r>
          </w:p>
        </w:tc>
        <w:tc>
          <w:tcPr>
            <w:tcW w:w="80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 xml:space="preserve">Describe all information sources in the search (e.g., databases with dates of coverage, contact with study authors to identify additional studies) and date last searched. </w:t>
            </w:r>
          </w:p>
        </w:tc>
      </w:tr>
      <w:tr>
        <w:trPr>
          <w:cantSplit w:val="false"/>
        </w:trPr>
        <w:tc>
          <w:tcPr>
            <w:tcW w:w="18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Search</w:t>
            </w:r>
          </w:p>
        </w:tc>
        <w:tc>
          <w:tcPr>
            <w:tcW w:w="4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tabs>
                <w:tab w:val="decimal" w:pos="214" w:leader="none"/>
              </w:tabs>
              <w:spacing w:before="40" w:after="40"/>
              <w:rPr>
                <w:b/>
                <w:bCs/>
                <w:color w:val="000000"/>
                <w:sz w:val="22"/>
                <w:szCs w:val="22"/>
                <w:lang w:val="en-GB"/>
              </w:rPr>
            </w:pPr>
            <w:r>
              <w:rPr>
                <w:b/>
                <w:bCs/>
                <w:color w:val="000000"/>
                <w:sz w:val="22"/>
                <w:szCs w:val="22"/>
                <w:lang w:val="en-GB"/>
              </w:rPr>
              <w:t>8</w:t>
            </w:r>
          </w:p>
        </w:tc>
        <w:tc>
          <w:tcPr>
            <w:tcW w:w="80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Present full electronic search strategy for at least one major database, including any limits used, such that it could be repeated.</w:t>
            </w:r>
          </w:p>
        </w:tc>
      </w:tr>
      <w:tr>
        <w:trPr>
          <w:cantSplit w:val="false"/>
        </w:trPr>
        <w:tc>
          <w:tcPr>
            <w:tcW w:w="18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 xml:space="preserve">Study selection </w:t>
            </w:r>
          </w:p>
        </w:tc>
        <w:tc>
          <w:tcPr>
            <w:tcW w:w="4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tabs>
                <w:tab w:val="decimal" w:pos="214" w:leader="none"/>
              </w:tabs>
              <w:spacing w:before="40" w:after="40"/>
              <w:rPr>
                <w:b/>
                <w:bCs/>
                <w:color w:val="000000"/>
                <w:sz w:val="22"/>
                <w:szCs w:val="22"/>
                <w:lang w:val="en-GB"/>
              </w:rPr>
            </w:pPr>
            <w:r>
              <w:rPr>
                <w:b/>
                <w:bCs/>
                <w:color w:val="000000"/>
                <w:sz w:val="22"/>
                <w:szCs w:val="22"/>
                <w:lang w:val="en-GB"/>
              </w:rPr>
              <w:t>9</w:t>
            </w:r>
          </w:p>
        </w:tc>
        <w:tc>
          <w:tcPr>
            <w:tcW w:w="80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 xml:space="preserve">State the process for selecting studies (i.e., screening, eligibility, included in the systematic review and, if applicable, included in the meta-analysis). </w:t>
            </w:r>
          </w:p>
        </w:tc>
      </w:tr>
      <w:tr>
        <w:trPr>
          <w:cantSplit w:val="false"/>
        </w:trPr>
        <w:tc>
          <w:tcPr>
            <w:tcW w:w="18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Data collection process</w:t>
            </w:r>
          </w:p>
        </w:tc>
        <w:tc>
          <w:tcPr>
            <w:tcW w:w="4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tabs>
                <w:tab w:val="decimal" w:pos="214" w:leader="none"/>
              </w:tabs>
              <w:spacing w:before="40" w:after="40"/>
              <w:rPr>
                <w:b/>
                <w:bCs/>
                <w:color w:val="000000"/>
                <w:sz w:val="22"/>
                <w:szCs w:val="22"/>
                <w:lang w:val="en-GB"/>
              </w:rPr>
            </w:pPr>
            <w:r>
              <w:rPr>
                <w:b/>
                <w:bCs/>
                <w:color w:val="000000"/>
                <w:sz w:val="22"/>
                <w:szCs w:val="22"/>
                <w:lang w:val="en-GB"/>
              </w:rPr>
              <w:t>10</w:t>
            </w:r>
          </w:p>
        </w:tc>
        <w:tc>
          <w:tcPr>
            <w:tcW w:w="80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Describe method of data extraction from reports (e.g., piloted forms, independently, in duplicate) and any processes for obtaining and confirming data from investigators.</w:t>
            </w:r>
          </w:p>
        </w:tc>
      </w:tr>
      <w:tr>
        <w:trPr>
          <w:cantSplit w:val="false"/>
        </w:trPr>
        <w:tc>
          <w:tcPr>
            <w:tcW w:w="18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 xml:space="preserve">Data items </w:t>
            </w:r>
          </w:p>
        </w:tc>
        <w:tc>
          <w:tcPr>
            <w:tcW w:w="4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tabs>
                <w:tab w:val="decimal" w:pos="214" w:leader="none"/>
              </w:tabs>
              <w:spacing w:before="40" w:after="40"/>
              <w:rPr>
                <w:b/>
                <w:bCs/>
                <w:color w:val="000000"/>
                <w:sz w:val="22"/>
                <w:szCs w:val="22"/>
                <w:lang w:val="en-GB"/>
              </w:rPr>
            </w:pPr>
            <w:r>
              <w:rPr>
                <w:b/>
                <w:bCs/>
                <w:color w:val="000000"/>
                <w:sz w:val="22"/>
                <w:szCs w:val="22"/>
                <w:lang w:val="en-GB"/>
              </w:rPr>
              <w:t>11</w:t>
            </w:r>
          </w:p>
        </w:tc>
        <w:tc>
          <w:tcPr>
            <w:tcW w:w="80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List and define all variables for which data were sought (e.g., PICOS, funding sources) and any assumptions and simplifications made.</w:t>
            </w:r>
          </w:p>
        </w:tc>
      </w:tr>
      <w:tr>
        <w:trPr>
          <w:cantSplit w:val="false"/>
        </w:trPr>
        <w:tc>
          <w:tcPr>
            <w:tcW w:w="18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Risk of bias in individual studies</w:t>
            </w:r>
          </w:p>
        </w:tc>
        <w:tc>
          <w:tcPr>
            <w:tcW w:w="4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tabs>
                <w:tab w:val="decimal" w:pos="214" w:leader="none"/>
              </w:tabs>
              <w:spacing w:before="40" w:after="40"/>
              <w:rPr>
                <w:b/>
                <w:bCs/>
                <w:color w:val="000000"/>
                <w:sz w:val="22"/>
                <w:szCs w:val="22"/>
                <w:lang w:val="en-GB"/>
              </w:rPr>
            </w:pPr>
            <w:r>
              <w:rPr>
                <w:b/>
                <w:bCs/>
                <w:color w:val="000000"/>
                <w:sz w:val="22"/>
                <w:szCs w:val="22"/>
                <w:lang w:val="en-GB"/>
              </w:rPr>
              <w:t>12</w:t>
            </w:r>
          </w:p>
        </w:tc>
        <w:tc>
          <w:tcPr>
            <w:tcW w:w="80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 xml:space="preserve">Describe methods used for assessing risk of bias of individual studies (including specification of whether this was done at the study or outcome level, or both), and how this information is to be used in any data synthesis. </w:t>
            </w:r>
          </w:p>
        </w:tc>
      </w:tr>
      <w:tr>
        <w:trPr>
          <w:trHeight w:val="251" w:hRule="atLeast"/>
          <w:cantSplit w:val="false"/>
        </w:trPr>
        <w:tc>
          <w:tcPr>
            <w:tcW w:w="18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tabs>
                <w:tab w:val="decimal" w:pos="295" w:leader="none"/>
              </w:tabs>
              <w:spacing w:before="40" w:after="40"/>
              <w:rPr>
                <w:bCs/>
                <w:color w:val="000000"/>
                <w:sz w:val="22"/>
                <w:szCs w:val="22"/>
                <w:lang w:val="en-GB"/>
              </w:rPr>
            </w:pPr>
            <w:r>
              <w:rPr>
                <w:bCs/>
                <w:color w:val="000000"/>
                <w:sz w:val="22"/>
                <w:szCs w:val="22"/>
                <w:lang w:val="en-GB"/>
              </w:rPr>
              <w:t>Summary measures</w:t>
            </w:r>
          </w:p>
        </w:tc>
        <w:tc>
          <w:tcPr>
            <w:tcW w:w="4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tabs>
                <w:tab w:val="decimal" w:pos="214" w:leader="none"/>
              </w:tabs>
              <w:spacing w:before="40" w:after="40"/>
              <w:rPr>
                <w:b/>
                <w:bCs/>
                <w:color w:val="000000"/>
                <w:sz w:val="22"/>
                <w:szCs w:val="22"/>
                <w:lang w:val="en-GB"/>
              </w:rPr>
            </w:pPr>
            <w:r>
              <w:rPr>
                <w:b/>
                <w:bCs/>
                <w:color w:val="000000"/>
                <w:sz w:val="22"/>
                <w:szCs w:val="22"/>
                <w:lang w:val="en-GB"/>
              </w:rPr>
              <w:t>13</w:t>
            </w:r>
          </w:p>
        </w:tc>
        <w:tc>
          <w:tcPr>
            <w:tcW w:w="80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40" w:after="40"/>
              <w:rPr>
                <w:b/>
                <w:color w:val="000000"/>
                <w:sz w:val="22"/>
                <w:szCs w:val="22"/>
                <w:lang w:val="en-GB"/>
              </w:rPr>
            </w:pPr>
            <w:r>
              <w:rPr>
                <w:bCs/>
                <w:color w:val="000000"/>
                <w:sz w:val="22"/>
                <w:szCs w:val="22"/>
                <w:lang w:val="en-GB"/>
              </w:rPr>
              <w:t>State the principal summary measures (e.g., risk ratio, difference in means).</w:t>
            </w:r>
            <w:r>
              <w:rPr>
                <w:b/>
                <w:color w:val="000000"/>
                <w:sz w:val="22"/>
                <w:szCs w:val="22"/>
                <w:lang w:val="en-GB"/>
              </w:rPr>
              <w:t xml:space="preserve"> </w:t>
            </w:r>
          </w:p>
        </w:tc>
      </w:tr>
      <w:tr>
        <w:trPr>
          <w:cantSplit w:val="false"/>
        </w:trPr>
        <w:tc>
          <w:tcPr>
            <w:tcW w:w="18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Planned methods of analysis</w:t>
            </w:r>
          </w:p>
        </w:tc>
        <w:tc>
          <w:tcPr>
            <w:tcW w:w="4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tabs>
                <w:tab w:val="decimal" w:pos="214" w:leader="none"/>
              </w:tabs>
              <w:spacing w:before="40" w:after="40"/>
              <w:rPr>
                <w:b/>
                <w:bCs/>
                <w:color w:val="000000"/>
                <w:sz w:val="22"/>
                <w:szCs w:val="22"/>
                <w:lang w:val="en-GB"/>
              </w:rPr>
            </w:pPr>
            <w:r>
              <w:rPr>
                <w:b/>
                <w:bCs/>
                <w:color w:val="000000"/>
                <w:sz w:val="22"/>
                <w:szCs w:val="22"/>
                <w:lang w:val="en-GB"/>
              </w:rPr>
              <w:t>14</w:t>
            </w:r>
          </w:p>
        </w:tc>
        <w:tc>
          <w:tcPr>
            <w:tcW w:w="80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Describe the methods of handling data and combining results of studies, if done, including measures of consistency (e.g., I</w:t>
            </w:r>
            <w:r>
              <w:rPr>
                <w:bCs/>
                <w:color w:val="000000"/>
                <w:sz w:val="22"/>
                <w:szCs w:val="22"/>
                <w:vertAlign w:val="superscript"/>
                <w:lang w:val="en-GB"/>
              </w:rPr>
              <w:t>2</w:t>
            </w:r>
            <w:r>
              <w:rPr>
                <w:bCs/>
                <w:color w:val="000000"/>
                <w:sz w:val="22"/>
                <w:szCs w:val="22"/>
                <w:lang w:val="en-GB"/>
              </w:rPr>
              <w:t>) for each meta-analysis.</w:t>
            </w:r>
          </w:p>
        </w:tc>
      </w:tr>
      <w:tr>
        <w:trPr>
          <w:trHeight w:val="323" w:hRule="atLeast"/>
          <w:cantSplit w:val="false"/>
        </w:trPr>
        <w:tc>
          <w:tcPr>
            <w:tcW w:w="18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tabs>
                <w:tab w:val="decimal" w:pos="295" w:leader="none"/>
              </w:tabs>
              <w:spacing w:before="40" w:after="40"/>
              <w:rPr>
                <w:bCs/>
                <w:color w:val="000000"/>
                <w:sz w:val="22"/>
                <w:szCs w:val="22"/>
                <w:lang w:val="en-GB"/>
              </w:rPr>
            </w:pPr>
            <w:r>
              <w:rPr>
                <w:bCs/>
                <w:color w:val="000000"/>
                <w:sz w:val="22"/>
                <w:szCs w:val="22"/>
                <w:lang w:val="en-GB"/>
              </w:rPr>
              <w:t>Risk of bias across studies</w:t>
            </w:r>
          </w:p>
        </w:tc>
        <w:tc>
          <w:tcPr>
            <w:tcW w:w="4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tabs>
                <w:tab w:val="decimal" w:pos="214" w:leader="none"/>
              </w:tabs>
              <w:spacing w:before="40" w:after="40"/>
              <w:rPr>
                <w:b/>
                <w:bCs/>
                <w:color w:val="000000"/>
                <w:sz w:val="22"/>
                <w:szCs w:val="22"/>
                <w:lang w:val="en-GB"/>
              </w:rPr>
            </w:pPr>
            <w:r>
              <w:rPr>
                <w:b/>
                <w:bCs/>
                <w:color w:val="000000"/>
                <w:sz w:val="22"/>
                <w:szCs w:val="22"/>
                <w:lang w:val="en-GB"/>
              </w:rPr>
              <w:t>15</w:t>
            </w:r>
          </w:p>
        </w:tc>
        <w:tc>
          <w:tcPr>
            <w:tcW w:w="80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 xml:space="preserve">Specify any assessment of risk of bias that may affect the cumulative evidence (e.g., publication bias, selective reporting within studies).  </w:t>
            </w:r>
          </w:p>
        </w:tc>
      </w:tr>
      <w:tr>
        <w:trPr>
          <w:trHeight w:val="530" w:hRule="atLeast"/>
          <w:cantSplit w:val="false"/>
        </w:trPr>
        <w:tc>
          <w:tcPr>
            <w:tcW w:w="18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Additional analyses</w:t>
            </w:r>
          </w:p>
        </w:tc>
        <w:tc>
          <w:tcPr>
            <w:tcW w:w="4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tabs>
                <w:tab w:val="decimal" w:pos="214" w:leader="none"/>
              </w:tabs>
              <w:spacing w:before="40" w:after="40"/>
              <w:rPr>
                <w:b/>
                <w:color w:val="000000"/>
                <w:sz w:val="22"/>
                <w:szCs w:val="22"/>
                <w:lang w:val="en-GB"/>
              </w:rPr>
            </w:pPr>
            <w:r>
              <w:rPr>
                <w:b/>
                <w:color w:val="000000"/>
                <w:sz w:val="22"/>
                <w:szCs w:val="22"/>
                <w:lang w:val="en-GB"/>
              </w:rPr>
              <w:t>16</w:t>
            </w:r>
          </w:p>
        </w:tc>
        <w:tc>
          <w:tcPr>
            <w:tcW w:w="80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Describe methods of additional analyses (e.g. sensitivity or subgroup analyses, meta-regression), if done, indicating which were pre-specified.</w:t>
            </w:r>
          </w:p>
        </w:tc>
      </w:tr>
      <w:tr>
        <w:trPr>
          <w:cantSplit w:val="false"/>
        </w:trPr>
        <w:tc>
          <w:tcPr>
            <w:tcW w:w="10316" w:type="dxa"/>
            <w:gridSpan w:val="3"/>
            <w:tcBorders>
              <w:top w:val="double" w:sz="4" w:space="0" w:color="000000"/>
              <w:left w:val="single" w:sz="4" w:space="0" w:color="000000"/>
              <w:bottom w:val="single" w:sz="4" w:space="0" w:color="000000"/>
              <w:insideH w:val="single" w:sz="4" w:space="0" w:color="000000"/>
              <w:right w:val="single" w:sz="4" w:space="0" w:color="000000"/>
              <w:insideV w:val="single" w:sz="4" w:space="0" w:color="000000"/>
            </w:tcBorders>
            <w:shd w:fill="FFFFCC" w:val="clear"/>
            <w:tcMar>
              <w:left w:w="103" w:type="dxa"/>
            </w:tcMar>
          </w:tcPr>
          <w:p>
            <w:pPr>
              <w:pStyle w:val="Heading9"/>
              <w:keepNext/>
              <w:numPr>
                <w:ilvl w:val="8"/>
                <w:numId w:val="1"/>
              </w:numPr>
              <w:tabs>
                <w:tab w:val="decimal" w:pos="214" w:leader="none"/>
              </w:tabs>
              <w:spacing w:before="40" w:after="20"/>
              <w:rPr>
                <w:rFonts w:cs="Garamond" w:ascii="Garamond" w:hAnsi="Garamond"/>
                <w:color w:val="000000"/>
                <w:sz w:val="22"/>
                <w:szCs w:val="22"/>
              </w:rPr>
            </w:pPr>
            <w:r>
              <w:rPr>
                <w:rFonts w:cs="Garamond" w:ascii="Garamond" w:hAnsi="Garamond"/>
                <w:color w:val="000000"/>
                <w:sz w:val="22"/>
                <w:szCs w:val="22"/>
              </w:rPr>
              <w:t>RESULTS</w:t>
            </w:r>
          </w:p>
        </w:tc>
      </w:tr>
      <w:tr>
        <w:trPr>
          <w:cantSplit w:val="false"/>
        </w:trPr>
        <w:tc>
          <w:tcPr>
            <w:tcW w:w="18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Study selection</w:t>
            </w:r>
          </w:p>
        </w:tc>
        <w:tc>
          <w:tcPr>
            <w:tcW w:w="4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tabs>
                <w:tab w:val="decimal" w:pos="214" w:leader="none"/>
              </w:tabs>
              <w:spacing w:before="40" w:after="40"/>
              <w:rPr>
                <w:b/>
                <w:bCs/>
                <w:color w:val="000000"/>
                <w:sz w:val="22"/>
                <w:szCs w:val="22"/>
                <w:lang w:val="en-GB"/>
              </w:rPr>
            </w:pPr>
            <w:r>
              <w:rPr>
                <w:b/>
                <w:bCs/>
                <w:color w:val="000000"/>
                <w:sz w:val="22"/>
                <w:szCs w:val="22"/>
                <w:lang w:val="en-GB"/>
              </w:rPr>
              <w:t>17</w:t>
            </w:r>
          </w:p>
        </w:tc>
        <w:tc>
          <w:tcPr>
            <w:tcW w:w="80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Give numbers of studies screened, assessed for eligibility, and included in the review, with reasons for exclusions at each stage, ideally with a flow diagram.</w:t>
            </w:r>
          </w:p>
        </w:tc>
      </w:tr>
      <w:tr>
        <w:trPr>
          <w:cantSplit w:val="false"/>
        </w:trPr>
        <w:tc>
          <w:tcPr>
            <w:tcW w:w="18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Study characteristics</w:t>
            </w:r>
          </w:p>
        </w:tc>
        <w:tc>
          <w:tcPr>
            <w:tcW w:w="4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tabs>
                <w:tab w:val="decimal" w:pos="214" w:leader="none"/>
              </w:tabs>
              <w:spacing w:before="40" w:after="40"/>
              <w:rPr>
                <w:b/>
                <w:bCs/>
                <w:color w:val="000000"/>
                <w:sz w:val="22"/>
                <w:szCs w:val="22"/>
                <w:lang w:val="en-GB"/>
              </w:rPr>
            </w:pPr>
            <w:r>
              <w:rPr>
                <w:b/>
                <w:bCs/>
                <w:color w:val="000000"/>
                <w:sz w:val="22"/>
                <w:szCs w:val="22"/>
                <w:lang w:val="en-GB"/>
              </w:rPr>
              <w:t>18</w:t>
            </w:r>
          </w:p>
        </w:tc>
        <w:tc>
          <w:tcPr>
            <w:tcW w:w="80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For each study, present characteristics for which data were extracted (e.g., study size, PICOS, follow-up period) and provide the citation.</w:t>
            </w:r>
          </w:p>
        </w:tc>
      </w:tr>
      <w:tr>
        <w:trPr>
          <w:cantSplit w:val="false"/>
        </w:trPr>
        <w:tc>
          <w:tcPr>
            <w:tcW w:w="18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Risk of bias within studies</w:t>
            </w:r>
          </w:p>
        </w:tc>
        <w:tc>
          <w:tcPr>
            <w:tcW w:w="4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tabs>
                <w:tab w:val="decimal" w:pos="214" w:leader="none"/>
              </w:tabs>
              <w:spacing w:before="40" w:after="40"/>
              <w:rPr>
                <w:b/>
                <w:bCs/>
                <w:color w:val="000000"/>
                <w:sz w:val="22"/>
                <w:szCs w:val="22"/>
                <w:lang w:val="en-GB"/>
              </w:rPr>
            </w:pPr>
            <w:r>
              <w:rPr>
                <w:b/>
                <w:bCs/>
                <w:color w:val="000000"/>
                <w:sz w:val="22"/>
                <w:szCs w:val="22"/>
                <w:lang w:val="en-GB"/>
              </w:rPr>
              <w:t>19</w:t>
            </w:r>
          </w:p>
        </w:tc>
        <w:tc>
          <w:tcPr>
            <w:tcW w:w="80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40" w:after="40"/>
              <w:rPr>
                <w:color w:val="000000"/>
                <w:sz w:val="22"/>
                <w:szCs w:val="22"/>
                <w:lang w:val="en-GB"/>
              </w:rPr>
            </w:pPr>
            <w:r>
              <w:rPr>
                <w:color w:val="000000"/>
                <w:sz w:val="22"/>
                <w:szCs w:val="22"/>
                <w:lang w:val="en-GB"/>
              </w:rPr>
              <w:t>Present data on risk of bias of each study and, if available, any outcome level assessment (see item 12).</w:t>
            </w:r>
          </w:p>
        </w:tc>
      </w:tr>
      <w:tr>
        <w:trPr>
          <w:cantSplit w:val="false"/>
        </w:trPr>
        <w:tc>
          <w:tcPr>
            <w:tcW w:w="18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Results of individual studies</w:t>
            </w:r>
          </w:p>
        </w:tc>
        <w:tc>
          <w:tcPr>
            <w:tcW w:w="4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tabs>
                <w:tab w:val="decimal" w:pos="214" w:leader="none"/>
              </w:tabs>
              <w:spacing w:before="40" w:after="40"/>
              <w:rPr>
                <w:b/>
                <w:bCs/>
                <w:color w:val="000000"/>
                <w:sz w:val="22"/>
                <w:szCs w:val="22"/>
                <w:lang w:val="en-GB"/>
              </w:rPr>
            </w:pPr>
            <w:r>
              <w:rPr>
                <w:b/>
                <w:bCs/>
                <w:color w:val="000000"/>
                <w:sz w:val="22"/>
                <w:szCs w:val="22"/>
                <w:lang w:val="en-GB"/>
              </w:rPr>
              <w:t>20</w:t>
            </w:r>
          </w:p>
        </w:tc>
        <w:tc>
          <w:tcPr>
            <w:tcW w:w="80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40" w:after="40"/>
              <w:rPr>
                <w:color w:val="000000"/>
                <w:sz w:val="22"/>
                <w:szCs w:val="22"/>
                <w:lang w:val="en-GB"/>
              </w:rPr>
            </w:pPr>
            <w:r>
              <w:rPr>
                <w:color w:val="000000"/>
                <w:sz w:val="22"/>
                <w:szCs w:val="22"/>
                <w:lang w:val="en-GB"/>
              </w:rPr>
              <w:t xml:space="preserve">For all outcomes considered (benefits and harms) present, for each study: (a) simple summary data for each intervention group, (b) effect estimates and confidence intervals, ideally with a forest plot. </w:t>
            </w:r>
          </w:p>
        </w:tc>
      </w:tr>
      <w:tr>
        <w:trPr>
          <w:cantSplit w:val="false"/>
        </w:trPr>
        <w:tc>
          <w:tcPr>
            <w:tcW w:w="18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 xml:space="preserve">Synthesis of results </w:t>
            </w:r>
          </w:p>
        </w:tc>
        <w:tc>
          <w:tcPr>
            <w:tcW w:w="4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tabs>
                <w:tab w:val="decimal" w:pos="214" w:leader="none"/>
              </w:tabs>
              <w:spacing w:before="40" w:after="40"/>
              <w:rPr>
                <w:b/>
                <w:bCs/>
                <w:color w:val="000000"/>
                <w:sz w:val="22"/>
                <w:szCs w:val="22"/>
                <w:lang w:val="en-GB"/>
              </w:rPr>
            </w:pPr>
            <w:r>
              <w:rPr>
                <w:b/>
                <w:bCs/>
                <w:color w:val="000000"/>
                <w:sz w:val="22"/>
                <w:szCs w:val="22"/>
                <w:lang w:val="en-GB"/>
              </w:rPr>
              <w:t>21</w:t>
            </w:r>
          </w:p>
        </w:tc>
        <w:tc>
          <w:tcPr>
            <w:tcW w:w="80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40" w:after="40"/>
              <w:rPr>
                <w:color w:val="000000"/>
                <w:sz w:val="22"/>
                <w:szCs w:val="22"/>
                <w:lang w:val="en-GB"/>
              </w:rPr>
            </w:pPr>
            <w:r>
              <w:rPr>
                <w:color w:val="000000"/>
                <w:sz w:val="22"/>
                <w:szCs w:val="22"/>
                <w:lang w:val="en-GB"/>
              </w:rPr>
              <w:t>Present the main results of the review.  If meta-analyses are done, include, for each, confidence intervals and measures of consistency.</w:t>
            </w:r>
          </w:p>
        </w:tc>
      </w:tr>
      <w:tr>
        <w:trPr>
          <w:cantSplit w:val="false"/>
        </w:trPr>
        <w:tc>
          <w:tcPr>
            <w:tcW w:w="18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Risk of bias across studies</w:t>
            </w:r>
          </w:p>
        </w:tc>
        <w:tc>
          <w:tcPr>
            <w:tcW w:w="4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tabs>
                <w:tab w:val="decimal" w:pos="214" w:leader="none"/>
              </w:tabs>
              <w:spacing w:before="40" w:after="40"/>
              <w:rPr>
                <w:b/>
                <w:bCs/>
                <w:color w:val="000000"/>
                <w:sz w:val="22"/>
                <w:szCs w:val="22"/>
                <w:lang w:val="en-GB"/>
              </w:rPr>
            </w:pPr>
            <w:r>
              <w:rPr>
                <w:b/>
                <w:bCs/>
                <w:color w:val="000000"/>
                <w:sz w:val="22"/>
                <w:szCs w:val="22"/>
                <w:lang w:val="en-GB"/>
              </w:rPr>
              <w:t>22</w:t>
            </w:r>
          </w:p>
        </w:tc>
        <w:tc>
          <w:tcPr>
            <w:tcW w:w="80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40" w:after="40"/>
              <w:rPr>
                <w:color w:val="000000"/>
                <w:sz w:val="22"/>
                <w:szCs w:val="22"/>
                <w:lang w:val="en-GB"/>
              </w:rPr>
            </w:pPr>
            <w:r>
              <w:rPr>
                <w:color w:val="000000"/>
                <w:sz w:val="22"/>
                <w:szCs w:val="22"/>
                <w:lang w:val="en-GB"/>
              </w:rPr>
              <w:t>Present results of any assessment of risk of bias across studies (see item 15).</w:t>
            </w:r>
          </w:p>
        </w:tc>
      </w:tr>
      <w:tr>
        <w:trPr>
          <w:cantSplit w:val="false"/>
        </w:trPr>
        <w:tc>
          <w:tcPr>
            <w:tcW w:w="1831"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Additional analyses</w:t>
            </w:r>
          </w:p>
        </w:tc>
        <w:tc>
          <w:tcPr>
            <w:tcW w:w="430"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tabs>
                <w:tab w:val="decimal" w:pos="214" w:leader="none"/>
              </w:tabs>
              <w:spacing w:before="40" w:after="40"/>
              <w:rPr>
                <w:b/>
                <w:bCs/>
                <w:color w:val="000000"/>
                <w:sz w:val="22"/>
                <w:szCs w:val="22"/>
                <w:lang w:val="en-GB"/>
              </w:rPr>
            </w:pPr>
            <w:r>
              <w:rPr>
                <w:b/>
                <w:bCs/>
                <w:color w:val="000000"/>
                <w:sz w:val="22"/>
                <w:szCs w:val="22"/>
                <w:lang w:val="en-GB"/>
              </w:rPr>
              <w:t>23</w:t>
            </w:r>
          </w:p>
        </w:tc>
        <w:tc>
          <w:tcPr>
            <w:tcW w:w="8055" w:type="dxa"/>
            <w:tcBorders>
              <w:top w:val="single" w:sz="4" w:space="0" w:color="000000"/>
              <w:left w:val="single" w:sz="4" w:space="0" w:color="000000"/>
              <w:bottom w:val="double" w:sz="4" w:space="0" w:color="000000"/>
              <w:insideH w:val="double" w:sz="4" w:space="0" w:color="000000"/>
              <w:right w:val="single" w:sz="4" w:space="0" w:color="000000"/>
              <w:insideV w:val="single" w:sz="4" w:space="0" w:color="000000"/>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Give results of additional analyses, if done (e.g., sensitivity or subgroup analyses, meta-regression).</w:t>
            </w:r>
          </w:p>
        </w:tc>
      </w:tr>
      <w:tr>
        <w:trPr>
          <w:cantSplit w:val="false"/>
        </w:trPr>
        <w:tc>
          <w:tcPr>
            <w:tcW w:w="10316" w:type="dxa"/>
            <w:gridSpan w:val="3"/>
            <w:tcBorders>
              <w:top w:val="double" w:sz="4" w:space="0" w:color="000000"/>
              <w:left w:val="single" w:sz="4" w:space="0" w:color="000000"/>
              <w:bottom w:val="single" w:sz="4" w:space="0" w:color="000000"/>
              <w:insideH w:val="single" w:sz="4" w:space="0" w:color="000000"/>
              <w:right w:val="single" w:sz="4" w:space="0" w:color="000000"/>
              <w:insideV w:val="single" w:sz="4" w:space="0" w:color="000000"/>
            </w:tcBorders>
            <w:shd w:fill="FFFFCC" w:val="clear"/>
            <w:tcMar>
              <w:left w:w="103" w:type="dxa"/>
            </w:tcMar>
          </w:tcPr>
          <w:p>
            <w:pPr>
              <w:pStyle w:val="Heading9"/>
              <w:keepNext/>
              <w:numPr>
                <w:ilvl w:val="8"/>
                <w:numId w:val="1"/>
              </w:numPr>
              <w:tabs>
                <w:tab w:val="decimal" w:pos="214" w:leader="none"/>
              </w:tabs>
              <w:spacing w:before="40" w:after="20"/>
              <w:rPr>
                <w:rFonts w:cs="Garamond" w:ascii="Garamond" w:hAnsi="Garamond"/>
                <w:color w:val="000000"/>
                <w:sz w:val="22"/>
                <w:szCs w:val="22"/>
              </w:rPr>
            </w:pPr>
            <w:r>
              <w:rPr>
                <w:rFonts w:cs="Garamond" w:ascii="Garamond" w:hAnsi="Garamond"/>
                <w:color w:val="000000"/>
                <w:sz w:val="22"/>
                <w:szCs w:val="22"/>
              </w:rPr>
              <w:t>DISCUSSION</w:t>
            </w:r>
          </w:p>
        </w:tc>
      </w:tr>
      <w:tr>
        <w:trPr>
          <w:cantSplit w:val="false"/>
        </w:trPr>
        <w:tc>
          <w:tcPr>
            <w:tcW w:w="18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tabs>
                <w:tab w:val="decimal" w:pos="295" w:leader="none"/>
              </w:tabs>
              <w:spacing w:before="40" w:after="40"/>
              <w:rPr>
                <w:bCs/>
                <w:color w:val="000000"/>
                <w:sz w:val="22"/>
                <w:szCs w:val="22"/>
                <w:lang w:val="en-GB"/>
              </w:rPr>
            </w:pPr>
            <w:r>
              <w:rPr>
                <w:bCs/>
                <w:color w:val="000000"/>
                <w:sz w:val="22"/>
                <w:szCs w:val="22"/>
                <w:lang w:val="en-GB"/>
              </w:rPr>
              <w:t>Summary of evidence</w:t>
            </w:r>
          </w:p>
        </w:tc>
        <w:tc>
          <w:tcPr>
            <w:tcW w:w="4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tabs>
                <w:tab w:val="decimal" w:pos="214" w:leader="none"/>
              </w:tabs>
              <w:spacing w:before="40" w:after="40"/>
              <w:rPr>
                <w:b/>
                <w:bCs/>
                <w:color w:val="000000"/>
                <w:sz w:val="22"/>
                <w:szCs w:val="22"/>
                <w:lang w:val="en-GB"/>
              </w:rPr>
            </w:pPr>
            <w:r>
              <w:rPr>
                <w:b/>
                <w:bCs/>
                <w:color w:val="000000"/>
                <w:sz w:val="22"/>
                <w:szCs w:val="22"/>
                <w:lang w:val="en-GB"/>
              </w:rPr>
              <w:t>24</w:t>
            </w:r>
          </w:p>
        </w:tc>
        <w:tc>
          <w:tcPr>
            <w:tcW w:w="80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Summarise the main findings including the strength of evidence for each main outcome; consider their relevance to key groups (e.g., healthcare providers, users, and policy makers).</w:t>
            </w:r>
          </w:p>
        </w:tc>
      </w:tr>
      <w:tr>
        <w:trPr>
          <w:cantSplit w:val="false"/>
        </w:trPr>
        <w:tc>
          <w:tcPr>
            <w:tcW w:w="18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tabs>
                <w:tab w:val="decimal" w:pos="295" w:leader="none"/>
              </w:tabs>
              <w:spacing w:before="40" w:after="40"/>
              <w:rPr>
                <w:bCs/>
                <w:color w:val="000000"/>
                <w:sz w:val="22"/>
                <w:szCs w:val="22"/>
                <w:lang w:val="en-GB"/>
              </w:rPr>
            </w:pPr>
            <w:r>
              <w:rPr>
                <w:bCs/>
                <w:color w:val="000000"/>
                <w:sz w:val="22"/>
                <w:szCs w:val="22"/>
                <w:lang w:val="en-GB"/>
              </w:rPr>
              <w:t>Limitations</w:t>
            </w:r>
          </w:p>
        </w:tc>
        <w:tc>
          <w:tcPr>
            <w:tcW w:w="4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tabs>
                <w:tab w:val="decimal" w:pos="214" w:leader="none"/>
              </w:tabs>
              <w:spacing w:before="40" w:after="40"/>
              <w:rPr>
                <w:b/>
                <w:bCs/>
                <w:color w:val="000000"/>
                <w:sz w:val="22"/>
                <w:szCs w:val="22"/>
                <w:lang w:val="en-GB"/>
              </w:rPr>
            </w:pPr>
            <w:r>
              <w:rPr>
                <w:b/>
                <w:bCs/>
                <w:color w:val="000000"/>
                <w:sz w:val="22"/>
                <w:szCs w:val="22"/>
                <w:lang w:val="en-GB"/>
              </w:rPr>
              <w:t>25</w:t>
            </w:r>
          </w:p>
        </w:tc>
        <w:tc>
          <w:tcPr>
            <w:tcW w:w="80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Discuss limitations at study and outcome-level (e.g., risk of bias), and at review-level (e.g., incomplete retrieval of identified research, reporting bias).</w:t>
            </w:r>
          </w:p>
        </w:tc>
      </w:tr>
      <w:tr>
        <w:trPr>
          <w:cantSplit w:val="false"/>
        </w:trPr>
        <w:tc>
          <w:tcPr>
            <w:tcW w:w="1831"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tabs>
                <w:tab w:val="decimal" w:pos="295" w:leader="none"/>
              </w:tabs>
              <w:spacing w:before="40" w:after="40"/>
              <w:rPr>
                <w:bCs/>
                <w:color w:val="000000"/>
                <w:sz w:val="22"/>
                <w:szCs w:val="22"/>
                <w:lang w:val="en-GB"/>
              </w:rPr>
            </w:pPr>
            <w:r>
              <w:rPr>
                <w:bCs/>
                <w:color w:val="000000"/>
                <w:sz w:val="22"/>
                <w:szCs w:val="22"/>
                <w:lang w:val="en-GB"/>
              </w:rPr>
              <w:t>Conclusions</w:t>
            </w:r>
          </w:p>
        </w:tc>
        <w:tc>
          <w:tcPr>
            <w:tcW w:w="430"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tabs>
                <w:tab w:val="decimal" w:pos="214" w:leader="none"/>
              </w:tabs>
              <w:spacing w:before="40" w:after="40"/>
              <w:rPr>
                <w:b/>
                <w:bCs/>
                <w:color w:val="000000"/>
                <w:sz w:val="22"/>
                <w:szCs w:val="22"/>
                <w:lang w:val="en-GB"/>
              </w:rPr>
            </w:pPr>
            <w:r>
              <w:rPr>
                <w:b/>
                <w:bCs/>
                <w:color w:val="000000"/>
                <w:sz w:val="22"/>
                <w:szCs w:val="22"/>
                <w:lang w:val="en-GB"/>
              </w:rPr>
              <w:t>26</w:t>
            </w:r>
          </w:p>
        </w:tc>
        <w:tc>
          <w:tcPr>
            <w:tcW w:w="8055" w:type="dxa"/>
            <w:tcBorders>
              <w:top w:val="single" w:sz="4" w:space="0" w:color="000000"/>
              <w:left w:val="single" w:sz="4" w:space="0" w:color="000000"/>
              <w:bottom w:val="double" w:sz="4" w:space="0" w:color="000000"/>
              <w:insideH w:val="double" w:sz="4" w:space="0" w:color="000000"/>
              <w:right w:val="single" w:sz="4" w:space="0" w:color="000000"/>
              <w:insideV w:val="single" w:sz="4" w:space="0" w:color="000000"/>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Provide a general interpretation of the results in the context of other evidence, and implications for future research.</w:t>
            </w:r>
          </w:p>
        </w:tc>
      </w:tr>
      <w:tr>
        <w:trPr>
          <w:cantSplit w:val="false"/>
        </w:trPr>
        <w:tc>
          <w:tcPr>
            <w:tcW w:w="10316" w:type="dxa"/>
            <w:gridSpan w:val="3"/>
            <w:tcBorders>
              <w:top w:val="double" w:sz="4" w:space="0" w:color="000000"/>
              <w:left w:val="single" w:sz="4" w:space="0" w:color="000000"/>
              <w:bottom w:val="single" w:sz="4" w:space="0" w:color="000000"/>
              <w:insideH w:val="single" w:sz="4" w:space="0" w:color="000000"/>
              <w:right w:val="single" w:sz="4" w:space="0" w:color="000000"/>
              <w:insideV w:val="single" w:sz="4" w:space="0" w:color="000000"/>
            </w:tcBorders>
            <w:shd w:fill="FFFFCC" w:val="clear"/>
            <w:tcMar>
              <w:left w:w="103" w:type="dxa"/>
            </w:tcMar>
          </w:tcPr>
          <w:p>
            <w:pPr>
              <w:pStyle w:val="Heading9"/>
              <w:keepNext/>
              <w:numPr>
                <w:ilvl w:val="8"/>
                <w:numId w:val="1"/>
              </w:numPr>
              <w:tabs>
                <w:tab w:val="decimal" w:pos="214" w:leader="none"/>
              </w:tabs>
              <w:spacing w:before="40" w:after="20"/>
              <w:rPr>
                <w:rFonts w:cs="Garamond" w:ascii="Garamond" w:hAnsi="Garamond"/>
                <w:color w:val="000000"/>
                <w:sz w:val="22"/>
                <w:szCs w:val="22"/>
              </w:rPr>
            </w:pPr>
            <w:r>
              <w:rPr>
                <w:rFonts w:cs="Garamond" w:ascii="Garamond" w:hAnsi="Garamond"/>
                <w:color w:val="000000"/>
                <w:sz w:val="22"/>
                <w:szCs w:val="22"/>
              </w:rPr>
              <w:t>FUNDING</w:t>
            </w:r>
          </w:p>
        </w:tc>
      </w:tr>
      <w:tr>
        <w:trPr>
          <w:cantSplit w:val="false"/>
        </w:trPr>
        <w:tc>
          <w:tcPr>
            <w:tcW w:w="1831"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tabs>
                <w:tab w:val="decimal" w:pos="295" w:leader="none"/>
              </w:tabs>
              <w:spacing w:before="40" w:after="40"/>
              <w:rPr>
                <w:bCs/>
                <w:color w:val="000000"/>
                <w:sz w:val="22"/>
                <w:szCs w:val="22"/>
                <w:lang w:val="en-GB"/>
              </w:rPr>
            </w:pPr>
            <w:r>
              <w:rPr>
                <w:bCs/>
                <w:color w:val="000000"/>
                <w:sz w:val="22"/>
                <w:szCs w:val="22"/>
                <w:lang w:val="en-GB"/>
              </w:rPr>
              <w:t xml:space="preserve">Funding </w:t>
            </w:r>
          </w:p>
        </w:tc>
        <w:tc>
          <w:tcPr>
            <w:tcW w:w="430"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tabs>
                <w:tab w:val="decimal" w:pos="214" w:leader="none"/>
              </w:tabs>
              <w:spacing w:before="40" w:after="40"/>
              <w:rPr>
                <w:b/>
                <w:bCs/>
                <w:color w:val="000000"/>
                <w:sz w:val="22"/>
                <w:szCs w:val="22"/>
                <w:lang w:val="en-GB"/>
              </w:rPr>
            </w:pPr>
            <w:r>
              <w:rPr>
                <w:b/>
                <w:bCs/>
                <w:color w:val="000000"/>
                <w:sz w:val="22"/>
                <w:szCs w:val="22"/>
                <w:lang w:val="en-GB"/>
              </w:rPr>
              <w:t>27</w:t>
            </w:r>
          </w:p>
        </w:tc>
        <w:tc>
          <w:tcPr>
            <w:tcW w:w="8055" w:type="dxa"/>
            <w:tcBorders>
              <w:top w:val="single" w:sz="4" w:space="0" w:color="000000"/>
              <w:left w:val="single" w:sz="4" w:space="0" w:color="000000"/>
              <w:bottom w:val="double" w:sz="4" w:space="0" w:color="000000"/>
              <w:insideH w:val="double" w:sz="4" w:space="0" w:color="000000"/>
              <w:right w:val="single" w:sz="4" w:space="0" w:color="000000"/>
              <w:insideV w:val="single" w:sz="4" w:space="0" w:color="000000"/>
            </w:tcBorders>
            <w:shd w:fill="auto" w:val="clear"/>
            <w:tcMar>
              <w:left w:w="103" w:type="dxa"/>
            </w:tcMar>
          </w:tcPr>
          <w:p>
            <w:pPr>
              <w:pStyle w:val="Normal"/>
              <w:spacing w:before="40" w:after="40"/>
              <w:rPr>
                <w:bCs/>
                <w:color w:val="000000"/>
                <w:sz w:val="22"/>
                <w:szCs w:val="22"/>
                <w:lang w:val="en-GB"/>
              </w:rPr>
            </w:pPr>
            <w:r>
              <w:rPr>
                <w:bCs/>
                <w:color w:val="000000"/>
                <w:sz w:val="22"/>
                <w:szCs w:val="22"/>
                <w:lang w:val="en-GB"/>
              </w:rPr>
              <w:t xml:space="preserve">Describe sources of funding and other support (e.g., supply of data) for the systematic review; role of funders for the systematic review. </w:t>
            </w:r>
          </w:p>
        </w:tc>
      </w:tr>
    </w:tbl>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sectPr>
          <w:footerReference w:type="default" r:id="rId9"/>
          <w:footnotePr>
            <w:numFmt w:val="decimal"/>
          </w:footnotePr>
          <w:type w:val="nextPage"/>
          <w:pgSz w:w="12240" w:h="15840"/>
          <w:pgMar w:left="1800" w:right="1800" w:header="0" w:top="1440" w:footer="720" w:bottom="1440" w:gutter="0"/>
          <w:lnNumType w:countBy="1" w:restart="continuous"/>
          <w:pgNumType w:fmt="decimal"/>
          <w:formProt w:val="false"/>
          <w:textDirection w:val="lrTb"/>
          <w:docGrid w:type="default" w:linePitch="360" w:charSpace="0"/>
        </w:sectPr>
        <w:pStyle w:val="Normal"/>
        <w:rPr>
          <w:color w:val="000000"/>
        </w:rPr>
      </w:pPr>
      <w:r>
        <w:rPr>
          <w:color w:val="000000"/>
        </w:rPr>
      </w:r>
    </w:p>
    <w:p>
      <w:pPr>
        <w:pStyle w:val="Normal"/>
        <w:ind w:left="0" w:right="-432" w:hanging="0"/>
        <w:rPr>
          <w:color w:val="000000"/>
          <w:szCs w:val="22"/>
        </w:rPr>
      </w:pPr>
      <w:r>
        <w:rPr>
          <w:color w:val="000000"/>
          <w:szCs w:val="22"/>
        </w:rPr>
        <w:t xml:space="preserve">Table 2 – Substantive specific changes between the QUOROM checklist and the PRISMA checklist (a tick indicates the presence of the topic in QUOROM or PRISMA). </w:t>
      </w:r>
    </w:p>
    <w:tbl>
      <w:tblPr>
        <w:jc w:val="center"/>
        <w:tblInd w:w="0"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993"/>
        <w:gridCol w:w="1589"/>
        <w:gridCol w:w="1883"/>
        <w:gridCol w:w="1399"/>
        <w:gridCol w:w="4177"/>
      </w:tblGrid>
      <w:tr>
        <w:trPr>
          <w:cantSplit w:val="false"/>
        </w:trPr>
        <w:tc>
          <w:tcPr>
            <w:tcW w:w="199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Heading4"/>
              <w:numPr>
                <w:ilvl w:val="3"/>
                <w:numId w:val="1"/>
              </w:numPr>
              <w:jc w:val="center"/>
              <w:rPr>
                <w:sz w:val="22"/>
              </w:rPr>
            </w:pPr>
            <w:r>
              <w:rPr>
                <w:sz w:val="22"/>
              </w:rPr>
              <w:t>Section/Topic</w:t>
            </w:r>
          </w:p>
        </w:tc>
        <w:tc>
          <w:tcPr>
            <w:tcW w:w="158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color w:val="000000"/>
                <w:sz w:val="22"/>
              </w:rPr>
            </w:pPr>
            <w:r>
              <w:rPr>
                <w:b/>
                <w:color w:val="000000"/>
                <w:sz w:val="22"/>
              </w:rPr>
              <w:t>Item</w:t>
            </w:r>
          </w:p>
        </w:tc>
        <w:tc>
          <w:tcPr>
            <w:tcW w:w="18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color w:val="000000"/>
                <w:sz w:val="22"/>
              </w:rPr>
            </w:pPr>
            <w:r>
              <w:rPr>
                <w:b/>
                <w:color w:val="000000"/>
                <w:sz w:val="22"/>
              </w:rPr>
              <w:t>QUOROM</w:t>
            </w:r>
          </w:p>
        </w:tc>
        <w:tc>
          <w:tcPr>
            <w:tcW w:w="139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color w:val="000000"/>
                <w:sz w:val="22"/>
              </w:rPr>
            </w:pPr>
            <w:r>
              <w:rPr>
                <w:b/>
                <w:color w:val="000000"/>
                <w:sz w:val="22"/>
              </w:rPr>
              <w:t>PRISMA</w:t>
            </w:r>
          </w:p>
        </w:tc>
        <w:tc>
          <w:tcPr>
            <w:tcW w:w="41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Heading8"/>
              <w:numPr>
                <w:ilvl w:val="7"/>
                <w:numId w:val="1"/>
              </w:numPr>
              <w:rPr/>
            </w:pPr>
            <w:r>
              <w:rPr/>
              <w:t>Comment</w:t>
            </w:r>
          </w:p>
        </w:tc>
      </w:tr>
      <w:tr>
        <w:trPr>
          <w:cantSplit w:val="false"/>
        </w:trPr>
        <w:tc>
          <w:tcPr>
            <w:tcW w:w="199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color w:val="000000"/>
                <w:sz w:val="22"/>
              </w:rPr>
            </w:pPr>
            <w:r>
              <w:rPr>
                <w:color w:val="000000"/>
                <w:sz w:val="22"/>
              </w:rPr>
              <w:t>Abstract</w:t>
            </w:r>
          </w:p>
        </w:tc>
        <w:tc>
          <w:tcPr>
            <w:tcW w:w="158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color w:val="000000"/>
                <w:sz w:val="22"/>
              </w:rPr>
            </w:pPr>
            <w:r>
              <w:rPr>
                <w:color w:val="000000"/>
                <w:sz w:val="22"/>
              </w:rPr>
            </w:r>
          </w:p>
        </w:tc>
        <w:tc>
          <w:tcPr>
            <w:tcW w:w="18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eastAsia="Garamond"/>
                <w:color w:val="000000"/>
                <w:sz w:val="22"/>
              </w:rPr>
            </w:pPr>
            <w:r>
              <w:rPr>
                <w:rFonts w:eastAsia="Garamond"/>
                <w:color w:val="000000"/>
                <w:sz w:val="22"/>
              </w:rPr>
              <w:t>√</w:t>
            </w:r>
          </w:p>
        </w:tc>
        <w:tc>
          <w:tcPr>
            <w:tcW w:w="139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eastAsia="Garamond"/>
                <w:color w:val="000000"/>
                <w:sz w:val="22"/>
              </w:rPr>
            </w:pPr>
            <w:r>
              <w:rPr>
                <w:rFonts w:eastAsia="Garamond"/>
                <w:color w:val="000000"/>
                <w:sz w:val="22"/>
              </w:rPr>
              <w:t>√</w:t>
            </w:r>
          </w:p>
        </w:tc>
        <w:tc>
          <w:tcPr>
            <w:tcW w:w="41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color w:val="000000"/>
                <w:sz w:val="22"/>
              </w:rPr>
            </w:pPr>
            <w:r>
              <w:rPr>
                <w:color w:val="000000"/>
                <w:sz w:val="22"/>
              </w:rPr>
              <w:t xml:space="preserve">QUOROM and PRISMA ask authors to report an abstract. However, PRISMA is not specific about format. </w:t>
            </w:r>
          </w:p>
        </w:tc>
      </w:tr>
      <w:tr>
        <w:trPr>
          <w:trHeight w:val="242" w:hRule="atLeast"/>
          <w:cantSplit w:val="false"/>
        </w:trPr>
        <w:tc>
          <w:tcPr>
            <w:tcW w:w="199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color w:val="000000"/>
                <w:sz w:val="22"/>
              </w:rPr>
            </w:pPr>
            <w:r>
              <w:rPr>
                <w:color w:val="000000"/>
                <w:sz w:val="22"/>
              </w:rPr>
              <w:t>Introduction</w:t>
            </w:r>
          </w:p>
        </w:tc>
        <w:tc>
          <w:tcPr>
            <w:tcW w:w="158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color w:val="000000"/>
                <w:sz w:val="22"/>
              </w:rPr>
            </w:pPr>
            <w:r>
              <w:rPr>
                <w:color w:val="000000"/>
                <w:sz w:val="22"/>
              </w:rPr>
              <w:t>objective</w:t>
            </w:r>
          </w:p>
        </w:tc>
        <w:tc>
          <w:tcPr>
            <w:tcW w:w="18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color w:val="000000"/>
                <w:sz w:val="22"/>
              </w:rPr>
            </w:pPr>
            <w:r>
              <w:rPr>
                <w:color w:val="000000"/>
                <w:sz w:val="22"/>
              </w:rPr>
            </w:r>
          </w:p>
        </w:tc>
        <w:tc>
          <w:tcPr>
            <w:tcW w:w="139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eastAsia="Garamond"/>
                <w:color w:val="000000"/>
                <w:sz w:val="22"/>
              </w:rPr>
            </w:pPr>
            <w:r>
              <w:rPr>
                <w:rFonts w:eastAsia="Garamond"/>
                <w:color w:val="000000"/>
                <w:sz w:val="22"/>
              </w:rPr>
              <w:t>√</w:t>
            </w:r>
          </w:p>
        </w:tc>
        <w:tc>
          <w:tcPr>
            <w:tcW w:w="41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color w:val="000000"/>
                <w:sz w:val="22"/>
              </w:rPr>
            </w:pPr>
            <w:r>
              <w:rPr>
                <w:color w:val="000000"/>
                <w:sz w:val="22"/>
              </w:rPr>
              <w:t>This new item (4) addresses the explicit question the review addresses using the PICO reporting system (which describes the Participants, Interventions, Comparisons, Outcome(s) of the systematic review), together with the specification of the type of study design (PICOS); the item is linked to items 6,11 and 18 of the checklist.</w:t>
            </w:r>
          </w:p>
        </w:tc>
      </w:tr>
      <w:tr>
        <w:trPr>
          <w:cantSplit w:val="false"/>
        </w:trPr>
        <w:tc>
          <w:tcPr>
            <w:tcW w:w="199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color w:val="000000"/>
                <w:sz w:val="22"/>
              </w:rPr>
            </w:pPr>
            <w:r>
              <w:rPr>
                <w:color w:val="000000"/>
                <w:sz w:val="22"/>
              </w:rPr>
              <w:t>Methods and Results</w:t>
            </w:r>
          </w:p>
        </w:tc>
        <w:tc>
          <w:tcPr>
            <w:tcW w:w="158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ind w:left="7" w:right="0" w:hanging="0"/>
              <w:jc w:val="both"/>
              <w:rPr>
                <w:color w:val="000000"/>
                <w:sz w:val="22"/>
              </w:rPr>
            </w:pPr>
            <w:r>
              <w:rPr>
                <w:color w:val="000000"/>
                <w:sz w:val="22"/>
              </w:rPr>
              <w:t>protocol</w:t>
            </w:r>
          </w:p>
        </w:tc>
        <w:tc>
          <w:tcPr>
            <w:tcW w:w="18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color w:val="000000"/>
                <w:sz w:val="22"/>
              </w:rPr>
            </w:pPr>
            <w:r>
              <w:rPr>
                <w:color w:val="000000"/>
                <w:sz w:val="22"/>
              </w:rPr>
            </w:r>
          </w:p>
        </w:tc>
        <w:tc>
          <w:tcPr>
            <w:tcW w:w="139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eastAsia="Garamond"/>
                <w:color w:val="000000"/>
                <w:sz w:val="22"/>
              </w:rPr>
            </w:pPr>
            <w:r>
              <w:rPr>
                <w:rFonts w:eastAsia="Garamond"/>
                <w:color w:val="000000"/>
                <w:sz w:val="22"/>
              </w:rPr>
              <w:t>√</w:t>
            </w:r>
          </w:p>
        </w:tc>
        <w:tc>
          <w:tcPr>
            <w:tcW w:w="41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color w:val="000000"/>
                <w:sz w:val="22"/>
              </w:rPr>
            </w:pPr>
            <w:r>
              <w:rPr>
                <w:color w:val="000000"/>
                <w:sz w:val="22"/>
              </w:rPr>
              <w:t>This new item (5) asks authors to report whether the review has a protocol and if so how it can be accessed.</w:t>
            </w:r>
          </w:p>
        </w:tc>
      </w:tr>
      <w:tr>
        <w:trPr>
          <w:cantSplit w:val="false"/>
        </w:trPr>
        <w:tc>
          <w:tcPr>
            <w:tcW w:w="199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color w:val="000000"/>
                <w:sz w:val="22"/>
              </w:rPr>
            </w:pPr>
            <w:r>
              <w:rPr>
                <w:color w:val="000000"/>
                <w:sz w:val="22"/>
              </w:rPr>
            </w:r>
          </w:p>
        </w:tc>
        <w:tc>
          <w:tcPr>
            <w:tcW w:w="158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Heading6"/>
              <w:numPr>
                <w:ilvl w:val="5"/>
                <w:numId w:val="1"/>
              </w:numPr>
              <w:ind w:left="7" w:right="0" w:hanging="0"/>
              <w:jc w:val="both"/>
              <w:rPr>
                <w:sz w:val="22"/>
              </w:rPr>
            </w:pPr>
            <w:r>
              <w:rPr>
                <w:sz w:val="22"/>
              </w:rPr>
              <w:t>Search</w:t>
            </w:r>
          </w:p>
        </w:tc>
        <w:tc>
          <w:tcPr>
            <w:tcW w:w="18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eastAsia="Garamond"/>
                <w:color w:val="000000"/>
                <w:sz w:val="22"/>
              </w:rPr>
            </w:pPr>
            <w:r>
              <w:rPr>
                <w:rFonts w:eastAsia="Garamond"/>
                <w:color w:val="000000"/>
                <w:sz w:val="22"/>
              </w:rPr>
              <w:t>√</w:t>
            </w:r>
          </w:p>
        </w:tc>
        <w:tc>
          <w:tcPr>
            <w:tcW w:w="139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eastAsia="Garamond"/>
                <w:color w:val="000000"/>
                <w:sz w:val="22"/>
              </w:rPr>
            </w:pPr>
            <w:r>
              <w:rPr>
                <w:rFonts w:eastAsia="Garamond"/>
                <w:color w:val="000000"/>
                <w:sz w:val="22"/>
              </w:rPr>
              <w:t>√</w:t>
            </w:r>
          </w:p>
        </w:tc>
        <w:tc>
          <w:tcPr>
            <w:tcW w:w="41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color w:val="000000"/>
                <w:sz w:val="22"/>
              </w:rPr>
            </w:pPr>
            <w:r>
              <w:rPr>
                <w:color w:val="000000"/>
                <w:sz w:val="22"/>
              </w:rPr>
              <w:t>Although reporting the search is present in both QUOROM and PRISMA checklists, PRISMA asks authors to provide a full description of at least one electronic search strategy (item 8).  Without such information it is impossible to repeat the authors’ search.</w:t>
            </w:r>
          </w:p>
        </w:tc>
      </w:tr>
      <w:tr>
        <w:trPr>
          <w:cantSplit w:val="false"/>
        </w:trPr>
        <w:tc>
          <w:tcPr>
            <w:tcW w:w="199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720" w:right="0" w:hanging="0"/>
              <w:rPr>
                <w:color w:val="000000"/>
                <w:sz w:val="22"/>
              </w:rPr>
            </w:pPr>
            <w:r>
              <w:rPr>
                <w:color w:val="000000"/>
                <w:sz w:val="22"/>
              </w:rPr>
            </w:r>
          </w:p>
        </w:tc>
        <w:tc>
          <w:tcPr>
            <w:tcW w:w="158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ind w:left="7" w:right="0" w:hanging="0"/>
              <w:rPr>
                <w:color w:val="000000"/>
                <w:sz w:val="22"/>
              </w:rPr>
            </w:pPr>
            <w:r>
              <w:rPr>
                <w:color w:val="000000"/>
                <w:sz w:val="22"/>
              </w:rPr>
              <w:t>Assessment of risk of bias in included studies</w:t>
            </w:r>
          </w:p>
        </w:tc>
        <w:tc>
          <w:tcPr>
            <w:tcW w:w="18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eastAsia="Garamond"/>
                <w:color w:val="000000"/>
                <w:sz w:val="22"/>
              </w:rPr>
            </w:pPr>
            <w:r>
              <w:rPr>
                <w:rFonts w:eastAsia="Garamond"/>
                <w:color w:val="000000"/>
                <w:sz w:val="22"/>
              </w:rPr>
              <w:t>√</w:t>
            </w:r>
          </w:p>
        </w:tc>
        <w:tc>
          <w:tcPr>
            <w:tcW w:w="139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eastAsia="Garamond"/>
                <w:color w:val="000000"/>
                <w:sz w:val="22"/>
              </w:rPr>
            </w:pPr>
            <w:r>
              <w:rPr>
                <w:rFonts w:eastAsia="Garamond"/>
                <w:color w:val="000000"/>
                <w:sz w:val="22"/>
              </w:rPr>
              <w:t>√</w:t>
            </w:r>
          </w:p>
        </w:tc>
        <w:tc>
          <w:tcPr>
            <w:tcW w:w="41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color w:val="000000"/>
                <w:sz w:val="22"/>
              </w:rPr>
            </w:pPr>
            <w:r>
              <w:rPr>
                <w:color w:val="000000"/>
                <w:sz w:val="22"/>
              </w:rPr>
              <w:t>Renamed from “quality assessment” in QUOROM. This item (12) is linked with reporting this information in the results (item 19). The new concept “outcome-level” assessment has been introduced.</w:t>
            </w:r>
          </w:p>
        </w:tc>
      </w:tr>
      <w:tr>
        <w:trPr>
          <w:cantSplit w:val="false"/>
        </w:trPr>
        <w:tc>
          <w:tcPr>
            <w:tcW w:w="199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Heading6"/>
              <w:numPr>
                <w:ilvl w:val="5"/>
                <w:numId w:val="1"/>
              </w:numPr>
              <w:snapToGrid w:val="false"/>
              <w:ind w:left="720" w:right="0" w:hanging="0"/>
              <w:rPr>
                <w:color w:val="000000"/>
                <w:sz w:val="22"/>
              </w:rPr>
            </w:pPr>
            <w:r>
              <w:rPr>
                <w:color w:val="000000"/>
                <w:sz w:val="22"/>
              </w:rPr>
            </w:r>
          </w:p>
        </w:tc>
        <w:tc>
          <w:tcPr>
            <w:tcW w:w="158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ind w:left="7" w:right="0" w:hanging="0"/>
              <w:rPr>
                <w:color w:val="000000"/>
                <w:sz w:val="22"/>
              </w:rPr>
            </w:pPr>
            <w:r>
              <w:rPr>
                <w:color w:val="000000"/>
                <w:sz w:val="22"/>
              </w:rPr>
              <w:t>Assessment of bias across studies</w:t>
            </w:r>
          </w:p>
        </w:tc>
        <w:tc>
          <w:tcPr>
            <w:tcW w:w="18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color w:val="000000"/>
                <w:sz w:val="22"/>
              </w:rPr>
            </w:pPr>
            <w:r>
              <w:rPr>
                <w:color w:val="000000"/>
                <w:sz w:val="22"/>
              </w:rPr>
            </w:r>
          </w:p>
        </w:tc>
        <w:tc>
          <w:tcPr>
            <w:tcW w:w="139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eastAsia="Garamond"/>
                <w:color w:val="000000"/>
                <w:sz w:val="22"/>
              </w:rPr>
            </w:pPr>
            <w:r>
              <w:rPr>
                <w:rFonts w:eastAsia="Garamond"/>
                <w:color w:val="000000"/>
                <w:sz w:val="22"/>
              </w:rPr>
              <w:t>√</w:t>
            </w:r>
          </w:p>
        </w:tc>
        <w:tc>
          <w:tcPr>
            <w:tcW w:w="41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color w:val="000000"/>
                <w:sz w:val="22"/>
              </w:rPr>
            </w:pPr>
            <w:r>
              <w:rPr>
                <w:color w:val="000000"/>
                <w:sz w:val="22"/>
              </w:rPr>
              <w:t>This new item (15) asks authors to describe any assessments of bias in the review, such as selective reporting within the included studies. This item is linked with reporting this information in the results (item 22).</w:t>
            </w:r>
          </w:p>
        </w:tc>
      </w:tr>
      <w:tr>
        <w:trPr>
          <w:cantSplit w:val="false"/>
        </w:trPr>
        <w:tc>
          <w:tcPr>
            <w:tcW w:w="199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color w:val="000000"/>
                <w:sz w:val="22"/>
              </w:rPr>
            </w:pPr>
            <w:r>
              <w:rPr>
                <w:color w:val="000000"/>
                <w:sz w:val="22"/>
              </w:rPr>
              <w:t>Discussion</w:t>
            </w:r>
          </w:p>
        </w:tc>
        <w:tc>
          <w:tcPr>
            <w:tcW w:w="158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color w:val="000000"/>
                <w:sz w:val="22"/>
              </w:rPr>
            </w:pPr>
            <w:r>
              <w:rPr>
                <w:color w:val="000000"/>
                <w:sz w:val="22"/>
              </w:rPr>
            </w:r>
          </w:p>
        </w:tc>
        <w:tc>
          <w:tcPr>
            <w:tcW w:w="18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eastAsia="Garamond"/>
                <w:color w:val="000000"/>
                <w:sz w:val="22"/>
              </w:rPr>
            </w:pPr>
            <w:r>
              <w:rPr>
                <w:rFonts w:eastAsia="Garamond"/>
                <w:color w:val="000000"/>
                <w:sz w:val="22"/>
              </w:rPr>
              <w:t>√</w:t>
            </w:r>
          </w:p>
        </w:tc>
        <w:tc>
          <w:tcPr>
            <w:tcW w:w="139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eastAsia="Garamond"/>
                <w:color w:val="000000"/>
                <w:sz w:val="22"/>
              </w:rPr>
            </w:pPr>
            <w:r>
              <w:rPr>
                <w:rFonts w:eastAsia="Garamond"/>
                <w:color w:val="000000"/>
                <w:sz w:val="22"/>
              </w:rPr>
              <w:t>√</w:t>
            </w:r>
          </w:p>
        </w:tc>
        <w:tc>
          <w:tcPr>
            <w:tcW w:w="41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color w:val="000000"/>
                <w:sz w:val="22"/>
              </w:rPr>
            </w:pPr>
            <w:r>
              <w:rPr>
                <w:color w:val="000000"/>
                <w:sz w:val="22"/>
              </w:rPr>
              <w:t xml:space="preserve">Although both QUOROM and PRISMA checklists address the discussion section, PRISMA devotes 3 items (24-26) to the discussion. In PRISMA the main types of limitations are explicitly stated and their discussion required. </w:t>
            </w:r>
          </w:p>
        </w:tc>
      </w:tr>
      <w:tr>
        <w:trPr>
          <w:cantSplit w:val="false"/>
        </w:trPr>
        <w:tc>
          <w:tcPr>
            <w:tcW w:w="199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color w:val="000000"/>
                <w:sz w:val="22"/>
              </w:rPr>
            </w:pPr>
            <w:r>
              <w:rPr>
                <w:color w:val="000000"/>
                <w:sz w:val="22"/>
              </w:rPr>
              <w:t>Funding</w:t>
            </w:r>
          </w:p>
        </w:tc>
        <w:tc>
          <w:tcPr>
            <w:tcW w:w="158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color w:val="000000"/>
                <w:sz w:val="22"/>
              </w:rPr>
            </w:pPr>
            <w:r>
              <w:rPr>
                <w:color w:val="000000"/>
                <w:sz w:val="22"/>
              </w:rPr>
            </w:r>
          </w:p>
        </w:tc>
        <w:tc>
          <w:tcPr>
            <w:tcW w:w="18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color w:val="000000"/>
                <w:sz w:val="22"/>
              </w:rPr>
            </w:pPr>
            <w:r>
              <w:rPr>
                <w:color w:val="000000"/>
                <w:sz w:val="22"/>
              </w:rPr>
            </w:r>
          </w:p>
        </w:tc>
        <w:tc>
          <w:tcPr>
            <w:tcW w:w="139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eastAsia="Garamond"/>
                <w:color w:val="000000"/>
                <w:sz w:val="22"/>
              </w:rPr>
            </w:pPr>
            <w:r>
              <w:rPr>
                <w:rFonts w:eastAsia="Garamond"/>
                <w:color w:val="000000"/>
                <w:sz w:val="22"/>
              </w:rPr>
              <w:t>√</w:t>
            </w:r>
          </w:p>
        </w:tc>
        <w:tc>
          <w:tcPr>
            <w:tcW w:w="41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color w:val="000000"/>
                <w:sz w:val="22"/>
              </w:rPr>
            </w:pPr>
            <w:r>
              <w:rPr>
                <w:bCs/>
                <w:color w:val="000000"/>
                <w:sz w:val="22"/>
              </w:rPr>
              <w:t xml:space="preserve">This new item (27) </w:t>
            </w:r>
            <w:r>
              <w:rPr>
                <w:color w:val="000000"/>
                <w:sz w:val="22"/>
              </w:rPr>
              <w:t>asks authors to provide information on any sources of funding for the systematic review.</w:t>
            </w:r>
          </w:p>
        </w:tc>
      </w:tr>
    </w:tbl>
    <w:p>
      <w:pPr>
        <w:pStyle w:val="Normal"/>
        <w:rPr>
          <w:rFonts w:cs="Arial" w:ascii="Arial" w:hAnsi="Arial"/>
          <w:b/>
          <w:bCs/>
          <w:color w:val="000000"/>
        </w:rPr>
      </w:pPr>
      <w:r>
        <w:rPr>
          <w:rFonts w:cs="Arial" w:ascii="Arial" w:hAnsi="Arial"/>
          <w:b/>
          <w:bCs/>
          <w:color w:val="000000"/>
          <w:szCs w:val="22"/>
        </w:rPr>
        <w:t>Figure - F</w:t>
      </w:r>
      <w:r>
        <w:rPr>
          <w:rFonts w:cs="Arial" w:ascii="Arial" w:hAnsi="Arial"/>
          <w:b/>
          <w:bCs/>
          <w:color w:val="000000"/>
        </w:rPr>
        <w:t>low of information through the different phases of a systematic review</w:t>
      </w:r>
    </w:p>
    <w:p>
      <w:pPr>
        <w:pStyle w:val="Normal"/>
        <w:rPr>
          <w:w w:val="100"/>
          <w:sz w:val="20"/>
          <w:lang w:val="en-CA" w:eastAsia="en-CA"/>
        </w:rPr>
      </w:pPr>
      <w:r>
        <w:rPr>
          <w:w w:val="100"/>
          <w:sz w:val="20"/>
          <w:lang w:val="en-CA" w:eastAsia="en-CA"/>
        </w:rPr>
        <w:pict>
          <v:group id="shape_0" style="position:absolute;margin-left:12.65pt;margin-top:9pt;width:399.1pt;height:422.95pt" coordorigin="253,180" coordsize="7982,8459">
            <v:group id="shape_0" style="position:absolute;left:253;top:180;width:7982;height:8459">
              <v:group id="shape_0" style="position:absolute;left:253;top:180;width:7982;height:8459">
                <v:shapetype id="shapetype_202" coordsize="21600,21600" o:spt="202" path="m,l,21600l21600,21600l21600,xe">
                  <v:stroke joinstyle="miter"/>
                  <v:path gradientshapeok="t" o:connecttype="rect"/>
                </v:shapetype>
                <v:shape id="shape_0" fillcolor="white" stroked="t" style="position:absolute;left:253;top:180;width:3239;height:1079" type="shapetype_202">
                  <v:wrap v:type="square"/>
                  <v:fill type="solid" color2="black" detectmouseclick="t"/>
                  <v:stroke color="black" weight="19080" joinstyle="miter" endcap="square"/>
                </v:shape>
                <v:shape id="shape_0" fillcolor="white" stroked="t" style="position:absolute;left:4573;top:180;width:3239;height:1079" type="shapetype_202">
                  <v:wrap v:type="square"/>
                  <v:fill type="solid" color2="black" detectmouseclick="t"/>
                  <v:stroke color="black" weight="19080" joinstyle="miter" endcap="square"/>
                </v:shape>
                <v:shape id="shape_0" fillcolor="white" stroked="t" style="position:absolute;left:2633;top:2820;width:2879;height:719" type="shapetype_202">
                  <v:wrap v:type="square"/>
                  <v:fill type="solid" color2="black" detectmouseclick="t"/>
                  <v:stroke color="black" weight="19080" joinstyle="miter" endcap="square"/>
                </v:shape>
                <v:line id="shape_0" from="5513,3163" to="6279,3163" stroked="t" style="position:absolute">
                  <v:stroke color="black" weight="19080" endarrow="block" endarrowwidth="medium" endarrowlength="medium" joinstyle="miter" endcap="square"/>
                  <v:fill on="false" detectmouseclick="t"/>
                </v:line>
                <v:shape id="shape_0" fillcolor="white" stroked="t" style="position:absolute;left:6255;top:2823;width:1979;height:719" type="shapetype_202">
                  <v:wrap v:type="square"/>
                  <v:fill type="solid" color2="black" detectmouseclick="t"/>
                  <v:stroke color="black" weight="19080" joinstyle="miter" endcap="square"/>
                </v:shape>
                <v:shape id="shape_0" fillcolor="white" stroked="t" style="position:absolute;left:2633;top:4020;width:2879;height:719" type="shapetype_202">
                  <v:wrap v:type="square"/>
                  <v:fill type="solid" color2="black" detectmouseclick="t"/>
                  <v:stroke color="black" weight="19080" joinstyle="miter" endcap="square"/>
                </v:shape>
                <v:shape id="shape_0" fillcolor="white" stroked="t" style="position:absolute;left:2633;top:5460;width:2879;height:1379" type="shapetype_202">
                  <v:wrap v:type="square"/>
                  <v:fill type="solid" color2="black" detectmouseclick="t"/>
                  <v:stroke color="black" weight="19080" joinstyle="miter" endcap="square"/>
                </v:shape>
                <v:shape id="shape_0" fillcolor="white" stroked="t" style="position:absolute;left:6255;top:4010;width:1979;height:1079" type="shapetype_202">
                  <v:wrap v:type="square"/>
                  <v:fill type="solid" color2="black" detectmouseclick="t"/>
                  <v:stroke color="black" weight="19080" joinstyle="miter" endcap="square"/>
                </v:shape>
                <v:shape id="shape_0" fillcolor="white" stroked="t" style="position:absolute;left:2633;top:7354;width:2879;height:1284" type="shapetype_202">
                  <v:wrap v:type="square"/>
                  <v:fill type="solid" color2="black" detectmouseclick="t"/>
                  <v:stroke color="black" weight="19080" joinstyle="miter" endcap="square"/>
                </v:shape>
              </v:group>
              <v:line id="shape_0" from="1920,1740" to="6119,1740" stroked="t" style="position:absolute">
                <v:stroke color="black" weight="19080" joinstyle="miter" endcap="square"/>
                <v:fill on="false" detectmouseclick="t"/>
              </v:line>
              <v:shape id="shape_0" fillcolor="white" stroked="t" style="position:absolute;left:6233;top:1573;width:2001;height:1019" type="shapetype_202">
                <v:wrap v:type="square"/>
                <v:fill type="solid" color2="black" detectmouseclick="t"/>
                <v:stroke color="black" weight="19080" joinstyle="miter" endcap="square"/>
              </v:shape>
              <v:line id="shape_0" from="1920,1260" to="1920,1739" stroked="t" style="position:absolute">
                <v:stroke color="black" weight="19080" joinstyle="miter" endcap="square"/>
                <v:fill on="false" detectmouseclick="t"/>
              </v:line>
              <v:line id="shape_0" from="6120,1260" to="6120,1739" stroked="t" style="position:absolute">
                <v:stroke color="black" weight="19080" joinstyle="miter" endcap="square"/>
                <v:fill on="false" detectmouseclick="t"/>
              </v:line>
              <v:line id="shape_0" from="4040,1740" to="4040,2819" stroked="t" style="position:absolute">
                <v:stroke color="black" weight="19080" endarrow="block" endarrowwidth="medium" endarrowlength="medium" joinstyle="miter" endcap="square"/>
                <v:fill on="false" detectmouseclick="t"/>
              </v:line>
              <v:line id="shape_0" from="4040,4740" to="4040,5459" stroked="t" style="position:absolute">
                <v:stroke color="black" weight="19080" endarrow="block" endarrowwidth="medium" endarrowlength="medium" joinstyle="miter" endcap="square"/>
                <v:fill on="false" detectmouseclick="t"/>
              </v:line>
              <v:line id="shape_0" from="4040,3540" to="4040,4019" stroked="t" style="position:absolute">
                <v:stroke color="black" weight="19080" endarrow="block" endarrowwidth="medium" endarrowlength="medium" joinstyle="miter" endcap="square"/>
                <v:fill on="false" detectmouseclick="t"/>
              </v:line>
              <v:line id="shape_0" from="4040,6841" to="4040,7320" stroked="t" style="position:absolute">
                <v:stroke color="black" weight="19080" endarrow="block" endarrowwidth="medium" endarrowlength="medium" joinstyle="miter" endcap="square"/>
                <v:fill on="false" detectmouseclick="t"/>
              </v:line>
              <v:line id="shape_0" from="5513,4298" to="6279,4298" stroked="t" style="position:absolute">
                <v:stroke color="black" weight="19080" endarrow="block" endarrowwidth="medium" endarrowlength="medium" joinstyle="miter" endcap="square"/>
                <v:fill on="false" detectmouseclick="t"/>
              </v:line>
            </v:group>
            <v:line id="shape_0" from="4040,2138" to="6193,2138" stroked="t" style="position:absolute">
              <v:stroke color="black" weight="19080" endarrow="block" endarrowwidth="medium" endarrowlength="medium" joinstyle="miter" endcap="square"/>
              <v:fill on="false" detectmouseclick="t"/>
            </v:line>
          </v:group>
        </w:pict>
        <w:pict>
          <v:shape id="shape_0" fillcolor="white" stroked="f" style="position:absolute;margin-left:-84.9pt;margin-top:36.8pt;width:99pt;height:29.9pt;rotation:270" type="shapetype_202">
            <v:textbox>
              <w:txbxContent>
                <w:p>
                  <w:pPr>
                    <w:bidi w:val="0"/>
                    <w:jc w:val="center"/>
                  </w:pPr>
                  <w:r>
                    <w:rPr>
                      <w:color w:val="000000"/>
                      <w:sz w:val="20"/>
                      <w:w w:val="120"/>
                      <w:b/>
                      <w:szCs w:val="26"/>
                    </w:rPr>
                    <w:t>Identification</w:t>
                  </w:r>
                </w:p>
              </w:txbxContent>
            </v:textbox>
            <v:wrap v:type="square"/>
            <v:fill type="solid" color2="black" detectmouseclick="t"/>
            <v:stroke color="#3465a4" joinstyle="round" endcap="flat"/>
          </v:shape>
        </w:pict>
        <w:pict>
          <v:shape id="shape_0" fillcolor="white" stroked="f" style="position:absolute;margin-left:-73.7pt;margin-top:135.75pt;width:76.6pt;height:29.9pt;rotation:270" type="shapetype_202">
            <v:textbox>
              <w:txbxContent>
                <w:p>
                  <w:pPr>
                    <w:bidi w:val="0"/>
                    <w:jc w:val="center"/>
                  </w:pPr>
                  <w:r>
                    <w:rPr>
                      <w:color w:val="000000"/>
                      <w:sz w:val="20"/>
                      <w:w w:val="120"/>
                      <w:b/>
                      <w:szCs w:val="26"/>
                    </w:rPr>
                    <w:t>Screening</w:t>
                  </w:r>
                </w:p>
              </w:txbxContent>
            </v:textbox>
            <v:wrap v:type="square"/>
            <v:fill type="solid" color2="black" detectmouseclick="t"/>
            <v:stroke color="#3465a4" joinstyle="round" endcap="flat"/>
          </v:shape>
        </w:pict>
        <w:pict>
          <v:shape id="shape_0" fillcolor="white" stroked="f" style="position:absolute;margin-left:-74.9pt;margin-top:213.55pt;width:79.05pt;height:29.95pt;rotation:270" type="shapetype_202">
            <v:textbox>
              <w:txbxContent>
                <w:p>
                  <w:pPr>
                    <w:bidi w:val="0"/>
                    <w:jc w:val="center"/>
                  </w:pPr>
                  <w:r>
                    <w:rPr>
                      <w:color w:val="000000"/>
                      <w:sz w:val="20"/>
                      <w:w w:val="120"/>
                      <w:b/>
                      <w:szCs w:val="26"/>
                    </w:rPr>
                    <w:t>Eligibility</w:t>
                  </w:r>
                </w:p>
              </w:txbxContent>
            </v:textbox>
            <v:wrap v:type="square"/>
            <v:fill type="solid" color2="black" detectmouseclick="t"/>
            <v:stroke color="#3465a4" joinstyle="round" endcap="flat"/>
          </v:shape>
        </w:pict>
        <w:pict>
          <v:shape id="shape_0" fillcolor="white" stroked="f" style="position:absolute;margin-left:-71.35pt;margin-top:291pt;width:72pt;height:30pt;rotation:270" type="shapetype_202">
            <v:textbox>
              <w:txbxContent>
                <w:p>
                  <w:pPr>
                    <w:bidi w:val="0"/>
                    <w:jc w:val="center"/>
                  </w:pPr>
                  <w:r>
                    <w:rPr>
                      <w:color w:val="000000"/>
                      <w:sz w:val="20"/>
                      <w:w w:val="120"/>
                      <w:b/>
                      <w:szCs w:val="26"/>
                    </w:rPr>
                    <w:t>Included</w:t>
                  </w:r>
                </w:p>
              </w:txbxContent>
            </v:textbox>
            <v:wrap v:type="square"/>
            <v:fill type="solid" color2="black" detectmouseclick="t"/>
            <v:stroke color="#3465a4" joinstyle="round" endcap="flat"/>
          </v:shape>
        </w:pict>
      </w:r>
    </w:p>
    <w:p>
      <w:pPr>
        <w:pStyle w:val="Normal"/>
        <w:ind w:left="0" w:right="-432" w:hanging="0"/>
        <w:rPr>
          <w:color w:val="000000"/>
        </w:rPr>
      </w:pPr>
      <w:r>
        <w:rPr>
          <w:color w:val="000000"/>
        </w:rPr>
      </w:r>
    </w:p>
    <w:p>
      <w:pPr>
        <w:pStyle w:val="Normal"/>
        <w:rPr>
          <w:color w:val="000000"/>
        </w:rPr>
      </w:pPr>
      <w:r>
        <w:rPr>
          <w:color w:val="000000"/>
        </w:rPr>
      </w:r>
    </w:p>
    <w:sectPr>
      <w:footerReference w:type="default" r:id="rId10"/>
      <w:footnotePr>
        <w:numFmt w:val="decimal"/>
      </w:footnotePr>
      <w:type w:val="nextPage"/>
      <w:pgSz w:w="12240" w:h="15840"/>
      <w:pgMar w:left="1800" w:right="1728" w:header="0" w:top="1440" w:footer="720" w:bottom="1440" w:gutter="0"/>
      <w:lnNumType w:countBy="1" w:restart="continuou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Garamond">
    <w:charset w:val="00"/>
    <w:family w:val="roman"/>
    <w:pitch w:val="variable"/>
  </w:font>
  <w:font w:name="Tahoma">
    <w:charset w:val="00"/>
    <w:family w:val="swiss"/>
    <w:pitch w:val="variable"/>
  </w:font>
  <w:font w:name="Wingdings">
    <w:charset w:val="02"/>
    <w:family w:val="auto"/>
    <w:pitch w:val="variable"/>
  </w:font>
  <w:font w:name="Courier New">
    <w:charset w:val="00"/>
    <w:family w:val="modern"/>
    <w:pitch w:val="default"/>
  </w:font>
  <w:font w:name="Symbol">
    <w:charset w:val="01"/>
    <w:family w:val="roman"/>
    <w:pitch w:val="variable"/>
  </w:font>
  <w:font w:name="Ecofont Vera Sans">
    <w:charset w:val="01"/>
    <w:family w:val="swiss"/>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r>
      <w:pict>
        <v:rect fillcolor="#FFFFFF" style="position:absolute;width:39.65pt;height:34.55pt;margin-top:0.05pt;margin-left:196.35pt">
          <v:fill opacity="0f"/>
          <v:textbox>
            <w:txbxContent>
              <w:p>
                <w:pPr>
                  <w:pStyle w:val="Footer"/>
                  <w:jc w:val="center"/>
                  <w:rPr>
                    <w:rStyle w:val="PageNumber"/>
                    <w:b/>
                    <w:color w:val="000000"/>
                    <w:sz w:val="20"/>
                  </w:rPr>
                </w:pPr>
                <w:r>
                  <w:rPr>
                    <w:rStyle w:val="PageNumber"/>
                    <w:b/>
                    <w:color w:val="000000"/>
                    <w:sz w:val="20"/>
                  </w:rPr>
                  <w:t xml:space="preserve">Page </w:t>
                </w:r>
                <w:r>
                  <w:rPr>
                    <w:rStyle w:val="PageNumber"/>
                    <w:b/>
                    <w:color w:val="000000"/>
                    <w:sz w:val="20"/>
                  </w:rPr>
                  <w:fldChar w:fldCharType="begin"/>
                </w:r>
                <w:r>
                  <w:instrText> PAGE </w:instrText>
                </w:r>
                <w:r>
                  <w:fldChar w:fldCharType="separate"/>
                </w:r>
                <w:r>
                  <w:t>24</w:t>
                </w:r>
                <w:r>
                  <w:fldChar w:fldCharType="end"/>
                </w:r>
              </w:p>
              <w:p>
                <w:pPr>
                  <w:pStyle w:val="Footer"/>
                  <w:rPr/>
                </w:pPr>
                <w:r>
                  <w:rPr/>
                </w:r>
              </w:p>
            </w:txbxContent>
          </v:textbox>
          <w10:wrap type="square" side="largest"/>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r>
      <w:pict>
        <v:rect fillcolor="#FFFFFF" style="position:absolute;width:39.65pt;height:34.55pt;margin-top:0.05pt;margin-left:196.2pt">
          <v:fill opacity="0f"/>
          <v:textbox>
            <w:txbxContent>
              <w:p>
                <w:pPr>
                  <w:pStyle w:val="Footer"/>
                  <w:jc w:val="center"/>
                  <w:rPr>
                    <w:rStyle w:val="PageNumber"/>
                    <w:b/>
                    <w:color w:val="000000"/>
                    <w:sz w:val="20"/>
                  </w:rPr>
                </w:pPr>
                <w:r>
                  <w:rPr>
                    <w:rStyle w:val="PageNumber"/>
                    <w:b/>
                    <w:color w:val="000000"/>
                    <w:sz w:val="20"/>
                  </w:rPr>
                  <w:t xml:space="preserve">Page </w:t>
                </w:r>
                <w:r>
                  <w:rPr>
                    <w:rStyle w:val="PageNumber"/>
                    <w:b/>
                    <w:color w:val="000000"/>
                    <w:sz w:val="20"/>
                  </w:rPr>
                  <w:fldChar w:fldCharType="begin"/>
                </w:r>
                <w:r>
                  <w:instrText> PAGE </w:instrText>
                </w:r>
                <w:r>
                  <w:fldChar w:fldCharType="separate"/>
                </w:r>
                <w:r>
                  <w:t>27</w:t>
                </w:r>
                <w:r>
                  <w:fldChar w:fldCharType="end"/>
                </w:r>
              </w:p>
              <w:p>
                <w:pPr>
                  <w:pStyle w:val="Footer"/>
                  <w:rPr/>
                </w:pPr>
                <w:r>
                  <w:rPr/>
                </w:r>
              </w:p>
            </w:txbxContent>
          </v:textbox>
          <w10:wrap type="square" side="largest"/>
        </v:rect>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r>
      <w:pict>
        <v:rect fillcolor="#FFFFFF" style="position:absolute;width:39.65pt;height:34.55pt;margin-top:0.05pt;margin-left:198pt">
          <v:fill opacity="0f"/>
          <v:textbox>
            <w:txbxContent>
              <w:p>
                <w:pPr>
                  <w:pStyle w:val="Footer"/>
                  <w:jc w:val="center"/>
                  <w:rPr>
                    <w:rStyle w:val="PageNumber"/>
                    <w:b/>
                    <w:color w:val="000000"/>
                    <w:sz w:val="20"/>
                  </w:rPr>
                </w:pPr>
                <w:r>
                  <w:rPr>
                    <w:rStyle w:val="PageNumber"/>
                    <w:b/>
                    <w:color w:val="000000"/>
                    <w:sz w:val="20"/>
                  </w:rPr>
                  <w:t xml:space="preserve">Page </w:t>
                </w:r>
                <w:r>
                  <w:rPr>
                    <w:rStyle w:val="PageNumber"/>
                    <w:b/>
                    <w:color w:val="000000"/>
                    <w:sz w:val="20"/>
                  </w:rPr>
                  <w:fldChar w:fldCharType="begin"/>
                </w:r>
                <w:r>
                  <w:instrText> PAGE </w:instrText>
                </w:r>
                <w:r>
                  <w:fldChar w:fldCharType="separate"/>
                </w:r>
                <w:r>
                  <w:t>29</w:t>
                </w:r>
                <w:r>
                  <w:fldChar w:fldCharType="end"/>
                </w:r>
              </w:p>
              <w:p>
                <w:pPr>
                  <w:pStyle w:val="Footer"/>
                  <w:rPr/>
                </w:pPr>
                <w:r>
                  <w:rPr/>
                </w:r>
              </w:p>
            </w:txbxContent>
          </v:textbox>
          <w10:wrap type="square" side="largest"/>
        </v:rect>
      </w:pict>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Normal"/>
        <w:rPr>
          <w:bCs/>
          <w:color w:val="000000"/>
          <w:sz w:val="22"/>
        </w:rPr>
      </w:pPr>
      <w:r>
        <w:rPr>
          <w:rFonts w:eastAsia="Garamond"/>
          <w:color w:val="000000"/>
          <w:sz w:val="22"/>
        </w:rPr>
        <w:footnoteRef/>
        <w:tab/>
        <w:t xml:space="preserve"> </w:t>
      </w:r>
      <w:r>
        <w:rPr>
          <w:color w:val="000000"/>
          <w:sz w:val="22"/>
        </w:rPr>
        <w:t xml:space="preserve">Funded by the Università di Modena e Reggio Emilia, Italy; the Canadian Institutes of Health Research; Clinical Evidence BMJ Knowledge; The Cochrane Collaboration; and GlaxoSmithKline, Canada.  </w:t>
      </w:r>
      <w:r>
        <w:rPr>
          <w:bCs/>
          <w:color w:val="000000"/>
          <w:sz w:val="22"/>
        </w:rPr>
        <w:t xml:space="preserve">Dr. D. Moher is funded, in part, by a University of Ottawa Research Chair. Prof. A. Liberati was funded through a grant (COFIN-PRIN 2004) of the Italian Ministry of University; J Tetzlaff is funded by the Canadian Institute of Health Research and the Canadian Agency for Drugs and Technologies in health and Prof. D.G. Altman is funded by Cancer Research UK. </w:t>
      </w:r>
    </w:p>
    <w:p>
      <w:pPr>
        <w:pStyle w:val="Footnote"/>
        <w:rPr>
          <w:rFonts w:cs="Calibri" w:ascii="Calibri" w:hAnsi="Calibri"/>
          <w:color w:val="000000"/>
        </w:rPr>
      </w:pPr>
      <w:r>
        <w:rPr>
          <w:rFonts w:cs="Calibri" w:ascii="Calibri" w:hAnsi="Calibri"/>
          <w:color w:val="000000"/>
        </w:rPr>
      </w:r>
    </w:p>
  </w:footnote>
  <w:footnote w:id="3">
    <w:p>
      <w:pPr>
        <w:pStyle w:val="Footnote"/>
        <w:rPr>
          <w:color w:val="000000"/>
          <w:sz w:val="22"/>
        </w:rPr>
      </w:pPr>
      <w:r>
        <w:rPr>
          <w:rFonts w:eastAsia="Garamond"/>
          <w:color w:val="000000"/>
          <w:sz w:val="22"/>
        </w:rPr>
        <w:footnoteRef/>
        <w:tab/>
        <w:t xml:space="preserve"> </w:t>
      </w:r>
      <w:r>
        <w:rPr>
          <w:color w:val="000000"/>
          <w:sz w:val="22"/>
        </w:rPr>
        <w:t xml:space="preserve">The following people contributed to the PRISMA Statement: </w:t>
      </w:r>
      <w:r>
        <w:rPr>
          <w:b/>
          <w:bCs/>
          <w:color w:val="000000"/>
          <w:sz w:val="22"/>
        </w:rPr>
        <w:t>Doug Altman</w:t>
      </w:r>
      <w:r>
        <w:rPr>
          <w:color w:val="000000"/>
          <w:sz w:val="22"/>
        </w:rPr>
        <w:t xml:space="preserve">, D.Sc., Centre for Statistics in Medicine (Oxford, United Kingdom); </w:t>
      </w:r>
      <w:r>
        <w:rPr>
          <w:b/>
          <w:color w:val="000000"/>
          <w:sz w:val="22"/>
        </w:rPr>
        <w:t>Gerd Antes</w:t>
      </w:r>
      <w:r>
        <w:rPr>
          <w:color w:val="000000"/>
          <w:sz w:val="22"/>
        </w:rPr>
        <w:t>, PhD, University Hospital Freiburg (Freiburg, Germany);</w:t>
      </w:r>
      <w:r>
        <w:rPr>
          <w:b/>
          <w:color w:val="000000"/>
          <w:sz w:val="22"/>
        </w:rPr>
        <w:t xml:space="preserve"> David Atkins</w:t>
      </w:r>
      <w:r>
        <w:rPr>
          <w:color w:val="000000"/>
          <w:sz w:val="22"/>
        </w:rPr>
        <w:t xml:space="preserve">, MD, </w:t>
      </w:r>
      <w:r>
        <w:rPr>
          <w:color w:val="000000"/>
          <w:sz w:val="22"/>
          <w:lang w:eastAsia="it-IT"/>
        </w:rPr>
        <w:t xml:space="preserve">Health Services Research and Development Service, Veterans Health Administration </w:t>
      </w:r>
      <w:r>
        <w:rPr>
          <w:color w:val="000000"/>
          <w:sz w:val="22"/>
          <w:lang w:val="en-GB" w:eastAsia="it-IT"/>
        </w:rPr>
        <w:t>Washington DC, USA,</w:t>
      </w:r>
      <w:r>
        <w:rPr>
          <w:color w:val="000000"/>
          <w:sz w:val="22"/>
          <w:lang w:val="en-GB"/>
        </w:rPr>
        <w:t xml:space="preserve">; </w:t>
      </w:r>
      <w:r>
        <w:rPr>
          <w:b/>
          <w:color w:val="000000"/>
          <w:sz w:val="22"/>
          <w:lang w:val="en-GB"/>
        </w:rPr>
        <w:t>Virginia Barbour</w:t>
      </w:r>
      <w:r>
        <w:rPr>
          <w:color w:val="000000"/>
          <w:sz w:val="22"/>
          <w:lang w:val="en-GB"/>
        </w:rPr>
        <w:t xml:space="preserve">, MRCP, DPhil, PLoS Medicine (Cambridge, UK); </w:t>
      </w:r>
      <w:r>
        <w:rPr>
          <w:b/>
          <w:color w:val="000000"/>
          <w:sz w:val="22"/>
          <w:lang w:val="en-GB"/>
        </w:rPr>
        <w:t>Nick Barrowman</w:t>
      </w:r>
      <w:r>
        <w:rPr>
          <w:color w:val="000000"/>
          <w:sz w:val="22"/>
          <w:lang w:val="en-GB"/>
        </w:rPr>
        <w:t xml:space="preserve">, PhD, Children’s Hospital of Eastern Ontario (Ottawa, Canada); </w:t>
      </w:r>
      <w:r>
        <w:rPr>
          <w:b/>
          <w:color w:val="000000"/>
          <w:sz w:val="22"/>
          <w:lang w:val="en-GB"/>
        </w:rPr>
        <w:t>Jesse A. Berlin</w:t>
      </w:r>
      <w:r>
        <w:rPr>
          <w:color w:val="000000"/>
          <w:sz w:val="22"/>
          <w:lang w:val="en-GB"/>
        </w:rPr>
        <w:t>, ScD, Johnson &amp; Johnson Pharmaceutical Research and Development (</w:t>
      </w:r>
      <w:r>
        <w:rPr>
          <w:rFonts w:cs="Arial"/>
          <w:color w:val="000000"/>
          <w:sz w:val="22"/>
        </w:rPr>
        <w:t>Titusville,</w:t>
      </w:r>
      <w:r>
        <w:rPr>
          <w:color w:val="000000"/>
          <w:sz w:val="22"/>
          <w:lang w:val="en-GB"/>
        </w:rPr>
        <w:t xml:space="preserve"> New Jersey, USA); </w:t>
      </w:r>
      <w:r>
        <w:rPr>
          <w:b/>
          <w:bCs/>
          <w:color w:val="000000"/>
          <w:sz w:val="22"/>
        </w:rPr>
        <w:t>Jocalyn Clark</w:t>
      </w:r>
      <w:r>
        <w:rPr>
          <w:color w:val="000000"/>
          <w:sz w:val="22"/>
        </w:rPr>
        <w:t xml:space="preserve">, PhD, PLoS Medicine (Toronto, Canada), (at the time of writing, </w:t>
      </w:r>
      <w:r>
        <w:rPr>
          <w:iCs/>
          <w:color w:val="000000"/>
          <w:sz w:val="22"/>
        </w:rPr>
        <w:t>British Medical Journal,</w:t>
      </w:r>
      <w:r>
        <w:rPr>
          <w:color w:val="000000"/>
          <w:sz w:val="22"/>
        </w:rPr>
        <w:t xml:space="preserve"> (London, United Kingdom);</w:t>
      </w:r>
      <w:r>
        <w:rPr>
          <w:color w:val="000000"/>
          <w:sz w:val="22"/>
          <w:lang w:val="en-GB"/>
        </w:rPr>
        <w:t xml:space="preserve"> </w:t>
      </w:r>
      <w:r>
        <w:rPr>
          <w:color w:val="000000"/>
          <w:sz w:val="22"/>
        </w:rPr>
        <w:t xml:space="preserve">Mike Clarke, PhD, U.K. Cochrane Centre (Oxford, United Kingdom); </w:t>
      </w:r>
      <w:r>
        <w:rPr>
          <w:b/>
          <w:color w:val="000000"/>
          <w:sz w:val="22"/>
          <w:lang w:val="en-GB"/>
        </w:rPr>
        <w:t>Deborah Cook,</w:t>
      </w:r>
      <w:r>
        <w:rPr>
          <w:bCs/>
          <w:color w:val="000000"/>
          <w:sz w:val="22"/>
          <w:lang w:val="en-GB"/>
        </w:rPr>
        <w:t xml:space="preserve"> MD,</w:t>
      </w:r>
      <w:r>
        <w:rPr>
          <w:color w:val="000000"/>
          <w:sz w:val="22"/>
          <w:lang w:val="en-GB"/>
        </w:rPr>
        <w:t xml:space="preserve"> Departments of Medicine, Clinical Epidemiology and Biostatistics, McMaster University (Hamilton, Canada); </w:t>
      </w:r>
      <w:r>
        <w:rPr>
          <w:b/>
          <w:color w:val="000000"/>
          <w:sz w:val="22"/>
          <w:lang w:val="en-GB"/>
        </w:rPr>
        <w:t>Roberto D’Amico</w:t>
      </w:r>
      <w:r>
        <w:rPr>
          <w:color w:val="000000"/>
          <w:sz w:val="22"/>
          <w:lang w:val="en-GB"/>
        </w:rPr>
        <w:t xml:space="preserve">, PhD, University of Modena, Reggio Emilia, Modena and Italian Cochrane Centre, Mario Negri Institute, Milano (Italy); </w:t>
      </w:r>
      <w:r>
        <w:rPr>
          <w:b/>
          <w:color w:val="000000"/>
          <w:sz w:val="22"/>
          <w:lang w:val="en-GB"/>
        </w:rPr>
        <w:t>Jonathan J Deeks</w:t>
      </w:r>
      <w:r>
        <w:rPr>
          <w:color w:val="000000"/>
          <w:sz w:val="22"/>
          <w:lang w:val="en-GB"/>
        </w:rPr>
        <w:t xml:space="preserve">, PhD, University of Birmingham (Birmingham, UK); </w:t>
      </w:r>
      <w:r>
        <w:rPr>
          <w:color w:val="000000"/>
          <w:sz w:val="22"/>
        </w:rPr>
        <w:t xml:space="preserve">P.J. Devereaux, MD, PhD, Departments of Medicine, Clinical Epidemiology &amp; Biostatistics, McMaster University (Hamilton, Canada); </w:t>
      </w:r>
      <w:r>
        <w:rPr>
          <w:b/>
          <w:color w:val="000000"/>
          <w:sz w:val="22"/>
          <w:lang w:val="en-GB"/>
        </w:rPr>
        <w:t>Kay Dickersin</w:t>
      </w:r>
      <w:r>
        <w:rPr>
          <w:color w:val="000000"/>
          <w:sz w:val="22"/>
          <w:lang w:val="en-GB"/>
        </w:rPr>
        <w:t xml:space="preserve">, PhD, Johns Hopkins Bloomberg School of Public Health (Baltimore, MD, USA); </w:t>
      </w:r>
      <w:r>
        <w:rPr>
          <w:b/>
          <w:color w:val="000000"/>
          <w:sz w:val="22"/>
          <w:lang w:val="en-GB"/>
        </w:rPr>
        <w:t>Matthias Egger</w:t>
      </w:r>
      <w:r>
        <w:rPr>
          <w:color w:val="000000"/>
          <w:sz w:val="22"/>
          <w:lang w:val="en-GB"/>
        </w:rPr>
        <w:t xml:space="preserve">, MD, Department of Social and Preventive Medicine, University of Berne (Berne, Switzerland); </w:t>
      </w:r>
      <w:r>
        <w:rPr>
          <w:b/>
          <w:color w:val="000000"/>
          <w:sz w:val="22"/>
          <w:lang w:val="en-GB"/>
        </w:rPr>
        <w:t>Edzard Ernst</w:t>
      </w:r>
      <w:r>
        <w:rPr>
          <w:color w:val="000000"/>
          <w:sz w:val="22"/>
          <w:lang w:val="en-GB"/>
        </w:rPr>
        <w:t xml:space="preserve">, MD, PhD, FRCP, FRCP(Edin), Peninsula Medical School (Exeter, UK); </w:t>
      </w:r>
      <w:r>
        <w:rPr>
          <w:color w:val="000000"/>
          <w:sz w:val="22"/>
        </w:rPr>
        <w:t xml:space="preserve">Peter C. Gøtzsche, MD, M.Sc., The Nordic Cochrane Centre (Copenhagen, Denmark); </w:t>
      </w:r>
      <w:r>
        <w:rPr>
          <w:b/>
          <w:color w:val="000000"/>
          <w:sz w:val="22"/>
          <w:lang w:val="en-GB"/>
        </w:rPr>
        <w:t>Jeremy Grimshaw</w:t>
      </w:r>
      <w:r>
        <w:rPr>
          <w:color w:val="000000"/>
          <w:sz w:val="22"/>
          <w:lang w:val="en-GB"/>
        </w:rPr>
        <w:t xml:space="preserve">, MBChB, PhD, FRCFP, Ottawa Health Research Institute (Ottawa, Ontario, Canada); </w:t>
      </w:r>
      <w:r>
        <w:rPr>
          <w:b/>
          <w:color w:val="000000"/>
          <w:sz w:val="22"/>
          <w:lang w:val="en-GB"/>
        </w:rPr>
        <w:t>Gordon Guyatt</w:t>
      </w:r>
      <w:r>
        <w:rPr>
          <w:color w:val="000000"/>
          <w:sz w:val="22"/>
          <w:lang w:val="en-GB"/>
        </w:rPr>
        <w:t xml:space="preserve">, MD, Departments of Medicine, Clinical Epidemiology &amp; Biostatistics, McMaster University (Hamilton, Ontario, Canada); </w:t>
      </w:r>
      <w:r>
        <w:rPr>
          <w:b/>
          <w:color w:val="000000"/>
          <w:sz w:val="22"/>
          <w:lang w:val="en-GB"/>
        </w:rPr>
        <w:t>Julian Higgins</w:t>
      </w:r>
      <w:r>
        <w:rPr>
          <w:color w:val="000000"/>
          <w:sz w:val="22"/>
          <w:lang w:val="en-GB"/>
        </w:rPr>
        <w:t xml:space="preserve">, PhD, MRC Biostatistics Unit (Cambridge, UK); </w:t>
      </w:r>
      <w:r>
        <w:rPr>
          <w:color w:val="000000"/>
          <w:sz w:val="22"/>
        </w:rPr>
        <w:t xml:space="preserve">John P.A. Ioannidis, MD, University of Ioannina Campus (Ioannina, Greece); Jos Kleijnen, MD, PhD Kleijnen Systematic Reviews Ltd, (York, United Kingdom); </w:t>
      </w:r>
      <w:r>
        <w:rPr>
          <w:b/>
          <w:color w:val="000000"/>
          <w:sz w:val="22"/>
          <w:lang w:val="en-GB"/>
        </w:rPr>
        <w:t>Tom Lang</w:t>
      </w:r>
      <w:r>
        <w:rPr>
          <w:color w:val="000000"/>
          <w:sz w:val="22"/>
          <w:lang w:val="en-GB"/>
        </w:rPr>
        <w:t xml:space="preserve">, MA, Tom Lang Communications and Training (Davis, California, USA); </w:t>
      </w:r>
      <w:r>
        <w:rPr>
          <w:b/>
          <w:bCs/>
          <w:color w:val="000000"/>
          <w:sz w:val="22"/>
        </w:rPr>
        <w:t>Alessandro Liberati</w:t>
      </w:r>
      <w:r>
        <w:rPr>
          <w:color w:val="000000"/>
          <w:sz w:val="22"/>
        </w:rPr>
        <w:t xml:space="preserve">, MD, Università di Modena e Reggio Emilia and Italian Cochrane Centre (Milano, Italy); </w:t>
      </w:r>
      <w:r>
        <w:rPr>
          <w:b/>
          <w:color w:val="000000"/>
          <w:sz w:val="22"/>
          <w:lang w:val="en-GB"/>
        </w:rPr>
        <w:t>Nicola Magrini</w:t>
      </w:r>
      <w:r>
        <w:rPr>
          <w:color w:val="000000"/>
          <w:sz w:val="22"/>
          <w:lang w:val="en-GB"/>
        </w:rPr>
        <w:t xml:space="preserve">, MD, NHS Centre for the Evaluation of the Effectiveness of Health Care - CeVEAS (Modena, Italy); </w:t>
      </w:r>
      <w:r>
        <w:rPr>
          <w:b/>
          <w:color w:val="000000"/>
          <w:sz w:val="22"/>
          <w:lang w:val="en-GB"/>
        </w:rPr>
        <w:t>David McNamee</w:t>
      </w:r>
      <w:r>
        <w:rPr>
          <w:color w:val="000000"/>
          <w:sz w:val="22"/>
          <w:lang w:val="en-GB"/>
        </w:rPr>
        <w:t xml:space="preserve">, PhD, </w:t>
      </w:r>
      <w:r>
        <w:rPr>
          <w:iCs/>
          <w:color w:val="000000"/>
          <w:sz w:val="22"/>
          <w:lang w:val="en-GB"/>
        </w:rPr>
        <w:t>The Lancet</w:t>
      </w:r>
      <w:r>
        <w:rPr>
          <w:color w:val="000000"/>
          <w:sz w:val="22"/>
          <w:lang w:val="en-GB"/>
        </w:rPr>
        <w:t xml:space="preserve"> (London, UK); </w:t>
      </w:r>
      <w:r>
        <w:rPr>
          <w:b/>
          <w:color w:val="000000"/>
          <w:sz w:val="22"/>
          <w:lang w:val="en-GB"/>
        </w:rPr>
        <w:t>Lorenzo Moja,</w:t>
      </w:r>
      <w:r>
        <w:rPr>
          <w:color w:val="000000"/>
          <w:sz w:val="22"/>
          <w:lang w:val="en-GB"/>
        </w:rPr>
        <w:t xml:space="preserve"> MD, MSc, Italian Cochrane Centre, Mario Negri Institute for Pharmacological Research (Milano, Italy); </w:t>
      </w:r>
      <w:r>
        <w:rPr>
          <w:color w:val="000000"/>
          <w:sz w:val="22"/>
        </w:rPr>
        <w:t xml:space="preserve">David Moher, PhD, Clinical Epidemiology Program, Ottawa Health Research Institute (Ottawa, Canada); Cynthia Mulrow, MD, MSc, </w:t>
      </w:r>
      <w:r>
        <w:rPr>
          <w:iCs/>
          <w:color w:val="000000"/>
          <w:sz w:val="22"/>
        </w:rPr>
        <w:t>Annals of Internal Medicine</w:t>
      </w:r>
      <w:r>
        <w:rPr>
          <w:color w:val="000000"/>
          <w:sz w:val="22"/>
        </w:rPr>
        <w:t xml:space="preserve"> (Philadelphia, Pennsylvania); </w:t>
      </w:r>
      <w:r>
        <w:rPr>
          <w:b/>
          <w:color w:val="000000"/>
          <w:sz w:val="22"/>
          <w:lang w:val="en-GB"/>
        </w:rPr>
        <w:t>Marianne Napoli</w:t>
      </w:r>
      <w:r>
        <w:rPr>
          <w:color w:val="000000"/>
          <w:sz w:val="22"/>
          <w:lang w:val="en-GB"/>
        </w:rPr>
        <w:t xml:space="preserve"> </w:t>
      </w:r>
      <w:r>
        <w:rPr>
          <w:color w:val="000000"/>
          <w:sz w:val="22"/>
        </w:rPr>
        <w:t>Center for Medical Consumers (New York, New York)</w:t>
      </w:r>
      <w:r>
        <w:rPr>
          <w:color w:val="000000"/>
          <w:sz w:val="22"/>
          <w:lang w:val="en-GB"/>
        </w:rPr>
        <w:t xml:space="preserve">; </w:t>
      </w:r>
      <w:r>
        <w:rPr>
          <w:b/>
          <w:color w:val="000000"/>
          <w:sz w:val="22"/>
          <w:lang w:val="en-GB"/>
        </w:rPr>
        <w:t>Andy Oxman</w:t>
      </w:r>
      <w:r>
        <w:rPr>
          <w:color w:val="000000"/>
          <w:sz w:val="22"/>
          <w:lang w:val="en-GB"/>
        </w:rPr>
        <w:t xml:space="preserve">, MD, Norwegian Health Services Research Centre (Oslo, Norway); </w:t>
      </w:r>
      <w:r>
        <w:rPr>
          <w:b/>
          <w:color w:val="000000"/>
          <w:sz w:val="22"/>
          <w:lang w:val="en-GB"/>
        </w:rPr>
        <w:t>Ba’ Pham</w:t>
      </w:r>
      <w:r>
        <w:rPr>
          <w:color w:val="000000"/>
          <w:sz w:val="22"/>
          <w:lang w:val="en-GB"/>
        </w:rPr>
        <w:t xml:space="preserve">, MMath, GlaxoSmithKline Canada (Mississauga, Ontario, Canada); </w:t>
      </w:r>
      <w:r>
        <w:rPr>
          <w:b/>
          <w:bCs/>
          <w:color w:val="000000"/>
          <w:sz w:val="22"/>
          <w:lang w:val="en-GB"/>
        </w:rPr>
        <w:t>Drummond Rennie</w:t>
      </w:r>
      <w:r>
        <w:rPr>
          <w:color w:val="000000"/>
          <w:sz w:val="22"/>
          <w:lang w:val="en-GB"/>
        </w:rPr>
        <w:t xml:space="preserve">, MD, FRCP, FACP, University of California San Francisco (San Francisco, California, USA); </w:t>
      </w:r>
      <w:r>
        <w:rPr>
          <w:b/>
          <w:bCs/>
          <w:color w:val="000000"/>
          <w:sz w:val="22"/>
          <w:lang w:val="en-GB"/>
        </w:rPr>
        <w:t>Margaret Sampson</w:t>
      </w:r>
      <w:r>
        <w:rPr>
          <w:color w:val="000000"/>
          <w:sz w:val="22"/>
          <w:lang w:val="en-GB"/>
        </w:rPr>
        <w:t xml:space="preserve">, MLIS, Children’s Hospital of Eastern Ontario (Ottawa, Canada); </w:t>
      </w:r>
      <w:r>
        <w:rPr>
          <w:b/>
          <w:bCs/>
          <w:color w:val="000000"/>
          <w:sz w:val="22"/>
          <w:lang w:val="en-GB"/>
        </w:rPr>
        <w:t>Kenneth F Schulz</w:t>
      </w:r>
      <w:r>
        <w:rPr>
          <w:color w:val="000000"/>
          <w:sz w:val="22"/>
          <w:lang w:val="en-GB"/>
        </w:rPr>
        <w:t xml:space="preserve">, PhD, MBA, Family Health International (Durham, North Carolina, USA); </w:t>
      </w:r>
      <w:r>
        <w:rPr>
          <w:b/>
          <w:bCs/>
          <w:color w:val="000000"/>
          <w:sz w:val="22"/>
          <w:lang w:val="en-GB"/>
        </w:rPr>
        <w:t>Paul G Shekelle</w:t>
      </w:r>
      <w:r>
        <w:rPr>
          <w:color w:val="000000"/>
          <w:sz w:val="22"/>
          <w:lang w:val="en-GB"/>
        </w:rPr>
        <w:t xml:space="preserve">, MD, PhD, Southern California Evidence Based Practice Center (Santa Monica, California, USA); </w:t>
      </w:r>
      <w:r>
        <w:rPr>
          <w:b/>
          <w:bCs/>
          <w:color w:val="000000"/>
          <w:sz w:val="22"/>
          <w:lang w:val="en-GB"/>
        </w:rPr>
        <w:t>Jennifer Tetzlaff</w:t>
      </w:r>
      <w:r>
        <w:rPr>
          <w:color w:val="000000"/>
          <w:sz w:val="22"/>
          <w:lang w:val="en-GB"/>
        </w:rPr>
        <w:t>, BSc, Clinical Epidemiology Program, Ottawa Health Research Institute (Ottawa, Canada); David</w:t>
      </w:r>
      <w:r>
        <w:rPr>
          <w:b/>
          <w:bCs/>
          <w:color w:val="000000"/>
          <w:sz w:val="22"/>
          <w:lang w:val="en-GB"/>
        </w:rPr>
        <w:t xml:space="preserve"> Tovey</w:t>
      </w:r>
      <w:r>
        <w:rPr>
          <w:color w:val="000000"/>
          <w:sz w:val="22"/>
          <w:lang w:val="en-GB"/>
        </w:rPr>
        <w:t xml:space="preserve">, FRCGP, </w:t>
      </w:r>
      <w:r>
        <w:rPr>
          <w:iCs/>
          <w:color w:val="000000"/>
          <w:sz w:val="22"/>
          <w:lang w:val="en-GB"/>
        </w:rPr>
        <w:t>British Medical Journal</w:t>
      </w:r>
      <w:r>
        <w:rPr>
          <w:color w:val="000000"/>
          <w:sz w:val="22"/>
          <w:lang w:val="en-GB"/>
        </w:rPr>
        <w:t xml:space="preserve"> </w:t>
      </w:r>
      <w:r>
        <w:rPr>
          <w:iCs/>
          <w:color w:val="000000"/>
          <w:sz w:val="22"/>
          <w:lang w:val="en-GB"/>
        </w:rPr>
        <w:t xml:space="preserve">(London, </w:t>
      </w:r>
      <w:r>
        <w:rPr>
          <w:color w:val="000000"/>
          <w:sz w:val="22"/>
          <w:lang w:val="en-GB"/>
        </w:rPr>
        <w:t>UK</w:t>
      </w:r>
      <w:r>
        <w:rPr>
          <w:iCs/>
          <w:color w:val="000000"/>
          <w:sz w:val="22"/>
          <w:lang w:val="en-GB"/>
        </w:rPr>
        <w:t>)</w:t>
      </w:r>
      <w:r>
        <w:rPr>
          <w:color w:val="000000"/>
          <w:sz w:val="22"/>
        </w:rPr>
        <w:t xml:space="preserve">; </w:t>
      </w:r>
      <w:r>
        <w:rPr>
          <w:b/>
          <w:bCs/>
          <w:color w:val="000000"/>
          <w:sz w:val="22"/>
        </w:rPr>
        <w:t>Peter Tugwell</w:t>
      </w:r>
      <w:r>
        <w:rPr>
          <w:color w:val="000000"/>
          <w:sz w:val="22"/>
        </w:rPr>
        <w:t xml:space="preserve">, MD, MSc, FRCPC, Institute of Population Health (Ottawa, Canada).  </w:t>
      </w:r>
    </w:p>
    <w:p>
      <w:pPr>
        <w:pStyle w:val="Footnote"/>
        <w:ind w:left="0" w:right="0" w:firstLine="720"/>
        <w:rPr>
          <w:color w:val="000000"/>
          <w:sz w:val="22"/>
        </w:rPr>
      </w:pPr>
      <w:r>
        <w:rPr>
          <w:color w:val="000000"/>
          <w:sz w:val="22"/>
        </w:rPr>
        <w:tab/>
        <w:t xml:space="preserve">David Moher, Douglas G. Altman and Alessandro Liberati participated in regular conference calls, identified the participants, secured funds, planned and participated in the meeting and drafted the manuscript. Jennifer Tetzlaff participated in identifying the evidence base for PRISMA, refining the checklist and drafting the manuscript. David Moher is the guarantor of the manuscript.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951"/>
        </w:tabs>
        <w:ind w:left="951" w:hanging="360"/>
      </w:pPr>
      <w:rPr>
        <w:b w:val="false"/>
        <w:bCs/>
      </w:rPr>
    </w:lvl>
  </w:abstractNum>
  <w:abstractNum w:abstractNumId="3">
    <w:lvl w:ilvl="0">
      <w:start w:val="2"/>
      <w:numFmt w:val="decimal"/>
      <w:lvlText w:val="%1."/>
      <w:lvlJc w:val="left"/>
      <w:pPr>
        <w:tabs>
          <w:tab w:val="num" w:pos="720"/>
        </w:tabs>
        <w:ind w:left="720" w:hanging="360"/>
      </w:pPr>
      <w:rPr>
        <w:color w:val="000000"/>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Garamond" w:hAnsi="Garamond" w:eastAsia="Times New Roman" w:cs="Garamond"/>
      <w:color w:val="008000"/>
      <w:w w:val="120"/>
      <w:sz w:val="24"/>
      <w:szCs w:val="24"/>
      <w:lang w:val="en-CA" w:bidi="ar-SA" w:eastAsia="zh-CN"/>
    </w:rPr>
  </w:style>
  <w:style w:type="paragraph" w:styleId="Heading1">
    <w:name w:val="Heading 1"/>
    <w:basedOn w:val="Normal"/>
    <w:next w:val="Normal"/>
    <w:pPr>
      <w:keepNext/>
      <w:numPr>
        <w:ilvl w:val="0"/>
        <w:numId w:val="1"/>
      </w:numPr>
      <w:spacing w:lineRule="auto" w:line="360"/>
      <w:ind w:left="0" w:right="-714" w:hanging="0"/>
      <w:outlineLvl w:val="0"/>
      <w:outlineLvl w:val="0"/>
    </w:pPr>
    <w:rPr>
      <w:rFonts w:ascii="Tahoma" w:hAnsi="Tahoma" w:cs="Tahoma"/>
      <w:b/>
      <w:bCs/>
      <w:color w:val="000000"/>
      <w:sz w:val="26"/>
    </w:rPr>
  </w:style>
  <w:style w:type="paragraph" w:styleId="Heading2">
    <w:name w:val="Heading 2"/>
    <w:basedOn w:val="Normal"/>
    <w:next w:val="Normal"/>
    <w:pPr>
      <w:keepNext/>
      <w:numPr>
        <w:ilvl w:val="1"/>
        <w:numId w:val="1"/>
      </w:numPr>
      <w:tabs>
        <w:tab w:val="decimal" w:pos="214" w:leader="none"/>
      </w:tabs>
      <w:spacing w:before="40" w:after="20"/>
      <w:outlineLvl w:val="1"/>
      <w:outlineLvl w:val="1"/>
    </w:pPr>
    <w:rPr>
      <w:b/>
      <w:bCs/>
      <w:sz w:val="22"/>
      <w:szCs w:val="22"/>
      <w:lang w:val="en-GB"/>
    </w:rPr>
  </w:style>
  <w:style w:type="paragraph" w:styleId="Heading3">
    <w:name w:val="Heading 3"/>
    <w:basedOn w:val="Normal"/>
    <w:next w:val="Normal"/>
    <w:pPr>
      <w:keepNext/>
      <w:numPr>
        <w:ilvl w:val="2"/>
        <w:numId w:val="1"/>
      </w:numPr>
      <w:tabs>
        <w:tab w:val="decimal" w:pos="214" w:leader="none"/>
      </w:tabs>
      <w:spacing w:before="40" w:after="20"/>
      <w:outlineLvl w:val="2"/>
      <w:outlineLvl w:val="2"/>
    </w:pPr>
    <w:rPr>
      <w:b/>
      <w:bCs/>
      <w:color w:val="000000"/>
      <w:sz w:val="22"/>
      <w:szCs w:val="22"/>
      <w:lang w:val="en-GB"/>
    </w:rPr>
  </w:style>
  <w:style w:type="paragraph" w:styleId="Heading4">
    <w:name w:val="Heading 4"/>
    <w:basedOn w:val="Normal"/>
    <w:next w:val="Normal"/>
    <w:pPr>
      <w:keepNext/>
      <w:numPr>
        <w:ilvl w:val="3"/>
        <w:numId w:val="1"/>
      </w:numPr>
      <w:outlineLvl w:val="3"/>
      <w:outlineLvl w:val="3"/>
    </w:pPr>
    <w:rPr>
      <w:b/>
      <w:color w:val="000000"/>
    </w:rPr>
  </w:style>
  <w:style w:type="paragraph" w:styleId="Heading5">
    <w:name w:val="Heading 5"/>
    <w:basedOn w:val="Normal"/>
    <w:next w:val="Normal"/>
    <w:pPr>
      <w:keepNext/>
      <w:numPr>
        <w:ilvl w:val="4"/>
        <w:numId w:val="1"/>
      </w:numPr>
      <w:spacing w:before="40" w:after="40"/>
      <w:outlineLvl w:val="4"/>
      <w:outlineLvl w:val="4"/>
    </w:pPr>
    <w:rPr>
      <w:rFonts w:ascii="Tahoma" w:hAnsi="Tahoma" w:cs="Tahoma"/>
      <w:b/>
      <w:bCs/>
      <w:color w:val="993366"/>
      <w:w w:val="100"/>
      <w:sz w:val="30"/>
      <w:szCs w:val="20"/>
      <w:lang w:val="en-GB"/>
    </w:rPr>
  </w:style>
  <w:style w:type="paragraph" w:styleId="Heading6">
    <w:name w:val="Heading 6"/>
    <w:basedOn w:val="Normal"/>
    <w:next w:val="Normal"/>
    <w:pPr>
      <w:keepNext/>
      <w:numPr>
        <w:ilvl w:val="5"/>
        <w:numId w:val="1"/>
      </w:numPr>
      <w:ind w:left="720" w:right="0" w:hanging="0"/>
      <w:outlineLvl w:val="5"/>
      <w:outlineLvl w:val="5"/>
    </w:pPr>
    <w:rPr>
      <w:color w:val="000000"/>
    </w:rPr>
  </w:style>
  <w:style w:type="paragraph" w:styleId="Heading7">
    <w:name w:val="Heading 7"/>
    <w:basedOn w:val="Normal"/>
    <w:next w:val="Normal"/>
    <w:pPr>
      <w:keepNext/>
      <w:numPr>
        <w:ilvl w:val="6"/>
        <w:numId w:val="1"/>
      </w:numPr>
      <w:spacing w:before="40" w:after="40"/>
      <w:outlineLvl w:val="6"/>
      <w:outlineLvl w:val="6"/>
    </w:pPr>
    <w:rPr>
      <w:rFonts w:ascii="Tahoma" w:hAnsi="Tahoma" w:cs="Tahoma"/>
      <w:b/>
      <w:bCs/>
      <w:color w:val="000000"/>
      <w:w w:val="100"/>
      <w:sz w:val="36"/>
      <w:szCs w:val="20"/>
      <w:lang w:val="en-GB"/>
    </w:rPr>
  </w:style>
  <w:style w:type="paragraph" w:styleId="Heading8">
    <w:name w:val="Heading 8"/>
    <w:basedOn w:val="Normal"/>
    <w:next w:val="Normal"/>
    <w:pPr>
      <w:keepNext/>
      <w:numPr>
        <w:ilvl w:val="7"/>
        <w:numId w:val="1"/>
      </w:numPr>
      <w:jc w:val="center"/>
      <w:outlineLvl w:val="7"/>
      <w:outlineLvl w:val="7"/>
    </w:pPr>
    <w:rPr>
      <w:b/>
      <w:color w:val="000000"/>
      <w:sz w:val="22"/>
    </w:rPr>
  </w:style>
  <w:style w:type="paragraph" w:styleId="Heading9">
    <w:name w:val="Heading 9"/>
    <w:basedOn w:val="Normal"/>
    <w:next w:val="Normal"/>
    <w:pPr>
      <w:keepNext/>
      <w:numPr>
        <w:ilvl w:val="8"/>
        <w:numId w:val="1"/>
      </w:numPr>
      <w:spacing w:before="40" w:after="40"/>
      <w:outlineLvl w:val="8"/>
      <w:outlineLvl w:val="8"/>
    </w:pPr>
    <w:rPr>
      <w:rFonts w:ascii="Tahoma" w:hAnsi="Tahoma" w:cs="Tahoma"/>
      <w:b/>
      <w:bCs/>
      <w:color w:val="993366"/>
      <w:w w:val="100"/>
      <w:szCs w:val="20"/>
      <w:lang w:val="en-GB"/>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b w:val="false"/>
      <w:bCs/>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Wingdings" w:hAnsi="Wingdings" w:cs="Wingdings"/>
    </w:rPr>
  </w:style>
  <w:style w:type="character" w:styleId="WW8Num3z1">
    <w:name w:val="WW8Num3z1"/>
    <w:rPr>
      <w:rFonts w:ascii="Courier New" w:hAnsi="Courier New" w:cs="Courier New"/>
    </w:rPr>
  </w:style>
  <w:style w:type="character" w:styleId="WW8Num3z3">
    <w:name w:val="WW8Num3z3"/>
    <w:rPr>
      <w:rFonts w:ascii="Symbol" w:hAnsi="Symbol" w:cs="Symbol"/>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style>
  <w:style w:type="character" w:styleId="WW8Num6z1">
    <w:name w:val="WW8Num6z1"/>
    <w:rPr/>
  </w:style>
  <w:style w:type="character" w:styleId="WW8Num6z2">
    <w:name w:val="WW8Num6z2"/>
    <w:rPr/>
  </w:style>
  <w:style w:type="character" w:styleId="WW8Num6z3">
    <w:name w:val="WW8Num6z3"/>
    <w:rPr/>
  </w:style>
  <w:style w:type="character" w:styleId="WW8Num6z4">
    <w:name w:val="WW8Num6z4"/>
    <w:rPr/>
  </w:style>
  <w:style w:type="character" w:styleId="WW8Num6z5">
    <w:name w:val="WW8Num6z5"/>
    <w:rPr/>
  </w:style>
  <w:style w:type="character" w:styleId="WW8Num6z6">
    <w:name w:val="WW8Num6z6"/>
    <w:rPr/>
  </w:style>
  <w:style w:type="character" w:styleId="WW8Num6z7">
    <w:name w:val="WW8Num6z7"/>
    <w:rPr/>
  </w:style>
  <w:style w:type="character" w:styleId="WW8Num6z8">
    <w:name w:val="WW8Num6z8"/>
    <w:rPr/>
  </w:style>
  <w:style w:type="character" w:styleId="WW8Num7z0">
    <w:name w:val="WW8Num7z0"/>
    <w:rPr>
      <w:rFonts w:ascii="Symbol" w:hAnsi="Symbol" w:cs="Symbol"/>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8z0">
    <w:name w:val="WW8Num8z0"/>
    <w:rPr>
      <w:color w:val="00000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style>
  <w:style w:type="character" w:styleId="WW8Num10z1">
    <w:name w:val="WW8Num10z1"/>
    <w:rPr/>
  </w:style>
  <w:style w:type="character" w:styleId="WW8Num10z2">
    <w:name w:val="WW8Num10z2"/>
    <w:rPr/>
  </w:style>
  <w:style w:type="character" w:styleId="WW8Num10z3">
    <w:name w:val="WW8Num10z3"/>
    <w:rPr/>
  </w:style>
  <w:style w:type="character" w:styleId="WW8Num10z4">
    <w:name w:val="WW8Num10z4"/>
    <w:rPr/>
  </w:style>
  <w:style w:type="character" w:styleId="WW8Num10z5">
    <w:name w:val="WW8Num10z5"/>
    <w:rPr/>
  </w:style>
  <w:style w:type="character" w:styleId="WW8Num10z6">
    <w:name w:val="WW8Num10z6"/>
    <w:rPr/>
  </w:style>
  <w:style w:type="character" w:styleId="WW8Num10z7">
    <w:name w:val="WW8Num10z7"/>
    <w:rPr/>
  </w:style>
  <w:style w:type="character" w:styleId="WW8Num10z8">
    <w:name w:val="WW8Num10z8"/>
    <w:rPr/>
  </w:style>
  <w:style w:type="character" w:styleId="DefaultParagraphFont">
    <w:name w:val="Default Paragraph Font"/>
    <w:rPr/>
  </w:style>
  <w:style w:type="character" w:styleId="FootnoteCharacters">
    <w:name w:val="Footnote Characters"/>
    <w:basedOn w:val="DefaultParagraphFont"/>
    <w:rPr>
      <w:vertAlign w:val="superscript"/>
    </w:rPr>
  </w:style>
  <w:style w:type="character" w:styleId="LineNumbering">
    <w:name w:val="Line Numbering"/>
    <w:basedOn w:val="DefaultParagraphFon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CommentReference">
    <w:name w:val="Comment Reference"/>
    <w:basedOn w:val="DefaultParagraphFont"/>
    <w:rPr>
      <w:sz w:val="16"/>
      <w:szCs w:val="16"/>
    </w:rPr>
  </w:style>
  <w:style w:type="character" w:styleId="Ti2">
    <w:name w:val="ti2"/>
    <w:basedOn w:val="DefaultParagraphFont"/>
    <w:rPr>
      <w:sz w:val="22"/>
      <w:szCs w:val="22"/>
    </w:rPr>
  </w:style>
  <w:style w:type="character" w:styleId="StrongEmphasis">
    <w:name w:val="Strong Emphasis"/>
    <w:basedOn w:val="DefaultParagraphFont"/>
    <w:rPr>
      <w:b/>
      <w:bCs/>
    </w:rPr>
  </w:style>
  <w:style w:type="character" w:styleId="Heading1Char">
    <w:name w:val="Heading 1 Char"/>
    <w:basedOn w:val="DefaultParagraphFont"/>
    <w:rPr>
      <w:rFonts w:ascii="Tahoma" w:hAnsi="Tahoma" w:cs="Tahoma"/>
      <w:b/>
      <w:bCs/>
      <w:w w:val="120"/>
      <w:sz w:val="26"/>
      <w:szCs w:val="24"/>
      <w:lang w:val="en-CA" w:bidi="ar-SA"/>
    </w:rPr>
  </w:style>
  <w:style w:type="character" w:styleId="VisitedInternetLink">
    <w:name w:val="Visited Internet Link"/>
    <w:basedOn w:val="DefaultParagraphFont"/>
    <w:rPr>
      <w:color w:val="800080"/>
      <w:u w:val="single"/>
    </w:rPr>
  </w:style>
  <w:style w:type="character" w:styleId="Fldtextrecip1">
    <w:name w:val="fldtextrecip1"/>
    <w:basedOn w:val="DefaultParagraphFon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360"/>
      <w:jc w:val="both"/>
    </w:pPr>
    <w:rPr>
      <w:color w:val="000000"/>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odyText2">
    <w:name w:val="Body Text 2"/>
    <w:basedOn w:val="Normal"/>
    <w:pPr>
      <w:spacing w:lineRule="auto" w:line="360"/>
      <w:jc w:val="both"/>
    </w:pPr>
    <w:rPr/>
  </w:style>
  <w:style w:type="paragraph" w:styleId="TextBodyIndent">
    <w:name w:val="Text Body Indent"/>
    <w:basedOn w:val="Normal"/>
    <w:pPr>
      <w:ind w:left="720" w:right="0" w:hanging="0"/>
    </w:pPr>
    <w:rPr/>
  </w:style>
  <w:style w:type="paragraph" w:styleId="BodyTextIndent2">
    <w:name w:val="Body Text Indent 2"/>
    <w:basedOn w:val="Normal"/>
    <w:pPr>
      <w:spacing w:lineRule="auto" w:line="360"/>
      <w:ind w:left="0" w:right="0" w:firstLine="720"/>
    </w:pPr>
    <w:rPr/>
  </w:style>
  <w:style w:type="paragraph" w:styleId="BodyTextIndent3">
    <w:name w:val="Body Text Indent 3"/>
    <w:basedOn w:val="Normal"/>
    <w:pPr>
      <w:ind w:left="0" w:right="0" w:firstLine="720"/>
    </w:pPr>
    <w:rPr>
      <w:color w:val="000000"/>
    </w:rPr>
  </w:style>
  <w:style w:type="paragraph" w:styleId="BodyText3">
    <w:name w:val="Body Text 3"/>
    <w:basedOn w:val="Normal"/>
    <w:pPr>
      <w:spacing w:lineRule="auto" w:line="360"/>
    </w:pPr>
    <w:rPr>
      <w:color w:val="000000"/>
    </w:rPr>
  </w:style>
  <w:style w:type="paragraph" w:styleId="Footnote">
    <w:name w:val="Footnote"/>
    <w:basedOn w:val="Normal"/>
    <w:pPr/>
    <w:rPr>
      <w:sz w:val="20"/>
      <w:szCs w:val="20"/>
    </w:rPr>
  </w:style>
  <w:style w:type="paragraph" w:styleId="CommentText">
    <w:name w:val="Comment Text"/>
    <w:basedOn w:val="Normal"/>
    <w:pPr/>
    <w:rPr>
      <w:sz w:val="20"/>
      <w:szCs w:val="20"/>
    </w:rPr>
  </w:style>
  <w:style w:type="paragraph" w:styleId="CommentSubject">
    <w:name w:val="Comment Subject"/>
    <w:basedOn w:val="CommentText"/>
    <w:next w:val="CommentText"/>
    <w:pPr/>
    <w:rPr>
      <w:b/>
      <w:bCs/>
    </w:rPr>
  </w:style>
  <w:style w:type="paragraph" w:styleId="BalloonText">
    <w:name w:val="Balloon Text"/>
    <w:basedOn w:val="Normal"/>
    <w:pPr/>
    <w:rPr>
      <w:rFonts w:ascii="Tahoma" w:hAnsi="Tahoma" w:cs="Tahoma"/>
      <w:sz w:val="16"/>
      <w:szCs w:val="16"/>
    </w:rPr>
  </w:style>
  <w:style w:type="paragraph" w:styleId="DocumentMap">
    <w:name w:val="Document Map"/>
    <w:basedOn w:val="Normal"/>
    <w:pPr>
      <w:shd w:fill="000080" w:val="clear"/>
    </w:pPr>
    <w:rPr>
      <w:rFonts w:ascii="Tahoma" w:hAnsi="Tahoma" w:cs="Tahoma"/>
      <w:sz w:val="20"/>
      <w:szCs w:val="2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risma-statement.org/" TargetMode="External"/><Relationship Id="rId3" Type="http://schemas.openxmlformats.org/officeDocument/2006/relationships/hyperlink" Target="http://www.cihr-irsc.gc.ca/e/documents/rct_reg_e.pdf" TargetMode="External"/><Relationship Id="rId4" Type="http://schemas.openxmlformats.org/officeDocument/2006/relationships/hyperlink" Target="http://www.cochrane.org/resources/glossary.htm" TargetMode="External"/><Relationship Id="rId5" Type="http://schemas.openxmlformats.org/officeDocument/2006/relationships/hyperlink" Target="http://www.york.ac.uk/inst/crd/ongoing.htm" TargetMode="External"/><Relationship Id="rId6" Type="http://schemas.openxmlformats.org/officeDocument/2006/relationships/hyperlink" Target="http://www.joannabriggs.edu.au/pubs/systematic_reviews_prot.php" TargetMode="External"/><Relationship Id="rId7" Type="http://schemas.openxmlformats.org/officeDocument/2006/relationships/hyperlink" Target="http://www.ncbi.nlm.nih.gov/entrez/query.fcgi?db=pubmed&amp;cmd=Retrieve&amp;dopt=AbstractPlus&amp;list_uids=11473921&amp;query_hl=27&amp;itool=pubmed_docsum"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1980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2008-11-21T19:24:00Z</dcterms:created>
  <dc:creator>CHEO</dc:creator>
  <dc:language>en-CA</dc:language>
  <cp:lastModifiedBy>Jennifer Tetzlaff</cp:lastModifiedBy>
  <cp:lastPrinted>2008-09-19T18:14:00Z</cp:lastPrinted>
  <dcterms:modified xsi:type="dcterms:W3CDTF">2008-11-21T19:56:00Z</dcterms:modified>
  <cp:revision>13</cp:revision>
  <dc:title>Bring all QUOROM parts here</dc:title>
</cp:coreProperties>
</file>