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2.wmf" ContentType="image/x-wmf"/>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spacing w:before="240" w:after="60"/>
        <w:rPr/>
      </w:pPr>
      <w:r>
        <w:rPr/>
        <w:t>Comparing tiered formularies and reference pricing policies: A systematic review</w:t>
      </w:r>
    </w:p>
    <w:p>
      <w:pPr>
        <w:pStyle w:val="Heading1"/>
        <w:numPr>
          <w:ilvl w:val="0"/>
          <w:numId w:val="1"/>
        </w:numPr>
        <w:rPr/>
      </w:pPr>
      <w:r>
        <w:rPr/>
        <w:t>Introduction</w:t>
      </w:r>
    </w:p>
    <w:p>
      <w:pPr>
        <w:pStyle w:val="TextBody"/>
        <w:rPr>
          <w:vertAlign w:val="superscript"/>
          <w:lang w:val="en-CA"/>
        </w:rPr>
      </w:pPr>
      <w:r>
        <w:rPr>
          <w:lang w:val="en-CA"/>
        </w:rPr>
        <w:t>Most community-based spending on prescription drugs in Canada is financed through provincial (40%) and private (35%) drug plans.</w:t>
      </w:r>
      <w:r>
        <w:fldChar w:fldCharType="begin"/>
      </w:r>
      <w:r>
        <w:instrText> ADDIN EN.CITE &lt;EndNote&gt;&lt;Cite&gt;&lt;Author&gt;CIHI&lt;/Author&gt;&lt;Year&gt;2008&lt;/Year&gt;&lt;RecNum&gt;15936&lt;/RecNum&gt;&lt;record&gt;&lt;rec-number&gt;15936&lt;/rec-number&gt;&lt;foreign-keys&gt;&lt;key app="EN" db-id="e5razrre359x0aetvvexesr5tfx2dpf0v522"&gt;15936&lt;/key&gt;&lt;/foreign-keys&gt;&lt;ref-type name="Report"&gt;27&lt;/ref-type&gt;&lt;contributors&gt;&lt;authors&gt;&lt;author&gt;CIHI&lt;/author&gt;&lt;/authors&gt;&lt;/contributors&gt;&lt;titles&gt;&lt;title&gt;Drug Expenditure in Canada 1985-2007&lt;/title&gt;&lt;/titles&gt;&lt;dates&gt;&lt;year&gt;2008&lt;/year&gt;&lt;pub-dates&gt;&lt;date&gt;May&lt;/date&gt;&lt;/pub-dates&gt;&lt;/dates&gt;&lt;pub-location&gt;Ottawa&lt;/pub-location&gt;&lt;publisher&gt;Canadian Institute for Health Information&lt;/publisher&gt;&lt;urls&gt;&lt;related-urls&gt;&lt;url&gt;www.cihi.ca&lt;/url&gt;&lt;/related-urls&gt;&lt;/urls&gt;&lt;access-date&gt;29 May 2008&lt;/access-date&gt;&lt;/record&gt;&lt;/Cite&gt;&lt;/EndNote&gt;</w:instrText>
      </w:r>
      <w:r>
        <w:fldChar w:fldCharType="separate"/>
      </w:r>
      <w:bookmarkStart w:id="0" w:name="__Fieldmark__120_1024893045"/>
      <w:r>
        <w:rPr>
          <w:vertAlign w:val="superscript"/>
          <w:lang w:val="en-CA"/>
        </w:rPr>
        <w:t>1</w:t>
      </w:r>
      <w:r>
        <w:rPr>
          <w:vertAlign w:val="superscript"/>
          <w:lang w:val="en-CA"/>
        </w:rPr>
      </w:r>
      <w:r>
        <w:fldChar w:fldCharType="end"/>
      </w:r>
      <w:bookmarkEnd w:id="0"/>
      <w:r>
        <w:rPr>
          <w:lang w:val="en-CA"/>
        </w:rPr>
        <w:t xml:space="preserve"> From 1997 to 2007, spending under provincial drug plans grew from $3.1 billion to $9.2 billion and spending under private plans grew from $2.8 billion to $7.8 billion. Under such financial pressures, it is possible that reference pricing and/or tiered formularies will be adopted by growing numbers of public and private insurers in Canada. Because these policies are similar in intent but slightly different in structure, we sought to review and compare evidence concerning the impact of reference pricing policies and tiered formularies. This work is intended to complement reviews focusing more specifically on reference pricing policies.</w:t>
      </w:r>
      <w:r>
        <w:fldChar w:fldCharType="begin"/>
      </w:r>
      <w:r>
        <w:instrText> ADDIN EN.CITE </w:instrText>
      </w:r>
      <w:r>
        <w:fldChar w:fldCharType="separate"/>
      </w:r>
      <w:bookmarkStart w:id="1" w:name="__Fieldmark__121_1024893045"/>
      <w:r>
        <w:rPr>
          <w:vertAlign w:val="superscript"/>
          <w:lang w:val="en-CA"/>
        </w:rPr>
        <w:t>2,3</w:t>
      </w:r>
      <w:bookmarkEnd w:id="1"/>
      <w:r>
        <w:rPr>
          <w:vertAlign w:val="superscript"/>
          <w:lang w:val="en-CA"/>
        </w:rPr>
      </w:r>
      <w:r>
        <w:fldChar w:fldCharType="end"/>
      </w:r>
    </w:p>
    <w:p>
      <w:pPr>
        <w:pStyle w:val="TextBody"/>
        <w:rPr>
          <w:vertAlign w:val="superscript"/>
          <w:lang w:val="en-CA"/>
        </w:rPr>
      </w:pPr>
      <w:r>
        <w:rPr>
          <w:lang w:val="en-CA"/>
        </w:rPr>
        <w:t>Under reference pricing policies, a drug plan will generally cover low-cost options within given drug categories and require patients to pay any price differences if they are prescribed higher-cost products. Categories may include only chemically equivalent drugs (generic reference pricing); or they may include chemically distinct products with comparable therapeutic effects (therapeutic reference pricing). Public and private insurers in Canada and abroad use generic reference pricing extensively. The province of British Columbia and several countries abroad have applied therapeutic reference pricing.</w:t>
      </w:r>
      <w:r>
        <w:fldChar w:fldCharType="begin"/>
      </w:r>
      <w:r>
        <w:instrText> ADDIN EN.CITE </w:instrText>
      </w:r>
      <w:r>
        <w:fldChar w:fldCharType="separate"/>
      </w:r>
      <w:bookmarkStart w:id="2" w:name="__Fieldmark__122_1024893045"/>
      <w:r>
        <w:rPr>
          <w:vertAlign w:val="superscript"/>
          <w:lang w:val="en-CA"/>
        </w:rPr>
        <w:t>4,5</w:t>
      </w:r>
      <w:bookmarkEnd w:id="2"/>
      <w:r>
        <w:rPr>
          <w:vertAlign w:val="superscript"/>
          <w:lang w:val="en-CA"/>
        </w:rPr>
      </w:r>
      <w:r>
        <w:fldChar w:fldCharType="end"/>
      </w:r>
    </w:p>
    <w:p>
      <w:pPr>
        <w:pStyle w:val="TextBody"/>
        <w:rPr>
          <w:lang w:val="en-CA"/>
        </w:rPr>
      </w:pPr>
      <w:r>
        <w:rPr>
          <w:lang w:val="en-CA"/>
        </w:rPr>
        <w:t>Under a tiered formulary, patients generally face incrementally higher co-payments for different treatment options: a relatively low co-payment applies to ‘preferred’ drugs within class (e.g., $5 for generics); a higher co-payment for 2</w:t>
      </w:r>
      <w:r>
        <w:rPr>
          <w:vertAlign w:val="superscript"/>
          <w:lang w:val="en-CA"/>
        </w:rPr>
        <w:t>nd</w:t>
      </w:r>
      <w:r>
        <w:rPr>
          <w:lang w:val="en-CA"/>
        </w:rPr>
        <w:t xml:space="preserve"> tier products within class (e.g., $10 for ‘preferred brands’ with whom the insurer has negotiated a rebate); and an even higher co-payment for other drugs on formulary (e.g., $25 for other brands within a drug class). Tiered formularies are used most extensively in the US. As of 2007, 91% of American workers with employer-sponsored drug coverage faced at least two cost-sharing tiers for prescription drugs and 75% faced at least three tiers.</w:t>
      </w:r>
      <w:r>
        <w:fldChar w:fldCharType="begin"/>
      </w:r>
      <w:r>
        <w:instrText> ADDIN EN.CITE &lt;EndNote&gt;&lt;Cite&gt;&lt;Author&gt;Kaiser Family Foundation&lt;/Author&gt;&lt;Year&gt;2007&lt;/Year&gt;&lt;RecNum&gt;15937&lt;/RecNum&gt;&lt;record&gt;&lt;rec-number&gt;15937&lt;/rec-number&gt;&lt;foreign-keys&gt;&lt;key app="EN" db-id="e5razrre359x0aetvvexesr5tfx2dpf0v522"&gt;15937&lt;/key&gt;&lt;/foreign-keys&gt;&lt;ref-type name="Web Page"&gt;12&lt;/ref-type&gt;&lt;contributors&gt;&lt;authors&gt;&lt;author&gt;Kaiser Family Foundation,&lt;/author&gt;&lt;/authors&gt;&lt;/contributors&gt;&lt;titles&gt;&lt;title&gt;Employer Health Benefits - 2007 Annual Survey&lt;/title&gt;&lt;secondary-title&gt;Kaiser/HRET Employer Health Benefits Survey&lt;/secondary-title&gt;&lt;/titles&gt;&lt;number&gt;22 Oct 2007&lt;/number&gt;&lt;dates&gt;&lt;year&gt;2007&lt;/year&gt;&lt;pub-dates&gt;&lt;date&gt;February&lt;/date&gt;&lt;/pub-dates&gt;&lt;/dates&gt;&lt;urls&gt;&lt;related-urls&gt;&lt;url&gt;http://www.kff.org/insurance/7672/upload/76723.pdf&lt;/url&gt;&lt;/related-urls&gt;&lt;/urls&gt;&lt;access-date&gt;22 Oct 2007&lt;/access-date&gt;&lt;/record&gt;&lt;/Cite&gt;&lt;/EndNote&gt;</w:instrText>
      </w:r>
      <w:r>
        <w:fldChar w:fldCharType="separate"/>
      </w:r>
      <w:bookmarkStart w:id="3" w:name="__Fieldmark__123_1024893045"/>
      <w:r>
        <w:rPr>
          <w:vertAlign w:val="superscript"/>
          <w:lang w:val="en-CA"/>
        </w:rPr>
        <w:t>6</w:t>
      </w:r>
      <w:r>
        <w:rPr>
          <w:vertAlign w:val="superscript"/>
          <w:lang w:val="en-CA"/>
        </w:rPr>
      </w:r>
      <w:r>
        <w:fldChar w:fldCharType="end"/>
      </w:r>
      <w:bookmarkEnd w:id="3"/>
      <w:r>
        <w:rPr>
          <w:lang w:val="en-CA"/>
        </w:rPr>
        <w:t xml:space="preserve"> </w:t>
      </w:r>
    </w:p>
    <w:p>
      <w:pPr>
        <w:pStyle w:val="TextBody"/>
        <w:rPr>
          <w:lang w:val="en-CA"/>
        </w:rPr>
      </w:pPr>
      <w:r>
        <w:rPr>
          <w:lang w:val="en-CA"/>
        </w:rPr>
        <w:t>As reference pricing and tiered formularies are already commonly used to decrease drug plan expenditures, it is important to understand the implications of these policies on both drug costs, use of medicines and patient health outcomes. This paper synthesizes and contrasts comparable quality evidence from published literature regarding the outcomes of these two policies.</w:t>
      </w:r>
    </w:p>
    <w:p>
      <w:pPr>
        <w:pStyle w:val="Heading1"/>
        <w:numPr>
          <w:ilvl w:val="0"/>
          <w:numId w:val="1"/>
        </w:numPr>
        <w:rPr/>
      </w:pPr>
      <w:r>
        <w:rPr/>
        <w:t>Methods</w:t>
      </w:r>
    </w:p>
    <w:p>
      <w:pPr>
        <w:pStyle w:val="TextBody"/>
        <w:rPr>
          <w:lang w:val="en-CA"/>
        </w:rPr>
      </w:pPr>
      <w:r>
        <w:rPr>
          <w:lang w:val="en-CA"/>
        </w:rPr>
        <w:t>We sought English-language studies published from 1986 to 2007 that assessed the effects of tiered formularies or therapeutic reference pricing of prescription drugs in markets comparable to Canada’s (</w:t>
      </w:r>
      <w:r>
        <w:rPr>
          <w:lang w:val="en-CA"/>
        </w:rPr>
        <w:fldChar w:fldCharType="begin"/>
      </w:r>
      <w:r>
        <w:instrText> REF _Ref196794595 \h </w:instrText>
      </w:r>
      <w:r>
        <w:fldChar w:fldCharType="separate"/>
      </w:r>
      <w:r>
        <w:t>Appendix 1</w:t>
      </w:r>
      <w:r>
        <w:fldChar w:fldCharType="end"/>
      </w:r>
      <w:r>
        <w:rPr>
          <w:lang w:val="en-CA"/>
        </w:rPr>
        <w:t xml:space="preserve"> contains complete search details). We searched fifteen electronic databases, performed web-based and repository searches for grey literature, traced citations to and from relevant articles, hand-searched core journals from which several citations were found electronically, and searched personal libraries for additional articles. We searched databases for terms clustered around the concepts of prescription drugs and the interventions of interest (various synonyms for co-payments, tiers, and reference pricing).</w:t>
      </w:r>
    </w:p>
    <w:p>
      <w:pPr>
        <w:pStyle w:val="TextBody"/>
        <w:rPr>
          <w:lang w:val="en-CA"/>
        </w:rPr>
      </w:pPr>
      <w:r>
        <w:rPr>
          <w:lang w:val="en-CA"/>
        </w:rPr>
        <w:t>Our inclusion criteria were chosen to select quantitative studies that employed reasonable methods in their analysis of the impact of tiered formularies or reference pricing. Studies had to use patient-level data in an acceptable research design such as: randomized controlled policy trials, pre/post studies with nonrandomized comparison groups, interrupted time series analysis with comparison groups, interrupted time series without comparison groups, or pre/post studies without a comparison group. We excluded analyses based on post-only or cross-sectional designs; analyses using aggregated drug utilization and/or cost data; and analyses pertaining to policies in developing countries.</w:t>
      </w:r>
    </w:p>
    <w:p>
      <w:pPr>
        <w:pStyle w:val="Heading1"/>
        <w:numPr>
          <w:ilvl w:val="0"/>
          <w:numId w:val="1"/>
        </w:numPr>
        <w:rPr/>
      </w:pPr>
      <w:r>
        <w:rPr/>
        <w:t>Results</w:t>
      </w:r>
    </w:p>
    <w:p>
      <w:pPr>
        <w:pStyle w:val="TextBody"/>
        <w:rPr/>
      </w:pPr>
      <w:r>
        <w:rPr/>
        <w:t xml:space="preserve">Searches identified a total of 2,964 potentially relevant citations. These were screened through a sequence of title, abstract and full-text review — QUOROM chart in </w:t>
      </w:r>
      <w:r>
        <w:rPr/>
        <w:fldChar w:fldCharType="begin"/>
      </w:r>
      <w:r>
        <w:instrText> REF _Ref208137800 \h </w:instrText>
      </w:r>
      <w:r>
        <w:fldChar w:fldCharType="separate"/>
      </w:r>
      <w:r>
        <w:t>Table 1</w:t>
      </w:r>
      <w:r>
        <w:fldChar w:fldCharType="end"/>
      </w:r>
      <w:r>
        <w:rPr/>
        <w:t>. Title review eliminated 2,491 citations (primarily drug specific clinical studies). Two authors then reviewed remaining abstracts and eliminated all but 86 articles. An additional 13 articles were identified through citation tracing, and one article was found to be unavailable because it was under peer review. After full text screening by two authors (or three authors in cases of disagreement), 12 articles representing 11 studies were deemed eligible for inclusion in our review.</w:t>
      </w:r>
    </w:p>
    <w:p>
      <w:pPr>
        <w:pStyle w:val="TextBody"/>
        <w:rPr>
          <w:lang w:val="en-CA"/>
        </w:rPr>
      </w:pPr>
      <w:r>
        <w:rPr>
          <w:lang w:val="en-CA"/>
        </w:rPr>
        <w:t>Four of the included papers, representing 3 studies, assessed the impact of reference pricing. All of these studies examined the implementation of reference pricing during the mid 1990s under BC’s PharmaCare program for senior citizens.</w:t>
      </w:r>
      <w:r>
        <w:fldChar w:fldCharType="begin"/>
      </w:r>
      <w:r>
        <w:instrText> ADDIN EN.CITE </w:instrText>
      </w:r>
      <w:r>
        <w:fldChar w:fldCharType="separate"/>
      </w:r>
      <w:bookmarkStart w:id="4" w:name="__Fieldmark__124_1024893045"/>
      <w:r>
        <w:rPr>
          <w:vertAlign w:val="superscript"/>
          <w:lang w:val="en-CA"/>
        </w:rPr>
        <w:t>7-10</w:t>
      </w:r>
      <w:r>
        <w:rPr>
          <w:vertAlign w:val="superscript"/>
          <w:lang w:val="en-CA"/>
        </w:rPr>
      </w:r>
      <w:r>
        <w:fldChar w:fldCharType="end"/>
      </w:r>
      <w:bookmarkEnd w:id="4"/>
      <w:r>
        <w:rPr>
          <w:lang w:val="en-CA"/>
        </w:rPr>
        <w:t xml:space="preserve"> Eight studies included in our review assessed the impact of changes in tiered formularies. Seven of these looked at the effect of tiered formularies for non-elderly enrolees of employment-related private insurance in the US.</w:t>
      </w:r>
      <w:r>
        <w:fldChar w:fldCharType="begin"/>
      </w:r>
      <w:r>
        <w:instrText> ADDIN EN.CITE </w:instrText>
      </w:r>
      <w:r>
        <w:fldChar w:fldCharType="separate"/>
      </w:r>
      <w:bookmarkStart w:id="5" w:name="__Fieldmark__125_1024893045"/>
      <w:r>
        <w:rPr>
          <w:vertAlign w:val="superscript"/>
          <w:lang w:val="en-CA"/>
        </w:rPr>
        <w:t>11-17</w:t>
      </w:r>
      <w:r>
        <w:rPr>
          <w:vertAlign w:val="superscript"/>
          <w:lang w:val="en-CA"/>
        </w:rPr>
      </w:r>
      <w:r>
        <w:fldChar w:fldCharType="end"/>
      </w:r>
      <w:bookmarkEnd w:id="5"/>
      <w:r>
        <w:rPr>
          <w:lang w:val="en-CA"/>
        </w:rPr>
        <w:t xml:space="preserve"> One included study assessed the impact of tiered formularies on child dependents of enrolees of employment-related private insurance plans in the US.</w:t>
      </w:r>
      <w:r>
        <w:fldChar w:fldCharType="begin"/>
      </w:r>
      <w:r>
        <w:instrText> ADDIN EN.CITE </w:instrText>
      </w:r>
      <w:r>
        <w:fldChar w:fldCharType="separate"/>
      </w:r>
      <w:bookmarkStart w:id="6" w:name="__Fieldmark__126_1024893045"/>
      <w:r>
        <w:rPr>
          <w:vertAlign w:val="superscript"/>
          <w:lang w:val="en-CA"/>
        </w:rPr>
        <w:t>18</w:t>
      </w:r>
      <w:r>
        <w:rPr>
          <w:vertAlign w:val="superscript"/>
          <w:lang w:val="en-CA"/>
        </w:rPr>
      </w:r>
      <w:r>
        <w:fldChar w:fldCharType="end"/>
      </w:r>
      <w:bookmarkEnd w:id="6"/>
      <w:r>
        <w:rPr>
          <w:lang w:val="en-CA"/>
        </w:rPr>
        <w:t xml:space="preserve"> </w:t>
      </w:r>
    </w:p>
    <w:p>
      <w:pPr>
        <w:pStyle w:val="Heading2"/>
        <w:numPr>
          <w:ilvl w:val="1"/>
          <w:numId w:val="1"/>
        </w:numPr>
        <w:rPr/>
      </w:pPr>
      <w:r>
        <w:rPr/>
        <w:t>Impacts of reference pricing policies</w:t>
      </w:r>
    </w:p>
    <w:p>
      <w:pPr>
        <w:pStyle w:val="TextBody"/>
        <w:rPr>
          <w:vertAlign w:val="superscript"/>
          <w:lang w:val="en-CA"/>
        </w:rPr>
      </w:pPr>
      <w:r>
        <w:rPr>
          <w:lang w:val="en-CA"/>
        </w:rPr>
        <w:t xml:space="preserve">The associations found in the studies of reference pricing included in this review are summarised in </w:t>
      </w:r>
      <w:r>
        <w:rPr>
          <w:lang w:val="en-CA"/>
        </w:rPr>
        <w:fldChar w:fldCharType="begin"/>
      </w:r>
      <w:r>
        <w:instrText> REF _Ref201800788 \h </w:instrText>
      </w:r>
      <w:r>
        <w:fldChar w:fldCharType="separate"/>
      </w:r>
      <w:r>
        <w:t>Table 2</w:t>
      </w:r>
      <w:r>
        <w:fldChar w:fldCharType="end"/>
      </w:r>
      <w:r>
        <w:rPr>
          <w:lang w:val="en-CA"/>
        </w:rPr>
        <w:t>. These studies assessed the impact of reference pricing for three categories of drug treatment: nitrate drugs, ACE-inhibitors, and calcium channel blockers (CCBs). Studies by Schneeweiss and colleagues and the study by Grootendorst and colleagues found that between 9% and 34% of patients switched to fully covered (reference) products after reference pricing was implemented.</w:t>
      </w:r>
      <w:r>
        <w:fldChar w:fldCharType="begin"/>
      </w:r>
      <w:r>
        <w:instrText> ADDIN EN.CITE </w:instrText>
      </w:r>
      <w:r>
        <w:fldChar w:fldCharType="separate"/>
      </w:r>
      <w:bookmarkStart w:id="7" w:name="__Fieldmark__127_1024893045"/>
      <w:r>
        <w:rPr>
          <w:vertAlign w:val="superscript"/>
          <w:lang w:val="en-CA"/>
        </w:rPr>
        <w:t>7-10</w:t>
      </w:r>
      <w:r>
        <w:rPr>
          <w:vertAlign w:val="superscript"/>
          <w:lang w:val="en-CA"/>
        </w:rPr>
      </w:r>
      <w:r>
        <w:fldChar w:fldCharType="end"/>
      </w:r>
      <w:bookmarkEnd w:id="7"/>
      <w:r>
        <w:rPr>
          <w:lang w:val="en-CA"/>
        </w:rPr>
        <w:t xml:space="preserve"> Grootendorst and colleagues found that overall use of CCBs declined upon implementation of reference pricing whereas Schneeweiss and colleagues found that reduced overall use of CCBs was not statistically significant after adjusting for pre-policy trends.</w:t>
      </w:r>
      <w:r>
        <w:fldChar w:fldCharType="begin"/>
      </w:r>
      <w:r>
        <w:instrText> ADDIN EN.CITE </w:instrText>
      </w:r>
      <w:r>
        <w:fldChar w:fldCharType="separate"/>
      </w:r>
      <w:bookmarkStart w:id="8" w:name="__Fieldmark__128_1024893045"/>
      <w:r>
        <w:rPr>
          <w:vertAlign w:val="superscript"/>
          <w:lang w:val="en-CA"/>
        </w:rPr>
        <w:t>10,7</w:t>
      </w:r>
      <w:r>
        <w:rPr>
          <w:vertAlign w:val="superscript"/>
          <w:lang w:val="en-CA"/>
        </w:rPr>
      </w:r>
      <w:r>
        <w:fldChar w:fldCharType="end"/>
      </w:r>
      <w:bookmarkEnd w:id="8"/>
      <w:r>
        <w:rPr>
          <w:lang w:val="en-CA"/>
        </w:rPr>
        <w:t xml:space="preserve"> The reverse is true for these authors’ findings with respect to the use of ACE-inhibitors.</w:t>
      </w:r>
      <w:r>
        <w:fldChar w:fldCharType="begin"/>
      </w:r>
      <w:r>
        <w:instrText> ADDIN EN.CITE </w:instrText>
      </w:r>
      <w:r>
        <w:fldChar w:fldCharType="separate"/>
      </w:r>
      <w:bookmarkStart w:id="9" w:name="__Fieldmark__129_1024893045"/>
      <w:r>
        <w:rPr>
          <w:vertAlign w:val="superscript"/>
          <w:lang w:val="en-CA"/>
        </w:rPr>
        <w:t>7,9</w:t>
      </w:r>
      <w:bookmarkEnd w:id="9"/>
      <w:r>
        <w:rPr>
          <w:vertAlign w:val="superscript"/>
          <w:lang w:val="en-CA"/>
        </w:rPr>
      </w:r>
      <w:r>
        <w:fldChar w:fldCharType="end"/>
      </w:r>
    </w:p>
    <w:p>
      <w:pPr>
        <w:pStyle w:val="TextBody"/>
        <w:rPr>
          <w:lang w:val="en-CA"/>
        </w:rPr>
      </w:pPr>
      <w:r>
        <w:rPr>
          <w:lang w:val="en-CA"/>
        </w:rPr>
        <w:t>Schneeweiss and colleagues found that the changes in utilization associated with reference pricing resulted in drug plan savings ranging from 12% to 19% ($1.67 million to $7.7 million per year) of plan spending on related medicines.</w:t>
      </w:r>
      <w:r>
        <w:fldChar w:fldCharType="begin"/>
      </w:r>
      <w:r>
        <w:instrText> ADDIN EN.CITE </w:instrText>
      </w:r>
      <w:r>
        <w:fldChar w:fldCharType="separate"/>
      </w:r>
      <w:bookmarkStart w:id="10" w:name="__Fieldmark__130_1024893045"/>
      <w:r>
        <w:rPr>
          <w:vertAlign w:val="superscript"/>
          <w:lang w:val="en-CA"/>
        </w:rPr>
        <w:t>9,10</w:t>
      </w:r>
      <w:r>
        <w:rPr>
          <w:vertAlign w:val="superscript"/>
          <w:lang w:val="en-CA"/>
        </w:rPr>
      </w:r>
      <w:r>
        <w:fldChar w:fldCharType="end"/>
      </w:r>
      <w:bookmarkEnd w:id="10"/>
      <w:r>
        <w:rPr>
          <w:lang w:val="en-CA"/>
        </w:rPr>
        <w:t xml:space="preserve"> Partially offsetting savings in drug costs to the insurer, both sets of researchers found that reference pricing in BC was associated with increased physician services during first 2 or 4 months following policy change.</w:t>
      </w:r>
      <w:r>
        <w:fldChar w:fldCharType="begin"/>
      </w:r>
      <w:r>
        <w:instrText> ADDIN EN.CITE </w:instrText>
      </w:r>
      <w:r>
        <w:fldChar w:fldCharType="separate"/>
      </w:r>
      <w:bookmarkStart w:id="11" w:name="__Fieldmark__131_1024893045"/>
      <w:r>
        <w:rPr>
          <w:vertAlign w:val="superscript"/>
          <w:lang w:val="en-CA"/>
        </w:rPr>
        <w:t>7-10</w:t>
      </w:r>
      <w:r>
        <w:rPr>
          <w:vertAlign w:val="superscript"/>
          <w:lang w:val="en-CA"/>
        </w:rPr>
      </w:r>
      <w:r>
        <w:fldChar w:fldCharType="end"/>
      </w:r>
      <w:bookmarkEnd w:id="11"/>
      <w:r>
        <w:rPr>
          <w:lang w:val="en-CA"/>
        </w:rPr>
        <w:t xml:space="preserve"> Research groups found different results with respect to longer-term use of physician services: Schneeweiss and colleagues found no such association while Grootendorst found evidence of increased use of physician services beyond 4 months for two of the three categories studied (CCBs and ACE-inhibitors).</w:t>
      </w:r>
      <w:r>
        <w:fldChar w:fldCharType="begin"/>
      </w:r>
      <w:r>
        <w:instrText> ADDIN EN.CITE </w:instrText>
      </w:r>
      <w:r>
        <w:fldChar w:fldCharType="separate"/>
      </w:r>
      <w:bookmarkStart w:id="12" w:name="__Fieldmark__132_1024893045"/>
      <w:r>
        <w:rPr>
          <w:vertAlign w:val="superscript"/>
          <w:lang w:val="en-CA"/>
        </w:rPr>
        <w:t>7-10</w:t>
      </w:r>
      <w:r>
        <w:rPr>
          <w:vertAlign w:val="superscript"/>
          <w:lang w:val="en-CA"/>
        </w:rPr>
      </w:r>
      <w:r>
        <w:fldChar w:fldCharType="end"/>
      </w:r>
      <w:bookmarkEnd w:id="12"/>
      <w:r>
        <w:rPr>
          <w:lang w:val="en-CA"/>
        </w:rPr>
        <w:t xml:space="preserve"> Schneeweiss and colleagues estimated that the net savings after accounting for medical care expenses were between $1.62 million to $6 million a year.</w:t>
      </w:r>
      <w:r>
        <w:fldChar w:fldCharType="begin"/>
      </w:r>
      <w:r>
        <w:instrText> ADDIN EN.CITE </w:instrText>
      </w:r>
      <w:r>
        <w:fldChar w:fldCharType="separate"/>
      </w:r>
      <w:bookmarkStart w:id="13" w:name="__Fieldmark__133_1024893045"/>
      <w:r>
        <w:rPr>
          <w:vertAlign w:val="superscript"/>
          <w:lang w:val="en-CA"/>
        </w:rPr>
        <w:t>9,10</w:t>
      </w:r>
      <w:r>
        <w:rPr>
          <w:vertAlign w:val="superscript"/>
          <w:lang w:val="en-CA"/>
        </w:rPr>
      </w:r>
      <w:r>
        <w:fldChar w:fldCharType="end"/>
      </w:r>
      <w:bookmarkEnd w:id="13"/>
      <w:r>
        <w:rPr>
          <w:lang w:val="en-CA"/>
        </w:rPr>
        <w:t xml:space="preserve"> </w:t>
      </w:r>
    </w:p>
    <w:p>
      <w:pPr>
        <w:pStyle w:val="TextBody"/>
        <w:rPr>
          <w:vertAlign w:val="superscript"/>
          <w:lang w:val="en-CA"/>
        </w:rPr>
      </w:pPr>
      <w:r>
        <w:rPr>
          <w:lang w:val="en-CA"/>
        </w:rPr>
        <w:t>In two of the three drug categories investigated (CCBs and ACE-inhibitors), Schneeweiss and colleagues and Grootendorst and colleagues found that reference pricing was not associated with any change in the use of hospital services.</w:t>
      </w:r>
      <w:r>
        <w:fldChar w:fldCharType="begin"/>
      </w:r>
      <w:r>
        <w:instrText> ADDIN EN.CITE </w:instrText>
      </w:r>
      <w:r>
        <w:fldChar w:fldCharType="separate"/>
      </w:r>
      <w:bookmarkStart w:id="14" w:name="__Fieldmark__134_1024893045"/>
      <w:r>
        <w:rPr>
          <w:vertAlign w:val="superscript"/>
          <w:lang w:val="en-CA"/>
        </w:rPr>
        <w:t>7,8,10</w:t>
      </w:r>
      <w:r>
        <w:rPr>
          <w:vertAlign w:val="superscript"/>
          <w:lang w:val="en-CA"/>
        </w:rPr>
      </w:r>
      <w:r>
        <w:fldChar w:fldCharType="end"/>
      </w:r>
      <w:bookmarkEnd w:id="14"/>
      <w:r>
        <w:rPr>
          <w:lang w:val="en-CA"/>
        </w:rPr>
        <w:t xml:space="preserve"> In the one study that investigated the impact of reference pricing for nitrate drugs, Grootendorst and colleagues found that reference pricing was associated with increased </w:t>
      </w:r>
      <w:r>
        <w:rPr/>
        <w:t xml:space="preserve">long-term probability of bypass or </w:t>
      </w:r>
      <w:r>
        <w:rPr>
          <w:lang w:val="en-CA"/>
        </w:rPr>
        <w:t>revascularization.</w:t>
      </w:r>
      <w:r>
        <w:fldChar w:fldCharType="begin"/>
      </w:r>
      <w:r>
        <w:instrText> ADDIN EN.CITE &lt;EndNote&gt;&lt;Cite&gt;&lt;Author&gt;Grootendorst&lt;/Author&gt;&lt;Year&gt;2002&lt;/Year&gt;&lt;RecNum&gt;9952&lt;/RecNum&gt;&lt;record&gt;&lt;rec-number&gt;9952&lt;/rec-number&gt;&lt;foreign-keys&gt;&lt;key app="EN" db-id="e5razrre359x0aetvvexesr5tfx2dpf0v522"&gt;9952&lt;/key&gt;&lt;/foreign-keys&gt;&lt;ref-type name="Report"&gt;27&lt;/ref-type&gt;&lt;contributors&gt;&lt;authors&gt;&lt;author&gt;Grootendorst, Paul V.&lt;/author&gt;&lt;author&gt;Dolovich, Lisa R.&lt;/author&gt;&lt;author&gt;Holbrook, Anne M.&lt;/author&gt;&lt;author&gt;Levy, Adrian R.&lt;/author&gt;&lt;author&gt;O&amp;apos;Brien, Bernie J.&lt;/author&gt;&lt;/authors&gt;&lt;tertiary-authors&gt;&lt;author&gt;Anonymous,&lt;/author&gt;&lt;/tertiary-authors&gt;&lt;/contributors&gt;&lt;auth-address&gt;Unlisted&lt;/auth-address&gt;&lt;titles&gt;&lt;title&gt;The Impact of Reference Pricing of Cardiovascular Drugs on Health Care Costs and Health Outcomes: Evidence from British Columbia--Volume II: Technical Report&lt;/title&gt;&lt;/titles&gt;&lt;keywords&gt;&lt;keyword&gt;&amp;lt;displaylist style=&amp;quot;&amp;quot;&amp;gt;&amp;lt;displayline&amp;gt;Health: Government Policy&lt;/keyword&gt;&lt;keyword&gt;Regulation&lt;/keyword&gt;&lt;keyword&gt;Public Health (I180)&amp;lt;/displayline&amp;gt;&amp;lt;/displaylist&amp;gt;&lt;/keyword&gt;&lt;keyword&gt;reference pricing,prescription drugs,ACE inhibitors,calcium channel blockers,nitrates,pharmaceutical cost control,seniors,user fees&lt;/keyword&gt;&lt;/keywords&gt;&lt;dates&gt;&lt;year&gt;2002&lt;/year&gt;&lt;/dates&gt;&lt;accession-num&gt;1649&lt;/accession-num&gt;&lt;work-type&gt;Report&lt;/work-type&gt;&lt;urls&gt;&lt;related-urls&gt;&lt;url&gt;http://search.epnet.com/login.aspx?direct=true&amp;amp;db=ecn&amp;amp;an=0832178 &lt;/url&gt;&lt;/related-urls&gt;&lt;/urls&gt;&lt;/record&gt;&lt;/Cite&gt;&lt;/EndNote&gt;</w:instrText>
      </w:r>
      <w:r>
        <w:fldChar w:fldCharType="separate"/>
      </w:r>
      <w:bookmarkStart w:id="15" w:name="__Fieldmark__135_1024893045"/>
      <w:r>
        <w:rPr>
          <w:vertAlign w:val="superscript"/>
          <w:lang w:val="en-CA"/>
        </w:rPr>
        <w:t>7</w:t>
      </w:r>
      <w:bookmarkEnd w:id="15"/>
      <w:r>
        <w:rPr>
          <w:vertAlign w:val="superscript"/>
          <w:lang w:val="en-CA"/>
        </w:rPr>
      </w:r>
      <w:r>
        <w:fldChar w:fldCharType="end"/>
      </w:r>
    </w:p>
    <w:p>
      <w:pPr>
        <w:pStyle w:val="Heading2"/>
        <w:numPr>
          <w:ilvl w:val="1"/>
          <w:numId w:val="1"/>
        </w:numPr>
        <w:rPr/>
      </w:pPr>
      <w:r>
        <w:rPr/>
        <w:t>Impacts of tiered formularies</w:t>
      </w:r>
    </w:p>
    <w:p>
      <w:pPr>
        <w:pStyle w:val="TextBody"/>
        <w:rPr>
          <w:vertAlign w:val="superscript"/>
          <w:lang w:val="en-CA"/>
        </w:rPr>
      </w:pPr>
      <w:r>
        <w:rPr>
          <w:lang w:val="en-CA"/>
        </w:rPr>
        <w:t xml:space="preserve">The associations found in the studies of tiered formularies included in this review are summarised in </w:t>
      </w:r>
      <w:r>
        <w:rPr>
          <w:lang w:val="en-CA"/>
        </w:rPr>
        <w:fldChar w:fldCharType="begin"/>
      </w:r>
      <w:r>
        <w:instrText> REF _Ref201291566 \h </w:instrText>
      </w:r>
      <w:r>
        <w:fldChar w:fldCharType="separate"/>
      </w:r>
      <w:r>
        <w:t>Table 3</w:t>
      </w:r>
      <w:r>
        <w:fldChar w:fldCharType="end"/>
      </w:r>
      <w:r>
        <w:rPr>
          <w:lang w:val="en-CA"/>
        </w:rPr>
        <w:t>. Despite differences in the populations and drug categories studied, studies of the impact of tiered formularies included in our review yielded a number of consistent findings. Most studies assessing such associations found that adding tiers to copayments for prescription drugs in the US private insurance market was associated with reduced total spending (decreases of 5%-20%).</w:t>
      </w:r>
      <w:r>
        <w:fldChar w:fldCharType="begin"/>
      </w:r>
      <w:r>
        <w:instrText> ADDIN EN.CITE </w:instrText>
      </w:r>
      <w:r>
        <w:fldChar w:fldCharType="separate"/>
      </w:r>
      <w:bookmarkStart w:id="16" w:name="__Fieldmark__136_1024893045"/>
      <w:r>
        <w:rPr>
          <w:vertAlign w:val="superscript"/>
          <w:lang w:val="en-CA"/>
        </w:rPr>
        <w:t>15,13,18,17</w:t>
      </w:r>
      <w:r>
        <w:rPr>
          <w:vertAlign w:val="superscript"/>
          <w:lang w:val="en-CA"/>
        </w:rPr>
      </w:r>
      <w:r>
        <w:fldChar w:fldCharType="end"/>
      </w:r>
      <w:bookmarkEnd w:id="16"/>
      <w:r>
        <w:rPr>
          <w:lang w:val="en-CA"/>
        </w:rPr>
        <w:t xml:space="preserve"> The studies by Nair and colleagues and Fairman and colleagues did not find statistically significant associations between adding tiers to formularies and changes in total spending.</w:t>
      </w:r>
      <w:r>
        <w:fldChar w:fldCharType="begin"/>
      </w:r>
      <w:r>
        <w:instrText> ADDIN EN.CITE </w:instrText>
      </w:r>
      <w:r>
        <w:fldChar w:fldCharType="separate"/>
      </w:r>
      <w:bookmarkStart w:id="17" w:name="__Fieldmark__137_1024893045"/>
      <w:r>
        <w:rPr>
          <w:vertAlign w:val="superscript"/>
          <w:lang w:val="en-CA"/>
        </w:rPr>
        <w:t>14,12</w:t>
      </w:r>
      <w:r>
        <w:rPr>
          <w:vertAlign w:val="superscript"/>
          <w:lang w:val="en-CA"/>
        </w:rPr>
      </w:r>
      <w:r>
        <w:fldChar w:fldCharType="end"/>
      </w:r>
      <w:bookmarkEnd w:id="17"/>
      <w:r>
        <w:rPr>
          <w:lang w:val="en-CA"/>
        </w:rPr>
        <w:t xml:space="preserve"> Where they were observed, reductions in total spending were the result of three common findings across studies and drug classes investigated: adding tiers to co-payment structures was associated with increased switching within drug classes in all 8 included studies (switching toward ‘preferred’ drugs on formulary occurred in 2% to 49.4% of patients);</w:t>
      </w:r>
      <w:r>
        <w:fldChar w:fldCharType="begin"/>
      </w:r>
      <w:r>
        <w:instrText> ADDIN EN.CITE </w:instrText>
      </w:r>
      <w:r>
        <w:fldChar w:fldCharType="separate"/>
      </w:r>
      <w:bookmarkStart w:id="18" w:name="__Fieldmark__138_1024893045"/>
      <w:r>
        <w:rPr>
          <w:vertAlign w:val="superscript"/>
          <w:lang w:val="en-CA"/>
        </w:rPr>
        <w:t>15,13,18,17,16,11</w:t>
      </w:r>
      <w:r>
        <w:rPr>
          <w:vertAlign w:val="superscript"/>
          <w:lang w:val="en-CA"/>
        </w:rPr>
      </w:r>
      <w:r>
        <w:fldChar w:fldCharType="end"/>
      </w:r>
      <w:bookmarkEnd w:id="18"/>
      <w:r>
        <w:rPr>
          <w:lang w:val="en-CA"/>
        </w:rPr>
        <w:t xml:space="preserve"> decreased overall utilization of affected medicines;</w:t>
      </w:r>
      <w:r>
        <w:fldChar w:fldCharType="begin"/>
      </w:r>
      <w:r>
        <w:instrText> ADDIN EN.CITE </w:instrText>
      </w:r>
      <w:r>
        <w:fldChar w:fldCharType="separate"/>
      </w:r>
      <w:bookmarkStart w:id="19" w:name="__Fieldmark__139_1024893045"/>
      <w:r>
        <w:rPr>
          <w:vertAlign w:val="superscript"/>
          <w:lang w:val="en-CA"/>
        </w:rPr>
        <w:t>12,15,13,18,16,11</w:t>
      </w:r>
      <w:r>
        <w:rPr>
          <w:vertAlign w:val="superscript"/>
          <w:lang w:val="en-CA"/>
        </w:rPr>
      </w:r>
      <w:r>
        <w:fldChar w:fldCharType="end"/>
      </w:r>
      <w:bookmarkEnd w:id="19"/>
      <w:r>
        <w:rPr>
          <w:lang w:val="en-CA"/>
        </w:rPr>
        <w:t xml:space="preserve"> and either no change</w:t>
      </w:r>
      <w:r>
        <w:fldChar w:fldCharType="begin"/>
      </w:r>
      <w:r>
        <w:instrText> ADDIN EN.CITE </w:instrText>
      </w:r>
      <w:r>
        <w:fldChar w:fldCharType="separate"/>
      </w:r>
      <w:bookmarkStart w:id="20" w:name="__Fieldmark__140_1024893045"/>
      <w:r>
        <w:rPr>
          <w:vertAlign w:val="superscript"/>
          <w:lang w:val="en-CA"/>
        </w:rPr>
        <w:t>18</w:t>
      </w:r>
      <w:r>
        <w:rPr>
          <w:vertAlign w:val="superscript"/>
          <w:lang w:val="en-CA"/>
        </w:rPr>
      </w:r>
      <w:r>
        <w:fldChar w:fldCharType="end"/>
      </w:r>
      <w:bookmarkEnd w:id="20"/>
      <w:r>
        <w:rPr>
          <w:lang w:val="en-CA"/>
        </w:rPr>
        <w:t xml:space="preserve"> or an increase in the rate of discontinuation with prescribed drug treatments.</w:t>
      </w:r>
      <w:r>
        <w:fldChar w:fldCharType="begin"/>
      </w:r>
      <w:r>
        <w:instrText> ADDIN EN.CITE </w:instrText>
      </w:r>
      <w:r>
        <w:fldChar w:fldCharType="separate"/>
      </w:r>
      <w:bookmarkStart w:id="21" w:name="__Fieldmark__141_1024893045"/>
      <w:r>
        <w:rPr>
          <w:vertAlign w:val="superscript"/>
          <w:lang w:val="en-CA"/>
        </w:rPr>
        <w:t>12-14,16,11</w:t>
      </w:r>
      <w:bookmarkEnd w:id="21"/>
      <w:r>
        <w:rPr>
          <w:vertAlign w:val="superscript"/>
          <w:lang w:val="en-CA"/>
        </w:rPr>
      </w:r>
      <w:r>
        <w:fldChar w:fldCharType="end"/>
      </w:r>
    </w:p>
    <w:p>
      <w:pPr>
        <w:pStyle w:val="TextBody"/>
        <w:rPr>
          <w:vertAlign w:val="superscript"/>
          <w:lang w:val="en-CA"/>
        </w:rPr>
      </w:pPr>
      <w:r>
        <w:rPr>
          <w:lang w:val="en-CA"/>
        </w:rPr>
        <w:t>When the distribution of costs was investigated, most studies found that employing tiered formularies was associated with reduced spending by the drug plan,</w:t>
      </w:r>
      <w:r>
        <w:fldChar w:fldCharType="begin"/>
      </w:r>
      <w:r>
        <w:instrText> ADDIN EN.CITE </w:instrText>
      </w:r>
      <w:r>
        <w:fldChar w:fldCharType="separate"/>
      </w:r>
      <w:bookmarkStart w:id="22" w:name="__Fieldmark__142_1024893045"/>
      <w:r>
        <w:rPr>
          <w:vertAlign w:val="superscript"/>
          <w:lang w:val="en-CA"/>
        </w:rPr>
        <w:t>13,18,17,11</w:t>
      </w:r>
      <w:r>
        <w:rPr>
          <w:vertAlign w:val="superscript"/>
          <w:lang w:val="en-CA"/>
        </w:rPr>
      </w:r>
      <w:r>
        <w:fldChar w:fldCharType="end"/>
      </w:r>
      <w:bookmarkEnd w:id="22"/>
      <w:r>
        <w:rPr>
          <w:lang w:val="en-CA"/>
        </w:rPr>
        <w:t xml:space="preserve"> and increased spending by patients.</w:t>
      </w:r>
      <w:r>
        <w:fldChar w:fldCharType="begin"/>
      </w:r>
      <w:r>
        <w:instrText> ADDIN EN.CITE </w:instrText>
      </w:r>
      <w:r>
        <w:fldChar w:fldCharType="separate"/>
      </w:r>
      <w:bookmarkStart w:id="23" w:name="__Fieldmark__143_1024893045"/>
      <w:r>
        <w:rPr>
          <w:vertAlign w:val="superscript"/>
          <w:lang w:val="en-CA"/>
        </w:rPr>
        <w:t>13,18,17,16,11</w:t>
      </w:r>
      <w:r>
        <w:rPr>
          <w:vertAlign w:val="superscript"/>
          <w:lang w:val="en-CA"/>
        </w:rPr>
      </w:r>
      <w:r>
        <w:fldChar w:fldCharType="end"/>
      </w:r>
      <w:bookmarkEnd w:id="23"/>
      <w:r>
        <w:rPr>
          <w:lang w:val="en-CA"/>
        </w:rPr>
        <w:t xml:space="preserve"> In the study by Nair and colleagues, changes in spending by the plan and patients were consistent with the findings of other studies but not statistically significant.</w:t>
      </w:r>
      <w:r>
        <w:fldChar w:fldCharType="begin"/>
      </w:r>
      <w:r>
        <w:instrText> ADDIN EN.CITE &lt;EndNote&gt;&lt;Cite&gt;&lt;Author&gt;Nair&lt;/Author&gt;&lt;Year&gt;2003&lt;/Year&gt;&lt;RecNum&gt;10582&lt;/RecNum&gt;&lt;record&gt;&lt;rec-number&gt;10582&lt;/rec-number&gt;&lt;foreign-keys&gt;&lt;key app="EN" db-id="e5razrre359x0aetvvexesr5tfx2dpf0v522"&gt;10582&lt;/key&gt;&lt;/foreign-keys&gt;&lt;ref-type name="Journal Article"&gt;17&lt;/ref-type&gt;&lt;contributors&gt;&lt;authors&gt;&lt;author&gt;Nair, Kavita V.&lt;/author&gt;&lt;author&gt;Wolfe, Pamels&lt;/author&gt;&lt;author&gt;Valuck, Robert J.&lt;/author&gt;&lt;author&gt;McCollum, Marianne M.&lt;/author&gt;&lt;author&gt;Ganther, Julie M.&lt;/author&gt;&lt;author&gt;Lewis, Sonia J.&lt;/author&gt;&lt;/authors&gt;&lt;tertiary-authors&gt;&lt;author&gt;Anonymous,&lt;/author&gt;&lt;/tertiary-authors&gt;&lt;/contributors&gt;&lt;titles&gt;&lt;title&gt;Effects of a 3-Tier Pharmacy Benefit Design on the Prescription Purchasing Behavior of Individuals with Chronic Disease&lt;/title&gt;&lt;secondary-title&gt;Journal of Managed Care Pharmacy&lt;/secondary-title&gt;&lt;/titles&gt;&lt;periodical&gt;&lt;full-title&gt;Journal of Managed Care Pharmacy&lt;/full-title&gt;&lt;/periodical&gt;&lt;pages&gt;123-133&lt;/pages&gt;&lt;volume&gt;9&lt;/volume&gt;&lt;number&gt;2&lt;/number&gt;&lt;dates&gt;&lt;year&gt;2003&lt;/year&gt;&lt;pub-dates&gt;&lt;date&gt;March/April 2003&lt;/date&gt;&lt;/pub-dates&gt;&lt;/dates&gt;&lt;accession-num&gt;2076&lt;/accession-num&gt;&lt;urls&gt;&lt;/urls&gt;&lt;/record&gt;&lt;/Cite&gt;&lt;/EndNote&gt;</w:instrText>
      </w:r>
      <w:r>
        <w:fldChar w:fldCharType="separate"/>
      </w:r>
      <w:bookmarkStart w:id="24" w:name="__Fieldmark__144_1024893045"/>
      <w:r>
        <w:rPr>
          <w:vertAlign w:val="superscript"/>
          <w:lang w:val="en-CA"/>
        </w:rPr>
        <w:t>14</w:t>
      </w:r>
      <w:bookmarkEnd w:id="24"/>
      <w:r>
        <w:rPr>
          <w:vertAlign w:val="superscript"/>
          <w:lang w:val="en-CA"/>
        </w:rPr>
      </w:r>
      <w:r>
        <w:fldChar w:fldCharType="end"/>
      </w:r>
    </w:p>
    <w:p>
      <w:pPr>
        <w:pStyle w:val="TextBody"/>
        <w:rPr>
          <w:vertAlign w:val="superscript"/>
          <w:lang w:val="en-CA"/>
        </w:rPr>
      </w:pPr>
      <w:r>
        <w:rPr>
          <w:lang w:val="en-CA"/>
        </w:rPr>
        <w:t>None of the studies of tiered formularies included in our review had assessed potential health outcomes resulting from the policy. However, two studies found that moving from a 2-tier formulary to a 3-tier formulary was not associated with increased use of medical or hospital services.</w:t>
      </w:r>
      <w:r>
        <w:fldChar w:fldCharType="begin"/>
      </w:r>
      <w:r>
        <w:instrText> ADDIN EN.CITE </w:instrText>
      </w:r>
      <w:r>
        <w:fldChar w:fldCharType="separate"/>
      </w:r>
      <w:bookmarkStart w:id="25" w:name="__Fieldmark__145_1024893045"/>
      <w:r>
        <w:rPr>
          <w:vertAlign w:val="superscript"/>
          <w:lang w:val="en-CA"/>
        </w:rPr>
        <w:t>12,11</w:t>
      </w:r>
      <w:bookmarkEnd w:id="25"/>
      <w:r>
        <w:rPr>
          <w:vertAlign w:val="superscript"/>
          <w:lang w:val="en-CA"/>
        </w:rPr>
      </w:r>
      <w:r>
        <w:fldChar w:fldCharType="end"/>
      </w:r>
    </w:p>
    <w:p>
      <w:pPr>
        <w:pStyle w:val="TextBody"/>
        <w:rPr>
          <w:vertAlign w:val="superscript"/>
          <w:lang w:val="en-CA"/>
        </w:rPr>
      </w:pPr>
      <w:r>
        <w:rPr>
          <w:lang w:val="en-CA"/>
        </w:rPr>
        <w:t>The one study of the effects of tiered formularies on medicine use by children was the only study not to find an association between the policy and medical discontinuation.</w:t>
      </w:r>
      <w:r>
        <w:fldChar w:fldCharType="begin"/>
      </w:r>
      <w:r>
        <w:instrText> ADDIN EN.CITE </w:instrText>
      </w:r>
      <w:r>
        <w:fldChar w:fldCharType="separate"/>
      </w:r>
      <w:bookmarkStart w:id="26" w:name="__Fieldmark__146_1024893045"/>
      <w:r>
        <w:rPr>
          <w:vertAlign w:val="superscript"/>
          <w:lang w:val="en-CA"/>
        </w:rPr>
        <w:t>18</w:t>
      </w:r>
      <w:r>
        <w:rPr>
          <w:vertAlign w:val="superscript"/>
          <w:lang w:val="en-CA"/>
        </w:rPr>
      </w:r>
      <w:r>
        <w:fldChar w:fldCharType="end"/>
      </w:r>
      <w:bookmarkEnd w:id="26"/>
      <w:r>
        <w:rPr>
          <w:lang w:val="en-CA"/>
        </w:rPr>
        <w:t xml:space="preserve"> The one study that assessed the differences in policy impact on treatments for acute versus chronic conditions found greater relative reductions in the utilization of and persistence with acute condition treatments.</w:t>
      </w:r>
      <w:r>
        <w:fldChar w:fldCharType="begin"/>
      </w:r>
      <w:r>
        <w:instrText> ADDIN EN.CITE </w:instrText>
      </w:r>
      <w:r>
        <w:fldChar w:fldCharType="separate"/>
      </w:r>
      <w:bookmarkStart w:id="27" w:name="__Fieldmark__147_1024893045"/>
      <w:r>
        <w:rPr>
          <w:vertAlign w:val="superscript"/>
          <w:lang w:val="en-CA"/>
        </w:rPr>
        <w:t>16</w:t>
      </w:r>
      <w:bookmarkEnd w:id="27"/>
      <w:r>
        <w:rPr>
          <w:vertAlign w:val="superscript"/>
          <w:lang w:val="en-CA"/>
        </w:rPr>
      </w:r>
      <w:r>
        <w:fldChar w:fldCharType="end"/>
      </w:r>
    </w:p>
    <w:p>
      <w:pPr>
        <w:pStyle w:val="Heading2"/>
        <w:numPr>
          <w:ilvl w:val="1"/>
          <w:numId w:val="1"/>
        </w:numPr>
        <w:rPr/>
      </w:pPr>
      <w:r>
        <w:rPr/>
        <w:t>Discussion</w:t>
      </w:r>
    </w:p>
    <w:p>
      <w:pPr>
        <w:pStyle w:val="TextBody"/>
        <w:rPr>
          <w:lang w:val="en-CA"/>
        </w:rPr>
      </w:pPr>
      <w:r>
        <w:rPr>
          <w:lang w:val="en-CA"/>
        </w:rPr>
        <w:t xml:space="preserve">There are relatively few high-quality patient-level studies of the impact of reference pricing and tiered formularies and available evidence permits only limited comparisons between these policy tools due to differences in populations studied and health system context. However, the most common finding is that patients facing reference pricing or tiered formularies often switch toward medications with preferred coverage. Studies of reference pricing suggest that reference pricing is also associated with short term increases in the use of physician services, which may be interpreted as a transaction cost associated with switching medications. The balance of evidence found concerning health services use, hospitalization and death indicates that reference pricing (as implemented in BC) is not associated with adverse health impacts. </w:t>
      </w:r>
    </w:p>
    <w:p>
      <w:pPr>
        <w:pStyle w:val="TextBody"/>
        <w:rPr>
          <w:lang w:val="en-CA"/>
        </w:rPr>
      </w:pPr>
      <w:r>
        <w:rPr>
          <w:lang w:val="en-CA"/>
        </w:rPr>
        <w:t>More research is required to examine the hypothesis that tiered formulary policies may result in increased use of physician services and potentially worse health outcomes. Surprisingly, only two of the eight studies of tiered formularies included in this review assessed such outcomes or surrogates thereof. This gap in knowledge is potentially critical given that seven of the eight tiered formulary studies found that tiered formularies were associated with reduced use of medicines, increased medicine discontinuation or both.</w:t>
      </w:r>
    </w:p>
    <w:p>
      <w:pPr>
        <w:pStyle w:val="Heading2"/>
        <w:numPr>
          <w:ilvl w:val="1"/>
          <w:numId w:val="1"/>
        </w:numPr>
        <w:rPr/>
      </w:pPr>
      <w:r>
        <w:rPr/>
        <w:t>Conclusion</w:t>
      </w:r>
    </w:p>
    <w:p>
      <w:pPr>
        <w:pStyle w:val="TextBody"/>
        <w:rPr>
          <w:lang w:val="en-CA"/>
        </w:rPr>
      </w:pPr>
      <w:r>
        <w:rPr>
          <w:lang w:val="en-CA"/>
        </w:rPr>
        <w:t xml:space="preserve">The rapid rise in tiered formularies among private insurance plans in the US may be a harbinger of the future trends in Canada: given rising medicine costs, it is likely that incentive structures for patient cost-sharing will be adopted more widely here in the future. Evidence suggests that patient incentives work insofar as they alter prescription drug use and save on drug costs. The available evidence does not clearly differentiate reference pricing and tiered formularies in terms of policy outcomes. Reference pricing has a slight evidentiary advantage given that patient health outcomes under tired formularies have not been well studied and that tiered formularies are associated with increased rates of medicine discontinuation. </w:t>
      </w:r>
    </w:p>
    <w:p>
      <w:pPr>
        <w:pStyle w:val="TextBody"/>
        <w:rPr>
          <w:lang w:val="en-CA"/>
        </w:rPr>
      </w:pPr>
      <w:r>
        <w:rPr>
          <w:lang w:val="en-CA"/>
        </w:rPr>
        <w:t>When considering policy options in Canada, information and transaction costs for prescribers and patients should be taken into consideration. With dozens of potential formularies to consider for their patient rosters, US physicians may not have the time or resources necessary to know which drugs are on what ‘tier’ for each patient. High co-payment prescriptions may be prescribed unintentionally under such circumstances, potentially resulting in increased patient costs, strained physician-patient relationships, reduced adherence to treatments, and worse health outcomes. Such adverse policy outcomes may be minimized if patient cost-sharing, through reference pricing or tiered formularies, was harmonized across all payers within a province.</w:t>
      </w:r>
    </w:p>
    <w:p>
      <w:pPr>
        <w:pStyle w:val="TextBody"/>
        <w:rPr>
          <w:lang w:val="en-CA"/>
        </w:rPr>
      </w:pPr>
      <w:r>
        <w:rPr>
          <w:lang w:val="en-CA"/>
        </w:rPr>
      </w:r>
    </w:p>
    <w:p>
      <w:pPr>
        <w:pStyle w:val="Heading1"/>
        <w:numPr>
          <w:ilvl w:val="0"/>
          <w:numId w:val="1"/>
        </w:numPr>
        <w:rPr/>
      </w:pPr>
      <w:r>
        <w:rPr/>
        <w:t>References</w:t>
      </w:r>
    </w:p>
    <w:p>
      <w:pPr>
        <w:pStyle w:val="TextBody"/>
        <w:spacing w:lineRule="auto" w:line="240" w:before="0" w:after="0"/>
        <w:ind w:left="720" w:right="0" w:hanging="720"/>
        <w:rPr>
          <w:lang w:val="en-CA"/>
        </w:rPr>
      </w:pPr>
      <w:r>
        <w:fldChar w:fldCharType="begin"/>
      </w:r>
      <w:r>
        <w:instrText> ADDIN EN.REFLIST </w:instrText>
      </w:r>
      <w:r>
        <w:fldChar w:fldCharType="separate"/>
      </w:r>
      <w:bookmarkStart w:id="28" w:name="__Fieldmark__148_1024893045"/>
      <w:r>
        <w:rPr>
          <w:lang w:val="en-CA"/>
        </w:rPr>
        <w:t>1.</w:t>
        <w:tab/>
        <w:t>CIHI. Drug Expenditure in Canada 1985-2007. Ottawa: Canadian Institute for Health Information, May.</w:t>
      </w:r>
    </w:p>
    <w:p>
      <w:pPr>
        <w:pStyle w:val="TextBody"/>
        <w:spacing w:lineRule="auto" w:line="240" w:before="0" w:after="0"/>
        <w:ind w:left="720" w:right="0" w:hanging="720"/>
        <w:rPr>
          <w:lang w:val="en-CA"/>
        </w:rPr>
      </w:pPr>
      <w:r>
        <w:rPr>
          <w:lang w:val="en-CA"/>
        </w:rPr>
        <w:t>2.</w:t>
        <w:tab/>
        <w:t>Aaserud M, Dahlgren AT, Kosters JP et al. Pharmaceutical policies: effects of reference pricing, other pricing, and purchasing policies. Cochrane database of systematic reviews (Online) 2006; (2) (2):CD005979.</w:t>
      </w:r>
    </w:p>
    <w:p>
      <w:pPr>
        <w:pStyle w:val="TextBody"/>
        <w:spacing w:lineRule="auto" w:line="240" w:before="0" w:after="0"/>
        <w:ind w:left="720" w:right="0" w:hanging="720"/>
        <w:rPr>
          <w:lang w:val="en-CA"/>
        </w:rPr>
      </w:pPr>
      <w:r>
        <w:rPr>
          <w:lang w:val="en-CA"/>
        </w:rPr>
        <w:t>3.</w:t>
        <w:tab/>
        <w:t>Puig-Junoy J. What Is Required to Evaluate the Impact of Pharmaceutical Reference Pricing? Applied Health Economics and Health Policy 2005; 4 (2):87-98.</w:t>
      </w:r>
    </w:p>
    <w:p>
      <w:pPr>
        <w:pStyle w:val="TextBody"/>
        <w:spacing w:lineRule="auto" w:line="240" w:before="0" w:after="0"/>
        <w:ind w:left="720" w:right="0" w:hanging="720"/>
        <w:rPr>
          <w:lang w:val="en-CA"/>
        </w:rPr>
      </w:pPr>
      <w:r>
        <w:rPr>
          <w:lang w:val="en-CA"/>
        </w:rPr>
        <w:t>4.</w:t>
        <w:tab/>
        <w:t>Schneeweiss S. Reference drug programs: Effectiveness and policy implications. Health Policy 2007; 81 (1):17-28.</w:t>
      </w:r>
    </w:p>
    <w:p>
      <w:pPr>
        <w:pStyle w:val="TextBody"/>
        <w:spacing w:lineRule="auto" w:line="240" w:before="0" w:after="0"/>
        <w:ind w:left="720" w:right="0" w:hanging="720"/>
        <w:rPr>
          <w:lang w:val="en-CA"/>
        </w:rPr>
      </w:pPr>
      <w:r>
        <w:rPr>
          <w:lang w:val="en-CA"/>
        </w:rPr>
        <w:t>5.</w:t>
        <w:tab/>
        <w:t>Kanavos P, Reinhardt U. Reference pricing for drugs: is it compatible with U.S. health care? Health Affairs (Millwood) 2003; 22 (3):16-30.</w:t>
      </w:r>
    </w:p>
    <w:p>
      <w:pPr>
        <w:pStyle w:val="TextBody"/>
        <w:spacing w:lineRule="auto" w:line="240" w:before="0" w:after="0"/>
        <w:ind w:left="720" w:right="0" w:hanging="720"/>
        <w:rPr>
          <w:lang w:val="en-CA"/>
        </w:rPr>
      </w:pPr>
      <w:r>
        <w:rPr>
          <w:lang w:val="en-CA"/>
        </w:rPr>
        <w:t>6.</w:t>
        <w:tab/>
        <w:t>Kaiser Family Foundation. Employer Health Benefits - 2007 Annual Survey 200722 Oct 2007].</w:t>
      </w:r>
    </w:p>
    <w:p>
      <w:pPr>
        <w:pStyle w:val="TextBody"/>
        <w:spacing w:lineRule="auto" w:line="240" w:before="0" w:after="0"/>
        <w:ind w:left="720" w:right="0" w:hanging="720"/>
        <w:rPr>
          <w:lang w:val="en-CA"/>
        </w:rPr>
      </w:pPr>
      <w:r>
        <w:rPr>
          <w:lang w:val="en-CA"/>
        </w:rPr>
        <w:t>7.</w:t>
        <w:tab/>
        <w:t>Grootendorst PV, Dolovich LR, Holbrook AM et al. The Impact of Reference Pricing of Cardiovascular Drugs on Health Care Costs and Health Outcomes: Evidence from British Columbia--Volume II: Technical Report.</w:t>
      </w:r>
    </w:p>
    <w:p>
      <w:pPr>
        <w:pStyle w:val="TextBody"/>
        <w:spacing w:lineRule="auto" w:line="240" w:before="0" w:after="0"/>
        <w:ind w:left="720" w:right="0" w:hanging="720"/>
        <w:rPr>
          <w:lang w:val="en-CA"/>
        </w:rPr>
      </w:pPr>
      <w:r>
        <w:rPr>
          <w:lang w:val="en-CA"/>
        </w:rPr>
        <w:t>8.</w:t>
        <w:tab/>
        <w:t>Schneeweiss S, Walker AM, Glynn FJ et al. Outcomes of reference pricing for angiotensin-converting-enzyme inhibitors. New England Journal of Medicine 2002; 346 (11):822-9.</w:t>
      </w:r>
    </w:p>
    <w:p>
      <w:pPr>
        <w:pStyle w:val="TextBody"/>
        <w:spacing w:lineRule="auto" w:line="240" w:before="0" w:after="0"/>
        <w:ind w:left="720" w:right="0" w:hanging="720"/>
        <w:rPr>
          <w:lang w:val="en-CA"/>
        </w:rPr>
      </w:pPr>
      <w:r>
        <w:rPr>
          <w:lang w:val="en-CA"/>
        </w:rPr>
        <w:t>9.</w:t>
        <w:tab/>
        <w:t>Schneeweiss S, Soumerai SB, Glynn RJ et al. Impact of reference-based pricing for angiotensin-converting enzyme inhibitors on drug utilization. CMAJ: Canadian Medical Association Journal 2002; 166 (6):737-45.</w:t>
      </w:r>
    </w:p>
    <w:p>
      <w:pPr>
        <w:pStyle w:val="TextBody"/>
        <w:spacing w:lineRule="auto" w:line="240" w:before="0" w:after="0"/>
        <w:ind w:left="720" w:right="0" w:hanging="720"/>
        <w:rPr>
          <w:lang w:val="en-CA"/>
        </w:rPr>
      </w:pPr>
      <w:r>
        <w:rPr>
          <w:lang w:val="en-CA"/>
        </w:rPr>
        <w:t>10.</w:t>
        <w:tab/>
        <w:t>Schneeweiss S, Soumerai SB, Maclure M et al. Clinical and economic consequences of reference pricing for dihydropyridine calcium channel blockers. Clinical Pharmacology &amp; Therapeutics 2003; 74 (4):388-400.</w:t>
      </w:r>
    </w:p>
    <w:p>
      <w:pPr>
        <w:pStyle w:val="TextBody"/>
        <w:spacing w:lineRule="auto" w:line="240" w:before="0" w:after="0"/>
        <w:ind w:left="720" w:right="0" w:hanging="720"/>
        <w:rPr>
          <w:lang w:val="en-CA"/>
        </w:rPr>
      </w:pPr>
      <w:r>
        <w:rPr>
          <w:lang w:val="en-CA"/>
        </w:rPr>
        <w:t>11.</w:t>
        <w:tab/>
        <w:t>Motheral B, Fairman KA. Effect of a three-tier prescription copay on pharmaceutical and other medical utilization. Medical Care 2001; 39 (12):1293-304.</w:t>
      </w:r>
    </w:p>
    <w:p>
      <w:pPr>
        <w:pStyle w:val="TextBody"/>
        <w:spacing w:lineRule="auto" w:line="240" w:before="0" w:after="0"/>
        <w:ind w:left="720" w:right="0" w:hanging="720"/>
        <w:rPr>
          <w:lang w:val="en-CA"/>
        </w:rPr>
      </w:pPr>
      <w:r>
        <w:rPr>
          <w:lang w:val="en-CA"/>
        </w:rPr>
        <w:t>12.</w:t>
        <w:tab/>
        <w:t>Fairman KA, Motheral BR, Henderson RR. Retrospective, long-term follow-up study of the effect of a three-tier prescription drug copayment system on pharmaceutical and other medical utilization and costs. Clinical therapeutics 2003; 25 (12):3147-61.</w:t>
      </w:r>
    </w:p>
    <w:p>
      <w:pPr>
        <w:pStyle w:val="TextBody"/>
        <w:spacing w:lineRule="auto" w:line="240" w:before="0" w:after="0"/>
        <w:ind w:left="720" w:right="0" w:hanging="720"/>
        <w:rPr>
          <w:lang w:val="en-CA"/>
        </w:rPr>
      </w:pPr>
      <w:r>
        <w:rPr>
          <w:lang w:val="en-CA"/>
        </w:rPr>
        <w:t>13.</w:t>
        <w:tab/>
        <w:t>Huskamp HA, Deverka PA, Epstein AM et al. The Effect of Incentive-Based Formularies on Prescription-Drug Utilization and Spending.[Article]. New England Journal of Medicine 2003; 349 (23):2224-32.</w:t>
      </w:r>
    </w:p>
    <w:p>
      <w:pPr>
        <w:pStyle w:val="TextBody"/>
        <w:spacing w:lineRule="auto" w:line="240" w:before="0" w:after="0"/>
        <w:ind w:left="720" w:right="0" w:hanging="720"/>
        <w:rPr>
          <w:lang w:val="en-CA"/>
        </w:rPr>
      </w:pPr>
      <w:r>
        <w:rPr>
          <w:lang w:val="en-CA"/>
        </w:rPr>
        <w:t>14.</w:t>
        <w:tab/>
        <w:t>Nair KV, Wolfe P, Valuck RJ et al. Effects of a 3-Tier Pharmacy Benefit Design on the Prescription Purchasing Behavior of Individuals with Chronic Disease. Journal of Managed Care Pharmacy 2003; 9 (2):123-33.</w:t>
      </w:r>
    </w:p>
    <w:p>
      <w:pPr>
        <w:pStyle w:val="TextBody"/>
        <w:spacing w:lineRule="auto" w:line="240" w:before="0" w:after="0"/>
        <w:ind w:left="720" w:right="0" w:hanging="720"/>
        <w:rPr>
          <w:lang w:val="en-CA"/>
        </w:rPr>
      </w:pPr>
      <w:r>
        <w:rPr>
          <w:lang w:val="en-CA"/>
        </w:rPr>
        <w:t>15.</w:t>
        <w:tab/>
        <w:t>Gibson TB, McLaughlin CG, Smith DG. A Copayment Increase for Prescription Drugs: The Long-Term and Short-Term Effects on Use and Expenditures. Inquiry - Excellus Health Plan 2005; 42 (3):293.</w:t>
      </w:r>
    </w:p>
    <w:p>
      <w:pPr>
        <w:pStyle w:val="TextBody"/>
        <w:spacing w:lineRule="auto" w:line="240" w:before="0" w:after="0"/>
        <w:ind w:left="720" w:right="0" w:hanging="720"/>
        <w:rPr>
          <w:lang w:val="en-CA"/>
        </w:rPr>
      </w:pPr>
      <w:r>
        <w:rPr>
          <w:lang w:val="en-CA"/>
        </w:rPr>
        <w:t>16.</w:t>
        <w:tab/>
        <w:t>Landsman PB, Yu W, Liu X et al. Impact of 3-tier pharmacy benefit design and increased consumer cost-sharing on drug utilization. American Journal of Managed Care 2005; 11 (10):621-8.</w:t>
      </w:r>
    </w:p>
    <w:p>
      <w:pPr>
        <w:pStyle w:val="TextBody"/>
        <w:spacing w:lineRule="auto" w:line="240" w:before="0" w:after="0"/>
        <w:ind w:left="720" w:right="0" w:hanging="720"/>
        <w:rPr>
          <w:lang w:val="en-CA"/>
        </w:rPr>
      </w:pPr>
      <w:r>
        <w:rPr>
          <w:lang w:val="en-CA"/>
        </w:rPr>
        <w:t>17.</w:t>
        <w:tab/>
        <w:t>Landon BE, Rosenthal MB, Normand SL et al. Incentive formularies and changes in prescription drug spending. The American Journal of Managed Care 2007; 13 (6 Pt 2):360-9.</w:t>
      </w:r>
    </w:p>
    <w:p>
      <w:pPr>
        <w:pStyle w:val="TextBody"/>
        <w:spacing w:lineRule="auto" w:line="240" w:before="0" w:after="0"/>
        <w:ind w:left="720" w:right="0" w:hanging="720"/>
        <w:rPr>
          <w:lang w:val="en-CA"/>
        </w:rPr>
      </w:pPr>
      <w:r>
        <w:rPr>
          <w:lang w:val="en-CA"/>
        </w:rPr>
        <w:t>18.</w:t>
        <w:tab/>
        <w:t>Huskamp HA, Deverka PA, Epstein AM et al. Impact of 3-tier formularies on drug treatment of attention-deficit/hyperactivity disorder in children. Archives of General Psychiatry 2005; 62 (4):435-41.</w:t>
      </w:r>
    </w:p>
    <w:p>
      <w:pPr>
        <w:pStyle w:val="TextBody"/>
        <w:spacing w:lineRule="auto" w:line="240" w:before="0" w:after="0"/>
        <w:ind w:left="0" w:right="0" w:hanging="0"/>
        <w:rPr>
          <w:lang w:val="en-CA"/>
        </w:rPr>
      </w:pPr>
      <w:r>
        <w:rPr>
          <w:lang w:val="en-CA"/>
        </w:rPr>
      </w:r>
    </w:p>
    <w:p>
      <w:pPr>
        <w:pStyle w:val="Caption"/>
        <w:rPr/>
      </w:pPr>
      <w:bookmarkStart w:id="29" w:name="__Fieldmark__148_1024893045"/>
      <w:bookmarkEnd w:id="29"/>
      <w:r>
        <w:rPr/>
      </w:r>
      <w:r>
        <w:fldChar w:fldCharType="end"/>
      </w:r>
    </w:p>
    <w:p>
      <w:pPr>
        <w:pStyle w:val="Caption"/>
        <w:pageBreakBefore/>
        <w:rPr/>
      </w:pPr>
      <w:bookmarkStart w:id="30" w:name="_Ref208137800"/>
      <w:r>
        <w:rPr/>
        <w:t xml:space="preserve">Table </w:t>
      </w:r>
      <w:r>
        <w:rPr/>
        <w:fldChar w:fldCharType="begin"/>
      </w:r>
      <w:r>
        <w:instrText> SEQ "Table" \*Arabic </w:instrText>
      </w:r>
      <w:r>
        <w:fldChar w:fldCharType="separate"/>
      </w:r>
      <w:r>
        <w:t>1</w:t>
      </w:r>
      <w:r>
        <w:fldChar w:fldCharType="end"/>
      </w:r>
      <w:bookmarkEnd w:id="30"/>
      <w:r>
        <w:rPr/>
        <w:t>: QUOROM chart of search results</w:t>
      </w:r>
    </w:p>
    <w:p>
      <w:pPr>
        <w:pStyle w:val="Normal"/>
        <w:rPr/>
      </w:pPr>
      <w:r>
        <w:rPr/>
      </w:r>
    </w:p>
    <w:p>
      <w:pPr>
        <w:pStyle w:val="Normal"/>
        <w:rPr/>
      </w:pPr>
      <w:r>
        <w:rPr/>
        <w:tab/>
      </w:r>
    </w:p>
    <w:p>
      <w:pPr>
        <w:pStyle w:val="Normal"/>
        <w:rPr/>
      </w:pPr>
      <w:r>
        <w:rPr/>
        <w:drawing>
          <wp:inline distT="0" distB="0" distL="0" distR="0">
            <wp:extent cx="5941695" cy="523938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1695" cy="5239385"/>
                    </a:xfrm>
                    <a:prstGeom prst="rect">
                      <a:avLst/>
                    </a:prstGeom>
                    <a:noFill/>
                    <a:ln w="9525">
                      <a:noFill/>
                      <a:miter lim="800000"/>
                      <a:headEnd/>
                      <a:tailEnd/>
                    </a:ln>
                  </pic:spPr>
                </pic:pic>
              </a:graphicData>
            </a:graphic>
          </wp:inline>
        </w:drawing>
      </w:r>
    </w:p>
    <w:p>
      <w:pPr>
        <w:pStyle w:val="Normal"/>
        <w:pageBreakBefore/>
        <w:rPr/>
      </w:pPr>
      <w:r>
        <w:rPr/>
      </w:r>
    </w:p>
    <w:p>
      <w:pPr>
        <w:pStyle w:val="TextBody"/>
        <w:spacing w:lineRule="auto" w:line="240" w:before="0" w:after="0"/>
        <w:ind w:left="720" w:right="0" w:hanging="720"/>
        <w:rPr>
          <w:lang w:val="en-CA"/>
        </w:rPr>
      </w:pPr>
      <w:r>
        <w:rPr>
          <w:lang w:val="en-CA"/>
        </w:rPr>
      </w:r>
    </w:p>
    <w:p>
      <w:pPr>
        <w:pStyle w:val="Caption"/>
        <w:rPr/>
      </w:pPr>
      <w:bookmarkStart w:id="31" w:name="_Ref201800788"/>
      <w:r>
        <w:rPr/>
        <w:t xml:space="preserve">Table </w:t>
      </w:r>
      <w:r>
        <w:rPr/>
        <w:fldChar w:fldCharType="begin"/>
      </w:r>
      <w:r>
        <w:instrText> SEQ "Table" \*Arabic </w:instrText>
      </w:r>
      <w:r>
        <w:fldChar w:fldCharType="separate"/>
      </w:r>
      <w:r>
        <w:t>2</w:t>
      </w:r>
      <w:r>
        <w:fldChar w:fldCharType="end"/>
      </w:r>
      <w:bookmarkEnd w:id="31"/>
      <w:r>
        <w:rPr/>
        <w:t>: Summary of associations found in studies of reference pricing</w:t>
      </w:r>
    </w:p>
    <w:tbl>
      <w:tblPr>
        <w:jc w:val="left"/>
        <w:tblInd w:w="93" w:type="dxa"/>
        <w:tblBorders>
          <w:top w:val="single" w:sz="4" w:space="0" w:color="000000"/>
          <w:left w:val="nil"/>
          <w:bottom w:val="nil"/>
          <w:insideH w:val="nil"/>
          <w:right w:val="nil"/>
          <w:insideV w:val="nil"/>
        </w:tblBorders>
        <w:tblCellMar>
          <w:top w:w="0" w:type="dxa"/>
          <w:left w:w="108" w:type="dxa"/>
          <w:bottom w:w="0" w:type="dxa"/>
          <w:right w:w="108" w:type="dxa"/>
        </w:tblCellMar>
      </w:tblPr>
      <w:tblGrid>
        <w:gridCol w:w="3015"/>
        <w:gridCol w:w="2168"/>
        <w:gridCol w:w="2168"/>
        <w:gridCol w:w="2169"/>
      </w:tblGrid>
      <w:tr>
        <w:trPr>
          <w:trHeight w:val="255" w:hRule="atLeast"/>
          <w:cantSplit w:val="false"/>
        </w:trPr>
        <w:tc>
          <w:tcPr>
            <w:tcW w:w="3015" w:type="dxa"/>
            <w:tcBorders>
              <w:top w:val="single" w:sz="4" w:space="0" w:color="000000"/>
              <w:left w:val="nil"/>
              <w:bottom w:val="nil"/>
              <w:insideH w:val="nil"/>
              <w:right w:val="nil"/>
              <w:insideV w:val="nil"/>
            </w:tcBorders>
            <w:shd w:fill="CCCCCC" w:val="clear"/>
            <w:vAlign w:val="center"/>
          </w:tcPr>
          <w:p>
            <w:pPr>
              <w:pStyle w:val="Normal"/>
              <w:rPr>
                <w:rFonts w:cs="Arial" w:ascii="Arial Narrow" w:hAnsi="Arial Narrow"/>
                <w:b/>
                <w:sz w:val="18"/>
                <w:szCs w:val="18"/>
              </w:rPr>
            </w:pPr>
            <w:r>
              <w:rPr>
                <w:rFonts w:cs="Arial" w:ascii="Arial Narrow" w:hAnsi="Arial Narrow"/>
                <w:b/>
                <w:sz w:val="18"/>
                <w:szCs w:val="18"/>
              </w:rPr>
              <w:t>Study</w:t>
            </w:r>
          </w:p>
        </w:tc>
        <w:tc>
          <w:tcPr>
            <w:tcW w:w="2168" w:type="dxa"/>
            <w:tcBorders>
              <w:top w:val="single" w:sz="4" w:space="0" w:color="000000"/>
              <w:left w:val="nil"/>
              <w:bottom w:val="nil"/>
              <w:insideH w:val="nil"/>
              <w:right w:val="nil"/>
              <w:insideV w:val="nil"/>
            </w:tcBorders>
            <w:shd w:fill="CCCCCC" w:val="clear"/>
            <w:vAlign w:val="center"/>
          </w:tcPr>
          <w:p>
            <w:pPr>
              <w:pStyle w:val="Normal"/>
              <w:rPr>
                <w:rFonts w:cs="Arial" w:ascii="Arial Narrow" w:hAnsi="Arial Narrow"/>
                <w:b/>
                <w:sz w:val="18"/>
                <w:szCs w:val="18"/>
                <w:vertAlign w:val="superscript"/>
              </w:rPr>
            </w:pPr>
            <w:r>
              <w:rPr>
                <w:rFonts w:cs="Arial" w:ascii="Arial Narrow" w:hAnsi="Arial Narrow"/>
                <w:b/>
                <w:sz w:val="18"/>
                <w:szCs w:val="18"/>
              </w:rPr>
              <w:t>Grootendorst</w:t>
            </w:r>
            <w:r>
              <w:fldChar w:fldCharType="begin"/>
            </w:r>
            <w:r>
              <w:instrText> ADDIN EN.CITE &lt;EndNote&gt;&lt;Cite&gt;&lt;Author&gt;Grootendorst&lt;/Author&gt;&lt;Year&gt;2002&lt;/Year&gt;&lt;RecNum&gt;9952&lt;/RecNum&gt;&lt;record&gt;&lt;rec-number&gt;9952&lt;/rec-number&gt;&lt;foreign-keys&gt;&lt;key app="EN" db-id="e5razrre359x0aetvvexesr5tfx2dpf0v522"&gt;9952&lt;/key&gt;&lt;/foreign-keys&gt;&lt;ref-type name="Report"&gt;27&lt;/ref-type&gt;&lt;contributors&gt;&lt;authors&gt;&lt;author&gt;Grootendorst, Paul V.&lt;/author&gt;&lt;author&gt;Dolovich, Lisa R.&lt;/author&gt;&lt;author&gt;Holbrook, Anne M.&lt;/author&gt;&lt;author&gt;Levy, Adrian R.&lt;/author&gt;&lt;author&gt;O&amp;apos;Brien, Bernie J.&lt;/author&gt;&lt;/authors&gt;&lt;tertiary-authors&gt;&lt;author&gt;Anonymous,&lt;/author&gt;&lt;/tertiary-authors&gt;&lt;/contributors&gt;&lt;auth-address&gt;Unlisted&lt;/auth-address&gt;&lt;titles&gt;&lt;title&gt;The Impact of Reference Pricing of Cardiovascular Drugs on Health Care Costs and Health Outcomes: Evidence from British Columbia--Volume II: Technical Report&lt;/title&gt;&lt;/titles&gt;&lt;keywords&gt;&lt;keyword&gt;&amp;lt;displaylist style=&amp;quot;&amp;quot;&amp;gt;&amp;lt;displayline&amp;gt;Health: Government Policy&lt;/keyword&gt;&lt;keyword&gt;Regulation&lt;/keyword&gt;&lt;keyword&gt;Public Health (I180)&amp;lt;/displayline&amp;gt;&amp;lt;/displaylist&amp;gt;&lt;/keyword&gt;&lt;keyword&gt;reference pricing,prescription drugs,ACE inhibitors,calcium channel blockers,nitrates,pharmaceutical cost control,seniors,user fees&lt;/keyword&gt;&lt;/keywords&gt;&lt;dates&gt;&lt;year&gt;2002&lt;/year&gt;&lt;/dates&gt;&lt;accession-num&gt;1649&lt;/accession-num&gt;&lt;work-type&gt;Report&lt;/work-type&gt;&lt;urls&gt;&lt;related-urls&gt;&lt;url&gt;http://search.epnet.com/login.aspx?direct=true&amp;amp;db=ecn&amp;amp;an=0832178 &lt;/url&gt;&lt;/related-urls&gt;&lt;/urls&gt;&lt;/record&gt;&lt;/Cite&gt;&lt;/EndNote&gt;</w:instrText>
            </w:r>
            <w:r>
              <w:fldChar w:fldCharType="separate"/>
            </w:r>
            <w:bookmarkStart w:id="32" w:name="__Fieldmark__149_1024893045"/>
            <w:r>
              <w:rPr>
                <w:rFonts w:cs="Arial" w:ascii="Arial Narrow" w:hAnsi="Arial Narrow"/>
                <w:b/>
                <w:sz w:val="18"/>
                <w:szCs w:val="18"/>
                <w:vertAlign w:val="superscript"/>
              </w:rPr>
              <w:t>7</w:t>
            </w:r>
            <w:bookmarkEnd w:id="32"/>
            <w:r>
              <w:rPr>
                <w:rFonts w:cs="Arial" w:ascii="Arial Narrow" w:hAnsi="Arial Narrow"/>
                <w:b/>
                <w:sz w:val="18"/>
                <w:szCs w:val="18"/>
                <w:vertAlign w:val="superscript"/>
              </w:rPr>
            </w:r>
            <w:r>
              <w:fldChar w:fldCharType="end"/>
            </w:r>
          </w:p>
        </w:tc>
        <w:tc>
          <w:tcPr>
            <w:tcW w:w="2168" w:type="dxa"/>
            <w:tcBorders>
              <w:top w:val="single" w:sz="4" w:space="0" w:color="000000"/>
              <w:left w:val="nil"/>
              <w:bottom w:val="nil"/>
              <w:insideH w:val="nil"/>
              <w:right w:val="nil"/>
              <w:insideV w:val="nil"/>
            </w:tcBorders>
            <w:shd w:fill="CCCCCC" w:val="clear"/>
            <w:vAlign w:val="center"/>
          </w:tcPr>
          <w:p>
            <w:pPr>
              <w:pStyle w:val="Normal"/>
              <w:rPr>
                <w:rFonts w:cs="Arial" w:ascii="Arial Narrow" w:hAnsi="Arial Narrow"/>
                <w:b/>
                <w:sz w:val="18"/>
                <w:szCs w:val="18"/>
                <w:vertAlign w:val="superscript"/>
              </w:rPr>
            </w:pPr>
            <w:r>
              <w:rPr>
                <w:rFonts w:cs="Arial" w:ascii="Arial Narrow" w:hAnsi="Arial Narrow"/>
                <w:b/>
                <w:sz w:val="18"/>
                <w:szCs w:val="18"/>
              </w:rPr>
              <w:t>Schneeweiss</w:t>
            </w:r>
            <w:r>
              <w:fldChar w:fldCharType="begin"/>
            </w:r>
            <w:r>
              <w:instrText> ADDIN EN.CITE </w:instrText>
            </w:r>
            <w:r>
              <w:fldChar w:fldCharType="separate"/>
            </w:r>
            <w:bookmarkStart w:id="33" w:name="__Fieldmark__150_1024893045"/>
            <w:r>
              <w:rPr>
                <w:rFonts w:cs="Arial" w:ascii="Arial Narrow" w:hAnsi="Arial Narrow"/>
                <w:b/>
                <w:sz w:val="18"/>
                <w:szCs w:val="18"/>
                <w:vertAlign w:val="superscript"/>
              </w:rPr>
              <w:t>9,8</w:t>
            </w:r>
            <w:bookmarkEnd w:id="33"/>
            <w:r>
              <w:rPr>
                <w:rFonts w:cs="Arial" w:ascii="Arial Narrow" w:hAnsi="Arial Narrow"/>
                <w:b/>
                <w:sz w:val="18"/>
                <w:szCs w:val="18"/>
                <w:vertAlign w:val="superscript"/>
              </w:rPr>
            </w:r>
            <w:r>
              <w:fldChar w:fldCharType="end"/>
            </w:r>
          </w:p>
        </w:tc>
        <w:tc>
          <w:tcPr>
            <w:tcW w:w="2169" w:type="dxa"/>
            <w:tcBorders>
              <w:top w:val="single" w:sz="4" w:space="0" w:color="000000"/>
              <w:left w:val="nil"/>
              <w:bottom w:val="nil"/>
              <w:insideH w:val="nil"/>
              <w:right w:val="nil"/>
              <w:insideV w:val="nil"/>
            </w:tcBorders>
            <w:shd w:fill="CCCCCC" w:val="clear"/>
            <w:vAlign w:val="center"/>
          </w:tcPr>
          <w:p>
            <w:pPr>
              <w:pStyle w:val="Normal"/>
              <w:rPr>
                <w:rFonts w:cs="Arial" w:ascii="Arial Narrow" w:hAnsi="Arial Narrow"/>
                <w:b/>
                <w:sz w:val="18"/>
                <w:szCs w:val="18"/>
                <w:vertAlign w:val="superscript"/>
              </w:rPr>
            </w:pPr>
            <w:r>
              <w:rPr>
                <w:rFonts w:cs="Arial" w:ascii="Arial Narrow" w:hAnsi="Arial Narrow"/>
                <w:b/>
                <w:sz w:val="18"/>
                <w:szCs w:val="18"/>
              </w:rPr>
              <w:t>Schneeweiss</w:t>
            </w:r>
            <w:r>
              <w:fldChar w:fldCharType="begin"/>
            </w:r>
            <w:r>
              <w:instrText> ADDIN EN.CITE </w:instrText>
            </w:r>
            <w:r>
              <w:fldChar w:fldCharType="separate"/>
            </w:r>
            <w:bookmarkStart w:id="34" w:name="__Fieldmark__151_1024893045"/>
            <w:r>
              <w:rPr>
                <w:rFonts w:cs="Arial" w:ascii="Arial Narrow" w:hAnsi="Arial Narrow"/>
                <w:b/>
                <w:sz w:val="18"/>
                <w:szCs w:val="18"/>
                <w:vertAlign w:val="superscript"/>
              </w:rPr>
              <w:t>10</w:t>
            </w:r>
            <w:bookmarkEnd w:id="34"/>
            <w:r>
              <w:rPr>
                <w:rFonts w:cs="Arial" w:ascii="Arial Narrow" w:hAnsi="Arial Narrow"/>
                <w:b/>
                <w:sz w:val="18"/>
                <w:szCs w:val="18"/>
                <w:vertAlign w:val="superscript"/>
              </w:rPr>
            </w:r>
            <w:r>
              <w:fldChar w:fldCharType="end"/>
            </w:r>
          </w:p>
        </w:tc>
      </w:tr>
      <w:tr>
        <w:trPr>
          <w:trHeight w:val="255" w:hRule="atLeast"/>
          <w:cantSplit w:val="false"/>
        </w:trPr>
        <w:tc>
          <w:tcPr>
            <w:tcW w:w="3015" w:type="dxa"/>
            <w:tcBorders>
              <w:top w:val="nil"/>
              <w:left w:val="nil"/>
              <w:bottom w:val="nil"/>
              <w:insideH w:val="nil"/>
              <w:right w:val="nil"/>
              <w:insideV w:val="nil"/>
            </w:tcBorders>
            <w:shd w:fill="CCCCCC" w:val="clear"/>
            <w:vAlign w:val="center"/>
          </w:tcPr>
          <w:p>
            <w:pPr>
              <w:pStyle w:val="Normal"/>
              <w:rPr>
                <w:rFonts w:cs="Arial" w:ascii="Arial Narrow" w:hAnsi="Arial Narrow"/>
                <w:b/>
                <w:sz w:val="18"/>
                <w:szCs w:val="18"/>
              </w:rPr>
            </w:pPr>
            <w:r>
              <w:rPr>
                <w:rFonts w:cs="Arial" w:ascii="Arial Narrow" w:hAnsi="Arial Narrow"/>
                <w:b/>
                <w:sz w:val="18"/>
                <w:szCs w:val="18"/>
              </w:rPr>
              <w:t>Population studied</w:t>
            </w:r>
          </w:p>
        </w:tc>
        <w:tc>
          <w:tcPr>
            <w:tcW w:w="2168" w:type="dxa"/>
            <w:tcBorders>
              <w:top w:val="nil"/>
              <w:left w:val="nil"/>
              <w:bottom w:val="nil"/>
              <w:insideH w:val="nil"/>
              <w:right w:val="nil"/>
              <w:insideV w:val="nil"/>
            </w:tcBorders>
            <w:shd w:fill="CCCCCC" w:val="clear"/>
            <w:vAlign w:val="center"/>
          </w:tcPr>
          <w:p>
            <w:pPr>
              <w:pStyle w:val="Normal"/>
              <w:rPr>
                <w:rFonts w:cs="Arial" w:ascii="Arial Narrow" w:hAnsi="Arial Narrow"/>
                <w:bCs/>
                <w:sz w:val="18"/>
                <w:szCs w:val="18"/>
              </w:rPr>
            </w:pPr>
            <w:r>
              <w:rPr>
                <w:rFonts w:cs="Arial" w:ascii="Arial Narrow" w:hAnsi="Arial Narrow"/>
                <w:bCs/>
                <w:sz w:val="18"/>
                <w:szCs w:val="18"/>
              </w:rPr>
              <w:t>BC Seniors (65+) on medicines from the studied drug classes</w:t>
            </w:r>
          </w:p>
        </w:tc>
        <w:tc>
          <w:tcPr>
            <w:tcW w:w="2168" w:type="dxa"/>
            <w:tcBorders>
              <w:top w:val="nil"/>
              <w:left w:val="nil"/>
              <w:bottom w:val="nil"/>
              <w:insideH w:val="nil"/>
              <w:right w:val="nil"/>
              <w:insideV w:val="nil"/>
            </w:tcBorders>
            <w:shd w:fill="CCCCCC" w:val="clear"/>
            <w:vAlign w:val="center"/>
          </w:tcPr>
          <w:p>
            <w:pPr>
              <w:pStyle w:val="Footnote"/>
              <w:rPr>
                <w:rFonts w:cs="Arial" w:ascii="Arial Narrow" w:hAnsi="Arial Narrow"/>
                <w:bCs/>
                <w:sz w:val="18"/>
                <w:szCs w:val="18"/>
                <w:lang w:val="en-CA"/>
              </w:rPr>
            </w:pPr>
            <w:r>
              <w:rPr>
                <w:rFonts w:cs="Arial" w:ascii="Arial Narrow" w:hAnsi="Arial Narrow"/>
                <w:bCs/>
                <w:sz w:val="18"/>
                <w:szCs w:val="18"/>
                <w:lang w:val="en-CA"/>
              </w:rPr>
              <w:t>BC Seniors (65+) who had received ACE-Is priced higher than the reference price in 1996</w:t>
            </w:r>
          </w:p>
        </w:tc>
        <w:tc>
          <w:tcPr>
            <w:tcW w:w="2169" w:type="dxa"/>
            <w:tcBorders>
              <w:top w:val="nil"/>
              <w:left w:val="nil"/>
              <w:bottom w:val="nil"/>
              <w:insideH w:val="nil"/>
              <w:right w:val="nil"/>
              <w:insideV w:val="nil"/>
            </w:tcBorders>
            <w:shd w:fill="CCCCCC" w:val="clear"/>
            <w:vAlign w:val="center"/>
          </w:tcPr>
          <w:p>
            <w:pPr>
              <w:pStyle w:val="Footnote"/>
              <w:rPr>
                <w:rFonts w:cs="Arial" w:ascii="Arial Narrow" w:hAnsi="Arial Narrow"/>
                <w:bCs/>
                <w:sz w:val="18"/>
                <w:szCs w:val="18"/>
                <w:lang w:val="en-CA"/>
              </w:rPr>
            </w:pPr>
            <w:r>
              <w:rPr>
                <w:rFonts w:cs="Arial" w:ascii="Arial Narrow" w:hAnsi="Arial Narrow"/>
                <w:bCs/>
                <w:sz w:val="18"/>
                <w:szCs w:val="18"/>
                <w:lang w:val="en-CA"/>
              </w:rPr>
              <w:t>BC seniors (65+) who had received CCBs before the introduction of RP</w:t>
            </w:r>
          </w:p>
        </w:tc>
      </w:tr>
      <w:tr>
        <w:trPr>
          <w:trHeight w:val="255" w:hRule="atLeast"/>
          <w:cantSplit w:val="false"/>
        </w:trPr>
        <w:tc>
          <w:tcPr>
            <w:tcW w:w="3015" w:type="dxa"/>
            <w:tcBorders>
              <w:top w:val="nil"/>
              <w:left w:val="nil"/>
              <w:bottom w:val="nil"/>
              <w:insideH w:val="nil"/>
              <w:right w:val="nil"/>
              <w:insideV w:val="nil"/>
            </w:tcBorders>
            <w:shd w:fill="CCCCCC" w:val="clear"/>
            <w:vAlign w:val="center"/>
          </w:tcPr>
          <w:p>
            <w:pPr>
              <w:pStyle w:val="Normal"/>
              <w:rPr>
                <w:rFonts w:cs="Arial" w:ascii="Arial Narrow" w:hAnsi="Arial Narrow"/>
                <w:b/>
                <w:sz w:val="18"/>
                <w:szCs w:val="18"/>
              </w:rPr>
            </w:pPr>
            <w:r>
              <w:rPr>
                <w:rFonts w:cs="Arial" w:ascii="Arial Narrow" w:hAnsi="Arial Narrow"/>
                <w:b/>
                <w:sz w:val="18"/>
                <w:szCs w:val="18"/>
              </w:rPr>
              <w:t>Intervention studied</w:t>
            </w:r>
          </w:p>
        </w:tc>
        <w:tc>
          <w:tcPr>
            <w:tcW w:w="2168" w:type="dxa"/>
            <w:tcBorders>
              <w:top w:val="nil"/>
              <w:left w:val="nil"/>
              <w:bottom w:val="nil"/>
              <w:insideH w:val="nil"/>
              <w:right w:val="nil"/>
              <w:insideV w:val="nil"/>
            </w:tcBorders>
            <w:shd w:fill="CCCCCC" w:val="clear"/>
            <w:vAlign w:val="center"/>
          </w:tcPr>
          <w:p>
            <w:pPr>
              <w:pStyle w:val="Normal"/>
              <w:rPr>
                <w:rFonts w:cs="Arial" w:ascii="Arial Narrow" w:hAnsi="Arial Narrow"/>
                <w:bCs/>
                <w:sz w:val="18"/>
                <w:szCs w:val="18"/>
              </w:rPr>
            </w:pPr>
            <w:r>
              <w:rPr>
                <w:rFonts w:cs="Arial" w:ascii="Arial Narrow" w:hAnsi="Arial Narrow"/>
                <w:bCs/>
                <w:sz w:val="18"/>
                <w:szCs w:val="18"/>
              </w:rPr>
              <w:t>Reference pricing policy for nitrates (1995)</w:t>
            </w:r>
          </w:p>
          <w:p>
            <w:pPr>
              <w:pStyle w:val="Normal"/>
              <w:rPr>
                <w:rFonts w:cs="Arial" w:ascii="Arial Narrow" w:hAnsi="Arial Narrow"/>
                <w:bCs/>
                <w:sz w:val="18"/>
                <w:szCs w:val="18"/>
              </w:rPr>
            </w:pPr>
            <w:r>
              <w:rPr>
                <w:rFonts w:cs="Arial" w:ascii="Arial Narrow" w:hAnsi="Arial Narrow"/>
                <w:bCs/>
                <w:sz w:val="18"/>
                <w:szCs w:val="18"/>
              </w:rPr>
              <w:t>Reference pricing policy for CCBs and ACE-Is (1997)</w:t>
            </w:r>
          </w:p>
        </w:tc>
        <w:tc>
          <w:tcPr>
            <w:tcW w:w="2168" w:type="dxa"/>
            <w:tcBorders>
              <w:top w:val="nil"/>
              <w:left w:val="nil"/>
              <w:bottom w:val="nil"/>
              <w:insideH w:val="nil"/>
              <w:right w:val="nil"/>
              <w:insideV w:val="nil"/>
            </w:tcBorders>
            <w:shd w:fill="CCCCCC" w:val="clear"/>
            <w:vAlign w:val="center"/>
          </w:tcPr>
          <w:p>
            <w:pPr>
              <w:pStyle w:val="Footnote"/>
              <w:rPr>
                <w:rFonts w:cs="Arial" w:ascii="Arial Narrow" w:hAnsi="Arial Narrow"/>
                <w:bCs/>
                <w:sz w:val="18"/>
                <w:szCs w:val="18"/>
                <w:lang w:val="en-CA"/>
              </w:rPr>
            </w:pPr>
            <w:r>
              <w:rPr>
                <w:rFonts w:cs="Arial" w:ascii="Arial Narrow" w:hAnsi="Arial Narrow"/>
                <w:bCs/>
                <w:sz w:val="18"/>
                <w:szCs w:val="18"/>
                <w:lang w:val="en-CA"/>
              </w:rPr>
              <w:t>Reference pricing policy for ACE-Is (1997)</w:t>
            </w:r>
          </w:p>
        </w:tc>
        <w:tc>
          <w:tcPr>
            <w:tcW w:w="2169" w:type="dxa"/>
            <w:tcBorders>
              <w:top w:val="nil"/>
              <w:left w:val="nil"/>
              <w:bottom w:val="nil"/>
              <w:insideH w:val="nil"/>
              <w:right w:val="nil"/>
              <w:insideV w:val="nil"/>
            </w:tcBorders>
            <w:shd w:fill="CCCCCC" w:val="clear"/>
            <w:vAlign w:val="center"/>
          </w:tcPr>
          <w:p>
            <w:pPr>
              <w:pStyle w:val="Normal"/>
              <w:rPr>
                <w:rFonts w:cs="Arial" w:ascii="Arial Narrow" w:hAnsi="Arial Narrow"/>
                <w:bCs/>
                <w:sz w:val="18"/>
                <w:szCs w:val="18"/>
              </w:rPr>
            </w:pPr>
            <w:r>
              <w:rPr>
                <w:rFonts w:cs="Arial" w:ascii="Arial Narrow" w:hAnsi="Arial Narrow"/>
                <w:bCs/>
                <w:sz w:val="18"/>
                <w:szCs w:val="18"/>
              </w:rPr>
              <w:t>Reference pricing policy for CCBs (1997)</w:t>
            </w:r>
          </w:p>
        </w:tc>
      </w:tr>
      <w:tr>
        <w:trPr>
          <w:trHeight w:val="510" w:hRule="atLeast"/>
          <w:cantSplit w:val="false"/>
        </w:trPr>
        <w:tc>
          <w:tcPr>
            <w:tcW w:w="3015" w:type="dxa"/>
            <w:tcBorders>
              <w:top w:val="nil"/>
              <w:left w:val="nil"/>
              <w:bottom w:val="single" w:sz="4" w:space="0" w:color="000000"/>
              <w:insideH w:val="single" w:sz="4" w:space="0" w:color="000000"/>
              <w:right w:val="nil"/>
              <w:insideV w:val="nil"/>
            </w:tcBorders>
            <w:shd w:fill="CCCCCC" w:val="clear"/>
            <w:vAlign w:val="center"/>
          </w:tcPr>
          <w:p>
            <w:pPr>
              <w:pStyle w:val="Normal"/>
              <w:rPr>
                <w:rFonts w:cs="Arial" w:ascii="Arial Narrow" w:hAnsi="Arial Narrow"/>
                <w:b/>
                <w:sz w:val="18"/>
                <w:szCs w:val="18"/>
              </w:rPr>
            </w:pPr>
            <w:r>
              <w:rPr>
                <w:rFonts w:cs="Arial" w:ascii="Arial Narrow" w:hAnsi="Arial Narrow"/>
                <w:b/>
                <w:sz w:val="18"/>
                <w:szCs w:val="18"/>
              </w:rPr>
              <w:t>Drug classes studied</w:t>
            </w:r>
          </w:p>
        </w:tc>
        <w:tc>
          <w:tcPr>
            <w:tcW w:w="2168" w:type="dxa"/>
            <w:tcBorders>
              <w:top w:val="nil"/>
              <w:left w:val="nil"/>
              <w:bottom w:val="single" w:sz="4" w:space="0" w:color="000000"/>
              <w:insideH w:val="single" w:sz="4" w:space="0" w:color="000000"/>
              <w:right w:val="nil"/>
              <w:insideV w:val="nil"/>
            </w:tcBorders>
            <w:shd w:fill="CCCCCC" w:val="clear"/>
            <w:vAlign w:val="center"/>
          </w:tcPr>
          <w:p>
            <w:pPr>
              <w:pStyle w:val="Normal"/>
              <w:rPr>
                <w:rFonts w:cs="Arial" w:ascii="Arial Narrow" w:hAnsi="Arial Narrow"/>
                <w:sz w:val="18"/>
                <w:szCs w:val="18"/>
              </w:rPr>
            </w:pPr>
            <w:r>
              <w:rPr>
                <w:rFonts w:cs="Arial" w:ascii="Arial Narrow" w:hAnsi="Arial Narrow"/>
                <w:sz w:val="18"/>
                <w:szCs w:val="18"/>
              </w:rPr>
              <w:t>Nitrates, ACE-Is, CCBs</w:t>
            </w:r>
          </w:p>
        </w:tc>
        <w:tc>
          <w:tcPr>
            <w:tcW w:w="2168" w:type="dxa"/>
            <w:tcBorders>
              <w:top w:val="nil"/>
              <w:left w:val="nil"/>
              <w:bottom w:val="single" w:sz="4" w:space="0" w:color="000000"/>
              <w:insideH w:val="single" w:sz="4" w:space="0" w:color="000000"/>
              <w:right w:val="nil"/>
              <w:insideV w:val="nil"/>
            </w:tcBorders>
            <w:shd w:fill="CCCCCC" w:val="clear"/>
            <w:vAlign w:val="center"/>
          </w:tcPr>
          <w:p>
            <w:pPr>
              <w:pStyle w:val="Normal"/>
              <w:rPr>
                <w:rFonts w:cs="Arial" w:ascii="Arial Narrow" w:hAnsi="Arial Narrow"/>
                <w:sz w:val="18"/>
                <w:szCs w:val="18"/>
              </w:rPr>
            </w:pPr>
            <w:r>
              <w:rPr>
                <w:rFonts w:cs="Arial" w:ascii="Arial Narrow" w:hAnsi="Arial Narrow"/>
                <w:sz w:val="18"/>
                <w:szCs w:val="18"/>
              </w:rPr>
              <w:t>ACE inhibitors</w:t>
            </w:r>
          </w:p>
        </w:tc>
        <w:tc>
          <w:tcPr>
            <w:tcW w:w="2169" w:type="dxa"/>
            <w:tcBorders>
              <w:top w:val="nil"/>
              <w:left w:val="nil"/>
              <w:bottom w:val="single" w:sz="4" w:space="0" w:color="000000"/>
              <w:insideH w:val="single" w:sz="4" w:space="0" w:color="000000"/>
              <w:right w:val="nil"/>
              <w:insideV w:val="nil"/>
            </w:tcBorders>
            <w:shd w:fill="CCCCCC" w:val="clear"/>
            <w:vAlign w:val="center"/>
          </w:tcPr>
          <w:p>
            <w:pPr>
              <w:pStyle w:val="Normal"/>
              <w:rPr>
                <w:rFonts w:cs="Arial" w:ascii="Arial Narrow" w:hAnsi="Arial Narrow"/>
                <w:sz w:val="18"/>
                <w:szCs w:val="18"/>
              </w:rPr>
            </w:pPr>
            <w:r>
              <w:rPr>
                <w:rFonts w:cs="Arial" w:ascii="Arial Narrow" w:hAnsi="Arial Narrow"/>
                <w:sz w:val="18"/>
                <w:szCs w:val="18"/>
              </w:rPr>
              <w:t>CCBs</w:t>
            </w:r>
          </w:p>
        </w:tc>
      </w:tr>
      <w:tr>
        <w:trPr>
          <w:trHeight w:val="255" w:hRule="atLeast"/>
          <w:cantSplit w:val="false"/>
        </w:trPr>
        <w:tc>
          <w:tcPr>
            <w:tcW w:w="3015"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rFonts w:cs="Arial" w:ascii="Arial Narrow" w:hAnsi="Arial Narrow"/>
                <w:b/>
                <w:sz w:val="18"/>
                <w:szCs w:val="18"/>
              </w:rPr>
            </w:pPr>
            <w:r>
              <w:rPr>
                <w:rFonts w:cs="Arial" w:ascii="Arial Narrow" w:hAnsi="Arial Narrow"/>
                <w:b/>
                <w:sz w:val="18"/>
                <w:szCs w:val="18"/>
              </w:rPr>
              <w:t>Total drug costs</w:t>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2169"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r>
      <w:tr>
        <w:trPr>
          <w:trHeight w:val="255" w:hRule="atLeast"/>
          <w:cantSplit w:val="false"/>
        </w:trPr>
        <w:tc>
          <w:tcPr>
            <w:tcW w:w="3015"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rFonts w:cs="Arial" w:ascii="Arial Narrow" w:hAnsi="Arial Narrow"/>
                <w:b/>
                <w:sz w:val="18"/>
                <w:szCs w:val="18"/>
              </w:rPr>
            </w:pPr>
            <w:r>
              <w:rPr>
                <w:rFonts w:cs="Arial" w:ascii="Arial Narrow" w:hAnsi="Arial Narrow"/>
                <w:b/>
                <w:sz w:val="18"/>
                <w:szCs w:val="18"/>
              </w:rPr>
              <w:t>Insurer costs</w:t>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-19% = -$6.7 million/yr</w:t>
            </w:r>
          </w:p>
        </w:tc>
        <w:tc>
          <w:tcPr>
            <w:tcW w:w="2169"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-12% = -$1.67 million/yr</w:t>
            </w:r>
          </w:p>
        </w:tc>
      </w:tr>
      <w:tr>
        <w:trPr>
          <w:trHeight w:val="255" w:hRule="atLeast"/>
          <w:cantSplit w:val="false"/>
        </w:trPr>
        <w:tc>
          <w:tcPr>
            <w:tcW w:w="3015"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rFonts w:cs="Arial" w:ascii="Arial Narrow" w:hAnsi="Arial Narrow"/>
                <w:b/>
                <w:sz w:val="18"/>
                <w:szCs w:val="18"/>
              </w:rPr>
            </w:pPr>
            <w:r>
              <w:rPr>
                <w:rFonts w:cs="Arial" w:ascii="Arial Narrow" w:hAnsi="Arial Narrow"/>
                <w:b/>
                <w:sz w:val="18"/>
                <w:szCs w:val="18"/>
              </w:rPr>
              <w:t>Patient costs</w:t>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2169"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r>
      <w:tr>
        <w:trPr>
          <w:trHeight w:val="255" w:hRule="atLeast"/>
          <w:cantSplit w:val="false"/>
        </w:trPr>
        <w:tc>
          <w:tcPr>
            <w:tcW w:w="3015"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rFonts w:cs="Arial" w:ascii="Arial Narrow" w:hAnsi="Arial Narrow"/>
                <w:b/>
                <w:sz w:val="18"/>
                <w:szCs w:val="18"/>
              </w:rPr>
            </w:pPr>
            <w:r>
              <w:rPr>
                <w:rFonts w:cs="Arial" w:ascii="Arial Narrow" w:hAnsi="Arial Narrow"/>
                <w:b/>
                <w:sz w:val="18"/>
                <w:szCs w:val="18"/>
              </w:rPr>
              <w:t>Net costs to insurer, including medical care</w:t>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-$6 million/yr</w:t>
            </w:r>
          </w:p>
        </w:tc>
        <w:tc>
          <w:tcPr>
            <w:tcW w:w="2169"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-$1.62 million/yr</w:t>
            </w:r>
          </w:p>
        </w:tc>
      </w:tr>
      <w:tr>
        <w:trPr>
          <w:trHeight w:val="510" w:hRule="atLeast"/>
          <w:cantSplit w:val="false"/>
        </w:trPr>
        <w:tc>
          <w:tcPr>
            <w:tcW w:w="3015" w:type="dxa"/>
            <w:tcBorders>
              <w:top w:val="single" w:sz="4" w:space="0" w:color="000000"/>
              <w:left w:val="nil"/>
              <w:bottom w:val="nil"/>
              <w:insideH w:val="nil"/>
              <w:right w:val="nil"/>
              <w:insideV w:val="nil"/>
            </w:tcBorders>
            <w:shd w:fill="auto" w:val="clear"/>
            <w:vAlign w:val="center"/>
          </w:tcPr>
          <w:p>
            <w:pPr>
              <w:pStyle w:val="Normal"/>
              <w:rPr>
                <w:rFonts w:cs="Arial" w:ascii="Arial Narrow" w:hAnsi="Arial Narrow"/>
                <w:b/>
                <w:sz w:val="18"/>
                <w:szCs w:val="18"/>
              </w:rPr>
            </w:pPr>
            <w:r>
              <w:rPr>
                <w:rFonts w:cs="Arial" w:ascii="Arial Narrow" w:hAnsi="Arial Narrow"/>
                <w:b/>
                <w:sz w:val="18"/>
                <w:szCs w:val="18"/>
              </w:rPr>
              <w:t xml:space="preserve">Prescription drug use </w:t>
            </w:r>
          </w:p>
        </w:tc>
        <w:tc>
          <w:tcPr>
            <w:tcW w:w="2168"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eastAsia="Arial Narrow" w:cs="Arial Narrow" w:ascii="Arial Narrow" w:hAnsi="Arial Narrow"/>
                <w:sz w:val="18"/>
                <w:szCs w:val="18"/>
              </w:rPr>
              <w:t xml:space="preserve"> </w:t>
            </w:r>
            <w:r>
              <w:rPr>
                <w:rFonts w:cs="Arial" w:ascii="Arial Narrow" w:hAnsi="Arial Narrow"/>
                <w:sz w:val="18"/>
                <w:szCs w:val="18"/>
              </w:rPr>
              <w:t>[-] Nitrates and CCBs</w:t>
            </w:r>
          </w:p>
          <w:p>
            <w:pPr>
              <w:pStyle w:val="Normal"/>
              <w:jc w:val="center"/>
              <w:rPr>
                <w:rFonts w:cs="Arial" w:ascii="Arial Narrow" w:hAnsi="Arial Narrow"/>
                <w:sz w:val="18"/>
                <w:szCs w:val="18"/>
              </w:rPr>
            </w:pPr>
            <w:r>
              <w:rPr>
                <w:rFonts w:cs="Arial" w:ascii="Arial Narrow" w:hAnsi="Arial Narrow"/>
                <w:sz w:val="18"/>
                <w:szCs w:val="18"/>
              </w:rPr>
              <w:t>[+] ACE-Is</w:t>
            </w:r>
          </w:p>
        </w:tc>
        <w:tc>
          <w:tcPr>
            <w:tcW w:w="2168"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 for ACE-Is</w:t>
            </w:r>
          </w:p>
          <w:p>
            <w:pPr>
              <w:pStyle w:val="Normal"/>
              <w:jc w:val="center"/>
              <w:rPr>
                <w:rFonts w:cs="Arial" w:ascii="Arial Narrow" w:hAnsi="Arial Narrow"/>
                <w:sz w:val="18"/>
                <w:szCs w:val="18"/>
              </w:rPr>
            </w:pPr>
            <w:r>
              <w:rPr>
                <w:rFonts w:cs="Arial" w:ascii="Arial Narrow" w:hAnsi="Arial Narrow"/>
                <w:sz w:val="18"/>
                <w:szCs w:val="18"/>
              </w:rPr>
              <w:t>[=] for antihypertensives</w:t>
            </w:r>
          </w:p>
        </w:tc>
        <w:tc>
          <w:tcPr>
            <w:tcW w:w="2169"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r>
      <w:tr>
        <w:trPr>
          <w:trHeight w:val="255" w:hRule="atLeast"/>
          <w:cantSplit w:val="false"/>
        </w:trPr>
        <w:tc>
          <w:tcPr>
            <w:tcW w:w="3015"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rFonts w:cs="Arial" w:ascii="Arial Narrow" w:hAnsi="Arial Narrow"/>
                <w:b/>
                <w:sz w:val="18"/>
                <w:szCs w:val="18"/>
              </w:rPr>
            </w:pPr>
            <w:r>
              <w:rPr>
                <w:rFonts w:cs="Arial" w:ascii="Arial Narrow" w:hAnsi="Arial Narrow"/>
                <w:b/>
                <w:sz w:val="18"/>
                <w:szCs w:val="18"/>
              </w:rPr>
              <w:t xml:space="preserve">Switching to preferred (reference) drugs </w:t>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21% to 34% of patients</w:t>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18% of patients</w:t>
            </w:r>
          </w:p>
        </w:tc>
        <w:tc>
          <w:tcPr>
            <w:tcW w:w="2169"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9% of patients</w:t>
            </w:r>
          </w:p>
        </w:tc>
      </w:tr>
      <w:tr>
        <w:trPr>
          <w:trHeight w:val="255" w:hRule="atLeast"/>
          <w:cantSplit w:val="false"/>
        </w:trPr>
        <w:tc>
          <w:tcPr>
            <w:tcW w:w="3015"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rFonts w:cs="Arial" w:ascii="Arial Narrow" w:hAnsi="Arial Narrow"/>
                <w:b/>
                <w:sz w:val="18"/>
                <w:szCs w:val="18"/>
              </w:rPr>
            </w:pPr>
            <w:r>
              <w:rPr>
                <w:rFonts w:cs="Arial" w:ascii="Arial Narrow" w:hAnsi="Arial Narrow"/>
                <w:b/>
                <w:sz w:val="18"/>
                <w:szCs w:val="18"/>
              </w:rPr>
              <w:t xml:space="preserve">Discontinuation of medicines in the drug classes studied </w:t>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Footnote"/>
              <w:snapToGrid w:val="false"/>
              <w:jc w:val="center"/>
              <w:rPr>
                <w:rFonts w:cs="Arial" w:ascii="Arial Narrow" w:hAnsi="Arial Narrow"/>
                <w:sz w:val="18"/>
                <w:szCs w:val="18"/>
                <w:lang w:val="en-CA"/>
              </w:rPr>
            </w:pPr>
            <w:r>
              <w:rPr>
                <w:rFonts w:cs="Arial" w:ascii="Arial Narrow" w:hAnsi="Arial Narrow"/>
                <w:sz w:val="18"/>
                <w:szCs w:val="18"/>
                <w:lang w:val="en-CA"/>
              </w:rPr>
            </w:r>
          </w:p>
        </w:tc>
        <w:tc>
          <w:tcPr>
            <w:tcW w:w="2169"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Footnote"/>
              <w:snapToGrid w:val="false"/>
              <w:jc w:val="center"/>
              <w:rPr>
                <w:rFonts w:cs="Arial" w:ascii="Arial Narrow" w:hAnsi="Arial Narrow"/>
                <w:sz w:val="18"/>
                <w:szCs w:val="18"/>
                <w:lang w:val="en-CA"/>
              </w:rPr>
            </w:pPr>
            <w:r>
              <w:rPr>
                <w:rFonts w:cs="Arial" w:ascii="Arial Narrow" w:hAnsi="Arial Narrow"/>
                <w:sz w:val="18"/>
                <w:szCs w:val="18"/>
                <w:lang w:val="en-CA"/>
              </w:rPr>
            </w:r>
          </w:p>
        </w:tc>
      </w:tr>
      <w:tr>
        <w:trPr>
          <w:trHeight w:val="510" w:hRule="atLeast"/>
          <w:cantSplit w:val="false"/>
        </w:trPr>
        <w:tc>
          <w:tcPr>
            <w:tcW w:w="3015"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rFonts w:cs="Arial" w:ascii="Arial Narrow" w:hAnsi="Arial Narrow"/>
                <w:b/>
                <w:sz w:val="18"/>
                <w:szCs w:val="18"/>
              </w:rPr>
            </w:pPr>
            <w:r>
              <w:rPr>
                <w:rFonts w:cs="Arial" w:ascii="Arial Narrow" w:hAnsi="Arial Narrow"/>
                <w:b/>
                <w:sz w:val="18"/>
                <w:szCs w:val="18"/>
              </w:rPr>
              <w:t>Short term use of physician services (within 2 to 4 months of intervention)</w:t>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0% to +5%</w:t>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+11% = +$0.7 million/yr</w:t>
            </w:r>
          </w:p>
        </w:tc>
        <w:tc>
          <w:tcPr>
            <w:tcW w:w="2169"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+18% = +$0.05 million/yr</w:t>
            </w:r>
          </w:p>
        </w:tc>
      </w:tr>
      <w:tr>
        <w:trPr>
          <w:trHeight w:val="510" w:hRule="atLeast"/>
          <w:cantSplit w:val="false"/>
        </w:trPr>
        <w:tc>
          <w:tcPr>
            <w:tcW w:w="3015"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rFonts w:cs="Arial" w:ascii="Arial Narrow" w:hAnsi="Arial Narrow"/>
                <w:b/>
                <w:sz w:val="18"/>
                <w:szCs w:val="18"/>
              </w:rPr>
            </w:pPr>
            <w:r>
              <w:rPr>
                <w:rFonts w:cs="Arial" w:ascii="Arial Narrow" w:hAnsi="Arial Narrow"/>
                <w:b/>
                <w:sz w:val="18"/>
                <w:szCs w:val="18"/>
              </w:rPr>
              <w:t xml:space="preserve">Long term use of physician services </w:t>
            </w:r>
          </w:p>
          <w:p>
            <w:pPr>
              <w:pStyle w:val="Normal"/>
              <w:rPr>
                <w:rFonts w:cs="Arial" w:ascii="Arial Narrow" w:hAnsi="Arial Narrow"/>
                <w:b/>
                <w:sz w:val="18"/>
                <w:szCs w:val="18"/>
              </w:rPr>
            </w:pPr>
            <w:r>
              <w:rPr>
                <w:rFonts w:cs="Arial" w:ascii="Arial Narrow" w:hAnsi="Arial Narrow"/>
                <w:b/>
                <w:sz w:val="18"/>
                <w:szCs w:val="18"/>
              </w:rPr>
              <w:t>(4 months after intervention)</w:t>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+ 0% to +11%</w:t>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c>
          <w:tcPr>
            <w:tcW w:w="2169"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r>
      <w:tr>
        <w:trPr>
          <w:trHeight w:val="255" w:hRule="atLeast"/>
          <w:cantSplit w:val="false"/>
        </w:trPr>
        <w:tc>
          <w:tcPr>
            <w:tcW w:w="3015"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rFonts w:cs="Arial" w:ascii="Arial Narrow" w:hAnsi="Arial Narrow"/>
                <w:b/>
                <w:sz w:val="18"/>
                <w:szCs w:val="18"/>
              </w:rPr>
            </w:pPr>
            <w:r>
              <w:rPr>
                <w:rFonts w:cs="Arial" w:ascii="Arial Narrow" w:hAnsi="Arial Narrow"/>
                <w:b/>
                <w:sz w:val="18"/>
                <w:szCs w:val="18"/>
              </w:rPr>
              <w:t>Hospital services</w:t>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Nitrate patients</w:t>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c>
          <w:tcPr>
            <w:tcW w:w="2169"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r>
      <w:tr>
        <w:trPr>
          <w:trHeight w:val="255" w:hRule="atLeast"/>
          <w:cantSplit w:val="false"/>
        </w:trPr>
        <w:tc>
          <w:tcPr>
            <w:tcW w:w="3015"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rFonts w:cs="Arial" w:ascii="Arial Narrow" w:hAnsi="Arial Narrow"/>
                <w:b/>
                <w:sz w:val="18"/>
                <w:szCs w:val="18"/>
              </w:rPr>
            </w:pPr>
            <w:r>
              <w:rPr>
                <w:rFonts w:cs="Arial" w:ascii="Arial Narrow" w:hAnsi="Arial Narrow"/>
                <w:b/>
                <w:sz w:val="18"/>
                <w:szCs w:val="18"/>
              </w:rPr>
              <w:t>Long-term care admissions</w:t>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c>
          <w:tcPr>
            <w:tcW w:w="2169"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r>
      <w:tr>
        <w:trPr>
          <w:trHeight w:val="255" w:hRule="atLeast"/>
          <w:cantSplit w:val="false"/>
        </w:trPr>
        <w:tc>
          <w:tcPr>
            <w:tcW w:w="3015"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rFonts w:cs="Arial" w:ascii="Arial Narrow" w:hAnsi="Arial Narrow"/>
                <w:b/>
                <w:sz w:val="18"/>
                <w:szCs w:val="18"/>
              </w:rPr>
            </w:pPr>
            <w:r>
              <w:rPr>
                <w:rFonts w:cs="Arial" w:ascii="Arial Narrow" w:hAnsi="Arial Narrow"/>
                <w:b/>
                <w:sz w:val="18"/>
                <w:szCs w:val="18"/>
              </w:rPr>
              <w:t>Mortality</w:t>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c>
          <w:tcPr>
            <w:tcW w:w="2168"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c>
          <w:tcPr>
            <w:tcW w:w="2169"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r>
    </w:tbl>
    <w:p>
      <w:pPr>
        <w:pStyle w:val="Normal"/>
        <w:rPr>
          <w:rFonts w:cs="Arial" w:ascii="Arial Narrow" w:hAnsi="Arial Narrow"/>
          <w:sz w:val="18"/>
          <w:szCs w:val="18"/>
        </w:rPr>
      </w:pPr>
      <w:r>
        <w:rPr>
          <w:rFonts w:cs="Arial" w:ascii="Arial Narrow" w:hAnsi="Arial Narrow"/>
          <w:sz w:val="18"/>
          <w:szCs w:val="18"/>
        </w:rPr>
        <w:t>Note:</w:t>
        <w:tab/>
        <w:t>[+] = statistically significant positive association between policy and specified outcome</w:t>
      </w:r>
    </w:p>
    <w:p>
      <w:pPr>
        <w:pStyle w:val="Normal"/>
        <w:ind w:left="0" w:right="0" w:firstLine="720"/>
        <w:rPr>
          <w:rFonts w:cs="Arial" w:ascii="Arial Narrow" w:hAnsi="Arial Narrow"/>
          <w:sz w:val="18"/>
          <w:szCs w:val="18"/>
        </w:rPr>
      </w:pPr>
      <w:r>
        <w:rPr>
          <w:rFonts w:cs="Arial" w:ascii="Arial Narrow" w:hAnsi="Arial Narrow"/>
          <w:sz w:val="18"/>
          <w:szCs w:val="18"/>
        </w:rPr>
        <w:t>[-] = statistically significant negative association between policy and specified outcome</w:t>
      </w:r>
    </w:p>
    <w:p>
      <w:pPr>
        <w:pStyle w:val="Normal"/>
        <w:ind w:left="0" w:right="0" w:firstLine="720"/>
        <w:rPr>
          <w:rFonts w:cs="Arial" w:ascii="Arial Narrow" w:hAnsi="Arial Narrow"/>
          <w:sz w:val="18"/>
          <w:szCs w:val="18"/>
        </w:rPr>
      </w:pPr>
      <w:r>
        <w:rPr>
          <w:rFonts w:cs="Arial" w:ascii="Arial Narrow" w:hAnsi="Arial Narrow"/>
          <w:sz w:val="18"/>
          <w:szCs w:val="18"/>
        </w:rPr>
        <w:t>[=] = no statistically significant association between policy and specified outcome</w:t>
      </w:r>
    </w:p>
    <w:p>
      <w:pPr>
        <w:pStyle w:val="Normal"/>
        <w:ind w:left="0" w:right="0" w:firstLine="720"/>
        <w:rPr>
          <w:rFonts w:cs="Arial" w:ascii="Arial Narrow" w:hAnsi="Arial Narrow"/>
          <w:sz w:val="18"/>
          <w:szCs w:val="18"/>
        </w:rPr>
      </w:pPr>
      <w:r>
        <w:rPr>
          <w:rFonts w:cs="Arial" w:ascii="Arial Narrow" w:hAnsi="Arial Narrow"/>
          <w:sz w:val="18"/>
          <w:szCs w:val="18"/>
        </w:rPr>
        <w:t>Blank = association between policy and specified outcome not tested in study</w:t>
      </w:r>
    </w:p>
    <w:p>
      <w:pPr>
        <w:pStyle w:val="Normal"/>
        <w:ind w:left="720" w:right="0" w:hanging="0"/>
        <w:rPr>
          <w:rFonts w:cs="Arial" w:ascii="Arial Narrow" w:hAnsi="Arial Narrow"/>
          <w:sz w:val="18"/>
          <w:szCs w:val="18"/>
        </w:rPr>
      </w:pPr>
      <w:r>
        <w:rPr>
          <w:rFonts w:cs="Arial" w:ascii="Arial Narrow" w:hAnsi="Arial Narrow"/>
          <w:sz w:val="18"/>
          <w:szCs w:val="18"/>
        </w:rPr>
        <w:t>ACE-Is = ACE-inhibitors; and CCBs = calcium channel blockers</w:t>
      </w:r>
    </w:p>
    <w:p>
      <w:pPr>
        <w:pStyle w:val="Normal"/>
        <w:rPr>
          <w:rFonts w:cs="Arial" w:ascii="Arial Narrow" w:hAnsi="Arial Narrow"/>
          <w:sz w:val="18"/>
          <w:szCs w:val="18"/>
        </w:rPr>
      </w:pPr>
      <w:r>
        <w:rPr>
          <w:rFonts w:cs="Arial" w:ascii="Arial Narrow" w:hAnsi="Arial Narrow"/>
          <w:sz w:val="18"/>
          <w:szCs w:val="18"/>
        </w:rPr>
      </w:r>
    </w:p>
    <w:p>
      <w:pPr>
        <w:sectPr>
          <w:footerReference w:type="default" r:id="rId3"/>
          <w:type w:val="nextPage"/>
          <w:pgSz w:w="12240" w:h="15840"/>
          <w:pgMar w:left="1440" w:right="1440" w:header="0" w:top="1440" w:footer="720" w:bottom="1440" w:gutter="0"/>
          <w:pgNumType w:fmt="decimal"/>
          <w:formProt w:val="false"/>
          <w:textDirection w:val="lrTb"/>
          <w:docGrid w:type="default" w:linePitch="360" w:charSpace="0"/>
        </w:sectPr>
        <w:pStyle w:val="Normal"/>
        <w:ind w:left="0" w:right="0" w:firstLine="720"/>
        <w:rPr>
          <w:rFonts w:cs="Arial" w:ascii="Arial" w:hAnsi="Arial"/>
          <w:sz w:val="20"/>
          <w:szCs w:val="20"/>
        </w:rPr>
      </w:pPr>
      <w:r>
        <w:rPr>
          <w:rFonts w:cs="Arial" w:ascii="Arial" w:hAnsi="Arial"/>
          <w:sz w:val="20"/>
          <w:szCs w:val="20"/>
        </w:rPr>
      </w:r>
    </w:p>
    <w:p>
      <w:pPr>
        <w:pStyle w:val="Caption"/>
        <w:rPr/>
      </w:pPr>
      <w:bookmarkStart w:id="35" w:name="_Ref201291566"/>
      <w:r>
        <w:rPr/>
        <w:t xml:space="preserve">Table </w:t>
      </w:r>
      <w:r>
        <w:rPr/>
        <w:fldChar w:fldCharType="begin"/>
      </w:r>
      <w:r>
        <w:instrText> SEQ "Table" \*Arabic </w:instrText>
      </w:r>
      <w:r>
        <w:fldChar w:fldCharType="separate"/>
      </w:r>
      <w:r>
        <w:t>3</w:t>
      </w:r>
      <w:r>
        <w:fldChar w:fldCharType="end"/>
      </w:r>
      <w:bookmarkEnd w:id="35"/>
      <w:r>
        <w:rPr/>
        <w:t>: Summary of associations found in studies of tiered formularies</w:t>
      </w:r>
    </w:p>
    <w:tbl>
      <w:tblPr>
        <w:jc w:val="left"/>
        <w:tblInd w:w="0" w:type="dxa"/>
        <w:tblBorders>
          <w:top w:val="single" w:sz="4" w:space="0" w:color="000000"/>
          <w:left w:val="nil"/>
          <w:bottom w:val="nil"/>
          <w:insideH w:val="nil"/>
          <w:right w:val="nil"/>
          <w:insideV w:val="nil"/>
        </w:tblBorders>
        <w:tblCellMar>
          <w:top w:w="0" w:type="dxa"/>
          <w:left w:w="108" w:type="dxa"/>
          <w:bottom w:w="0" w:type="dxa"/>
          <w:right w:w="108" w:type="dxa"/>
        </w:tblCellMar>
      </w:tblPr>
      <w:tblGrid>
        <w:gridCol w:w="1481"/>
        <w:gridCol w:w="1482"/>
        <w:gridCol w:w="1481"/>
        <w:gridCol w:w="1482"/>
        <w:gridCol w:w="1481"/>
        <w:gridCol w:w="1482"/>
        <w:gridCol w:w="1481"/>
        <w:gridCol w:w="1482"/>
        <w:gridCol w:w="1482"/>
      </w:tblGrid>
      <w:tr>
        <w:trPr>
          <w:trHeight w:val="510" w:hRule="atLeast"/>
          <w:cantSplit w:val="false"/>
        </w:trPr>
        <w:tc>
          <w:tcPr>
            <w:tcW w:w="1481" w:type="dxa"/>
            <w:tcBorders>
              <w:top w:val="single" w:sz="4" w:space="0" w:color="000000"/>
              <w:left w:val="nil"/>
              <w:bottom w:val="nil"/>
              <w:insideH w:val="nil"/>
              <w:right w:val="nil"/>
              <w:insideV w:val="nil"/>
            </w:tcBorders>
            <w:shd w:fill="CCCCCC" w:val="clear"/>
            <w:vAlign w:val="center"/>
          </w:tcPr>
          <w:p>
            <w:pPr>
              <w:pStyle w:val="Normal"/>
              <w:rPr>
                <w:rFonts w:cs="Arial" w:ascii="Arial Narrow" w:hAnsi="Arial Narrow"/>
                <w:b/>
                <w:bCs/>
                <w:sz w:val="18"/>
                <w:szCs w:val="18"/>
              </w:rPr>
            </w:pPr>
            <w:r>
              <w:rPr>
                <w:rFonts w:cs="Arial" w:ascii="Arial Narrow" w:hAnsi="Arial Narrow"/>
                <w:b/>
                <w:bCs/>
                <w:sz w:val="18"/>
                <w:szCs w:val="18"/>
              </w:rPr>
              <w:t>Study</w:t>
            </w:r>
          </w:p>
        </w:tc>
        <w:tc>
          <w:tcPr>
            <w:tcW w:w="1482" w:type="dxa"/>
            <w:tcBorders>
              <w:top w:val="single" w:sz="4" w:space="0" w:color="000000"/>
              <w:left w:val="nil"/>
              <w:bottom w:val="nil"/>
              <w:insideH w:val="nil"/>
              <w:right w:val="nil"/>
              <w:insideV w:val="nil"/>
            </w:tcBorders>
            <w:shd w:fill="CCCCCC" w:val="clear"/>
            <w:vAlign w:val="center"/>
          </w:tcPr>
          <w:p>
            <w:pPr>
              <w:pStyle w:val="Normal"/>
              <w:jc w:val="center"/>
              <w:rPr>
                <w:rFonts w:cs="Arial" w:ascii="Arial Narrow" w:hAnsi="Arial Narrow"/>
                <w:b/>
                <w:bCs/>
                <w:sz w:val="18"/>
                <w:szCs w:val="18"/>
                <w:vertAlign w:val="superscript"/>
              </w:rPr>
            </w:pPr>
            <w:r>
              <w:rPr>
                <w:rFonts w:cs="Arial" w:ascii="Arial Narrow" w:hAnsi="Arial Narrow"/>
                <w:b/>
                <w:bCs/>
                <w:sz w:val="18"/>
                <w:szCs w:val="18"/>
              </w:rPr>
              <w:t>Motheral and Fairman</w:t>
            </w:r>
            <w:r>
              <w:fldChar w:fldCharType="begin"/>
            </w:r>
            <w:r>
              <w:instrText> ADDIN EN.CITE &lt;EndNote&gt;&lt;Cite&gt;&lt;Author&gt;Motheral&lt;/Author&gt;&lt;Year&gt;2001&lt;/Year&gt;&lt;RecNum&gt;333&lt;/RecNum&gt;&lt;record&gt;&lt;rec-number&gt;333&lt;/rec-number&gt;&lt;foreign-keys&gt;&lt;key app="EN" db-id="e5razrre359x0aetvvexesr5tfx2dpf0v522"&gt;333&lt;/key&gt;&lt;/foreign-keys&gt;&lt;ref-type name="Journal Article"&gt;17&lt;/ref-type&gt;&lt;contributors&gt;&lt;authors&gt;&lt;author&gt;Motheral, B.&lt;/author&gt;&lt;author&gt;Fairman, K. A.&lt;/author&gt;&lt;/authors&gt;&lt;/contributors&gt;&lt;auth-address&gt;Express Scripts, Inc., Maryland Heights, Missouri 63043, USA. Bmotheral@express-scripts.com&lt;/auth-address&gt;&lt;titles&gt;&lt;title&gt;Effect of a three-tier prescription copay on pharmaceutical and other medical utilization&lt;/title&gt;&lt;secondary-title&gt;Medical Care&lt;/secondary-title&gt;&lt;/titles&gt;&lt;periodical&gt;&lt;full-title&gt;Medical Care&lt;/full-title&gt;&lt;abbr-1&gt;Med. Care&lt;/abbr-1&gt;&lt;abbr-2&gt;Med Care&lt;/abbr-2&gt;&lt;/periodical&gt;&lt;pages&gt;1293-304&lt;/pages&gt;&lt;volume&gt;39&lt;/volume&gt;&lt;number&gt;12&lt;/number&gt;&lt;keywords&gt;&lt;keyword&gt;Comparative Study&lt;/keyword&gt;&lt;keyword&gt;*Cost Sharing&lt;/keyword&gt;&lt;keyword&gt;Drug Costs/statistics &amp;amp;amp&lt;/keyword&gt;&lt;keyword&gt;numerical data&lt;/keyword&gt;&lt;keyword&gt;Drug Utilization Review&lt;/keyword&gt;&lt;keyword&gt;Formularies&lt;/keyword&gt;&lt;keyword&gt;Health Expenditures/statistics &amp;amp;amp&lt;/keyword&gt;&lt;keyword&gt;numerical data&lt;/keyword&gt;&lt;keyword&gt;Health Services Research&lt;/keyword&gt;&lt;keyword&gt;Human&lt;/keyword&gt;&lt;keyword&gt;Insurance, Pharmaceutical Services/*economics&lt;/keyword&gt;&lt;keyword&gt;Pharmaceutical Services/economics&lt;/keyword&gt;&lt;keyword&gt;Pharmaceutical Services/*utilization&lt;/keyword&gt;&lt;keyword&gt;Preferred Provider Organizations/*economics&lt;/keyword&gt;&lt;keyword&gt;Preferred Provider Organizations/*utilization&lt;/keyword&gt;&lt;keyword&gt;Prescription Fees&lt;/keyword&gt;&lt;keyword&gt;Prescriptions, Drug/economics&lt;/keyword&gt;&lt;keyword&gt;Prescriptions, Drug/*statistics &amp;amp;amp&lt;/keyword&gt;&lt;keyword&gt;numerical data&lt;/keyword&gt;&lt;keyword&gt;Support, U.S. Gov&amp;apos;t, P.H.S.&lt;/keyword&gt;&lt;keyword&gt;United States&lt;/keyword&gt;&lt;/keywords&gt;&lt;dates&gt;&lt;year&gt;2001&lt;/year&gt;&lt;pub-dates&gt;&lt;date&gt;Dec&lt;/date&gt;&lt;/pub-dates&gt;&lt;/dates&gt;&lt;accession-num&gt;11717571&lt;/accession-num&gt;&lt;urls&gt;&lt;/urls&gt;&lt;/record&gt;&lt;/Cite&gt;&lt;/EndNote&gt;</w:instrText>
            </w:r>
            <w:r>
              <w:fldChar w:fldCharType="separate"/>
            </w:r>
            <w:bookmarkStart w:id="36" w:name="__Fieldmark__152_1024893045"/>
            <w:r>
              <w:rPr>
                <w:rFonts w:cs="Arial" w:ascii="Arial Narrow" w:hAnsi="Arial Narrow"/>
                <w:b/>
                <w:bCs/>
                <w:sz w:val="18"/>
                <w:szCs w:val="18"/>
                <w:vertAlign w:val="superscript"/>
              </w:rPr>
              <w:t>11</w:t>
            </w:r>
            <w:bookmarkEnd w:id="36"/>
            <w:r>
              <w:rPr>
                <w:rFonts w:cs="Arial" w:ascii="Arial Narrow" w:hAnsi="Arial Narrow"/>
                <w:b/>
                <w:bCs/>
                <w:sz w:val="18"/>
                <w:szCs w:val="18"/>
                <w:vertAlign w:val="superscript"/>
              </w:rPr>
            </w:r>
            <w:r>
              <w:fldChar w:fldCharType="end"/>
            </w:r>
          </w:p>
        </w:tc>
        <w:tc>
          <w:tcPr>
            <w:tcW w:w="1481" w:type="dxa"/>
            <w:tcBorders>
              <w:top w:val="single" w:sz="4" w:space="0" w:color="000000"/>
              <w:left w:val="nil"/>
              <w:bottom w:val="nil"/>
              <w:insideH w:val="nil"/>
              <w:right w:val="nil"/>
              <w:insideV w:val="nil"/>
            </w:tcBorders>
            <w:shd w:fill="CCCCCC" w:val="clear"/>
            <w:vAlign w:val="center"/>
          </w:tcPr>
          <w:p>
            <w:pPr>
              <w:pStyle w:val="Normal"/>
              <w:jc w:val="center"/>
              <w:rPr>
                <w:rFonts w:cs="Arial" w:ascii="Arial Narrow" w:hAnsi="Arial Narrow"/>
                <w:b/>
                <w:bCs/>
                <w:sz w:val="18"/>
                <w:szCs w:val="18"/>
                <w:vertAlign w:val="superscript"/>
              </w:rPr>
            </w:pPr>
            <w:r>
              <w:rPr>
                <w:rFonts w:cs="Arial" w:ascii="Arial Narrow" w:hAnsi="Arial Narrow"/>
                <w:b/>
                <w:bCs/>
                <w:sz w:val="18"/>
                <w:szCs w:val="18"/>
              </w:rPr>
              <w:t>Fairman et al</w:t>
            </w:r>
            <w:r>
              <w:fldChar w:fldCharType="begin"/>
            </w:r>
            <w:r>
              <w:instrText> ADDIN EN.CITE </w:instrText>
            </w:r>
            <w:r>
              <w:fldChar w:fldCharType="separate"/>
            </w:r>
            <w:bookmarkStart w:id="37" w:name="__Fieldmark__153_1024893045"/>
            <w:r>
              <w:rPr>
                <w:rFonts w:cs="Arial" w:ascii="Arial Narrow" w:hAnsi="Arial Narrow"/>
                <w:b/>
                <w:bCs/>
                <w:sz w:val="18"/>
                <w:szCs w:val="18"/>
                <w:vertAlign w:val="superscript"/>
              </w:rPr>
              <w:t>12</w:t>
            </w:r>
            <w:bookmarkEnd w:id="37"/>
            <w:r>
              <w:rPr>
                <w:rFonts w:cs="Arial" w:ascii="Arial Narrow" w:hAnsi="Arial Narrow"/>
                <w:b/>
                <w:bCs/>
                <w:sz w:val="18"/>
                <w:szCs w:val="18"/>
                <w:vertAlign w:val="superscript"/>
              </w:rPr>
            </w:r>
            <w:r>
              <w:fldChar w:fldCharType="end"/>
            </w:r>
          </w:p>
        </w:tc>
        <w:tc>
          <w:tcPr>
            <w:tcW w:w="1482" w:type="dxa"/>
            <w:tcBorders>
              <w:top w:val="single" w:sz="4" w:space="0" w:color="000000"/>
              <w:left w:val="nil"/>
              <w:bottom w:val="nil"/>
              <w:insideH w:val="nil"/>
              <w:right w:val="nil"/>
              <w:insideV w:val="nil"/>
            </w:tcBorders>
            <w:shd w:fill="CCCCCC" w:val="clear"/>
            <w:vAlign w:val="center"/>
          </w:tcPr>
          <w:p>
            <w:pPr>
              <w:pStyle w:val="Normal"/>
              <w:jc w:val="center"/>
              <w:rPr>
                <w:rFonts w:cs="Arial" w:ascii="Arial Narrow" w:hAnsi="Arial Narrow"/>
                <w:b/>
                <w:bCs/>
                <w:sz w:val="18"/>
                <w:szCs w:val="18"/>
              </w:rPr>
            </w:pPr>
            <w:r>
              <w:rPr>
                <w:rFonts w:cs="Arial" w:ascii="Arial Narrow" w:hAnsi="Arial Narrow"/>
                <w:b/>
                <w:bCs/>
                <w:sz w:val="18"/>
                <w:szCs w:val="18"/>
              </w:rPr>
              <w:t>Huskamp 2003</w:t>
            </w:r>
            <w:r>
              <w:fldChar w:fldCharType="begin"/>
            </w:r>
            <w:r>
              <w:instrText> ADDIN EN.CITE &lt;EndNote&gt;&lt;Cite&gt;&lt;Author&gt;Huskamp&lt;/Author&gt;&lt;Year&gt;2003&lt;/Year&gt;&lt;RecNum&gt;10094&lt;/RecNum&gt;&lt;record&gt;&lt;rec-number&gt;10094&lt;/rec-number&gt;&lt;foreign-keys&gt;&lt;key app="EN" db-id="e5razrre359x0aetvvexesr5tfx2dpf0v522"&gt;10094&lt;/key&gt;&lt;/foreign-keys&gt;&lt;ref-type name="Journal Article"&gt;17&lt;/ref-type&gt;&lt;contributors&gt;&lt;authors&gt;&lt;author&gt;Huskamp, Haiden A.&lt;/author&gt;&lt;author&gt;Deverka, Patricia A.&lt;/author&gt;&lt;author&gt;Epstein, Arnold M.&lt;/author&gt;&lt;author&gt;Epstein, Robert S.&lt;/author&gt;&lt;author&gt;McGuigan, Kimberly A.&lt;/author&gt;&lt;author&gt;Frank, Richard G.&lt;/author&gt;&lt;/authors&gt;&lt;tertiary-authors&gt;&lt;author&gt;Anonymous,&lt;/author&gt;&lt;/tertiary-authors&gt;&lt;/contributors&gt;&lt;auth-address&gt;From the Department of Health Care Policy, Harvard Medical School (H.A.H., R.G.F.); the Department of Health Policy and Management, Harvard School of Public Health (A.M.E.); and the Section on Health Services and Policy Research, Department of M(TRUNCATED)&lt;/auth-address&gt;&lt;titles&gt;&lt;title&gt;The Effect of Incentive-Based Formularies on Prescription-Drug Utilization and Spending.[Article]&lt;/title&gt;&lt;secondary-title&gt;New England Journal of Medicine&lt;/secondary-title&gt;&lt;/titles&gt;&lt;periodical&gt;&lt;full-title&gt;New England Journal of Medicine&lt;/full-title&gt;&lt;abbr-1&gt;N. Engl. J. Med.&lt;/abbr-1&gt;&lt;abbr-2&gt;N Engl J Med&lt;/abbr-2&gt;&lt;/periodical&gt;&lt;pages&gt;2224-2232&lt;/pages&gt;&lt;volume&gt;349&lt;/volume&gt;&lt;number&gt;23&lt;/number&gt;&lt;keywords&gt;&lt;keyword&gt;Clinical Medicine.&lt;/keyword&gt;&lt;/keywords&gt;&lt;dates&gt;&lt;year&gt;2003&lt;/year&gt;&lt;pub-dates&gt;&lt;date&gt;December 4&lt;/date&gt;&lt;/pub-dates&gt;&lt;/dates&gt;&lt;accession-num&gt;2080&lt;/accession-num&gt;&lt;urls&gt;&lt;/urls&gt;&lt;/record&gt;&lt;/Cite&gt;&lt;/EndNote&gt;</w:instrText>
            </w:r>
            <w:r>
              <w:fldChar w:fldCharType="separate"/>
            </w:r>
            <w:bookmarkStart w:id="38" w:name="__Fieldmark__154_1024893045"/>
            <w:r>
              <w:rPr>
                <w:rFonts w:cs="Arial" w:ascii="Arial Narrow" w:hAnsi="Arial Narrow"/>
                <w:b/>
                <w:bCs/>
                <w:sz w:val="18"/>
                <w:szCs w:val="18"/>
                <w:vertAlign w:val="superscript"/>
              </w:rPr>
              <w:t>13</w:t>
            </w:r>
            <w:r>
              <w:rPr>
                <w:rFonts w:cs="Arial" w:ascii="Arial Narrow" w:hAnsi="Arial Narrow"/>
                <w:b/>
                <w:bCs/>
                <w:sz w:val="18"/>
                <w:szCs w:val="18"/>
                <w:vertAlign w:val="superscript"/>
              </w:rPr>
            </w:r>
            <w:r>
              <w:fldChar w:fldCharType="end"/>
            </w:r>
            <w:bookmarkEnd w:id="38"/>
            <w:r>
              <w:rPr>
                <w:rFonts w:cs="Arial" w:ascii="Arial Narrow" w:hAnsi="Arial Narrow"/>
                <w:b/>
                <w:bCs/>
                <w:sz w:val="18"/>
                <w:szCs w:val="18"/>
              </w:rPr>
              <w:t xml:space="preserve"> </w:t>
            </w:r>
          </w:p>
        </w:tc>
        <w:tc>
          <w:tcPr>
            <w:tcW w:w="1481" w:type="dxa"/>
            <w:tcBorders>
              <w:top w:val="single" w:sz="4" w:space="0" w:color="000000"/>
              <w:left w:val="nil"/>
              <w:bottom w:val="nil"/>
              <w:insideH w:val="nil"/>
              <w:right w:val="nil"/>
              <w:insideV w:val="nil"/>
            </w:tcBorders>
            <w:shd w:fill="CCCCCC" w:val="clear"/>
            <w:vAlign w:val="center"/>
          </w:tcPr>
          <w:p>
            <w:pPr>
              <w:pStyle w:val="Normal"/>
              <w:jc w:val="center"/>
              <w:rPr>
                <w:rFonts w:cs="Arial" w:ascii="Arial Narrow" w:hAnsi="Arial Narrow"/>
                <w:b/>
                <w:bCs/>
                <w:sz w:val="18"/>
                <w:szCs w:val="18"/>
                <w:vertAlign w:val="superscript"/>
              </w:rPr>
            </w:pPr>
            <w:r>
              <w:rPr>
                <w:rFonts w:cs="Arial" w:ascii="Arial Narrow" w:hAnsi="Arial Narrow"/>
                <w:b/>
                <w:bCs/>
                <w:sz w:val="18"/>
                <w:szCs w:val="18"/>
              </w:rPr>
              <w:t>Nair</w:t>
            </w:r>
            <w:r>
              <w:fldChar w:fldCharType="begin"/>
            </w:r>
            <w:r>
              <w:instrText> ADDIN EN.CITE &lt;EndNote&gt;&lt;Cite&gt;&lt;Author&gt;Nair&lt;/Author&gt;&lt;Year&gt;2003&lt;/Year&gt;&lt;RecNum&gt;10582&lt;/RecNum&gt;&lt;record&gt;&lt;rec-number&gt;10582&lt;/rec-number&gt;&lt;foreign-keys&gt;&lt;key app="EN" db-id="e5razrre359x0aetvvexesr5tfx2dpf0v522"&gt;10582&lt;/key&gt;&lt;/foreign-keys&gt;&lt;ref-type name="Journal Article"&gt;17&lt;/ref-type&gt;&lt;contributors&gt;&lt;authors&gt;&lt;author&gt;Nair, Kavita V.&lt;/author&gt;&lt;author&gt;Wolfe, Pamels&lt;/author&gt;&lt;author&gt;Valuck, Robert J.&lt;/author&gt;&lt;author&gt;McCollum, Marianne M.&lt;/author&gt;&lt;author&gt;Ganther, Julie M.&lt;/author&gt;&lt;author&gt;Lewis, Sonia J.&lt;/author&gt;&lt;/authors&gt;&lt;tertiary-authors&gt;&lt;author&gt;Anonymous,&lt;/author&gt;&lt;/tertiary-authors&gt;&lt;/contributors&gt;&lt;titles&gt;&lt;title&gt;Effects of a 3-Tier Pharmacy Benefit Design on the Prescription Purchasing Behavior of Individuals with Chronic Disease&lt;/title&gt;&lt;secondary-title&gt;Journal of Managed Care Pharmacy&lt;/secondary-title&gt;&lt;/titles&gt;&lt;periodical&gt;&lt;full-title&gt;Journal of Managed Care Pharmacy&lt;/full-title&gt;&lt;/periodical&gt;&lt;pages&gt;123-133&lt;/pages&gt;&lt;volume&gt;9&lt;/volume&gt;&lt;number&gt;2&lt;/number&gt;&lt;dates&gt;&lt;year&gt;2003&lt;/year&gt;&lt;pub-dates&gt;&lt;date&gt;March/April 2003&lt;/date&gt;&lt;/pub-dates&gt;&lt;/dates&gt;&lt;accession-num&gt;2076&lt;/accession-num&gt;&lt;urls&gt;&lt;/urls&gt;&lt;/record&gt;&lt;/Cite&gt;&lt;/EndNote&gt;</w:instrText>
            </w:r>
            <w:r>
              <w:fldChar w:fldCharType="separate"/>
            </w:r>
            <w:bookmarkStart w:id="39" w:name="__Fieldmark__155_1024893045"/>
            <w:r>
              <w:rPr>
                <w:rFonts w:cs="Arial" w:ascii="Arial Narrow" w:hAnsi="Arial Narrow"/>
                <w:b/>
                <w:bCs/>
                <w:sz w:val="18"/>
                <w:szCs w:val="18"/>
                <w:vertAlign w:val="superscript"/>
              </w:rPr>
              <w:t>14</w:t>
            </w:r>
            <w:bookmarkEnd w:id="39"/>
            <w:r>
              <w:rPr>
                <w:rFonts w:cs="Arial" w:ascii="Arial Narrow" w:hAnsi="Arial Narrow"/>
                <w:b/>
                <w:bCs/>
                <w:sz w:val="18"/>
                <w:szCs w:val="18"/>
                <w:vertAlign w:val="superscript"/>
              </w:rPr>
            </w:r>
            <w:r>
              <w:fldChar w:fldCharType="end"/>
            </w:r>
          </w:p>
        </w:tc>
        <w:tc>
          <w:tcPr>
            <w:tcW w:w="1482" w:type="dxa"/>
            <w:tcBorders>
              <w:top w:val="single" w:sz="4" w:space="0" w:color="000000"/>
              <w:left w:val="nil"/>
              <w:bottom w:val="nil"/>
              <w:insideH w:val="nil"/>
              <w:right w:val="nil"/>
              <w:insideV w:val="nil"/>
            </w:tcBorders>
            <w:shd w:fill="CCCCCC" w:val="clear"/>
            <w:vAlign w:val="center"/>
          </w:tcPr>
          <w:p>
            <w:pPr>
              <w:pStyle w:val="Normal"/>
              <w:jc w:val="center"/>
              <w:rPr>
                <w:rFonts w:cs="Arial" w:ascii="Arial Narrow" w:hAnsi="Arial Narrow"/>
                <w:b/>
                <w:bCs/>
                <w:sz w:val="18"/>
                <w:szCs w:val="18"/>
                <w:vertAlign w:val="superscript"/>
              </w:rPr>
            </w:pPr>
            <w:r>
              <w:rPr>
                <w:rFonts w:cs="Arial" w:ascii="Arial Narrow" w:hAnsi="Arial Narrow"/>
                <w:b/>
                <w:bCs/>
                <w:sz w:val="18"/>
                <w:szCs w:val="18"/>
              </w:rPr>
              <w:t>Gibson</w:t>
            </w:r>
            <w:r>
              <w:fldChar w:fldCharType="begin"/>
            </w:r>
            <w:r>
              <w:instrText> ADDIN EN.CITE &lt;EndNote&gt;&lt;Cite&gt;&lt;Author&gt;Gibson&lt;/Author&gt;&lt;Year&gt;2005&lt;/Year&gt;&lt;RecNum&gt;9872&lt;/RecNum&gt;&lt;record&gt;&lt;rec-number&gt;9872&lt;/rec-number&gt;&lt;foreign-keys&gt;&lt;key app="EN" db-id="e5razrre359x0aetvvexesr5tfx2dpf0v522"&gt;9872&lt;/key&gt;&lt;/foreign-keys&gt;&lt;ref-type name="Journal Article"&gt;17&lt;/ref-type&gt;&lt;contributors&gt;&lt;authors&gt;&lt;author&gt;Gibson, Teresa B.&lt;/author&gt;&lt;author&gt;McLaughlin, Catherine G.&lt;/author&gt;&lt;author&gt;Smith, Dean G.&lt;/author&gt;&lt;/authors&gt;&lt;tertiary-authors&gt;&lt;author&gt;Anonymous,&lt;/author&gt;&lt;/tertiary-authors&gt;&lt;/contributors&gt;&lt;titles&gt;&lt;title&gt;A Copayment Increase for Prescription Drugs: The Long-Term and Short-Term Effects on Use and Expenditures&lt;/title&gt;&lt;secondary-title&gt;Inquiry - Excellus Health Plan&lt;/secondary-title&gt;&lt;/titles&gt;&lt;periodical&gt;&lt;full-title&gt;Inquiry - Excellus Health Plan&lt;/full-title&gt;&lt;/periodical&gt;&lt;pages&gt;293&lt;/pages&gt;&lt;volume&gt;42&lt;/volume&gt;&lt;number&gt;3&lt;/number&gt;&lt;keywords&gt;&lt;keyword&gt;Studies&lt;/keyword&gt;&lt;keyword&gt;Prescription drugs&lt;/keyword&gt;&lt;keyword&gt;Effects&lt;/keyword&gt;&lt;keyword&gt;Health services utilization&lt;/keyword&gt;&lt;keyword&gt;Cost shifting&lt;/keyword&gt;&lt;keyword&gt;Health care expenditures&lt;/keyword&gt;&lt;keyword&gt;Coinsurance&lt;/keyword&gt;&lt;/keywords&gt;&lt;dates&gt;&lt;year&gt;2005&lt;/year&gt;&lt;pub-dates&gt;&lt;date&gt;Fall&lt;/date&gt;&lt;/pub-dates&gt;&lt;/dates&gt;&lt;accession-num&gt;1994&lt;/accession-num&gt;&lt;urls&gt;&lt;related-urls&gt;&lt;url&gt;http://proquest.umi.com/pqdweb?did=940296171&amp;amp;Fmt=7&amp;amp;clientId=65345&amp;amp;RQT=309&amp;amp;VName=PQD &lt;/url&gt;&lt;/related-urls&gt;&lt;/urls&gt;&lt;/record&gt;&lt;/Cite&gt;&lt;/EndNote&gt;</w:instrText>
            </w:r>
            <w:r>
              <w:fldChar w:fldCharType="separate"/>
            </w:r>
            <w:bookmarkStart w:id="40" w:name="__Fieldmark__156_1024893045"/>
            <w:r>
              <w:rPr>
                <w:rFonts w:cs="Arial" w:ascii="Arial Narrow" w:hAnsi="Arial Narrow"/>
                <w:b/>
                <w:bCs/>
                <w:sz w:val="18"/>
                <w:szCs w:val="18"/>
                <w:vertAlign w:val="superscript"/>
              </w:rPr>
              <w:t>15</w:t>
            </w:r>
            <w:bookmarkEnd w:id="40"/>
            <w:r>
              <w:rPr>
                <w:rFonts w:cs="Arial" w:ascii="Arial Narrow" w:hAnsi="Arial Narrow"/>
                <w:b/>
                <w:bCs/>
                <w:sz w:val="18"/>
                <w:szCs w:val="18"/>
                <w:vertAlign w:val="superscript"/>
              </w:rPr>
            </w:r>
            <w:r>
              <w:fldChar w:fldCharType="end"/>
            </w:r>
          </w:p>
        </w:tc>
        <w:tc>
          <w:tcPr>
            <w:tcW w:w="1481" w:type="dxa"/>
            <w:tcBorders>
              <w:top w:val="single" w:sz="4" w:space="0" w:color="000000"/>
              <w:left w:val="nil"/>
              <w:bottom w:val="nil"/>
              <w:insideH w:val="nil"/>
              <w:right w:val="nil"/>
              <w:insideV w:val="nil"/>
            </w:tcBorders>
            <w:shd w:fill="CCCCCC" w:val="clear"/>
            <w:vAlign w:val="center"/>
          </w:tcPr>
          <w:p>
            <w:pPr>
              <w:pStyle w:val="Normal"/>
              <w:jc w:val="center"/>
              <w:rPr>
                <w:rFonts w:cs="Arial" w:ascii="Arial Narrow" w:hAnsi="Arial Narrow"/>
                <w:b/>
                <w:bCs/>
                <w:sz w:val="18"/>
                <w:szCs w:val="18"/>
                <w:vertAlign w:val="superscript"/>
              </w:rPr>
            </w:pPr>
            <w:r>
              <w:rPr>
                <w:rFonts w:cs="Arial" w:ascii="Arial Narrow" w:hAnsi="Arial Narrow"/>
                <w:b/>
                <w:bCs/>
                <w:sz w:val="18"/>
                <w:szCs w:val="18"/>
              </w:rPr>
              <w:t>Landsman</w:t>
            </w:r>
            <w:r>
              <w:fldChar w:fldCharType="begin"/>
            </w:r>
            <w:r>
              <w:instrText> ADDIN EN.CITE </w:instrText>
            </w:r>
            <w:r>
              <w:fldChar w:fldCharType="separate"/>
            </w:r>
            <w:bookmarkStart w:id="41" w:name="__Fieldmark__157_1024893045"/>
            <w:r>
              <w:rPr>
                <w:rFonts w:cs="Arial" w:ascii="Arial Narrow" w:hAnsi="Arial Narrow"/>
                <w:b/>
                <w:bCs/>
                <w:sz w:val="18"/>
                <w:szCs w:val="18"/>
                <w:vertAlign w:val="superscript"/>
              </w:rPr>
              <w:t>16</w:t>
            </w:r>
            <w:bookmarkEnd w:id="41"/>
            <w:r>
              <w:rPr>
                <w:rFonts w:cs="Arial" w:ascii="Arial Narrow" w:hAnsi="Arial Narrow"/>
                <w:b/>
                <w:bCs/>
                <w:sz w:val="18"/>
                <w:szCs w:val="18"/>
                <w:vertAlign w:val="superscript"/>
              </w:rPr>
            </w:r>
            <w:r>
              <w:fldChar w:fldCharType="end"/>
            </w:r>
          </w:p>
        </w:tc>
        <w:tc>
          <w:tcPr>
            <w:tcW w:w="1482" w:type="dxa"/>
            <w:tcBorders>
              <w:top w:val="single" w:sz="4" w:space="0" w:color="000000"/>
              <w:left w:val="nil"/>
              <w:bottom w:val="nil"/>
              <w:insideH w:val="nil"/>
              <w:right w:val="nil"/>
              <w:insideV w:val="nil"/>
            </w:tcBorders>
            <w:shd w:fill="CCCCCC" w:val="clear"/>
            <w:vAlign w:val="center"/>
          </w:tcPr>
          <w:p>
            <w:pPr>
              <w:pStyle w:val="Normal"/>
              <w:jc w:val="center"/>
              <w:rPr>
                <w:rFonts w:cs="Arial" w:ascii="Arial Narrow" w:hAnsi="Arial Narrow"/>
                <w:b/>
                <w:bCs/>
                <w:sz w:val="18"/>
                <w:szCs w:val="18"/>
                <w:vertAlign w:val="superscript"/>
              </w:rPr>
            </w:pPr>
            <w:r>
              <w:rPr>
                <w:rFonts w:cs="Arial" w:ascii="Arial Narrow" w:hAnsi="Arial Narrow"/>
                <w:b/>
                <w:bCs/>
                <w:sz w:val="18"/>
                <w:szCs w:val="18"/>
              </w:rPr>
              <w:t>Landon et al</w:t>
            </w:r>
            <w:r>
              <w:fldChar w:fldCharType="begin"/>
            </w:r>
            <w:r>
              <w:instrText> ADDIN EN.CITE &lt;EndNote&gt;&lt;Cite&gt;&lt;Author&gt;Landon&lt;/Author&gt;&lt;Year&gt;2007&lt;/Year&gt;&lt;RecNum&gt;15929&lt;/RecNum&gt;&lt;record&gt;&lt;rec-number&gt;15929&lt;/rec-number&gt;&lt;foreign-keys&gt;&lt;key app="EN" db-id="e5razrre359x0aetvvexesr5tfx2dpf0v522"&gt;15929&lt;/key&gt;&lt;/foreign-keys&gt;&lt;ref-type name="Journal Article"&gt;17&lt;/ref-type&gt;&lt;contributors&gt;&lt;authors&gt;&lt;author&gt;Landon, B. E.&lt;/author&gt;&lt;author&gt;Rosenthal, M. B.&lt;/author&gt;&lt;author&gt;Normand, S. L.&lt;/author&gt;&lt;author&gt;Spettell, C.&lt;/author&gt;&lt;author&gt;Lessler, A.&lt;/author&gt;&lt;author&gt;Underwood, H. R.&lt;/author&gt;&lt;author&gt;Newhouse, J. P.&lt;/author&gt;&lt;/authors&gt;&lt;tertiary-authors&gt;&lt;author&gt;Anonymous,&lt;/author&gt;&lt;/tertiary-authors&gt;&lt;/contributors&gt;&lt;auth-address&gt;Department of Health Care Policy, Harvard Medical School, Boston, MA 02115, USA. landon@hcp.med.harvard.edu&lt;/auth-address&gt;&lt;titles&gt;&lt;title&gt;Incentive formularies and changes in prescription drug spending&lt;/title&gt;&lt;secondary-title&gt;The American Journal of Managed Care&lt;/secondary-title&gt;&lt;/titles&gt;&lt;periodical&gt;&lt;full-title&gt;The American Journal of Managed Care&lt;/full-title&gt;&lt;/periodical&gt;&lt;pages&gt;360-369&lt;/pages&gt;&lt;volume&gt;13&lt;/volume&gt;&lt;number&gt;6 Pt 2&lt;/number&gt;&lt;keywords&gt;&lt;keyword&gt;Adult&lt;/keyword&gt;&lt;keyword&gt;Cohort Studies&lt;/keyword&gt;&lt;keyword&gt;Deductibles and Coinsurance/economics/statistics &amp;amp; numerical data&lt;/keyword&gt;&lt;keyword&gt;Drug Utilization Review&lt;/keyword&gt;&lt;keyword&gt;Female&lt;/keyword&gt;&lt;keyword&gt;Formularies&lt;/keyword&gt;&lt;keyword&gt;Health Care Surveys&lt;/keyword&gt;&lt;keyword&gt;Humans&lt;/keyword&gt;&lt;keyword&gt;Insurance, Pharmaceutical Services/classification/economics/statistics &amp;amp; numerical data&lt;/keyword&gt;&lt;keyword&gt;Male&lt;/keyword&gt;&lt;keyword&gt;Patient Compliance/statistics &amp;amp; numerical data&lt;/keyword&gt;&lt;keyword&gt;Prescription Fees&lt;/keyword&gt;&lt;keyword&gt;United States&lt;/keyword&gt;&lt;/keywords&gt;&lt;dates&gt;&lt;year&gt;2007&lt;/year&gt;&lt;pub-dates&gt;&lt;date&gt;Jun&lt;/date&gt;&lt;/pub-dates&gt;&lt;/dates&gt;&lt;pub-location&gt;United States&lt;/pub-location&gt;&lt;accession-num&gt;3713&lt;/accession-num&gt;&lt;urls&gt;&lt;/urls&gt;&lt;/record&gt;&lt;/Cite&gt;&lt;/EndNote&gt;</w:instrText>
            </w:r>
            <w:r>
              <w:fldChar w:fldCharType="separate"/>
            </w:r>
            <w:bookmarkStart w:id="42" w:name="__Fieldmark__158_1024893045"/>
            <w:r>
              <w:rPr>
                <w:rFonts w:cs="Arial" w:ascii="Arial Narrow" w:hAnsi="Arial Narrow"/>
                <w:b/>
                <w:bCs/>
                <w:sz w:val="18"/>
                <w:szCs w:val="18"/>
                <w:vertAlign w:val="superscript"/>
              </w:rPr>
              <w:t>17</w:t>
            </w:r>
            <w:bookmarkEnd w:id="42"/>
            <w:r>
              <w:rPr>
                <w:rFonts w:cs="Arial" w:ascii="Arial Narrow" w:hAnsi="Arial Narrow"/>
                <w:b/>
                <w:bCs/>
                <w:sz w:val="18"/>
                <w:szCs w:val="18"/>
                <w:vertAlign w:val="superscript"/>
              </w:rPr>
            </w:r>
            <w:r>
              <w:fldChar w:fldCharType="end"/>
            </w:r>
          </w:p>
        </w:tc>
        <w:tc>
          <w:tcPr>
            <w:tcW w:w="1482" w:type="dxa"/>
            <w:tcBorders>
              <w:top w:val="single" w:sz="4" w:space="0" w:color="000000"/>
              <w:left w:val="nil"/>
              <w:bottom w:val="nil"/>
              <w:insideH w:val="nil"/>
              <w:right w:val="nil"/>
              <w:insideV w:val="nil"/>
            </w:tcBorders>
            <w:shd w:fill="CCCCCC" w:val="clear"/>
            <w:vAlign w:val="center"/>
          </w:tcPr>
          <w:p>
            <w:pPr>
              <w:pStyle w:val="Normal"/>
              <w:jc w:val="center"/>
              <w:rPr>
                <w:rFonts w:cs="Arial" w:ascii="Arial Narrow" w:hAnsi="Arial Narrow"/>
                <w:b/>
                <w:bCs/>
                <w:sz w:val="18"/>
                <w:szCs w:val="18"/>
              </w:rPr>
            </w:pPr>
            <w:r>
              <w:rPr>
                <w:rFonts w:cs="Arial" w:ascii="Arial Narrow" w:hAnsi="Arial Narrow"/>
                <w:b/>
                <w:bCs/>
                <w:sz w:val="18"/>
                <w:szCs w:val="18"/>
              </w:rPr>
              <w:t>Huskamp 2005</w:t>
            </w:r>
            <w:r>
              <w:fldChar w:fldCharType="begin"/>
            </w:r>
            <w:r>
              <w:instrText> ADDIN EN.CITE </w:instrText>
            </w:r>
            <w:r>
              <w:fldChar w:fldCharType="separate"/>
            </w:r>
            <w:bookmarkStart w:id="43" w:name="__Fieldmark__159_1024893045"/>
            <w:r>
              <w:rPr>
                <w:rFonts w:cs="Arial" w:ascii="Arial Narrow" w:hAnsi="Arial Narrow"/>
                <w:b/>
                <w:bCs/>
                <w:sz w:val="18"/>
                <w:szCs w:val="18"/>
                <w:vertAlign w:val="superscript"/>
              </w:rPr>
              <w:t>18</w:t>
            </w:r>
            <w:r>
              <w:rPr>
                <w:rFonts w:cs="Arial" w:ascii="Arial Narrow" w:hAnsi="Arial Narrow"/>
                <w:b/>
                <w:bCs/>
                <w:sz w:val="18"/>
                <w:szCs w:val="18"/>
                <w:vertAlign w:val="superscript"/>
              </w:rPr>
            </w:r>
            <w:r>
              <w:fldChar w:fldCharType="end"/>
            </w:r>
            <w:bookmarkEnd w:id="43"/>
            <w:r>
              <w:rPr>
                <w:rFonts w:cs="Arial" w:ascii="Arial Narrow" w:hAnsi="Arial Narrow"/>
                <w:b/>
                <w:bCs/>
                <w:sz w:val="18"/>
                <w:szCs w:val="18"/>
              </w:rPr>
              <w:t xml:space="preserve">  </w:t>
            </w:r>
          </w:p>
        </w:tc>
      </w:tr>
      <w:tr>
        <w:trPr>
          <w:trHeight w:val="1275" w:hRule="atLeast"/>
          <w:cantSplit w:val="false"/>
        </w:trPr>
        <w:tc>
          <w:tcPr>
            <w:tcW w:w="1481" w:type="dxa"/>
            <w:tcBorders>
              <w:top w:val="nil"/>
              <w:left w:val="nil"/>
              <w:bottom w:val="nil"/>
              <w:insideH w:val="nil"/>
              <w:right w:val="nil"/>
              <w:insideV w:val="nil"/>
            </w:tcBorders>
            <w:shd w:fill="CCCCCC" w:val="clear"/>
            <w:vAlign w:val="center"/>
          </w:tcPr>
          <w:p>
            <w:pPr>
              <w:pStyle w:val="Normal"/>
              <w:rPr>
                <w:rFonts w:cs="Arial" w:ascii="Arial Narrow" w:hAnsi="Arial Narrow"/>
                <w:b/>
                <w:bCs/>
                <w:sz w:val="18"/>
                <w:szCs w:val="18"/>
              </w:rPr>
            </w:pPr>
            <w:r>
              <w:rPr>
                <w:rFonts w:cs="Arial" w:ascii="Arial Narrow" w:hAnsi="Arial Narrow"/>
                <w:b/>
                <w:bCs/>
                <w:sz w:val="18"/>
                <w:szCs w:val="18"/>
              </w:rPr>
              <w:t>Population studied</w:t>
            </w:r>
          </w:p>
        </w:tc>
        <w:tc>
          <w:tcPr>
            <w:tcW w:w="1482" w:type="dxa"/>
            <w:tcBorders>
              <w:top w:val="nil"/>
              <w:left w:val="nil"/>
              <w:bottom w:val="nil"/>
              <w:insideH w:val="nil"/>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Enrolees in employment-sponsored insurance</w:t>
            </w:r>
          </w:p>
        </w:tc>
        <w:tc>
          <w:tcPr>
            <w:tcW w:w="1481" w:type="dxa"/>
            <w:tcBorders>
              <w:top w:val="nil"/>
              <w:left w:val="nil"/>
              <w:bottom w:val="nil"/>
              <w:insideH w:val="nil"/>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Enrolees in employment-sponsored insurance</w:t>
            </w:r>
          </w:p>
        </w:tc>
        <w:tc>
          <w:tcPr>
            <w:tcW w:w="1482" w:type="dxa"/>
            <w:tcBorders>
              <w:top w:val="nil"/>
              <w:left w:val="nil"/>
              <w:bottom w:val="nil"/>
              <w:insideH w:val="nil"/>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Enrolees and their dependents in employment-sponsored insurance</w:t>
            </w:r>
          </w:p>
        </w:tc>
        <w:tc>
          <w:tcPr>
            <w:tcW w:w="1481" w:type="dxa"/>
            <w:tcBorders>
              <w:top w:val="nil"/>
              <w:left w:val="nil"/>
              <w:bottom w:val="nil"/>
              <w:insideH w:val="nil"/>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Enrolees in managed care plan</w:t>
            </w:r>
          </w:p>
        </w:tc>
        <w:tc>
          <w:tcPr>
            <w:tcW w:w="1482" w:type="dxa"/>
            <w:tcBorders>
              <w:top w:val="nil"/>
              <w:left w:val="nil"/>
              <w:bottom w:val="nil"/>
              <w:insideH w:val="nil"/>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Enrolees in employment-sponsored insurance</w:t>
            </w:r>
          </w:p>
        </w:tc>
        <w:tc>
          <w:tcPr>
            <w:tcW w:w="1481" w:type="dxa"/>
            <w:tcBorders>
              <w:top w:val="nil"/>
              <w:left w:val="nil"/>
              <w:bottom w:val="nil"/>
              <w:insideH w:val="nil"/>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Enrolees in employment-sponsored insurance</w:t>
            </w:r>
          </w:p>
        </w:tc>
        <w:tc>
          <w:tcPr>
            <w:tcW w:w="1482" w:type="dxa"/>
            <w:tcBorders>
              <w:top w:val="nil"/>
              <w:left w:val="nil"/>
              <w:bottom w:val="nil"/>
              <w:insideH w:val="nil"/>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Enrolees in employment-sponsored insurance</w:t>
            </w:r>
          </w:p>
        </w:tc>
        <w:tc>
          <w:tcPr>
            <w:tcW w:w="1482" w:type="dxa"/>
            <w:tcBorders>
              <w:top w:val="nil"/>
              <w:left w:val="nil"/>
              <w:bottom w:val="nil"/>
              <w:insideH w:val="nil"/>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Children of employees with employment-sponsored insurance</w:t>
            </w:r>
          </w:p>
        </w:tc>
      </w:tr>
      <w:tr>
        <w:trPr>
          <w:trHeight w:val="510" w:hRule="atLeast"/>
          <w:cantSplit w:val="false"/>
        </w:trPr>
        <w:tc>
          <w:tcPr>
            <w:tcW w:w="1481" w:type="dxa"/>
            <w:tcBorders>
              <w:top w:val="nil"/>
              <w:left w:val="nil"/>
              <w:bottom w:val="nil"/>
              <w:insideH w:val="nil"/>
              <w:right w:val="nil"/>
              <w:insideV w:val="nil"/>
            </w:tcBorders>
            <w:shd w:fill="CCCCCC" w:val="clear"/>
            <w:vAlign w:val="center"/>
          </w:tcPr>
          <w:p>
            <w:pPr>
              <w:pStyle w:val="Normal"/>
              <w:rPr>
                <w:rFonts w:cs="Arial" w:ascii="Arial Narrow" w:hAnsi="Arial Narrow"/>
                <w:b/>
                <w:bCs/>
                <w:sz w:val="18"/>
                <w:szCs w:val="18"/>
              </w:rPr>
            </w:pPr>
            <w:r>
              <w:rPr>
                <w:rFonts w:cs="Arial" w:ascii="Arial Narrow" w:hAnsi="Arial Narrow"/>
                <w:b/>
                <w:bCs/>
                <w:sz w:val="18"/>
                <w:szCs w:val="18"/>
              </w:rPr>
              <w:t>Intervention / comparison studied</w:t>
            </w:r>
          </w:p>
        </w:tc>
        <w:tc>
          <w:tcPr>
            <w:tcW w:w="1482" w:type="dxa"/>
            <w:tcBorders>
              <w:top w:val="nil"/>
              <w:left w:val="nil"/>
              <w:bottom w:val="nil"/>
              <w:insideH w:val="nil"/>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2 to 3 tier vs. stable 2 tier</w:t>
            </w:r>
          </w:p>
        </w:tc>
        <w:tc>
          <w:tcPr>
            <w:tcW w:w="1481" w:type="dxa"/>
            <w:tcBorders>
              <w:top w:val="nil"/>
              <w:left w:val="nil"/>
              <w:bottom w:val="nil"/>
              <w:insideH w:val="nil"/>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2 to 3 tier vs. stable 2 tier</w:t>
            </w:r>
          </w:p>
        </w:tc>
        <w:tc>
          <w:tcPr>
            <w:tcW w:w="1482" w:type="dxa"/>
            <w:tcBorders>
              <w:top w:val="nil"/>
              <w:left w:val="nil"/>
              <w:bottom w:val="nil"/>
              <w:insideH w:val="nil"/>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1 to 3 tier and 2 to 3 tier vs. stable 2 tier</w:t>
            </w:r>
          </w:p>
        </w:tc>
        <w:tc>
          <w:tcPr>
            <w:tcW w:w="1481" w:type="dxa"/>
            <w:tcBorders>
              <w:top w:val="nil"/>
              <w:left w:val="nil"/>
              <w:bottom w:val="nil"/>
              <w:insideH w:val="nil"/>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2 to 3 tier vs. stable 2 and 3 tier</w:t>
            </w:r>
          </w:p>
        </w:tc>
        <w:tc>
          <w:tcPr>
            <w:tcW w:w="1482" w:type="dxa"/>
            <w:tcBorders>
              <w:top w:val="nil"/>
              <w:left w:val="nil"/>
              <w:bottom w:val="nil"/>
              <w:insideH w:val="nil"/>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1 to 2 tier vs. stable 3 tier</w:t>
            </w:r>
          </w:p>
        </w:tc>
        <w:tc>
          <w:tcPr>
            <w:tcW w:w="1481" w:type="dxa"/>
            <w:tcBorders>
              <w:top w:val="nil"/>
              <w:left w:val="nil"/>
              <w:bottom w:val="nil"/>
              <w:insideH w:val="nil"/>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2 to 3 tier vs. stable 2 tier</w:t>
            </w:r>
          </w:p>
        </w:tc>
        <w:tc>
          <w:tcPr>
            <w:tcW w:w="1482" w:type="dxa"/>
            <w:tcBorders>
              <w:top w:val="nil"/>
              <w:left w:val="nil"/>
              <w:bottom w:val="nil"/>
              <w:insideH w:val="nil"/>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 xml:space="preserve">Various tier increases vs. stable controls </w:t>
            </w:r>
          </w:p>
        </w:tc>
        <w:tc>
          <w:tcPr>
            <w:tcW w:w="1482" w:type="dxa"/>
            <w:tcBorders>
              <w:top w:val="nil"/>
              <w:left w:val="nil"/>
              <w:bottom w:val="nil"/>
              <w:insideH w:val="nil"/>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1 to 3 tier vs. stable 2 tier</w:t>
            </w:r>
          </w:p>
        </w:tc>
      </w:tr>
      <w:tr>
        <w:trPr>
          <w:trHeight w:val="510" w:hRule="atLeast"/>
          <w:cantSplit w:val="false"/>
        </w:trPr>
        <w:tc>
          <w:tcPr>
            <w:tcW w:w="1481" w:type="dxa"/>
            <w:tcBorders>
              <w:top w:val="nil"/>
              <w:left w:val="nil"/>
              <w:bottom w:val="single" w:sz="4" w:space="0" w:color="000000"/>
              <w:insideH w:val="single" w:sz="4" w:space="0" w:color="000000"/>
              <w:right w:val="nil"/>
              <w:insideV w:val="nil"/>
            </w:tcBorders>
            <w:shd w:fill="CCCCCC" w:val="clear"/>
            <w:vAlign w:val="center"/>
          </w:tcPr>
          <w:p>
            <w:pPr>
              <w:pStyle w:val="Normal"/>
              <w:rPr>
                <w:rFonts w:cs="Arial" w:ascii="Arial Narrow" w:hAnsi="Arial Narrow"/>
                <w:b/>
                <w:bCs/>
                <w:sz w:val="18"/>
                <w:szCs w:val="18"/>
              </w:rPr>
            </w:pPr>
            <w:r>
              <w:rPr>
                <w:rFonts w:cs="Arial" w:ascii="Arial Narrow" w:hAnsi="Arial Narrow"/>
                <w:b/>
                <w:bCs/>
                <w:sz w:val="18"/>
                <w:szCs w:val="18"/>
              </w:rPr>
              <w:t>Drug classes studied</w:t>
            </w:r>
          </w:p>
        </w:tc>
        <w:tc>
          <w:tcPr>
            <w:tcW w:w="1482" w:type="dxa"/>
            <w:tcBorders>
              <w:top w:val="nil"/>
              <w:left w:val="nil"/>
              <w:bottom w:val="single" w:sz="4" w:space="0" w:color="000000"/>
              <w:insideH w:val="single" w:sz="4" w:space="0" w:color="000000"/>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Antibiotics for otitis media; OCs, estrogens; anti-hypertensives; lipid drugs</w:t>
            </w:r>
          </w:p>
        </w:tc>
        <w:tc>
          <w:tcPr>
            <w:tcW w:w="1481" w:type="dxa"/>
            <w:tcBorders>
              <w:top w:val="nil"/>
              <w:left w:val="nil"/>
              <w:bottom w:val="single" w:sz="4" w:space="0" w:color="000000"/>
              <w:insideH w:val="single" w:sz="4" w:space="0" w:color="000000"/>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All prescriptions; estrogens; OCs; antihypertensives; lipid drugs</w:t>
            </w:r>
          </w:p>
        </w:tc>
        <w:tc>
          <w:tcPr>
            <w:tcW w:w="1482" w:type="dxa"/>
            <w:tcBorders>
              <w:top w:val="nil"/>
              <w:left w:val="nil"/>
              <w:bottom w:val="single" w:sz="4" w:space="0" w:color="000000"/>
              <w:insideH w:val="single" w:sz="4" w:space="0" w:color="000000"/>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ACE-Is, PPIs and statins</w:t>
            </w:r>
          </w:p>
        </w:tc>
        <w:tc>
          <w:tcPr>
            <w:tcW w:w="1481" w:type="dxa"/>
            <w:tcBorders>
              <w:top w:val="nil"/>
              <w:left w:val="nil"/>
              <w:bottom w:val="single" w:sz="4" w:space="0" w:color="000000"/>
              <w:insideH w:val="single" w:sz="4" w:space="0" w:color="000000"/>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Medicines for hypertension, diabetes, dyslipidemia, GERD and arthritis</w:t>
            </w:r>
          </w:p>
        </w:tc>
        <w:tc>
          <w:tcPr>
            <w:tcW w:w="1482" w:type="dxa"/>
            <w:tcBorders>
              <w:top w:val="nil"/>
              <w:left w:val="nil"/>
              <w:bottom w:val="single" w:sz="4" w:space="0" w:color="000000"/>
              <w:insideH w:val="single" w:sz="4" w:space="0" w:color="000000"/>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All prescriptions</w:t>
            </w:r>
          </w:p>
        </w:tc>
        <w:tc>
          <w:tcPr>
            <w:tcW w:w="1481" w:type="dxa"/>
            <w:tcBorders>
              <w:top w:val="nil"/>
              <w:left w:val="nil"/>
              <w:bottom w:val="single" w:sz="4" w:space="0" w:color="000000"/>
              <w:insideH w:val="single" w:sz="4" w:space="0" w:color="000000"/>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NSAIDs, COX-2, TCAs, SSRIs, CCBs, ACE-Is and ARBs</w:t>
            </w:r>
          </w:p>
        </w:tc>
        <w:tc>
          <w:tcPr>
            <w:tcW w:w="1482" w:type="dxa"/>
            <w:tcBorders>
              <w:top w:val="nil"/>
              <w:left w:val="nil"/>
              <w:bottom w:val="single" w:sz="4" w:space="0" w:color="000000"/>
              <w:insideH w:val="single" w:sz="4" w:space="0" w:color="000000"/>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All prescriptions</w:t>
            </w:r>
          </w:p>
        </w:tc>
        <w:tc>
          <w:tcPr>
            <w:tcW w:w="1482" w:type="dxa"/>
            <w:tcBorders>
              <w:top w:val="nil"/>
              <w:left w:val="nil"/>
              <w:bottom w:val="single" w:sz="4" w:space="0" w:color="000000"/>
              <w:insideH w:val="single" w:sz="4" w:space="0" w:color="000000"/>
              <w:right w:val="nil"/>
              <w:insideV w:val="nil"/>
            </w:tcBorders>
            <w:shd w:fill="CCCCCC" w:val="clear"/>
            <w:vAlign w:val="center"/>
          </w:tcPr>
          <w:p>
            <w:pPr>
              <w:pStyle w:val="Normal"/>
              <w:jc w:val="center"/>
              <w:rPr>
                <w:rFonts w:cs="Arial" w:ascii="Arial Narrow" w:hAnsi="Arial Narrow"/>
                <w:sz w:val="18"/>
                <w:szCs w:val="18"/>
              </w:rPr>
            </w:pPr>
            <w:r>
              <w:rPr>
                <w:rFonts w:cs="Arial" w:ascii="Arial Narrow" w:hAnsi="Arial Narrow"/>
                <w:sz w:val="18"/>
                <w:szCs w:val="18"/>
              </w:rPr>
              <w:t>ADHD medications</w:t>
            </w:r>
          </w:p>
        </w:tc>
      </w:tr>
      <w:tr>
        <w:trPr>
          <w:trHeight w:val="255" w:hRule="atLeast"/>
          <w:cantSplit w:val="false"/>
        </w:trPr>
        <w:tc>
          <w:tcPr>
            <w:tcW w:w="1481" w:type="dxa"/>
            <w:tcBorders>
              <w:top w:val="single" w:sz="4" w:space="0" w:color="000000"/>
              <w:left w:val="nil"/>
              <w:bottom w:val="nil"/>
              <w:insideH w:val="nil"/>
              <w:right w:val="nil"/>
              <w:insideV w:val="nil"/>
            </w:tcBorders>
            <w:shd w:fill="auto" w:val="clear"/>
            <w:vAlign w:val="center"/>
          </w:tcPr>
          <w:p>
            <w:pPr>
              <w:pStyle w:val="Normal"/>
              <w:rPr>
                <w:rFonts w:cs="Arial" w:ascii="Arial Narrow" w:hAnsi="Arial Narrow"/>
                <w:b/>
                <w:bCs/>
                <w:sz w:val="18"/>
                <w:szCs w:val="18"/>
              </w:rPr>
            </w:pPr>
            <w:r>
              <w:rPr>
                <w:rFonts w:cs="Arial" w:ascii="Arial Narrow" w:hAnsi="Arial Narrow"/>
                <w:b/>
                <w:bCs/>
                <w:sz w:val="18"/>
                <w:szCs w:val="18"/>
              </w:rPr>
              <w:t>Total drug costs</w:t>
            </w:r>
          </w:p>
        </w:tc>
        <w:tc>
          <w:tcPr>
            <w:tcW w:w="1482"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 xml:space="preserve">[-] </w:t>
            </w:r>
          </w:p>
          <w:p>
            <w:pPr>
              <w:pStyle w:val="Normal"/>
              <w:jc w:val="center"/>
              <w:rPr>
                <w:rFonts w:cs="Arial" w:ascii="Arial Narrow" w:hAnsi="Arial Narrow"/>
                <w:sz w:val="18"/>
                <w:szCs w:val="18"/>
              </w:rPr>
            </w:pPr>
            <w:r>
              <w:rPr>
                <w:rFonts w:cs="Arial" w:ascii="Arial Narrow" w:hAnsi="Arial Narrow"/>
                <w:sz w:val="18"/>
                <w:szCs w:val="18"/>
              </w:rPr>
              <w:t>-7% growth</w:t>
            </w:r>
          </w:p>
        </w:tc>
        <w:tc>
          <w:tcPr>
            <w:tcW w:w="1481" w:type="dxa"/>
            <w:tcBorders>
              <w:top w:val="single" w:sz="4" w:space="0" w:color="000000"/>
              <w:left w:val="nil"/>
              <w:bottom w:val="nil"/>
              <w:insideH w:val="nil"/>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1482"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c>
          <w:tcPr>
            <w:tcW w:w="1481"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c>
          <w:tcPr>
            <w:tcW w:w="1482"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-$11 to -$16 per enrolee per quarter</w:t>
            </w:r>
          </w:p>
        </w:tc>
        <w:tc>
          <w:tcPr>
            <w:tcW w:w="1481" w:type="dxa"/>
            <w:tcBorders>
              <w:top w:val="single" w:sz="4" w:space="0" w:color="000000"/>
              <w:left w:val="nil"/>
              <w:bottom w:val="nil"/>
              <w:insideH w:val="nil"/>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p>
            <w:pPr>
              <w:pStyle w:val="Normal"/>
              <w:jc w:val="center"/>
              <w:rPr>
                <w:rFonts w:cs="Arial" w:ascii="Arial Narrow" w:hAnsi="Arial Narrow"/>
                <w:sz w:val="18"/>
                <w:szCs w:val="18"/>
              </w:rPr>
            </w:pPr>
            <w:r>
              <w:rPr>
                <w:rFonts w:cs="Arial" w:ascii="Arial Narrow" w:hAnsi="Arial Narrow"/>
                <w:sz w:val="18"/>
                <w:szCs w:val="18"/>
              </w:rPr>
            </w:r>
          </w:p>
        </w:tc>
        <w:tc>
          <w:tcPr>
            <w:tcW w:w="1482"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-5% to -15%</w:t>
            </w:r>
          </w:p>
        </w:tc>
        <w:tc>
          <w:tcPr>
            <w:tcW w:w="1482"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-20%</w:t>
            </w:r>
          </w:p>
        </w:tc>
      </w:tr>
      <w:tr>
        <w:trPr>
          <w:trHeight w:val="255" w:hRule="atLeast"/>
          <w:cantSplit w:val="false"/>
        </w:trPr>
        <w:tc>
          <w:tcPr>
            <w:tcW w:w="1481" w:type="dxa"/>
            <w:tcBorders>
              <w:top w:val="single" w:sz="4" w:space="0" w:color="000000"/>
              <w:left w:val="nil"/>
              <w:bottom w:val="nil"/>
              <w:insideH w:val="nil"/>
              <w:right w:val="nil"/>
              <w:insideV w:val="nil"/>
            </w:tcBorders>
            <w:shd w:fill="auto" w:val="clear"/>
            <w:vAlign w:val="center"/>
          </w:tcPr>
          <w:p>
            <w:pPr>
              <w:pStyle w:val="Normal"/>
              <w:rPr>
                <w:rFonts w:cs="Arial" w:ascii="Arial Narrow" w:hAnsi="Arial Narrow"/>
                <w:b/>
                <w:bCs/>
                <w:sz w:val="18"/>
                <w:szCs w:val="18"/>
              </w:rPr>
            </w:pPr>
            <w:r>
              <w:rPr>
                <w:rFonts w:cs="Arial" w:ascii="Arial Narrow" w:hAnsi="Arial Narrow"/>
                <w:b/>
                <w:bCs/>
                <w:sz w:val="18"/>
                <w:szCs w:val="18"/>
              </w:rPr>
              <w:t>Insurer costs</w:t>
            </w:r>
          </w:p>
        </w:tc>
        <w:tc>
          <w:tcPr>
            <w:tcW w:w="1482"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-21% growth</w:t>
            </w:r>
          </w:p>
        </w:tc>
        <w:tc>
          <w:tcPr>
            <w:tcW w:w="1481"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-26.6% growth</w:t>
            </w:r>
          </w:p>
        </w:tc>
        <w:tc>
          <w:tcPr>
            <w:tcW w:w="1482"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0% to -58%</w:t>
            </w:r>
          </w:p>
        </w:tc>
        <w:tc>
          <w:tcPr>
            <w:tcW w:w="1481"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c>
          <w:tcPr>
            <w:tcW w:w="1482" w:type="dxa"/>
            <w:tcBorders>
              <w:top w:val="single" w:sz="4" w:space="0" w:color="000000"/>
              <w:left w:val="nil"/>
              <w:bottom w:val="nil"/>
              <w:insideH w:val="nil"/>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1481" w:type="dxa"/>
            <w:tcBorders>
              <w:top w:val="single" w:sz="4" w:space="0" w:color="000000"/>
              <w:left w:val="nil"/>
              <w:bottom w:val="nil"/>
              <w:insideH w:val="nil"/>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1482"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-20%</w:t>
            </w:r>
          </w:p>
        </w:tc>
        <w:tc>
          <w:tcPr>
            <w:tcW w:w="1482"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-43%</w:t>
            </w:r>
          </w:p>
        </w:tc>
      </w:tr>
      <w:tr>
        <w:trPr>
          <w:trHeight w:val="255" w:hRule="atLeast"/>
          <w:cantSplit w:val="false"/>
        </w:trPr>
        <w:tc>
          <w:tcPr>
            <w:tcW w:w="1481"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rFonts w:cs="Arial" w:ascii="Arial Narrow" w:hAnsi="Arial Narrow"/>
                <w:b/>
                <w:bCs/>
                <w:sz w:val="18"/>
                <w:szCs w:val="18"/>
              </w:rPr>
            </w:pPr>
            <w:r>
              <w:rPr>
                <w:rFonts w:cs="Arial" w:ascii="Arial Narrow" w:hAnsi="Arial Narrow"/>
                <w:b/>
                <w:bCs/>
                <w:sz w:val="18"/>
                <w:szCs w:val="18"/>
              </w:rPr>
              <w:t>Patient costs</w:t>
            </w:r>
          </w:p>
        </w:tc>
        <w:tc>
          <w:tcPr>
            <w:tcW w:w="1482"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+34% growth</w:t>
            </w:r>
          </w:p>
        </w:tc>
        <w:tc>
          <w:tcPr>
            <w:tcW w:w="1481"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+46.5% growth</w:t>
            </w:r>
          </w:p>
        </w:tc>
        <w:tc>
          <w:tcPr>
            <w:tcW w:w="1482"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0% to +148%</w:t>
            </w:r>
          </w:p>
        </w:tc>
        <w:tc>
          <w:tcPr>
            <w:tcW w:w="1481"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c>
          <w:tcPr>
            <w:tcW w:w="1482"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1481"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+16% to +129%</w:t>
            </w:r>
          </w:p>
        </w:tc>
        <w:tc>
          <w:tcPr>
            <w:tcW w:w="1482"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+20% to +100%</w:t>
            </w:r>
          </w:p>
        </w:tc>
        <w:tc>
          <w:tcPr>
            <w:tcW w:w="1482"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+46%</w:t>
            </w:r>
          </w:p>
        </w:tc>
      </w:tr>
      <w:tr>
        <w:trPr>
          <w:trHeight w:val="303" w:hRule="atLeast"/>
          <w:cantSplit w:val="false"/>
        </w:trPr>
        <w:tc>
          <w:tcPr>
            <w:tcW w:w="1481" w:type="dxa"/>
            <w:tcBorders>
              <w:top w:val="single" w:sz="4" w:space="0" w:color="000000"/>
              <w:left w:val="nil"/>
              <w:bottom w:val="nil"/>
              <w:insideH w:val="nil"/>
              <w:right w:val="nil"/>
              <w:insideV w:val="nil"/>
            </w:tcBorders>
            <w:shd w:fill="auto" w:val="clear"/>
            <w:vAlign w:val="center"/>
          </w:tcPr>
          <w:p>
            <w:pPr>
              <w:pStyle w:val="Normal"/>
              <w:rPr>
                <w:rFonts w:cs="Arial" w:ascii="Arial Narrow" w:hAnsi="Arial Narrow"/>
                <w:b/>
                <w:sz w:val="18"/>
                <w:szCs w:val="18"/>
              </w:rPr>
            </w:pPr>
            <w:r>
              <w:rPr>
                <w:rFonts w:cs="Arial" w:ascii="Arial Narrow" w:hAnsi="Arial Narrow"/>
                <w:b/>
                <w:sz w:val="18"/>
                <w:szCs w:val="18"/>
              </w:rPr>
              <w:t>Prescription drug use</w:t>
            </w:r>
          </w:p>
        </w:tc>
        <w:tc>
          <w:tcPr>
            <w:tcW w:w="1482" w:type="dxa"/>
            <w:tcBorders>
              <w:top w:val="single" w:sz="4" w:space="0" w:color="000000"/>
              <w:left w:val="nil"/>
              <w:bottom w:val="nil"/>
              <w:insideH w:val="nil"/>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1481"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 xml:space="preserve">-4.2% growth, yr 1 </w:t>
            </w:r>
          </w:p>
          <w:p>
            <w:pPr>
              <w:pStyle w:val="Normal"/>
              <w:jc w:val="center"/>
              <w:rPr>
                <w:rFonts w:cs="Arial" w:ascii="Arial Narrow" w:hAnsi="Arial Narrow"/>
                <w:sz w:val="18"/>
                <w:szCs w:val="18"/>
              </w:rPr>
            </w:pPr>
            <w:r>
              <w:rPr>
                <w:rFonts w:cs="Arial" w:ascii="Arial Narrow" w:hAnsi="Arial Narrow"/>
                <w:sz w:val="18"/>
                <w:szCs w:val="18"/>
              </w:rPr>
              <w:t>No change, yr 2</w:t>
            </w:r>
          </w:p>
        </w:tc>
        <w:tc>
          <w:tcPr>
            <w:tcW w:w="1482"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0 to -34%</w:t>
            </w:r>
          </w:p>
        </w:tc>
        <w:tc>
          <w:tcPr>
            <w:tcW w:w="1481"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c>
          <w:tcPr>
            <w:tcW w:w="1482"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-0.16 scripts per enrolee per quarter</w:t>
            </w:r>
          </w:p>
        </w:tc>
        <w:tc>
          <w:tcPr>
            <w:tcW w:w="1481"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[mixed]</w:t>
            </w:r>
          </w:p>
          <w:p>
            <w:pPr>
              <w:pStyle w:val="Normal"/>
              <w:jc w:val="center"/>
              <w:rPr>
                <w:rFonts w:cs="Arial" w:ascii="Arial Narrow" w:hAnsi="Arial Narrow"/>
                <w:sz w:val="18"/>
                <w:szCs w:val="18"/>
              </w:rPr>
            </w:pPr>
            <w:r>
              <w:rPr>
                <w:rFonts w:cs="Arial" w:ascii="Arial Narrow" w:hAnsi="Arial Narrow"/>
                <w:sz w:val="18"/>
                <w:szCs w:val="18"/>
              </w:rPr>
              <w:t>-6.8% to + 1.7%</w:t>
            </w:r>
          </w:p>
        </w:tc>
        <w:tc>
          <w:tcPr>
            <w:tcW w:w="1482" w:type="dxa"/>
            <w:tcBorders>
              <w:top w:val="single" w:sz="4" w:space="0" w:color="000000"/>
              <w:left w:val="nil"/>
              <w:bottom w:val="nil"/>
              <w:insideH w:val="nil"/>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1482"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-17%</w:t>
            </w:r>
          </w:p>
        </w:tc>
      </w:tr>
      <w:tr>
        <w:trPr>
          <w:trHeight w:val="255" w:hRule="atLeast"/>
          <w:cantSplit w:val="false"/>
        </w:trPr>
        <w:tc>
          <w:tcPr>
            <w:tcW w:w="1481"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rFonts w:cs="Arial" w:ascii="Arial Narrow" w:hAnsi="Arial Narrow"/>
                <w:b/>
                <w:sz w:val="18"/>
                <w:szCs w:val="18"/>
              </w:rPr>
            </w:pPr>
            <w:r>
              <w:rPr>
                <w:rFonts w:cs="Arial" w:ascii="Arial Narrow" w:hAnsi="Arial Narrow"/>
                <w:b/>
                <w:sz w:val="18"/>
                <w:szCs w:val="18"/>
              </w:rPr>
              <w:t>Switching to preferred drugs</w:t>
            </w:r>
          </w:p>
        </w:tc>
        <w:tc>
          <w:tcPr>
            <w:tcW w:w="1482"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+2% growth ($)</w:t>
            </w:r>
          </w:p>
        </w:tc>
        <w:tc>
          <w:tcPr>
            <w:tcW w:w="1481"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+30.5% growth ($)</w:t>
            </w:r>
          </w:p>
        </w:tc>
        <w:tc>
          <w:tcPr>
            <w:tcW w:w="1482"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+17.6% to +49.4% of patients</w:t>
            </w:r>
          </w:p>
        </w:tc>
        <w:tc>
          <w:tcPr>
            <w:tcW w:w="1481"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+5.6%</w:t>
            </w:r>
          </w:p>
        </w:tc>
        <w:tc>
          <w:tcPr>
            <w:tcW w:w="1482"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c>
          <w:tcPr>
            <w:tcW w:w="1481"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c>
          <w:tcPr>
            <w:tcW w:w="1482"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c>
          <w:tcPr>
            <w:tcW w:w="1482"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+5% of patients</w:t>
            </w:r>
          </w:p>
        </w:tc>
      </w:tr>
      <w:tr>
        <w:trPr>
          <w:trHeight w:val="510" w:hRule="atLeast"/>
          <w:cantSplit w:val="false"/>
        </w:trPr>
        <w:tc>
          <w:tcPr>
            <w:tcW w:w="1481" w:type="dxa"/>
            <w:tcBorders>
              <w:top w:val="single" w:sz="4" w:space="0" w:color="000000"/>
              <w:left w:val="nil"/>
              <w:bottom w:val="nil"/>
              <w:insideH w:val="nil"/>
              <w:right w:val="nil"/>
              <w:insideV w:val="nil"/>
            </w:tcBorders>
            <w:shd w:fill="auto" w:val="clear"/>
            <w:vAlign w:val="center"/>
          </w:tcPr>
          <w:p>
            <w:pPr>
              <w:pStyle w:val="Normal"/>
              <w:rPr>
                <w:rFonts w:cs="Arial" w:ascii="Arial Narrow" w:hAnsi="Arial Narrow"/>
                <w:b/>
                <w:sz w:val="18"/>
                <w:szCs w:val="18"/>
              </w:rPr>
            </w:pPr>
            <w:bookmarkStart w:id="44" w:name="OLE_LINK3"/>
            <w:bookmarkEnd w:id="44"/>
            <w:r>
              <w:rPr>
                <w:rFonts w:cs="Arial" w:ascii="Arial Narrow" w:hAnsi="Arial Narrow"/>
                <w:b/>
                <w:sz w:val="18"/>
                <w:szCs w:val="18"/>
              </w:rPr>
              <w:t>Discontinuation of medicines in the drug classes studied</w:t>
            </w:r>
          </w:p>
        </w:tc>
        <w:tc>
          <w:tcPr>
            <w:tcW w:w="1482"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 Estrogens</w:t>
            </w:r>
          </w:p>
        </w:tc>
        <w:tc>
          <w:tcPr>
            <w:tcW w:w="1481"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 xml:space="preserve">[+] </w:t>
            </w:r>
          </w:p>
          <w:p>
            <w:pPr>
              <w:pStyle w:val="Normal"/>
              <w:jc w:val="center"/>
              <w:rPr>
                <w:rFonts w:cs="Arial" w:ascii="Arial Narrow" w:hAnsi="Arial Narrow"/>
                <w:sz w:val="18"/>
                <w:szCs w:val="18"/>
              </w:rPr>
            </w:pPr>
            <w:r>
              <w:rPr>
                <w:rFonts w:cs="Arial" w:ascii="Arial Narrow" w:hAnsi="Arial Narrow"/>
                <w:sz w:val="18"/>
                <w:szCs w:val="18"/>
              </w:rPr>
              <w:t>+13% for oral contraceptives</w:t>
            </w:r>
          </w:p>
        </w:tc>
        <w:tc>
          <w:tcPr>
            <w:tcW w:w="1482"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[mixed]</w:t>
            </w:r>
          </w:p>
          <w:p>
            <w:pPr>
              <w:pStyle w:val="Normal"/>
              <w:jc w:val="center"/>
              <w:rPr>
                <w:rFonts w:cs="Arial" w:ascii="Arial Narrow" w:hAnsi="Arial Narrow"/>
                <w:sz w:val="18"/>
                <w:szCs w:val="18"/>
              </w:rPr>
            </w:pPr>
            <w:r>
              <w:rPr>
                <w:rFonts w:cs="Arial" w:ascii="Arial Narrow" w:hAnsi="Arial Narrow"/>
                <w:sz w:val="18"/>
                <w:szCs w:val="18"/>
              </w:rPr>
              <w:t>-7.5% to +32%</w:t>
            </w:r>
          </w:p>
        </w:tc>
        <w:tc>
          <w:tcPr>
            <w:tcW w:w="1481"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 xml:space="preserve">[+] </w:t>
            </w:r>
          </w:p>
          <w:p>
            <w:pPr>
              <w:pStyle w:val="Normal"/>
              <w:jc w:val="center"/>
              <w:rPr>
                <w:rFonts w:cs="Arial" w:ascii="Arial Narrow" w:hAnsi="Arial Narrow"/>
                <w:sz w:val="18"/>
                <w:szCs w:val="18"/>
              </w:rPr>
            </w:pPr>
            <w:r>
              <w:rPr>
                <w:rFonts w:cs="Arial" w:ascii="Arial Narrow" w:hAnsi="Arial Narrow"/>
                <w:sz w:val="18"/>
                <w:szCs w:val="18"/>
              </w:rPr>
              <w:t>+10%</w:t>
            </w:r>
          </w:p>
        </w:tc>
        <w:tc>
          <w:tcPr>
            <w:tcW w:w="1482" w:type="dxa"/>
            <w:tcBorders>
              <w:top w:val="single" w:sz="4" w:space="0" w:color="000000"/>
              <w:left w:val="nil"/>
              <w:bottom w:val="nil"/>
              <w:insideH w:val="nil"/>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1481"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p>
            <w:pPr>
              <w:pStyle w:val="Normal"/>
              <w:jc w:val="center"/>
              <w:rPr>
                <w:rFonts w:cs="Arial" w:ascii="Arial Narrow" w:hAnsi="Arial Narrow"/>
                <w:sz w:val="18"/>
                <w:szCs w:val="18"/>
              </w:rPr>
            </w:pPr>
            <w:r>
              <w:rPr>
                <w:rFonts w:cs="Arial" w:ascii="Arial Narrow" w:hAnsi="Arial Narrow"/>
                <w:sz w:val="18"/>
                <w:szCs w:val="18"/>
              </w:rPr>
              <w:t>2 to 8 times higher</w:t>
            </w:r>
          </w:p>
        </w:tc>
        <w:tc>
          <w:tcPr>
            <w:tcW w:w="1482" w:type="dxa"/>
            <w:tcBorders>
              <w:top w:val="single" w:sz="4" w:space="0" w:color="000000"/>
              <w:left w:val="nil"/>
              <w:bottom w:val="nil"/>
              <w:insideH w:val="nil"/>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1482" w:type="dxa"/>
            <w:tcBorders>
              <w:top w:val="single" w:sz="4" w:space="0" w:color="000000"/>
              <w:left w:val="nil"/>
              <w:bottom w:val="nil"/>
              <w:insideH w:val="nil"/>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r>
      <w:tr>
        <w:trPr>
          <w:trHeight w:val="510" w:hRule="atLeast"/>
          <w:cantSplit w:val="false"/>
        </w:trPr>
        <w:tc>
          <w:tcPr>
            <w:tcW w:w="1481"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rFonts w:cs="Arial" w:ascii="Arial Narrow" w:hAnsi="Arial Narrow"/>
                <w:b/>
                <w:bCs/>
                <w:sz w:val="18"/>
                <w:szCs w:val="18"/>
              </w:rPr>
            </w:pPr>
            <w:r>
              <w:rPr>
                <w:rFonts w:cs="Arial" w:ascii="Arial Narrow" w:hAnsi="Arial Narrow"/>
                <w:b/>
                <w:bCs/>
                <w:sz w:val="18"/>
                <w:szCs w:val="18"/>
              </w:rPr>
              <w:t>Long term use of physician services (post 4 months)</w:t>
            </w:r>
          </w:p>
        </w:tc>
        <w:tc>
          <w:tcPr>
            <w:tcW w:w="1482"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c>
          <w:tcPr>
            <w:tcW w:w="1481"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c>
          <w:tcPr>
            <w:tcW w:w="1482"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1481"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1482"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1481"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1482"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1482"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r>
      <w:tr>
        <w:trPr>
          <w:trHeight w:val="255" w:hRule="atLeast"/>
          <w:cantSplit w:val="false"/>
        </w:trPr>
        <w:tc>
          <w:tcPr>
            <w:tcW w:w="1481"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rPr>
                <w:rFonts w:cs="Arial" w:ascii="Arial Narrow" w:hAnsi="Arial Narrow"/>
                <w:b/>
                <w:bCs/>
                <w:sz w:val="18"/>
                <w:szCs w:val="18"/>
              </w:rPr>
            </w:pPr>
            <w:r>
              <w:rPr>
                <w:rFonts w:cs="Arial" w:ascii="Arial Narrow" w:hAnsi="Arial Narrow"/>
                <w:b/>
                <w:bCs/>
                <w:sz w:val="18"/>
                <w:szCs w:val="18"/>
              </w:rPr>
              <w:t>Hospital services</w:t>
            </w:r>
          </w:p>
        </w:tc>
        <w:tc>
          <w:tcPr>
            <w:tcW w:w="1482"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c>
          <w:tcPr>
            <w:tcW w:w="1481"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jc w:val="center"/>
              <w:rPr>
                <w:rFonts w:cs="Arial" w:ascii="Arial Narrow" w:hAnsi="Arial Narrow"/>
                <w:sz w:val="18"/>
                <w:szCs w:val="18"/>
              </w:rPr>
            </w:pPr>
            <w:r>
              <w:rPr>
                <w:rFonts w:cs="Arial" w:ascii="Arial Narrow" w:hAnsi="Arial Narrow"/>
                <w:sz w:val="18"/>
                <w:szCs w:val="18"/>
              </w:rPr>
              <w:t>[=]</w:t>
            </w:r>
          </w:p>
        </w:tc>
        <w:tc>
          <w:tcPr>
            <w:tcW w:w="1482"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1481"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1482"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1481"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1482"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c>
          <w:tcPr>
            <w:tcW w:w="1482" w:type="dxa"/>
            <w:tcBorders>
              <w:top w:val="single" w:sz="4" w:space="0" w:color="000000"/>
              <w:left w:val="nil"/>
              <w:bottom w:val="single" w:sz="4" w:space="0" w:color="000000"/>
              <w:insideH w:val="single" w:sz="4" w:space="0" w:color="000000"/>
              <w:right w:val="nil"/>
              <w:insideV w:val="nil"/>
            </w:tcBorders>
            <w:shd w:fill="auto" w:val="clear"/>
            <w:vAlign w:val="center"/>
          </w:tcPr>
          <w:p>
            <w:pPr>
              <w:pStyle w:val="Normal"/>
              <w:snapToGrid w:val="false"/>
              <w:jc w:val="center"/>
              <w:rPr>
                <w:rFonts w:cs="Arial" w:ascii="Arial Narrow" w:hAnsi="Arial Narrow"/>
                <w:sz w:val="18"/>
                <w:szCs w:val="18"/>
              </w:rPr>
            </w:pPr>
            <w:r>
              <w:rPr>
                <w:rFonts w:cs="Arial" w:ascii="Arial Narrow" w:hAnsi="Arial Narrow"/>
                <w:sz w:val="18"/>
                <w:szCs w:val="18"/>
              </w:rPr>
            </w:r>
          </w:p>
        </w:tc>
      </w:tr>
    </w:tbl>
    <w:p>
      <w:pPr>
        <w:pStyle w:val="Normal"/>
        <w:rPr>
          <w:rFonts w:cs="Arial" w:ascii="Arial Narrow" w:hAnsi="Arial Narrow"/>
          <w:sz w:val="18"/>
          <w:szCs w:val="18"/>
        </w:rPr>
      </w:pPr>
      <w:r>
        <w:rPr>
          <w:rFonts w:cs="Arial" w:ascii="Arial Narrow" w:hAnsi="Arial Narrow"/>
          <w:sz w:val="18"/>
          <w:szCs w:val="18"/>
        </w:rPr>
        <w:t>Note:</w:t>
        <w:tab/>
        <w:t>(+) = statistically significant positive association between policy and specified outcome</w:t>
      </w:r>
    </w:p>
    <w:p>
      <w:pPr>
        <w:pStyle w:val="Normal"/>
        <w:ind w:left="0" w:right="0" w:firstLine="720"/>
        <w:rPr>
          <w:rFonts w:cs="Arial" w:ascii="Arial Narrow" w:hAnsi="Arial Narrow"/>
          <w:sz w:val="18"/>
          <w:szCs w:val="18"/>
        </w:rPr>
      </w:pPr>
      <w:r>
        <w:rPr>
          <w:rFonts w:cs="Arial" w:ascii="Arial Narrow" w:hAnsi="Arial Narrow"/>
          <w:sz w:val="18"/>
          <w:szCs w:val="18"/>
        </w:rPr>
        <w:t>(-) = statistically significant negative association between policy and specified outcome</w:t>
      </w:r>
    </w:p>
    <w:p>
      <w:pPr>
        <w:pStyle w:val="Normal"/>
        <w:ind w:left="0" w:right="0" w:firstLine="720"/>
        <w:rPr>
          <w:rFonts w:cs="Arial" w:ascii="Arial Narrow" w:hAnsi="Arial Narrow"/>
          <w:sz w:val="18"/>
          <w:szCs w:val="18"/>
        </w:rPr>
      </w:pPr>
      <w:r>
        <w:rPr>
          <w:rFonts w:cs="Arial" w:ascii="Arial Narrow" w:hAnsi="Arial Narrow"/>
          <w:sz w:val="18"/>
          <w:szCs w:val="18"/>
        </w:rPr>
        <w:t>[=] = no statistically significant association between policy and specified outcome</w:t>
      </w:r>
    </w:p>
    <w:p>
      <w:pPr>
        <w:pStyle w:val="Normal"/>
        <w:ind w:left="0" w:right="0" w:firstLine="720"/>
        <w:rPr>
          <w:rFonts w:cs="Arial" w:ascii="Arial Narrow" w:hAnsi="Arial Narrow"/>
          <w:sz w:val="18"/>
          <w:szCs w:val="18"/>
        </w:rPr>
      </w:pPr>
      <w:r>
        <w:rPr>
          <w:rFonts w:cs="Arial" w:ascii="Arial Narrow" w:hAnsi="Arial Narrow"/>
          <w:sz w:val="18"/>
          <w:szCs w:val="18"/>
        </w:rPr>
        <w:t>[mixed] = mixed associations found between policy and specified outcome</w:t>
      </w:r>
    </w:p>
    <w:p>
      <w:pPr>
        <w:pStyle w:val="Normal"/>
        <w:ind w:left="0" w:right="0" w:firstLine="720"/>
        <w:rPr>
          <w:rFonts w:cs="Arial" w:ascii="Arial Narrow" w:hAnsi="Arial Narrow"/>
          <w:sz w:val="18"/>
          <w:szCs w:val="18"/>
        </w:rPr>
      </w:pPr>
      <w:r>
        <w:rPr>
          <w:rFonts w:cs="Arial" w:ascii="Arial Narrow" w:hAnsi="Arial Narrow"/>
          <w:sz w:val="18"/>
          <w:szCs w:val="18"/>
        </w:rPr>
        <w:t>% growth = percentage point difference in growth rates between intervention and comparison groups</w:t>
      </w:r>
    </w:p>
    <w:p>
      <w:pPr>
        <w:pStyle w:val="Normal"/>
        <w:ind w:left="0" w:right="0" w:firstLine="720"/>
        <w:rPr>
          <w:rFonts w:cs="Arial" w:ascii="Arial Narrow" w:hAnsi="Arial Narrow"/>
          <w:sz w:val="18"/>
          <w:szCs w:val="18"/>
        </w:rPr>
      </w:pPr>
      <w:r>
        <w:rPr>
          <w:rFonts w:cs="Arial" w:ascii="Arial Narrow" w:hAnsi="Arial Narrow"/>
          <w:sz w:val="18"/>
          <w:szCs w:val="18"/>
        </w:rPr>
        <w:t>No change = no statistically significant association between policy and specified outcome</w:t>
      </w:r>
    </w:p>
    <w:p>
      <w:pPr>
        <w:pStyle w:val="Normal"/>
        <w:ind w:left="0" w:right="0" w:firstLine="720"/>
        <w:rPr>
          <w:rFonts w:cs="Arial" w:ascii="Arial Narrow" w:hAnsi="Arial Narrow"/>
          <w:sz w:val="18"/>
          <w:szCs w:val="18"/>
        </w:rPr>
      </w:pPr>
      <w:r>
        <w:rPr>
          <w:rFonts w:cs="Arial" w:ascii="Arial Narrow" w:hAnsi="Arial Narrow"/>
          <w:sz w:val="18"/>
          <w:szCs w:val="18"/>
        </w:rPr>
        <w:t>Blank = association between policy and specified outcome not tested in study</w:t>
      </w:r>
    </w:p>
    <w:p>
      <w:pPr>
        <w:pStyle w:val="Normal"/>
        <w:ind w:left="720" w:right="0" w:hanging="0"/>
        <w:rPr>
          <w:rFonts w:cs="Arial" w:ascii="Arial Narrow" w:hAnsi="Arial Narrow"/>
          <w:sz w:val="18"/>
          <w:szCs w:val="18"/>
        </w:rPr>
      </w:pPr>
      <w:r>
        <w:rPr>
          <w:rFonts w:cs="Arial" w:ascii="Arial Narrow" w:hAnsi="Arial Narrow"/>
          <w:sz w:val="18"/>
          <w:szCs w:val="18"/>
        </w:rPr>
        <w:t>OCs = oral contraceptives; ACE-Is = ACE-inhibitors; PPIs = proton pump inhibitors; GERD = gastroesophageal reflux disease; SSRIs = selective serotonin reuptake inhibitors; TCAs = tricyclic antidepressants; CCBs = calcium channel blockers; ARBs = angiotensin receptor blockers; and ADHD = attention deficit hyperactivity disorder.</w:t>
      </w:r>
    </w:p>
    <w:p>
      <w:pPr>
        <w:pStyle w:val="Normal"/>
        <w:rPr/>
      </w:pPr>
      <w:r>
        <w:rPr/>
      </w:r>
    </w:p>
    <w:p>
      <w:pPr>
        <w:pStyle w:val="TextBody"/>
        <w:rPr>
          <w:lang w:val="en-CA"/>
        </w:rPr>
      </w:pPr>
      <w:r>
        <w:rPr>
          <w:lang w:val="en-CA"/>
        </w:rPr>
      </w:r>
    </w:p>
    <w:p>
      <w:pPr>
        <w:pStyle w:val="Heading1"/>
        <w:numPr>
          <w:ilvl w:val="0"/>
          <w:numId w:val="1"/>
        </w:numPr>
        <w:rPr/>
      </w:pPr>
      <w:bookmarkStart w:id="45" w:name="_Ref196794595"/>
      <w:r>
        <w:rPr/>
        <w:t xml:space="preserve">Appendix </w:t>
      </w:r>
      <w:r>
        <w:rPr/>
        <w:fldChar w:fldCharType="begin"/>
      </w:r>
      <w:r>
        <w:instrText> SEQ "Appendix" \*Arabic </w:instrText>
      </w:r>
      <w:r>
        <w:fldChar w:fldCharType="separate"/>
      </w:r>
      <w:r>
        <w:t>1</w:t>
      </w:r>
      <w:r>
        <w:fldChar w:fldCharType="end"/>
      </w:r>
      <w:bookmarkEnd w:id="45"/>
      <w:r>
        <w:rPr/>
        <w:t>: Search Strategy, Search Terms and Inclusion Criteria</w:t>
      </w:r>
    </w:p>
    <w:p>
      <w:pPr>
        <w:pStyle w:val="Heading1"/>
        <w:numPr>
          <w:ilvl w:val="0"/>
          <w:numId w:val="1"/>
        </w:numPr>
        <w:rPr/>
      </w:pPr>
      <w:r>
        <w:rPr/>
        <w:t>Search Strategy</w:t>
      </w:r>
    </w:p>
    <w:p>
      <w:pPr>
        <w:pStyle w:val="Heading2"/>
        <w:numPr>
          <w:ilvl w:val="1"/>
          <w:numId w:val="1"/>
        </w:numPr>
        <w:rPr/>
      </w:pPr>
      <w:r>
        <w:rPr/>
        <w:t>Databases searched for systematic review</w:t>
      </w:r>
    </w:p>
    <w:p>
      <w:pPr>
        <w:pStyle w:val="Mainmessages"/>
        <w:numPr>
          <w:ilvl w:val="0"/>
          <w:numId w:val="2"/>
        </w:numPr>
        <w:rPr/>
      </w:pPr>
      <w:r>
        <w:rPr/>
        <w:t xml:space="preserve">ABI-Inform AND ProQuest Digital Dissertations </w:t>
      </w:r>
    </w:p>
    <w:p>
      <w:pPr>
        <w:pStyle w:val="Mainmessages"/>
        <w:numPr>
          <w:ilvl w:val="0"/>
          <w:numId w:val="2"/>
        </w:numPr>
        <w:rPr/>
      </w:pPr>
      <w:r>
        <w:rPr/>
        <w:t>CINAHL (1982 - Present) (EBSCOHost)</w:t>
      </w:r>
    </w:p>
    <w:p>
      <w:pPr>
        <w:pStyle w:val="Mainmessages"/>
        <w:numPr>
          <w:ilvl w:val="0"/>
          <w:numId w:val="2"/>
        </w:numPr>
        <w:rPr/>
      </w:pPr>
      <w:r>
        <w:rPr/>
        <w:t>Clinical Evidence (BMJ - few citations to formulary, UK)</w:t>
      </w:r>
    </w:p>
    <w:p>
      <w:pPr>
        <w:pStyle w:val="Mainmessages"/>
        <w:numPr>
          <w:ilvl w:val="0"/>
          <w:numId w:val="2"/>
        </w:numPr>
        <w:rPr/>
      </w:pPr>
      <w:r>
        <w:rPr/>
        <w:t>EBM Reviews (Ovid)</w:t>
      </w:r>
    </w:p>
    <w:p>
      <w:pPr>
        <w:pStyle w:val="Mainmessages"/>
        <w:numPr>
          <w:ilvl w:val="0"/>
          <w:numId w:val="2"/>
        </w:numPr>
        <w:rPr/>
      </w:pPr>
      <w:r>
        <w:rPr/>
        <w:t xml:space="preserve">ACP Journal Club (ACP) </w:t>
      </w:r>
    </w:p>
    <w:p>
      <w:pPr>
        <w:pStyle w:val="Mainmessages"/>
        <w:numPr>
          <w:ilvl w:val="0"/>
          <w:numId w:val="2"/>
        </w:numPr>
        <w:rPr/>
      </w:pPr>
      <w:r>
        <w:rPr/>
        <w:t>Cochrane Central Register of Controlled Trials (CENTRAL)</w:t>
        <w:tab/>
      </w:r>
    </w:p>
    <w:p>
      <w:pPr>
        <w:pStyle w:val="Mainmessages"/>
        <w:numPr>
          <w:ilvl w:val="0"/>
          <w:numId w:val="2"/>
        </w:numPr>
        <w:rPr/>
      </w:pPr>
      <w:r>
        <w:rPr/>
        <w:t>Cochrane Database of Systematic Reviews (CDSR)</w:t>
      </w:r>
    </w:p>
    <w:p>
      <w:pPr>
        <w:pStyle w:val="Mainmessages"/>
        <w:numPr>
          <w:ilvl w:val="0"/>
          <w:numId w:val="2"/>
        </w:numPr>
        <w:rPr/>
      </w:pPr>
      <w:r>
        <w:rPr/>
        <w:t>Database of Abstracts of Reviews of Effectiveness (DARE)</w:t>
      </w:r>
    </w:p>
    <w:p>
      <w:pPr>
        <w:pStyle w:val="Mainmessages"/>
        <w:numPr>
          <w:ilvl w:val="0"/>
          <w:numId w:val="2"/>
        </w:numPr>
        <w:rPr/>
      </w:pPr>
      <w:r>
        <w:rPr/>
        <w:t>EconLit (1969 - ) (EBSCOHost)</w:t>
      </w:r>
    </w:p>
    <w:p>
      <w:pPr>
        <w:pStyle w:val="Mainmessages"/>
        <w:numPr>
          <w:ilvl w:val="0"/>
          <w:numId w:val="2"/>
        </w:numPr>
        <w:rPr/>
      </w:pPr>
      <w:r>
        <w:rPr/>
        <w:t>EMBASE (1980 to present) (Ovid)</w:t>
      </w:r>
    </w:p>
    <w:p>
      <w:pPr>
        <w:pStyle w:val="Mainmessages"/>
        <w:numPr>
          <w:ilvl w:val="0"/>
          <w:numId w:val="2"/>
        </w:numPr>
        <w:rPr/>
      </w:pPr>
      <w:r>
        <w:rPr/>
        <w:t>International Pharmaceutical Abstracts (IPA) (Ovid)</w:t>
      </w:r>
    </w:p>
    <w:p>
      <w:pPr>
        <w:pStyle w:val="Mainmessages"/>
        <w:numPr>
          <w:ilvl w:val="0"/>
          <w:numId w:val="2"/>
        </w:numPr>
        <w:rPr/>
      </w:pPr>
      <w:r>
        <w:rPr/>
        <w:t>MEDLINE (1966 to Present with Daily Update) (Ovid)</w:t>
      </w:r>
    </w:p>
    <w:p>
      <w:pPr>
        <w:pStyle w:val="Mainmessages"/>
        <w:numPr>
          <w:ilvl w:val="0"/>
          <w:numId w:val="2"/>
        </w:numPr>
        <w:rPr/>
      </w:pPr>
      <w:r>
        <w:rPr/>
        <w:t>NLM Gateway (NLM – Includes what used to be HealthSTAR, NIHCSR)</w:t>
      </w:r>
    </w:p>
    <w:p>
      <w:pPr>
        <w:pStyle w:val="Mainmessages"/>
        <w:numPr>
          <w:ilvl w:val="0"/>
          <w:numId w:val="2"/>
        </w:numPr>
        <w:rPr/>
      </w:pPr>
      <w:r>
        <w:rPr/>
        <w:t>PAIS International and PAIS Archive (CSA)</w:t>
      </w:r>
    </w:p>
    <w:p>
      <w:pPr>
        <w:pStyle w:val="Mainmessages"/>
        <w:numPr>
          <w:ilvl w:val="0"/>
          <w:numId w:val="2"/>
        </w:numPr>
        <w:rPr/>
      </w:pPr>
      <w:r>
        <w:rPr/>
        <w:t>Web of Science (ISI)</w:t>
      </w:r>
    </w:p>
    <w:p>
      <w:pPr>
        <w:pStyle w:val="Heading2"/>
        <w:numPr>
          <w:ilvl w:val="1"/>
          <w:numId w:val="1"/>
        </w:numPr>
        <w:rPr/>
      </w:pPr>
      <w:r>
        <w:rPr/>
        <w:t>Grey Literature Sources</w:t>
      </w:r>
    </w:p>
    <w:p>
      <w:pPr>
        <w:pStyle w:val="Mainmessages"/>
        <w:numPr>
          <w:ilvl w:val="0"/>
          <w:numId w:val="2"/>
        </w:numPr>
        <w:rPr/>
      </w:pPr>
      <w:r>
        <w:rPr/>
        <w:t>Theses/Dissertations</w:t>
      </w:r>
    </w:p>
    <w:p>
      <w:pPr>
        <w:pStyle w:val="Mainmessages"/>
        <w:numPr>
          <w:ilvl w:val="0"/>
          <w:numId w:val="2"/>
        </w:numPr>
        <w:rPr/>
      </w:pPr>
      <w:r>
        <w:rPr/>
        <w:t>Theses Canada Portal</w:t>
      </w:r>
    </w:p>
    <w:p>
      <w:pPr>
        <w:pStyle w:val="Mainmessages"/>
        <w:numPr>
          <w:ilvl w:val="0"/>
          <w:numId w:val="2"/>
        </w:numPr>
        <w:rPr/>
      </w:pPr>
      <w:r>
        <w:rPr/>
        <w:t xml:space="preserve">Proquest Digital Disserations </w:t>
      </w:r>
    </w:p>
    <w:p>
      <w:pPr>
        <w:pStyle w:val="Mainmessages"/>
        <w:numPr>
          <w:ilvl w:val="0"/>
          <w:numId w:val="2"/>
        </w:numPr>
        <w:rPr/>
      </w:pPr>
      <w:r>
        <w:rPr/>
        <w:t>Networked Digital Library of Theses and Dissertations (NDLTD)</w:t>
      </w:r>
    </w:p>
    <w:p>
      <w:pPr>
        <w:pStyle w:val="Mainmessages"/>
        <w:numPr>
          <w:ilvl w:val="0"/>
          <w:numId w:val="2"/>
        </w:numPr>
        <w:rPr/>
      </w:pPr>
      <w:r>
        <w:rPr/>
        <w:t xml:space="preserve">Google Canada and Google Scholar </w:t>
      </w:r>
    </w:p>
    <w:p>
      <w:pPr>
        <w:pStyle w:val="Mainmessages"/>
        <w:numPr>
          <w:ilvl w:val="0"/>
          <w:numId w:val="2"/>
        </w:numPr>
        <w:rPr/>
      </w:pPr>
      <w:r>
        <w:rPr/>
        <w:t>Scirus</w:t>
      </w:r>
    </w:p>
    <w:p>
      <w:pPr>
        <w:pStyle w:val="Mainmessages"/>
        <w:numPr>
          <w:ilvl w:val="0"/>
          <w:numId w:val="2"/>
        </w:numPr>
        <w:rPr/>
      </w:pPr>
      <w:r>
        <w:rPr/>
        <w:t>Yahoo</w:t>
      </w:r>
    </w:p>
    <w:p>
      <w:pPr>
        <w:pStyle w:val="Mainmessages"/>
        <w:numPr>
          <w:ilvl w:val="0"/>
          <w:numId w:val="2"/>
        </w:numPr>
        <w:rPr/>
      </w:pPr>
      <w:r>
        <w:rPr/>
        <w:t>PapersFirst</w:t>
      </w:r>
    </w:p>
    <w:p>
      <w:pPr>
        <w:pStyle w:val="Mainmessages"/>
        <w:numPr>
          <w:ilvl w:val="0"/>
          <w:numId w:val="2"/>
        </w:numPr>
        <w:rPr/>
      </w:pPr>
      <w:r>
        <w:rPr/>
        <w:t>ProceedingsFirst</w:t>
      </w:r>
    </w:p>
    <w:p>
      <w:pPr>
        <w:pStyle w:val="Mainmessages"/>
        <w:numPr>
          <w:ilvl w:val="0"/>
          <w:numId w:val="2"/>
        </w:numPr>
        <w:rPr/>
      </w:pPr>
      <w:r>
        <w:rPr/>
        <w:t>WHO main search page and regional sites and library catalogue</w:t>
      </w:r>
    </w:p>
    <w:p>
      <w:pPr>
        <w:pStyle w:val="Mainmessages"/>
        <w:numPr>
          <w:ilvl w:val="0"/>
          <w:numId w:val="2"/>
        </w:numPr>
        <w:rPr/>
      </w:pPr>
      <w:r>
        <w:rPr/>
        <w:t>WHO Statistical Information System (WHOSIS)</w:t>
      </w:r>
    </w:p>
    <w:p>
      <w:pPr>
        <w:pStyle w:val="Mainmessages"/>
        <w:numPr>
          <w:ilvl w:val="0"/>
          <w:numId w:val="2"/>
        </w:numPr>
        <w:rPr/>
      </w:pPr>
      <w:r>
        <w:rPr/>
        <w:t>INRUD http://www.inrud.org/RIS/RISWEB.ISA</w:t>
      </w:r>
    </w:p>
    <w:p>
      <w:pPr>
        <w:pStyle w:val="Mainmessages"/>
        <w:numPr>
          <w:ilvl w:val="0"/>
          <w:numId w:val="2"/>
        </w:numPr>
        <w:rPr/>
      </w:pPr>
      <w:r>
        <w:rPr/>
        <w:t>Key Canadian Websites:</w:t>
      </w:r>
    </w:p>
    <w:p>
      <w:pPr>
        <w:pStyle w:val="Mainmessages"/>
        <w:numPr>
          <w:ilvl w:val="1"/>
          <w:numId w:val="2"/>
        </w:numPr>
        <w:rPr/>
      </w:pPr>
      <w:r>
        <w:rPr/>
        <w:t>Canadian Centre for Policy Alternatives</w:t>
      </w:r>
    </w:p>
    <w:p>
      <w:pPr>
        <w:pStyle w:val="Mainmessages"/>
        <w:numPr>
          <w:ilvl w:val="1"/>
          <w:numId w:val="2"/>
        </w:numPr>
        <w:rPr/>
      </w:pPr>
      <w:r>
        <w:rPr/>
        <w:t>Canadian Evaluation Society (Grey Lit database)</w:t>
      </w:r>
    </w:p>
    <w:p>
      <w:pPr>
        <w:pStyle w:val="Mainmessages"/>
        <w:numPr>
          <w:ilvl w:val="1"/>
          <w:numId w:val="2"/>
        </w:numPr>
        <w:rPr/>
      </w:pPr>
      <w:r>
        <w:rPr/>
        <w:t>Canadian Health Services Research Foundation</w:t>
      </w:r>
    </w:p>
    <w:p>
      <w:pPr>
        <w:pStyle w:val="Mainmessages"/>
        <w:numPr>
          <w:ilvl w:val="1"/>
          <w:numId w:val="2"/>
        </w:numPr>
        <w:rPr/>
      </w:pPr>
      <w:r>
        <w:rPr/>
        <w:t>Canadian Institutes of Health Research</w:t>
      </w:r>
    </w:p>
    <w:p>
      <w:pPr>
        <w:pStyle w:val="Mainmessages"/>
        <w:numPr>
          <w:ilvl w:val="1"/>
          <w:numId w:val="2"/>
        </w:numPr>
        <w:rPr/>
      </w:pPr>
      <w:r>
        <w:rPr/>
        <w:t>Health Canada</w:t>
      </w:r>
    </w:p>
    <w:p>
      <w:pPr>
        <w:pStyle w:val="Mainmessages"/>
        <w:numPr>
          <w:ilvl w:val="1"/>
          <w:numId w:val="2"/>
        </w:numPr>
        <w:rPr/>
      </w:pPr>
      <w:r>
        <w:rPr/>
        <w:t>Index to Canadian Federal "Royal Commission Reports"</w:t>
      </w:r>
    </w:p>
    <w:p>
      <w:pPr>
        <w:pStyle w:val="Mainmessages"/>
        <w:numPr>
          <w:ilvl w:val="1"/>
          <w:numId w:val="2"/>
        </w:numPr>
        <w:rPr/>
      </w:pPr>
      <w:r>
        <w:rPr/>
        <w:t>Public Health Agency of Canada</w:t>
      </w:r>
    </w:p>
    <w:p>
      <w:pPr>
        <w:pStyle w:val="Mainmessages"/>
        <w:numPr>
          <w:ilvl w:val="0"/>
          <w:numId w:val="2"/>
        </w:numPr>
        <w:rPr/>
      </w:pPr>
      <w:r>
        <w:rPr/>
        <w:t>Key US Websites:</w:t>
      </w:r>
    </w:p>
    <w:p>
      <w:pPr>
        <w:pStyle w:val="Mainmessages"/>
        <w:numPr>
          <w:ilvl w:val="1"/>
          <w:numId w:val="2"/>
        </w:numPr>
        <w:rPr/>
      </w:pPr>
      <w:r>
        <w:rPr/>
        <w:t>GrayLIT Network (US Gov’t publications)</w:t>
      </w:r>
    </w:p>
    <w:p>
      <w:pPr>
        <w:pStyle w:val="Mainmessages"/>
        <w:numPr>
          <w:ilvl w:val="1"/>
          <w:numId w:val="2"/>
        </w:numPr>
        <w:rPr/>
      </w:pPr>
      <w:r>
        <w:rPr/>
        <w:t>GPO Locator Service</w:t>
      </w:r>
    </w:p>
    <w:p>
      <w:pPr>
        <w:pStyle w:val="Heading1"/>
        <w:numPr>
          <w:ilvl w:val="0"/>
          <w:numId w:val="1"/>
        </w:numPr>
        <w:rPr/>
      </w:pPr>
      <w:r>
        <w:rPr/>
        <w:t>Search terms</w:t>
      </w:r>
    </w:p>
    <w:p>
      <w:pPr>
        <w:pStyle w:val="TextBody"/>
        <w:rPr>
          <w:lang w:val="en-CA"/>
        </w:rPr>
      </w:pPr>
      <w:r>
        <w:rPr>
          <w:lang w:val="en-CA"/>
        </w:rPr>
        <w:t xml:space="preserve">We searched using search terms clustered around the concepts of: prescription drugs, intervention types, and methodologies (not applicable in some databases). Wherever possible, subject headings were utilized and exploded to include all relevant subheadings. Keywords for drugs included (Pharmaceutical* OR Prescription OR Prescription Drug* OR Drug* OR Medicine* OR Medication*). Keywords for interventions combined (Hierarchical OR Multilevel OR multi-level OR tiered OR differential) with (copay* OR co-pay* OR user charge* OR user-charge* OR charge* or fee* OR formular* or subsid* OR benefit*), various synonyms for reference pricing, interchange, substitution, user fees, copayments, reimbursement mechanisms, and subsidies. In databases where it was possible and useful, search filters for methodologies were applied, or keywords for impact, assessment, and outcomes were added. </w:t>
      </w:r>
    </w:p>
    <w:p>
      <w:pPr>
        <w:pStyle w:val="Heading3"/>
        <w:numPr>
          <w:ilvl w:val="2"/>
          <w:numId w:val="1"/>
        </w:numPr>
        <w:rPr>
          <w:lang w:val="en-CA"/>
        </w:rPr>
      </w:pPr>
      <w:r>
        <w:rPr>
          <w:lang w:val="en-CA"/>
        </w:rPr>
        <w:t>Concept A - Drugs:</w:t>
      </w:r>
    </w:p>
    <w:p>
      <w:pPr>
        <w:pStyle w:val="Mainmessages"/>
        <w:numPr>
          <w:ilvl w:val="0"/>
          <w:numId w:val="2"/>
        </w:numPr>
        <w:rPr/>
      </w:pPr>
      <w:r>
        <w:rPr/>
        <w:t>(Pharmaceutical* OR Prescription OR Prescription Drug* OR Drug* OR Medicine* OR Medication*)</w:t>
      </w:r>
    </w:p>
    <w:p>
      <w:pPr>
        <w:pStyle w:val="Heading3"/>
        <w:numPr>
          <w:ilvl w:val="2"/>
          <w:numId w:val="1"/>
        </w:numPr>
        <w:rPr>
          <w:lang w:val="en-CA"/>
        </w:rPr>
      </w:pPr>
      <w:r>
        <w:rPr>
          <w:lang w:val="en-CA"/>
        </w:rPr>
        <w:t xml:space="preserve">Concept B – Intervention type: </w:t>
      </w:r>
    </w:p>
    <w:p>
      <w:pPr>
        <w:pStyle w:val="Mainmessages"/>
        <w:numPr>
          <w:ilvl w:val="0"/>
          <w:numId w:val="2"/>
        </w:numPr>
        <w:rPr/>
      </w:pPr>
      <w:r>
        <w:rPr/>
        <w:t>(Hierarchical OR Multilevel OR multi-level OR tiered OR differential) AND/SAME/ADJ (copay* OR co-pay* OR user charge* OR user-charge* OR charge* or fee* OR formular* or subsid* OR benefit*)</w:t>
      </w:r>
    </w:p>
    <w:p>
      <w:pPr>
        <w:pStyle w:val="Mainmessages"/>
        <w:numPr>
          <w:ilvl w:val="0"/>
          <w:numId w:val="2"/>
        </w:numPr>
        <w:rPr/>
      </w:pPr>
      <w:r>
        <w:rPr/>
        <w:t>(Hierarchical copay* OR Hierarchical co-pay* OR Hierarchical user charge* OR Hierarchical user-charge* OR Hierarchical charge* OR Hierarchical fee* OR Hierarchical formulary* OR Hierarchical subsid* OR Hierarchical benefit* OR multilevel copay* OR multilevel co-pay* OR multilevel user charge* OR multilevel user-charge* OR multilevel charge* OR multilevel fee* OR multilevel formulary* OR multilevel subsid* OR multilevel benefit* OR multi-level copay* OR multi-level co-pay* OR multi-level user charge* OR multi-level user-charge* OR multi-level charge* OR multi-level fee* OR multi-level formulary* OR multi-level subsid* OR multi-level benefit* OR tiered copay* OR tiered co-pay* OR tiered user charge* OR tiered user-charge* OR tiered charge* OR tiered fee* OR tiered formulary* OR tiered subsid* OR tiered benefit* OR differential copay* OR differential co-pay* OR differential user charge* OR differential user-charge* OR differential charge* OR differential fee* OR differential formulary* OR differential subsid* OR differential benefit*)</w:t>
      </w:r>
    </w:p>
    <w:p>
      <w:pPr>
        <w:pStyle w:val="Mainmessages"/>
        <w:numPr>
          <w:ilvl w:val="0"/>
          <w:numId w:val="2"/>
        </w:numPr>
        <w:rPr/>
      </w:pPr>
      <w:r>
        <w:rPr/>
        <w:t>(Reference drug* OR Reference pric* OR Reference based pric* OR Reference-based Pric*)</w:t>
      </w:r>
    </w:p>
    <w:p>
      <w:pPr>
        <w:pStyle w:val="Mainmessages"/>
        <w:numPr>
          <w:ilvl w:val="0"/>
          <w:numId w:val="2"/>
        </w:numPr>
        <w:rPr/>
      </w:pPr>
      <w:r>
        <w:rPr/>
        <w:t>(Therapeutic interchange* OR therapeutic substitut* OR drug interchange* OR drug substitut* OR product interchange* OR product substitut* OR generic interchange* OR generic substitut*)</w:t>
      </w:r>
    </w:p>
    <w:p>
      <w:pPr>
        <w:pStyle w:val="Mainmessages"/>
        <w:numPr>
          <w:ilvl w:val="0"/>
          <w:numId w:val="2"/>
        </w:numPr>
        <w:rPr/>
      </w:pPr>
      <w:r>
        <w:rPr/>
        <w:t>User fee</w:t>
      </w:r>
    </w:p>
    <w:p>
      <w:pPr>
        <w:pStyle w:val="Mainmessages"/>
        <w:numPr>
          <w:ilvl w:val="0"/>
          <w:numId w:val="2"/>
        </w:numPr>
        <w:rPr/>
      </w:pPr>
      <w:r>
        <w:rPr/>
        <w:t>User charge</w:t>
      </w:r>
    </w:p>
    <w:p>
      <w:pPr>
        <w:pStyle w:val="Mainmessages"/>
        <w:numPr>
          <w:ilvl w:val="0"/>
          <w:numId w:val="2"/>
        </w:numPr>
        <w:rPr/>
      </w:pPr>
      <w:r>
        <w:rPr/>
        <w:t>Co-payment OR Co-pay*</w:t>
      </w:r>
    </w:p>
    <w:p>
      <w:pPr>
        <w:pStyle w:val="Mainmessages"/>
        <w:numPr>
          <w:ilvl w:val="0"/>
          <w:numId w:val="2"/>
        </w:numPr>
        <w:rPr/>
      </w:pPr>
      <w:r>
        <w:rPr/>
        <w:t>Subsidy</w:t>
      </w:r>
    </w:p>
    <w:p>
      <w:pPr>
        <w:pStyle w:val="Heading3"/>
        <w:numPr>
          <w:ilvl w:val="2"/>
          <w:numId w:val="1"/>
        </w:numPr>
        <w:rPr>
          <w:lang w:val="en-CA"/>
        </w:rPr>
      </w:pPr>
      <w:r>
        <w:rPr>
          <w:lang w:val="en-CA"/>
        </w:rPr>
        <w:t>Concept C – Search Filter (hedge) for Methodologies:</w:t>
      </w:r>
    </w:p>
    <w:p>
      <w:pPr>
        <w:pStyle w:val="Mainmessages"/>
        <w:numPr>
          <w:ilvl w:val="0"/>
          <w:numId w:val="2"/>
        </w:numPr>
        <w:rPr/>
      </w:pPr>
      <w:r>
        <w:rPr/>
        <w:t>“</w:t>
      </w:r>
      <w:r>
        <w:rPr/>
        <w:t xml:space="preserve">Randomized controlled trials” OR RCTs OR “Randomized controlled policy trials” </w:t>
      </w:r>
    </w:p>
    <w:p>
      <w:pPr>
        <w:pStyle w:val="Mainmessages"/>
        <w:numPr>
          <w:ilvl w:val="0"/>
          <w:numId w:val="2"/>
        </w:numPr>
        <w:rPr/>
      </w:pPr>
      <w:r>
        <w:rPr/>
        <w:t>(Pre OR Post) studies with nonrandomized comparison groups</w:t>
      </w:r>
    </w:p>
    <w:p>
      <w:pPr>
        <w:pStyle w:val="Mainmessages"/>
        <w:numPr>
          <w:ilvl w:val="0"/>
          <w:numId w:val="2"/>
        </w:numPr>
        <w:rPr/>
      </w:pPr>
      <w:r>
        <w:rPr/>
        <w:t>Comparative Study</w:t>
      </w:r>
    </w:p>
    <w:p>
      <w:pPr>
        <w:pStyle w:val="Mainmessages"/>
        <w:numPr>
          <w:ilvl w:val="0"/>
          <w:numId w:val="2"/>
        </w:numPr>
        <w:rPr/>
      </w:pPr>
      <w:r>
        <w:rPr/>
        <w:t>Time series*</w:t>
      </w:r>
    </w:p>
    <w:p>
      <w:pPr>
        <w:pStyle w:val="Mainmessages"/>
        <w:numPr>
          <w:ilvl w:val="0"/>
          <w:numId w:val="2"/>
        </w:numPr>
        <w:rPr/>
      </w:pPr>
      <w:r>
        <w:rPr/>
        <w:t xml:space="preserve">Interrupted time series analysis </w:t>
      </w:r>
    </w:p>
    <w:p>
      <w:pPr>
        <w:pStyle w:val="Mainmessages"/>
        <w:numPr>
          <w:ilvl w:val="0"/>
          <w:numId w:val="2"/>
        </w:numPr>
        <w:rPr/>
      </w:pPr>
      <w:r>
        <w:rPr/>
        <w:t>with comparison group*</w:t>
      </w:r>
    </w:p>
    <w:p>
      <w:pPr>
        <w:pStyle w:val="Mainmessages"/>
        <w:numPr>
          <w:ilvl w:val="0"/>
          <w:numId w:val="2"/>
        </w:numPr>
        <w:rPr/>
      </w:pPr>
      <w:r>
        <w:rPr/>
        <w:t>without comparison group*</w:t>
      </w:r>
    </w:p>
    <w:p>
      <w:pPr>
        <w:pStyle w:val="Mainmessages"/>
        <w:numPr>
          <w:ilvl w:val="0"/>
          <w:numId w:val="2"/>
        </w:numPr>
        <w:rPr/>
      </w:pPr>
      <w:r>
        <w:rPr/>
        <w:t>(Pre OR Post) studies without a comparison group</w:t>
      </w:r>
    </w:p>
    <w:p>
      <w:pPr>
        <w:pStyle w:val="Mainmessages"/>
        <w:numPr>
          <w:ilvl w:val="0"/>
          <w:numId w:val="2"/>
        </w:numPr>
        <w:rPr/>
      </w:pPr>
      <w:r>
        <w:rPr/>
        <w:t>“</w:t>
      </w:r>
      <w:r>
        <w:rPr/>
        <w:t>Post-only designs” OR “Nonrandomized post-only designs” OR Retrospective Studies</w:t>
      </w:r>
    </w:p>
    <w:p>
      <w:pPr>
        <w:pStyle w:val="Mainmessages"/>
        <w:numPr>
          <w:ilvl w:val="0"/>
          <w:numId w:val="2"/>
        </w:numPr>
        <w:rPr/>
      </w:pPr>
      <w:r>
        <w:rPr/>
        <w:t>Cross-sectional studies</w:t>
      </w:r>
    </w:p>
    <w:p>
      <w:pPr>
        <w:pStyle w:val="Mainmessages"/>
        <w:numPr>
          <w:ilvl w:val="0"/>
          <w:numId w:val="2"/>
        </w:numPr>
        <w:rPr/>
      </w:pPr>
      <w:r>
        <w:rPr/>
        <w:t>Longitudinal*</w:t>
      </w:r>
    </w:p>
    <w:p>
      <w:pPr>
        <w:pStyle w:val="Mainmessages"/>
        <w:numPr>
          <w:ilvl w:val="0"/>
          <w:numId w:val="2"/>
        </w:numPr>
        <w:rPr/>
      </w:pPr>
      <w:r>
        <w:rPr/>
        <w:t>longitudinal cohort</w:t>
      </w:r>
    </w:p>
    <w:p>
      <w:pPr>
        <w:pStyle w:val="Mainmessages"/>
        <w:numPr>
          <w:ilvl w:val="0"/>
          <w:numId w:val="2"/>
        </w:numPr>
        <w:rPr/>
      </w:pPr>
      <w:r>
        <w:rPr/>
        <w:t>longitudinal study</w:t>
      </w:r>
    </w:p>
    <w:p>
      <w:pPr>
        <w:pStyle w:val="Mainmessages"/>
        <w:numPr>
          <w:ilvl w:val="0"/>
          <w:numId w:val="2"/>
        </w:numPr>
        <w:rPr/>
      </w:pPr>
      <w:r>
        <w:rPr/>
        <w:t xml:space="preserve">Cohort studies </w:t>
      </w:r>
    </w:p>
    <w:p>
      <w:pPr>
        <w:pStyle w:val="Mainmessages"/>
        <w:numPr>
          <w:ilvl w:val="0"/>
          <w:numId w:val="2"/>
        </w:numPr>
        <w:rPr/>
      </w:pPr>
      <w:r>
        <w:rPr/>
        <w:t>Prospective Cohort</w:t>
      </w:r>
    </w:p>
    <w:p>
      <w:pPr>
        <w:pStyle w:val="Mainmessages"/>
        <w:numPr>
          <w:ilvl w:val="0"/>
          <w:numId w:val="2"/>
        </w:numPr>
        <w:rPr/>
      </w:pPr>
      <w:r>
        <w:rPr/>
        <w:t>Retrospective cohort</w:t>
      </w:r>
    </w:p>
    <w:p>
      <w:pPr>
        <w:pStyle w:val="Mainmessages"/>
        <w:numPr>
          <w:ilvl w:val="0"/>
          <w:numId w:val="2"/>
        </w:numPr>
        <w:rPr/>
      </w:pPr>
      <w:r>
        <w:rPr/>
        <w:t>Drug Utilization Review</w:t>
      </w:r>
    </w:p>
    <w:p>
      <w:pPr>
        <w:pStyle w:val="Mainmessages"/>
        <w:numPr>
          <w:ilvl w:val="0"/>
          <w:numId w:val="2"/>
        </w:numPr>
        <w:rPr/>
      </w:pPr>
      <w:r>
        <w:rPr/>
        <w:t>Concurrent Review</w:t>
      </w:r>
    </w:p>
    <w:p>
      <w:pPr>
        <w:pStyle w:val="Mainmessages"/>
        <w:numPr>
          <w:ilvl w:val="0"/>
          <w:numId w:val="2"/>
        </w:numPr>
        <w:rPr/>
      </w:pPr>
      <w:r>
        <w:rPr/>
        <w:t>Pragmatic trial</w:t>
      </w:r>
    </w:p>
    <w:p>
      <w:pPr>
        <w:pStyle w:val="Mainmessages"/>
        <w:numPr>
          <w:ilvl w:val="0"/>
          <w:numId w:val="2"/>
        </w:numPr>
        <w:rPr/>
      </w:pPr>
      <w:r>
        <w:rPr/>
        <w:t>Case-control</w:t>
      </w:r>
    </w:p>
    <w:p>
      <w:pPr>
        <w:pStyle w:val="Mainmessages"/>
        <w:numPr>
          <w:ilvl w:val="0"/>
          <w:numId w:val="2"/>
        </w:numPr>
        <w:rPr/>
      </w:pPr>
      <w:r>
        <w:rPr/>
        <w:t>Outcome</w:t>
      </w:r>
    </w:p>
    <w:p>
      <w:pPr>
        <w:pStyle w:val="Mainmessages"/>
        <w:numPr>
          <w:ilvl w:val="0"/>
          <w:numId w:val="2"/>
        </w:numPr>
        <w:rPr/>
      </w:pPr>
      <w:r>
        <w:rPr/>
        <w:t>Impact*</w:t>
      </w:r>
    </w:p>
    <w:p>
      <w:pPr>
        <w:pStyle w:val="Mainmessages"/>
        <w:numPr>
          <w:ilvl w:val="0"/>
          <w:numId w:val="2"/>
        </w:numPr>
        <w:rPr/>
      </w:pPr>
      <w:r>
        <w:rPr/>
        <w:t>Assessment*</w:t>
      </w:r>
    </w:p>
    <w:p>
      <w:pPr>
        <w:pStyle w:val="Mainmessages"/>
        <w:numPr>
          <w:ilvl w:val="0"/>
          <w:numId w:val="2"/>
        </w:numPr>
        <w:rPr/>
      </w:pPr>
      <w:r>
        <w:rPr/>
        <w:t>RCT* (apply prefab RCT filters)</w:t>
      </w:r>
    </w:p>
    <w:p>
      <w:pPr>
        <w:pStyle w:val="Normal"/>
        <w:rPr/>
      </w:pPr>
      <w:r>
        <w:rPr/>
      </w:r>
    </w:p>
    <w:p>
      <w:pPr>
        <w:pStyle w:val="Normal"/>
        <w:rPr/>
      </w:pPr>
      <w:r>
        <w:rPr/>
      </w:r>
    </w:p>
    <w:p>
      <w:pPr>
        <w:pStyle w:val="TextBody"/>
        <w:rPr>
          <w:lang w:val="en-CA"/>
        </w:rPr>
      </w:pPr>
      <w:r>
        <w:rPr>
          <w:lang w:val="en-CA"/>
        </w:rPr>
        <w:t>In our search term brainstorming and collecting, we initially excluded or never came up with a few search terms that are used in the US context of predominantly private health care. These include:</w:t>
      </w:r>
    </w:p>
    <w:p>
      <w:pPr>
        <w:pStyle w:val="Mainmessages"/>
        <w:numPr>
          <w:ilvl w:val="0"/>
          <w:numId w:val="2"/>
        </w:numPr>
        <w:rPr/>
      </w:pPr>
      <w:r>
        <w:rPr/>
        <w:t>cost sharing</w:t>
      </w:r>
    </w:p>
    <w:p>
      <w:pPr>
        <w:pStyle w:val="Mainmessages"/>
        <w:numPr>
          <w:ilvl w:val="0"/>
          <w:numId w:val="2"/>
        </w:numPr>
        <w:rPr/>
      </w:pPr>
      <w:r>
        <w:rPr/>
        <w:t>formularies*</w:t>
      </w:r>
    </w:p>
    <w:p>
      <w:pPr>
        <w:pStyle w:val="Mainmessages"/>
        <w:numPr>
          <w:ilvl w:val="0"/>
          <w:numId w:val="2"/>
        </w:numPr>
        <w:rPr/>
      </w:pPr>
      <w:r>
        <w:rPr/>
        <w:t>health benefit plans/employee</w:t>
      </w:r>
    </w:p>
    <w:p>
      <w:pPr>
        <w:pStyle w:val="Mainmessages"/>
        <w:numPr>
          <w:ilvl w:val="0"/>
          <w:numId w:val="2"/>
        </w:numPr>
        <w:rPr/>
      </w:pPr>
      <w:r>
        <w:rPr/>
        <w:t>insurance, pharmaceutical services</w:t>
      </w:r>
    </w:p>
    <w:p>
      <w:pPr>
        <w:pStyle w:val="Mainmessages"/>
        <w:numPr>
          <w:ilvl w:val="0"/>
          <w:numId w:val="2"/>
        </w:numPr>
        <w:rPr/>
      </w:pPr>
      <w:r>
        <w:rPr/>
        <w:t>prescription fees</w:t>
      </w:r>
    </w:p>
    <w:p>
      <w:pPr>
        <w:pStyle w:val="Heading1"/>
        <w:numPr>
          <w:ilvl w:val="0"/>
          <w:numId w:val="1"/>
        </w:numPr>
        <w:rPr/>
      </w:pPr>
      <w:r>
        <w:rPr/>
        <w:t>Inclusion/Exclusion criteria for search strategy</w:t>
      </w:r>
    </w:p>
    <w:p>
      <w:pPr>
        <w:pStyle w:val="Heading2"/>
        <w:numPr>
          <w:ilvl w:val="1"/>
          <w:numId w:val="1"/>
        </w:numPr>
        <w:rPr/>
      </w:pPr>
      <w:r>
        <w:rPr/>
        <w:t>Inclusion criteria for systematic review</w:t>
      </w:r>
    </w:p>
    <w:p>
      <w:pPr>
        <w:pStyle w:val="Mainmessages"/>
        <w:numPr>
          <w:ilvl w:val="0"/>
          <w:numId w:val="2"/>
        </w:numPr>
        <w:rPr/>
      </w:pPr>
      <w:r>
        <w:rPr/>
        <w:t>Studies from 1986 to 2007</w:t>
      </w:r>
    </w:p>
    <w:p>
      <w:pPr>
        <w:pStyle w:val="Mainmessages"/>
        <w:numPr>
          <w:ilvl w:val="0"/>
          <w:numId w:val="2"/>
        </w:numPr>
        <w:rPr/>
      </w:pPr>
      <w:r>
        <w:rPr/>
        <w:t>English language</w:t>
      </w:r>
    </w:p>
    <w:p>
      <w:pPr>
        <w:pStyle w:val="Mainmessages"/>
        <w:numPr>
          <w:ilvl w:val="0"/>
          <w:numId w:val="2"/>
        </w:numPr>
        <w:rPr/>
      </w:pPr>
      <w:r>
        <w:rPr/>
        <w:t>Studies of countries with markets relatively similar to Canada</w:t>
      </w:r>
    </w:p>
    <w:p>
      <w:pPr>
        <w:pStyle w:val="Mainmessages"/>
        <w:numPr>
          <w:ilvl w:val="0"/>
          <w:numId w:val="2"/>
        </w:numPr>
        <w:rPr/>
      </w:pPr>
      <w:r>
        <w:rPr/>
        <w:t>Studies on the effects of drug benefit policies that utilized tiered or reference-based pricing</w:t>
      </w:r>
    </w:p>
    <w:p>
      <w:pPr>
        <w:pStyle w:val="Mainmessages"/>
        <w:numPr>
          <w:ilvl w:val="0"/>
          <w:numId w:val="2"/>
        </w:numPr>
        <w:rPr/>
      </w:pPr>
      <w:r>
        <w:rPr/>
        <w:t>Studies that employ patient-level data</w:t>
      </w:r>
    </w:p>
    <w:p>
      <w:pPr>
        <w:pStyle w:val="Mainmessages"/>
        <w:numPr>
          <w:ilvl w:val="0"/>
          <w:numId w:val="2"/>
        </w:numPr>
        <w:rPr/>
      </w:pPr>
      <w:r>
        <w:rPr/>
        <w:t>Studies that used designs from our list of acceptable methodologies</w:t>
      </w:r>
    </w:p>
    <w:p>
      <w:pPr>
        <w:pStyle w:val="Mainmessages"/>
        <w:numPr>
          <w:ilvl w:val="1"/>
          <w:numId w:val="2"/>
        </w:numPr>
        <w:rPr/>
      </w:pPr>
      <w:r>
        <w:rPr/>
        <w:t xml:space="preserve">randomized controlled policy trials, </w:t>
      </w:r>
    </w:p>
    <w:p>
      <w:pPr>
        <w:pStyle w:val="Mainmessages"/>
        <w:numPr>
          <w:ilvl w:val="1"/>
          <w:numId w:val="2"/>
        </w:numPr>
        <w:rPr/>
      </w:pPr>
      <w:r>
        <w:rPr/>
        <w:t xml:space="preserve">pre/post studies with nonrandomized comparison groups, </w:t>
      </w:r>
    </w:p>
    <w:p>
      <w:pPr>
        <w:pStyle w:val="Mainmessages"/>
        <w:numPr>
          <w:ilvl w:val="1"/>
          <w:numId w:val="2"/>
        </w:numPr>
        <w:rPr/>
      </w:pPr>
      <w:r>
        <w:rPr/>
        <w:t xml:space="preserve">interrupted time series analysis with comparison groups, </w:t>
      </w:r>
    </w:p>
    <w:p>
      <w:pPr>
        <w:pStyle w:val="Mainmessages"/>
        <w:numPr>
          <w:ilvl w:val="1"/>
          <w:numId w:val="2"/>
        </w:numPr>
        <w:rPr/>
      </w:pPr>
      <w:r>
        <w:rPr/>
        <w:t xml:space="preserve">interrupted time series without comparison groups, and </w:t>
      </w:r>
    </w:p>
    <w:p>
      <w:pPr>
        <w:pStyle w:val="Mainmessages"/>
        <w:numPr>
          <w:ilvl w:val="1"/>
          <w:numId w:val="2"/>
        </w:numPr>
        <w:rPr/>
      </w:pPr>
      <w:r>
        <w:rPr/>
        <w:t xml:space="preserve">pre/post studies without a comparison group </w:t>
      </w:r>
    </w:p>
    <w:p>
      <w:pPr>
        <w:pStyle w:val="Mainmessages"/>
        <w:numPr>
          <w:ilvl w:val="0"/>
          <w:numId w:val="2"/>
        </w:numPr>
        <w:rPr/>
      </w:pPr>
      <w:r>
        <w:rPr/>
        <w:t>Studies that measured outcomes from our list of identified outcomes</w:t>
      </w:r>
    </w:p>
    <w:p>
      <w:pPr>
        <w:pStyle w:val="Mainmessages"/>
        <w:numPr>
          <w:ilvl w:val="1"/>
          <w:numId w:val="2"/>
        </w:numPr>
        <w:rPr/>
      </w:pPr>
      <w:r>
        <w:rPr/>
        <w:t xml:space="preserve">health benefits and harms, </w:t>
      </w:r>
    </w:p>
    <w:p>
      <w:pPr>
        <w:pStyle w:val="Mainmessages"/>
        <w:numPr>
          <w:ilvl w:val="1"/>
          <w:numId w:val="2"/>
        </w:numPr>
        <w:rPr/>
      </w:pPr>
      <w:r>
        <w:rPr/>
        <w:t xml:space="preserve">changes in access to medicines, </w:t>
      </w:r>
    </w:p>
    <w:p>
      <w:pPr>
        <w:pStyle w:val="Mainmessages"/>
        <w:numPr>
          <w:ilvl w:val="1"/>
          <w:numId w:val="2"/>
        </w:numPr>
        <w:rPr/>
      </w:pPr>
      <w:r>
        <w:rPr/>
        <w:t xml:space="preserve">changes in use of other health care services, </w:t>
      </w:r>
    </w:p>
    <w:p>
      <w:pPr>
        <w:pStyle w:val="Mainmessages"/>
        <w:numPr>
          <w:ilvl w:val="1"/>
          <w:numId w:val="2"/>
        </w:numPr>
        <w:rPr/>
      </w:pPr>
      <w:r>
        <w:rPr/>
        <w:t xml:space="preserve">changes in drug costs, </w:t>
      </w:r>
    </w:p>
    <w:p>
      <w:pPr>
        <w:pStyle w:val="Mainmessages"/>
        <w:numPr>
          <w:ilvl w:val="1"/>
          <w:numId w:val="2"/>
        </w:numPr>
        <w:rPr/>
      </w:pPr>
      <w:r>
        <w:rPr/>
        <w:t xml:space="preserve">changes in other costs, </w:t>
      </w:r>
    </w:p>
    <w:p>
      <w:pPr>
        <w:pStyle w:val="Mainmessages"/>
        <w:numPr>
          <w:ilvl w:val="1"/>
          <w:numId w:val="2"/>
        </w:numPr>
        <w:rPr/>
      </w:pPr>
      <w:r>
        <w:rPr/>
        <w:t>changes in financial burden</w:t>
      </w:r>
    </w:p>
    <w:p>
      <w:pPr>
        <w:pStyle w:val="Mainmessages"/>
        <w:numPr>
          <w:ilvl w:val="1"/>
          <w:numId w:val="2"/>
        </w:numPr>
        <w:rPr/>
      </w:pPr>
      <w:r>
        <w:rPr/>
        <w:t>OR other outcomes relevant to patient care and cost effectiveness</w:t>
      </w:r>
    </w:p>
    <w:p>
      <w:pPr>
        <w:pStyle w:val="Heading2"/>
        <w:numPr>
          <w:ilvl w:val="1"/>
          <w:numId w:val="1"/>
        </w:numPr>
        <w:rPr/>
      </w:pPr>
      <w:r>
        <w:rPr/>
        <w:t>Exclusion criteria</w:t>
      </w:r>
    </w:p>
    <w:p>
      <w:pPr>
        <w:pStyle w:val="Mainmessages"/>
        <w:numPr>
          <w:ilvl w:val="0"/>
          <w:numId w:val="2"/>
        </w:numPr>
        <w:rPr/>
      </w:pPr>
      <w:r>
        <w:rPr/>
        <w:t xml:space="preserve">Qualitative studies such as focus groups </w:t>
      </w:r>
    </w:p>
    <w:p>
      <w:pPr>
        <w:pStyle w:val="Mainmessages"/>
        <w:numPr>
          <w:ilvl w:val="0"/>
          <w:numId w:val="2"/>
        </w:numPr>
        <w:rPr/>
      </w:pPr>
      <w:r>
        <w:rPr/>
        <w:t>Surveys of attitudes or opinions</w:t>
      </w:r>
    </w:p>
    <w:p>
      <w:pPr>
        <w:pStyle w:val="Mainmessages"/>
        <w:numPr>
          <w:ilvl w:val="0"/>
          <w:numId w:val="2"/>
        </w:numPr>
        <w:rPr/>
      </w:pPr>
      <w:r>
        <w:rPr/>
        <w:t>Articles containing only description, analysis, commentary, or opinion</w:t>
      </w:r>
    </w:p>
    <w:p>
      <w:pPr>
        <w:pStyle w:val="Mainmessages"/>
        <w:numPr>
          <w:ilvl w:val="0"/>
          <w:numId w:val="2"/>
        </w:numPr>
        <w:rPr/>
      </w:pPr>
      <w:r>
        <w:rPr/>
        <w:t>Studies using post-only or cross-sectional designs</w:t>
      </w:r>
    </w:p>
    <w:p>
      <w:pPr>
        <w:pStyle w:val="Mainmessages"/>
        <w:numPr>
          <w:ilvl w:val="0"/>
          <w:numId w:val="2"/>
        </w:numPr>
        <w:rPr/>
      </w:pPr>
      <w:r>
        <w:rPr/>
        <w:t>Studies that employ product-level data</w:t>
      </w:r>
    </w:p>
    <w:p>
      <w:pPr>
        <w:pStyle w:val="Mainmessages"/>
        <w:numPr>
          <w:ilvl w:val="0"/>
          <w:numId w:val="2"/>
        </w:numPr>
        <w:rPr/>
      </w:pPr>
      <w:r>
        <w:rPr/>
        <w:t>Studies of therapeutic interchange policies</w:t>
      </w:r>
    </w:p>
    <w:p>
      <w:pPr>
        <w:pStyle w:val="Mainmessages"/>
        <w:numPr>
          <w:ilvl w:val="0"/>
          <w:numId w:val="2"/>
        </w:numPr>
        <w:rPr/>
      </w:pPr>
      <w:r>
        <w:rPr/>
        <w:t>Studies of reference pricing of products other than prescription drugs</w:t>
      </w:r>
    </w:p>
    <w:p>
      <w:pPr>
        <w:pStyle w:val="Mainmessages"/>
        <w:numPr>
          <w:ilvl w:val="0"/>
          <w:numId w:val="2"/>
        </w:numPr>
        <w:rPr/>
      </w:pPr>
      <w:r>
        <w:rPr/>
        <w:t>Studies that focused on markets in developing countries</w:t>
      </w:r>
    </w:p>
    <w:p>
      <w:pPr>
        <w:pStyle w:val="TextBody"/>
        <w:rPr>
          <w:lang w:val="en-CA"/>
        </w:rPr>
      </w:pPr>
      <w:r>
        <w:rPr>
          <w:lang w:val="en-CA"/>
        </w:rPr>
        <w:t xml:space="preserve"> </w:t>
      </w:r>
    </w:p>
    <w:p>
      <w:pPr>
        <w:pStyle w:val="TextBody"/>
        <w:rPr>
          <w:lang w:val="en-CA"/>
        </w:rPr>
      </w:pPr>
      <w:r>
        <w:rPr>
          <w:lang w:val="en-CA"/>
        </w:rPr>
      </w:r>
    </w:p>
    <w:p>
      <w:pPr>
        <w:pStyle w:val="TextBody"/>
        <w:spacing w:lineRule="auto" w:line="240" w:before="0" w:after="0"/>
        <w:ind w:left="0" w:right="0" w:hanging="0"/>
        <w:rPr>
          <w:lang w:val="en-CA"/>
        </w:rPr>
      </w:pPr>
      <w:r>
        <w:rPr>
          <w:lang w:val="en-CA"/>
        </w:rPr>
      </w:r>
    </w:p>
    <w:sectPr>
      <w:footerReference w:type="default" r:id="rId4"/>
      <w:type w:val="nextPage"/>
      <w:pgSz w:orient="landscape" w:w="15840" w:h="122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Arial Narrow">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10</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12</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CA" w:bidi="ar-SA" w:eastAsia="zh-CN"/>
    </w:rPr>
  </w:style>
  <w:style w:type="paragraph" w:styleId="Heading1">
    <w:name w:val="Heading 1"/>
    <w:basedOn w:val="Normal"/>
    <w:next w:val="Normal"/>
    <w:pPr>
      <w:keepNext/>
      <w:numPr>
        <w:ilvl w:val="0"/>
        <w:numId w:val="1"/>
      </w:numPr>
      <w:spacing w:before="480" w:after="120"/>
      <w:outlineLvl w:val="0"/>
      <w:outlineLvl w:val="0"/>
    </w:pPr>
    <w:rPr>
      <w:rFonts w:ascii="Arial" w:hAnsi="Arial" w:cs="Arial"/>
      <w:b/>
      <w:bCs/>
      <w:szCs w:val="32"/>
    </w:rPr>
  </w:style>
  <w:style w:type="paragraph" w:styleId="Heading2">
    <w:name w:val="Heading 2"/>
    <w:basedOn w:val="Normal"/>
    <w:next w:val="Normal"/>
    <w:pPr>
      <w:keepNext/>
      <w:numPr>
        <w:ilvl w:val="1"/>
        <w:numId w:val="1"/>
      </w:numPr>
      <w:spacing w:before="480" w:after="120"/>
      <w:outlineLvl w:val="1"/>
      <w:outlineLvl w:val="1"/>
    </w:pPr>
    <w:rPr>
      <w:b/>
      <w:bCs/>
      <w:i/>
      <w:iCs/>
    </w:rPr>
  </w:style>
  <w:style w:type="paragraph" w:styleId="Heading3">
    <w:name w:val="Heading 3"/>
    <w:basedOn w:val="Normal"/>
    <w:next w:val="Normal"/>
    <w:pPr>
      <w:keepNext/>
      <w:numPr>
        <w:ilvl w:val="2"/>
        <w:numId w:val="1"/>
      </w:numPr>
      <w:spacing w:before="480" w:after="120"/>
      <w:outlineLvl w:val="2"/>
      <w:outlineLvl w:val="2"/>
    </w:pPr>
    <w:rPr>
      <w:b/>
      <w:bCs/>
      <w:lang w:val="en-US"/>
    </w:rPr>
  </w:style>
  <w:style w:type="paragraph" w:styleId="Heading4">
    <w:name w:val="Heading 4"/>
    <w:basedOn w:val="Normal"/>
    <w:next w:val="Normal"/>
    <w:pPr>
      <w:keepNext/>
      <w:numPr>
        <w:ilvl w:val="3"/>
        <w:numId w:val="1"/>
      </w:numPr>
      <w:spacing w:before="480" w:after="120"/>
      <w:outlineLvl w:val="3"/>
      <w:outlineLvl w:val="3"/>
    </w:pPr>
    <w:rPr>
      <w:bCs/>
      <w:i/>
    </w:rPr>
  </w:style>
  <w:style w:type="paragraph" w:styleId="Heading5">
    <w:name w:val="Heading 5"/>
    <w:basedOn w:val="Normal"/>
    <w:next w:val="Normal"/>
    <w:pPr>
      <w:numPr>
        <w:ilvl w:val="4"/>
        <w:numId w:val="1"/>
      </w:numPr>
      <w:spacing w:before="480" w:after="120"/>
      <w:outlineLvl w:val="4"/>
      <w:outlineLvl w:val="4"/>
    </w:pPr>
    <w:rPr>
      <w:bCs/>
      <w:iCs/>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Symbo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HeaderChar">
    <w:name w:val="Header Char"/>
    <w:basedOn w:val="DefaultParagraphFont"/>
    <w:rPr>
      <w:sz w:val="24"/>
      <w:szCs w:val="24"/>
      <w:lang w:val="en-CA"/>
    </w:rPr>
  </w:style>
  <w:style w:type="character" w:styleId="FooterChar">
    <w:name w:val="Footer Char"/>
    <w:basedOn w:val="DefaultParagraphFont"/>
    <w:rPr>
      <w:sz w:val="24"/>
      <w:szCs w:val="24"/>
      <w:lang w:val="en-CA"/>
    </w:rPr>
  </w:style>
  <w:style w:type="character" w:styleId="BodyTextChar">
    <w:name w:val="Body Text Char"/>
    <w:basedOn w:val="DefaultParagraphFont"/>
    <w:rPr>
      <w:sz w:val="24"/>
      <w:szCs w:val="24"/>
    </w:rPr>
  </w:style>
  <w:style w:type="character" w:styleId="BodyTextIndent2Char">
    <w:name w:val="Body Text Indent 2 Char"/>
    <w:basedOn w:val="DefaultParagraphFont"/>
    <w:rPr>
      <w:sz w:val="24"/>
      <w:szCs w:val="24"/>
    </w:rPr>
  </w:style>
  <w:style w:type="character" w:styleId="BodyTextIndentChar">
    <w:name w:val="Body Text Indent Char"/>
    <w:basedOn w:val="DefaultParagraphFont"/>
    <w:rPr>
      <w:sz w:val="24"/>
      <w:szCs w:val="24"/>
    </w:rPr>
  </w:style>
  <w:style w:type="paragraph" w:styleId="Heading">
    <w:name w:val="Heading"/>
    <w:basedOn w:val="Normal"/>
    <w:next w:val="TextBody"/>
    <w:pPr>
      <w:spacing w:before="240" w:after="60"/>
      <w:jc w:val="center"/>
    </w:pPr>
    <w:rPr>
      <w:rFonts w:ascii="Arial" w:hAnsi="Arial" w:cs="Arial"/>
      <w:b/>
      <w:bCs/>
    </w:rPr>
  </w:style>
  <w:style w:type="paragraph" w:styleId="TextBody">
    <w:name w:val="Text Body"/>
    <w:basedOn w:val="Normal"/>
    <w:pPr>
      <w:spacing w:lineRule="auto" w:line="480" w:before="0" w:after="120"/>
      <w:ind w:left="0" w:right="0" w:firstLine="720"/>
      <w:jc w:val="both"/>
    </w:pPr>
    <w:rPr>
      <w:lang w:val="en-US"/>
    </w:rPr>
  </w:style>
  <w:style w:type="paragraph" w:styleId="List">
    <w:name w:val="List"/>
    <w:basedOn w:val="TextBody"/>
    <w:pPr/>
    <w:rPr>
      <w:rFonts w:ascii="Garamond" w:hAnsi="Garamond" w:cs="FreeSans"/>
    </w:rPr>
  </w:style>
  <w:style w:type="paragraph" w:styleId="Caption">
    <w:name w:val="Caption"/>
    <w:basedOn w:val="Normal"/>
    <w:next w:val="Normal"/>
    <w:pPr>
      <w:keepNext/>
      <w:spacing w:before="240" w:after="60"/>
    </w:pPr>
    <w:rPr>
      <w:rFonts w:ascii="Arial" w:hAnsi="Arial" w:cs="Arial"/>
      <w:b/>
      <w:bCs/>
      <w:sz w:val="20"/>
      <w:szCs w:val="20"/>
    </w:rPr>
  </w:style>
  <w:style w:type="paragraph" w:styleId="Index">
    <w:name w:val="Index"/>
    <w:basedOn w:val="Normal"/>
    <w:pPr>
      <w:suppressLineNumbers/>
    </w:pPr>
    <w:rPr>
      <w:rFonts w:ascii="Garamond" w:hAnsi="Garamond" w:cs="FreeSans"/>
    </w:rPr>
  </w:style>
  <w:style w:type="paragraph" w:styleId="Mainmessages">
    <w:name w:val="Main messages"/>
    <w:basedOn w:val="Normal"/>
    <w:pPr>
      <w:numPr>
        <w:ilvl w:val="0"/>
        <w:numId w:val="2"/>
      </w:numPr>
      <w:spacing w:before="0" w:after="60"/>
    </w:pPr>
    <w:rPr/>
  </w:style>
  <w:style w:type="paragraph" w:styleId="Quote">
    <w:name w:val="Quote"/>
    <w:basedOn w:val="TextBody"/>
    <w:next w:val="TextBody"/>
    <w:pPr>
      <w:spacing w:before="240" w:after="240"/>
      <w:ind w:left="720" w:right="720" w:firstLine="720"/>
    </w:pPr>
    <w:rPr>
      <w:i/>
      <w:lang w:val="en-US"/>
    </w:rPr>
  </w:style>
  <w:style w:type="paragraph" w:styleId="Notes">
    <w:name w:val="Notes"/>
    <w:basedOn w:val="Normal"/>
    <w:pPr>
      <w:spacing w:before="0" w:after="360"/>
    </w:pPr>
    <w:rPr>
      <w:bCs/>
      <w:sz w:val="20"/>
      <w:szCs w:val="20"/>
    </w:rPr>
  </w:style>
  <w:style w:type="paragraph" w:styleId="Footnote">
    <w:name w:val="Footnote"/>
    <w:basedOn w:val="Normal"/>
    <w:pPr/>
    <w:rPr>
      <w:sz w:val="20"/>
      <w:szCs w:val="20"/>
      <w:lang w:val="en-US"/>
    </w:rPr>
  </w:style>
  <w:style w:type="paragraph" w:styleId="BalloonText">
    <w:name w:val="Balloon Text"/>
    <w:basedOn w:val="Normal"/>
    <w:pPr/>
    <w:rPr>
      <w:rFonts w:ascii="Tahoma" w:hAnsi="Tahoma" w:cs="Tahoma"/>
      <w:sz w:val="16"/>
      <w:szCs w:val="16"/>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BodyTextIndent2">
    <w:name w:val="Body Text Indent 2"/>
    <w:basedOn w:val="Normal"/>
    <w:pPr>
      <w:ind w:left="720" w:right="0" w:hanging="360"/>
    </w:pPr>
    <w:rPr>
      <w:lang w:val="en-US"/>
    </w:rPr>
  </w:style>
  <w:style w:type="paragraph" w:styleId="TextBodyIndent">
    <w:name w:val="Text Body Indent"/>
    <w:basedOn w:val="Normal"/>
    <w:pPr>
      <w:ind w:left="0" w:right="0" w:firstLine="360"/>
    </w:pPr>
    <w:rPr>
      <w:lang w:val="en-U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2.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2008-07-02T16:47:00Z</dcterms:created>
  <dc:creator>Steve Morgan</dc:creator>
  <dc:language>en-CA</dc:language>
  <cp:lastModifiedBy>CHSP</cp:lastModifiedBy>
  <cp:lastPrinted>2008-06-19T14:31:00Z</cp:lastPrinted>
  <dcterms:modified xsi:type="dcterms:W3CDTF">2008-09-02T16:55:00Z</dcterms:modified>
  <cp:revision>7</cp:revision>
  <dc:title>How do tiered formularies compare to reference pricing policies</dc:title>
</cp:coreProperties>
</file>