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 xml:space="preserve">Evaluation of a Pharmacist-Managed Anticoagulation Clinic – </w:t>
      </w:r>
    </w:p>
    <w:p>
      <w:pPr>
        <w:pStyle w:val="Normal"/>
        <w:jc w:val="center"/>
        <w:rPr>
          <w:b/>
          <w:bCs/>
        </w:rPr>
      </w:pPr>
      <w:r>
        <w:rPr>
          <w:b/>
          <w:bCs/>
        </w:rPr>
        <w:t>Improving Access and Patient Care</w:t>
      </w:r>
    </w:p>
    <w:p>
      <w:pPr>
        <w:pStyle w:val="Normal"/>
        <w:jc w:val="center"/>
        <w:rPr>
          <w:b/>
          <w:bCs/>
        </w:rPr>
      </w:pPr>
      <w:r>
        <w:rPr>
          <w:b/>
          <w:bCs/>
        </w:rPr>
      </w:r>
    </w:p>
    <w:p>
      <w:pPr>
        <w:pStyle w:val="Normal"/>
        <w:jc w:val="center"/>
        <w:rPr/>
      </w:pPr>
      <w:r>
        <w:rPr/>
        <w:t>Tammy J Bungard, BSP, PharmD*</w:t>
      </w:r>
    </w:p>
    <w:p>
      <w:pPr>
        <w:pStyle w:val="BodyText2"/>
        <w:jc w:val="center"/>
        <w:rPr>
          <w:rFonts w:cs="Times New Roman" w:ascii="Times New Roman" w:hAnsi="Times New Roman"/>
          <w:sz w:val="24"/>
        </w:rPr>
      </w:pPr>
      <w:r>
        <w:rPr>
          <w:rFonts w:cs="Times New Roman" w:ascii="Times New Roman" w:hAnsi="Times New Roman"/>
          <w:sz w:val="24"/>
        </w:rPr>
        <w:t>Assistant Professor, Division of Cardiology, Department of Medicine, University of Alberta</w:t>
      </w:r>
    </w:p>
    <w:p>
      <w:pPr>
        <w:pStyle w:val="BodyText2"/>
        <w:jc w:val="center"/>
        <w:rPr>
          <w:rFonts w:cs="Times New Roman" w:ascii="Times New Roman" w:hAnsi="Times New Roman"/>
          <w:sz w:val="24"/>
          <w:lang w:val="de-DE"/>
        </w:rPr>
      </w:pPr>
      <w:r>
        <w:rPr>
          <w:rFonts w:cs="Times New Roman" w:ascii="Times New Roman" w:hAnsi="Times New Roman"/>
          <w:sz w:val="24"/>
          <w:lang w:val="de-DE"/>
        </w:rPr>
        <w:t>tammy.bungard@ualberta.ca</w:t>
      </w:r>
    </w:p>
    <w:p>
      <w:pPr>
        <w:pStyle w:val="Normal"/>
        <w:jc w:val="center"/>
        <w:rPr>
          <w:lang w:val="de-DE"/>
        </w:rPr>
      </w:pPr>
      <w:r>
        <w:rPr>
          <w:lang w:val="de-DE"/>
        </w:rPr>
      </w:r>
    </w:p>
    <w:p>
      <w:pPr>
        <w:pStyle w:val="Normal"/>
        <w:jc w:val="center"/>
        <w:rPr>
          <w:lang w:val="de-DE"/>
        </w:rPr>
      </w:pPr>
      <w:r>
        <w:rPr>
          <w:lang w:val="de-DE"/>
        </w:rPr>
        <w:t>Leslie Gardner, PhD</w:t>
      </w:r>
    </w:p>
    <w:p>
      <w:pPr>
        <w:pStyle w:val="Normal"/>
        <w:jc w:val="center"/>
        <w:rPr/>
      </w:pPr>
      <w:r>
        <w:rPr/>
        <w:t>Consultant, Edmonton, AB</w:t>
      </w:r>
    </w:p>
    <w:p>
      <w:pPr>
        <w:pStyle w:val="Normal"/>
        <w:jc w:val="center"/>
        <w:rPr/>
      </w:pPr>
      <w:r>
        <w:rPr/>
        <w:t>Lg5@ualberta.ca</w:t>
      </w:r>
    </w:p>
    <w:p>
      <w:pPr>
        <w:pStyle w:val="Normal"/>
        <w:jc w:val="center"/>
        <w:rPr/>
      </w:pPr>
      <w:r>
        <w:rPr/>
      </w:r>
    </w:p>
    <w:p>
      <w:pPr>
        <w:pStyle w:val="Normal"/>
        <w:jc w:val="center"/>
        <w:rPr/>
      </w:pPr>
      <w:r>
        <w:rPr/>
        <w:t>Stephen L Archer, MD, FRCP(C)</w:t>
      </w:r>
    </w:p>
    <w:p>
      <w:pPr>
        <w:pStyle w:val="Normal"/>
        <w:jc w:val="center"/>
        <w:rPr/>
      </w:pPr>
      <w:r>
        <w:rPr/>
        <w:t>Harold Hines Jr. Professor and Director, Section of Cardiology, Department of Medicine, University of Chicago</w:t>
      </w:r>
    </w:p>
    <w:p>
      <w:pPr>
        <w:pStyle w:val="Normal"/>
        <w:jc w:val="center"/>
        <w:rPr>
          <w:lang w:val="sv-SE"/>
        </w:rPr>
      </w:pPr>
      <w:r>
        <w:rPr>
          <w:lang w:val="sv-SE"/>
        </w:rPr>
        <w:t>sarcher@medicine.bsd.uchicago.edu</w:t>
      </w:r>
    </w:p>
    <w:p>
      <w:pPr>
        <w:pStyle w:val="Normal"/>
        <w:jc w:val="center"/>
        <w:rPr>
          <w:lang w:val="sv-SE"/>
        </w:rPr>
      </w:pPr>
      <w:r>
        <w:rPr>
          <w:lang w:val="sv-SE"/>
        </w:rPr>
      </w:r>
    </w:p>
    <w:p>
      <w:pPr>
        <w:pStyle w:val="Normal"/>
        <w:jc w:val="center"/>
        <w:rPr>
          <w:lang w:val="sv-SE"/>
        </w:rPr>
      </w:pPr>
      <w:r>
        <w:rPr>
          <w:lang w:val="sv-SE"/>
        </w:rPr>
        <w:t>Peter Hamilton, MBBCh, FRCP(C)</w:t>
      </w:r>
    </w:p>
    <w:p>
      <w:pPr>
        <w:pStyle w:val="Normal"/>
        <w:jc w:val="center"/>
        <w:rPr/>
      </w:pPr>
      <w:r>
        <w:rPr/>
        <w:t>Professor, Division of General Internal Medicine, Department of Medicine, University of Alberta</w:t>
      </w:r>
    </w:p>
    <w:p>
      <w:pPr>
        <w:pStyle w:val="Normal"/>
        <w:jc w:val="center"/>
        <w:rPr/>
      </w:pPr>
      <w:r>
        <w:rPr/>
        <w:t>peter.hamilton@ualberta.ca</w:t>
      </w:r>
    </w:p>
    <w:p>
      <w:pPr>
        <w:pStyle w:val="Normal"/>
        <w:jc w:val="center"/>
        <w:rPr/>
      </w:pPr>
      <w:r>
        <w:rPr/>
      </w:r>
    </w:p>
    <w:p>
      <w:pPr>
        <w:pStyle w:val="Normal"/>
        <w:jc w:val="center"/>
        <w:rPr/>
      </w:pPr>
      <w:r>
        <w:rPr/>
        <w:t>Bruce Ritchie, MD, FRCP(C)</w:t>
      </w:r>
    </w:p>
    <w:p>
      <w:pPr>
        <w:pStyle w:val="Normal"/>
        <w:jc w:val="center"/>
        <w:rPr/>
      </w:pPr>
      <w:r>
        <w:rPr/>
        <w:t>Associate Professor, Division of Hematology, Department of Medicine, University of Alberta</w:t>
      </w:r>
    </w:p>
    <w:p>
      <w:pPr>
        <w:pStyle w:val="Normal"/>
        <w:jc w:val="center"/>
        <w:rPr/>
      </w:pPr>
      <w:r>
        <w:rPr/>
        <w:t>bruce.ritchie@ualberta.ca</w:t>
      </w:r>
    </w:p>
    <w:p>
      <w:pPr>
        <w:pStyle w:val="Normal"/>
        <w:jc w:val="center"/>
        <w:rPr/>
      </w:pPr>
      <w:r>
        <w:rPr/>
      </w:r>
    </w:p>
    <w:p>
      <w:pPr>
        <w:pStyle w:val="Normal"/>
        <w:jc w:val="center"/>
        <w:rPr/>
      </w:pPr>
      <w:r>
        <w:rPr/>
        <w:t>Wayne Tymchak, MD, FRCP(C)</w:t>
      </w:r>
    </w:p>
    <w:p>
      <w:pPr>
        <w:pStyle w:val="Normal"/>
        <w:jc w:val="center"/>
        <w:rPr/>
      </w:pPr>
      <w:r>
        <w:rPr/>
        <w:t>Professor, Division of Cardiology, Department of Medicine, University of Alberta</w:t>
      </w:r>
    </w:p>
    <w:p>
      <w:pPr>
        <w:pStyle w:val="Normal"/>
        <w:jc w:val="center"/>
        <w:rPr/>
      </w:pPr>
      <w:r>
        <w:rPr/>
        <w:t>wayne.tymchak@capitalhealth.ca</w:t>
      </w:r>
    </w:p>
    <w:p>
      <w:pPr>
        <w:pStyle w:val="Normal"/>
        <w:jc w:val="center"/>
        <w:rPr/>
      </w:pPr>
      <w:r>
        <w:rPr/>
      </w:r>
    </w:p>
    <w:p>
      <w:pPr>
        <w:pStyle w:val="Normal"/>
        <w:jc w:val="center"/>
        <w:rPr/>
      </w:pPr>
      <w:r>
        <w:rPr/>
        <w:t>Ross T Tsuyuki, BSc(Pharm), PharmD, MSc, FCSHP, FACC</w:t>
      </w:r>
    </w:p>
    <w:p>
      <w:pPr>
        <w:pStyle w:val="BodyText2"/>
        <w:jc w:val="center"/>
        <w:rPr>
          <w:rFonts w:cs="Times New Roman" w:ascii="Times New Roman" w:hAnsi="Times New Roman"/>
          <w:sz w:val="24"/>
        </w:rPr>
      </w:pPr>
      <w:r>
        <w:rPr>
          <w:rFonts w:cs="Times New Roman" w:ascii="Times New Roman" w:hAnsi="Times New Roman"/>
          <w:sz w:val="24"/>
        </w:rPr>
        <w:t>Director, EPICORE Centre / COMPRIS, Professor of Medicine</w:t>
      </w:r>
    </w:p>
    <w:p>
      <w:pPr>
        <w:pStyle w:val="BodyText2"/>
        <w:jc w:val="center"/>
        <w:rPr>
          <w:rFonts w:cs="Times New Roman" w:ascii="Times New Roman" w:hAnsi="Times New Roman"/>
          <w:sz w:val="24"/>
        </w:rPr>
      </w:pPr>
      <w:r>
        <w:rPr>
          <w:rFonts w:cs="Times New Roman" w:ascii="Times New Roman" w:hAnsi="Times New Roman"/>
          <w:sz w:val="24"/>
        </w:rPr>
        <w:t>Division of Cardiology, Department of Medicine, University of Alberta</w:t>
      </w:r>
    </w:p>
    <w:p>
      <w:pPr>
        <w:pStyle w:val="BodyText2"/>
        <w:jc w:val="center"/>
        <w:rPr>
          <w:rFonts w:cs="Times New Roman" w:ascii="Times New Roman" w:hAnsi="Times New Roman"/>
          <w:sz w:val="24"/>
        </w:rPr>
      </w:pPr>
      <w:r>
        <w:rPr>
          <w:rFonts w:cs="Times New Roman" w:ascii="Times New Roman" w:hAnsi="Times New Roman"/>
          <w:sz w:val="24"/>
        </w:rPr>
        <w:t>ross.tsuyuki@ualberta.ca</w:t>
      </w:r>
    </w:p>
    <w:p>
      <w:pPr>
        <w:pStyle w:val="Normal"/>
        <w:rPr/>
      </w:pPr>
      <w:r>
        <w:rPr/>
      </w:r>
    </w:p>
    <w:p>
      <w:pPr>
        <w:pStyle w:val="Normal"/>
        <w:rPr/>
      </w:pPr>
      <w:r>
        <w:rPr/>
        <w:t>Word Count (body): 2043</w:t>
      </w:r>
    </w:p>
    <w:p>
      <w:pPr>
        <w:pStyle w:val="Normal"/>
        <w:rPr/>
      </w:pPr>
      <w:r>
        <w:rPr/>
        <w:t>Word Count (abstract): 300</w:t>
      </w:r>
    </w:p>
    <w:p>
      <w:pPr>
        <w:pStyle w:val="Normal"/>
        <w:rPr/>
      </w:pPr>
      <w:r>
        <w:rPr/>
        <w:t xml:space="preserve">Funding for the AMS Program was provided by the </w:t>
        <w:br/>
        <w:t>Health Innovation Fund, Alberta Health &amp; Wellness.</w:t>
      </w:r>
    </w:p>
    <w:p>
      <w:pPr>
        <w:pStyle w:val="Normal"/>
        <w:rPr/>
      </w:pPr>
      <w:r>
        <w:rPr/>
      </w:r>
    </w:p>
    <w:p>
      <w:pPr>
        <w:pStyle w:val="Normal"/>
        <w:rPr/>
      </w:pPr>
      <w:r>
        <w:rPr/>
        <w:t xml:space="preserve">*Corresponding Author </w:t>
      </w:r>
    </w:p>
    <w:p>
      <w:pPr>
        <w:pStyle w:val="Normal"/>
        <w:rPr/>
      </w:pPr>
      <w:r>
        <w:rPr/>
        <w:t>Dr. Tammy Bungard</w:t>
      </w:r>
    </w:p>
    <w:p>
      <w:pPr>
        <w:pStyle w:val="Normal"/>
        <w:rPr/>
      </w:pPr>
      <w:r>
        <w:rPr/>
        <w:t>University of Alberta</w:t>
      </w:r>
    </w:p>
    <w:p>
      <w:pPr>
        <w:pStyle w:val="Normal"/>
        <w:rPr/>
      </w:pPr>
      <w:r>
        <w:rPr/>
        <w:t xml:space="preserve">EPICORE Centre </w:t>
      </w:r>
    </w:p>
    <w:p>
      <w:pPr>
        <w:pStyle w:val="Normal"/>
        <w:rPr/>
      </w:pPr>
      <w:r>
        <w:rPr/>
        <w:t>220 College Plaza</w:t>
      </w:r>
    </w:p>
    <w:p>
      <w:pPr>
        <w:pStyle w:val="Normal"/>
        <w:rPr/>
      </w:pPr>
      <w:r>
        <w:rPr/>
        <w:t>Edmonton, AB, Canada</w:t>
        <w:tab/>
        <w:t>T6G 2C8</w:t>
      </w:r>
    </w:p>
    <w:p>
      <w:pPr>
        <w:pStyle w:val="Normal"/>
        <w:rPr/>
      </w:pPr>
      <w:r>
        <w:rPr/>
        <w:t>Phone: (780) 492-3431; Fax: (780) 407-8907</w:t>
      </w:r>
    </w:p>
    <w:p>
      <w:pPr>
        <w:pStyle w:val="Normal"/>
        <w:rPr/>
      </w:pPr>
      <w:r>
        <w:rPr/>
        <w:t xml:space="preserve">Email: </w:t>
      </w:r>
      <w:hyperlink r:id="rId2">
        <w:r>
          <w:rPr>
            <w:rStyle w:val="InternetLink"/>
          </w:rPr>
          <w:t>tammy.bungard@ualberta.ca</w:t>
        </w:r>
      </w:hyperlink>
      <w:r>
        <w:rPr/>
        <w:t xml:space="preserve"> (okay to publish)</w:t>
      </w:r>
    </w:p>
    <w:p>
      <w:pPr>
        <w:pStyle w:val="Normal"/>
        <w:pageBreakBefore/>
        <w:spacing w:lineRule="auto" w:line="480"/>
        <w:rPr>
          <w:b/>
        </w:rPr>
      </w:pPr>
      <w:r>
        <w:rPr>
          <w:b/>
        </w:rPr>
        <w:t>Conflict of Interest Notification Page</w:t>
      </w:r>
    </w:p>
    <w:p>
      <w:pPr>
        <w:pStyle w:val="Normal"/>
        <w:spacing w:lineRule="auto" w:line="480"/>
        <w:rPr/>
      </w:pPr>
      <w:r>
        <w:rPr/>
        <w:t>The authors have no conflicts of interest to declare.</w:t>
      </w:r>
    </w:p>
    <w:p>
      <w:pPr>
        <w:pStyle w:val="Normal"/>
        <w:pageBreakBefore/>
        <w:spacing w:lineRule="auto" w:line="480"/>
        <w:rPr>
          <w:b/>
        </w:rPr>
      </w:pPr>
      <w:r>
        <w:rPr>
          <w:b/>
        </w:rPr>
        <w:t>ABSTRACT</w:t>
      </w:r>
    </w:p>
    <w:p>
      <w:pPr>
        <w:pStyle w:val="Normal"/>
        <w:spacing w:lineRule="auto" w:line="480"/>
        <w:rPr/>
      </w:pPr>
      <w:r>
        <w:rPr>
          <w:b/>
          <w:bCs/>
        </w:rPr>
        <w:t xml:space="preserve">Background:  </w:t>
      </w:r>
      <w:r>
        <w:rPr>
          <w:bCs/>
        </w:rPr>
        <w:t>Our</w:t>
      </w:r>
      <w:r>
        <w:rPr/>
        <w:t xml:space="preserve"> Anticoagulation Management Service (AMS) is a pharmacist-run ambulatory clinic with a physician advisory committee, serving a quaternary care referral service often referred patients with complicated anticoagulation histories.  The purpose of this paper was to assess the hypothesis that our AMS would provide quality anticoagulant control, and prevent thromboembolic and hemorrhagic events, superior to that achieved during a lead in control period of standard care.  The use of healthcare system resources was also compared prior to and during AMS care.</w:t>
      </w:r>
    </w:p>
    <w:p>
      <w:pPr>
        <w:pStyle w:val="Normal"/>
        <w:spacing w:lineRule="auto" w:line="480"/>
        <w:rPr/>
      </w:pPr>
      <w:r>
        <w:rPr>
          <w:b/>
          <w:bCs/>
        </w:rPr>
        <w:t xml:space="preserve">Methods:  </w:t>
      </w:r>
      <w:r>
        <w:rPr/>
        <w:t xml:space="preserve">Consecutive patients managed at least four months prior to and following referral to the AMS were included.  The primary endpoint was adequacy of anticoagulation (target INR </w:t>
      </w:r>
      <w:r>
        <w:rPr>
          <w:u w:val="single"/>
        </w:rPr>
        <w:t>+</w:t>
      </w:r>
      <w:r>
        <w:rPr/>
        <w:t xml:space="preserve"> 0.5).  Adverse events requiring an emergency department (ED) visit or hospitalization, were classified by ICD codes as thromboembolic, hemorrhagic, or non-anticoagulant related.  Healthcare system resource consumption in terms of number of hours spent in the ED and hospitalization costs were compared prior to versus during AMS care.</w:t>
      </w:r>
    </w:p>
    <w:p>
      <w:pPr>
        <w:pStyle w:val="Normal"/>
        <w:spacing w:lineRule="auto" w:line="480"/>
        <w:rPr/>
      </w:pPr>
      <w:r>
        <w:rPr>
          <w:b/>
          <w:bCs/>
        </w:rPr>
        <w:t>Results:</w:t>
      </w:r>
      <w:r>
        <w:rPr>
          <w:b/>
        </w:rPr>
        <w:t xml:space="preserve">  </w:t>
      </w:r>
      <w:r>
        <w:rPr/>
        <w:t xml:space="preserve">A total of 125 patients were included, 58% were male with a mean age of 63 </w:t>
      </w:r>
      <w:r>
        <w:rPr>
          <w:u w:val="single"/>
        </w:rPr>
        <w:t>+</w:t>
      </w:r>
      <w:r>
        <w:rPr/>
        <w:t xml:space="preserve"> 15 (SD) years.  Indications for warfarin were atrial fibrillation (40%), mechanical valve replacements (24%), and venous thromboembolism (19%).  Adequacy of anticoagulant control was significantly greater in AMS care relative to prior to referral, with patients being in range 69% versus 49% of the time, respectively (P&lt;0.0001).  Significantly fewer thromboembolic events occurred during AMS care compared with before (4 and 55, respectively; P&lt;0.0001) and there was a trend towards fewer hemorrhagic events (17 and 28; P=0.25).  During AMS care savings included 572 hours in the ED and $122,145 in hospitalization costs.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880" w:leader="none"/>
          <w:tab w:val="left" w:pos="3600" w:leader="none"/>
          <w:tab w:val="left" w:pos="4320" w:leader="none"/>
          <w:tab w:val="left" w:pos="5040" w:leader="none"/>
          <w:tab w:val="left" w:pos="5490" w:leader="none"/>
          <w:tab w:val="left" w:pos="5760" w:leader="none"/>
          <w:tab w:val="left" w:pos="6480" w:leader="none"/>
          <w:tab w:val="left" w:pos="7200" w:leader="none"/>
          <w:tab w:val="left" w:pos="7560" w:leader="none"/>
        </w:tabs>
        <w:spacing w:lineRule="auto" w:line="480"/>
        <w:rPr/>
      </w:pPr>
      <w:r>
        <w:rPr>
          <w:b/>
          <w:bCs/>
        </w:rPr>
        <w:t>Conclusions:</w:t>
      </w:r>
      <w:r>
        <w:rPr/>
        <w:t xml:space="preserve"> A pharmacist-directed, physician supported AMS program achieved better INR control and patients experienced fewer hemorrhagic events with significantly reduced rates of clotting complications compared with standard care.  Resource utilization was substantially reduced during AMS care.</w:t>
      </w:r>
    </w:p>
    <w:p>
      <w:pPr>
        <w:pStyle w:val="Heading1"/>
        <w:pageBreakBefore/>
        <w:numPr>
          <w:ilvl w:val="0"/>
          <w:numId w:val="1"/>
        </w:numPr>
        <w:spacing w:lineRule="auto" w:line="480"/>
        <w:rPr>
          <w:rFonts w:cs="Times New Roman" w:ascii="Times New Roman" w:hAnsi="Times New Roman"/>
        </w:rPr>
      </w:pPr>
      <w:r>
        <w:rPr>
          <w:rFonts w:cs="Times New Roman" w:ascii="Times New Roman" w:hAnsi="Times New Roman"/>
        </w:rPr>
        <w:t>INTRODUCTION</w:t>
      </w:r>
    </w:p>
    <w:p>
      <w:pPr>
        <w:pStyle w:val="Normal"/>
        <w:spacing w:lineRule="auto" w:line="480"/>
        <w:ind w:left="0" w:right="0" w:firstLine="720"/>
        <w:rPr/>
      </w:pPr>
      <w:r>
        <w:rPr/>
        <w:t>Warfarin is used for the prevention and treatment of thromboembolic diseases.</w:t>
      </w:r>
      <w:r>
        <w:rPr>
          <w:vertAlign w:val="superscript"/>
        </w:rPr>
        <w:t>1</w:t>
      </w:r>
      <w:r>
        <w:rPr/>
        <w:t xml:space="preserve">  Therapy is only safe and efficacious when maintained within a narrow therapeutic window, as measured by the International Normalized Ratio (INR).  Failure to adequately anticoagulate patients consistently predicts thromboembolic events (e.g., stroke or pulmonary embolism), while patients anticoagulated excessively are at risk of bleeding.</w:t>
      </w:r>
      <w:r>
        <w:rPr>
          <w:vertAlign w:val="superscript"/>
        </w:rPr>
        <w:t>2,3</w:t>
      </w:r>
      <w:r>
        <w:rPr/>
        <w:t xml:space="preserve">  Managing therapy within this narrow window is complicated by numerous factors including drug interactions, acute and chronic diseases, diet, and inter-individual variability in responding to warfarin.  </w:t>
      </w:r>
    </w:p>
    <w:p>
      <w:pPr>
        <w:pStyle w:val="Normal"/>
        <w:spacing w:lineRule="auto" w:line="480"/>
        <w:ind w:left="0" w:right="0" w:firstLine="720"/>
        <w:rPr>
          <w:vertAlign w:val="superscript"/>
        </w:rPr>
      </w:pPr>
      <w:r>
        <w:rPr/>
        <w:t>Given the complexities of effectively delivering warfarin therapy, it is not surprising that literature consistently reveals it is underused amongst patients who could benefit from it,</w:t>
      </w:r>
      <w:r>
        <w:rPr>
          <w:vertAlign w:val="superscript"/>
        </w:rPr>
        <w:t>4,5</w:t>
      </w:r>
      <w:r>
        <w:rPr/>
        <w:t xml:space="preserve"> and it is often sub-optimally managed when it is prescribed.</w:t>
      </w:r>
      <w:r>
        <w:rPr>
          <w:vertAlign w:val="superscript"/>
        </w:rPr>
        <w:t>6</w:t>
      </w:r>
      <w:r>
        <w:rPr/>
        <w:t xml:space="preserve">  Accessible, coordinated, and systematic approaches to delivering this therapy, as offered by an Anticoagulation Management Service (AMS), have improved both the use</w:t>
      </w:r>
      <w:r>
        <w:rPr>
          <w:vertAlign w:val="superscript"/>
        </w:rPr>
        <w:t>7</w:t>
      </w:r>
      <w:r>
        <w:rPr/>
        <w:t xml:space="preserve"> and control of warfarin therapy.</w:t>
      </w:r>
      <w:r>
        <w:rPr>
          <w:vertAlign w:val="superscript"/>
        </w:rPr>
        <w:t>8-12</w:t>
      </w:r>
    </w:p>
    <w:p>
      <w:pPr>
        <w:pStyle w:val="Normal"/>
        <w:spacing w:lineRule="auto" w:line="480"/>
        <w:ind w:left="0" w:right="0" w:firstLine="720"/>
        <w:rPr/>
      </w:pPr>
      <w:r>
        <w:rPr/>
        <w:t>While AMSs are common in the United States, they are only just beginning to gain acceptance in Canada.  Our AMS was initiated in 2001 as a pilot project with seed funding provided by Alberta Health and Wellness.  This AMS is somewhat unique in the Canadian setting because all of the direct patient care is provided by pharmacists that have an extended scope of practice and work in consultation with specialist physicians.</w:t>
      </w:r>
      <w:r>
        <w:rPr>
          <w:vertAlign w:val="superscript"/>
        </w:rPr>
        <w:t>13</w:t>
      </w:r>
      <w:r>
        <w:rPr/>
        <w:t xml:space="preserve">  We feel this extended scope of practice is the kind of innovation necessary to optimize care delivery in an over-burdened healthcare system.  In fostering an interdisciplinary care model, it was extremely important to conduct a thorough evaluation of the impact of the AMS on anticoagulant control, clinical events, and resource utilization.  The purpose of this paper is to assess the adequacy of anticoagulation, rates of anticoagulant-related events and associated healthcare resource utilization for patients prior to and following referral to our AMS.</w:t>
      </w:r>
    </w:p>
    <w:p>
      <w:pPr>
        <w:pStyle w:val="Normal"/>
        <w:spacing w:lineRule="auto" w:line="480"/>
        <w:rPr/>
      </w:pPr>
      <w:r>
        <w:rPr/>
      </w:r>
    </w:p>
    <w:p>
      <w:pPr>
        <w:pStyle w:val="Heading1"/>
        <w:numPr>
          <w:ilvl w:val="0"/>
          <w:numId w:val="1"/>
        </w:numPr>
        <w:spacing w:lineRule="auto" w:line="480"/>
        <w:rPr>
          <w:rFonts w:cs="Times New Roman" w:ascii="Times New Roman" w:hAnsi="Times New Roman"/>
        </w:rPr>
      </w:pPr>
      <w:r>
        <w:rPr>
          <w:rFonts w:cs="Times New Roman" w:ascii="Times New Roman" w:hAnsi="Times New Roman"/>
        </w:rPr>
        <w:t xml:space="preserve">METHODS </w:t>
      </w:r>
    </w:p>
    <w:p>
      <w:pPr>
        <w:pStyle w:val="Normal"/>
        <w:spacing w:lineRule="auto" w:line="480"/>
        <w:ind w:left="0" w:right="0" w:firstLine="720"/>
        <w:rPr/>
      </w:pPr>
      <w:r>
        <w:rPr/>
        <w:t>All patients managed by the University of Alberta Hospital AMS between April 2001 and December 2003 that were prescribed warfarin prior to being referred were considered for study.  To be eligible, patients had to be prescribed warfarin for at least 120 days prior to and following referral to the AMS.  As a new clinical service, it was not felt that randomization of patients was possible.  As such, we used a before-after design for evaluation.</w:t>
      </w:r>
    </w:p>
    <w:p>
      <w:pPr>
        <w:pStyle w:val="Normal"/>
        <w:spacing w:lineRule="auto" w:line="480"/>
        <w:ind w:left="0" w:right="0" w:firstLine="720"/>
        <w:rPr/>
      </w:pPr>
      <w:r>
        <w:rPr/>
        <w:t>The detailed design of the AMS program has been published previously.</w:t>
      </w:r>
      <w:r>
        <w:rPr>
          <w:vertAlign w:val="superscript"/>
        </w:rPr>
        <w:t>13</w:t>
      </w:r>
      <w:r>
        <w:rPr/>
        <w:t xml:space="preserve">  This innovative program was funded by Alberta Health and Wellness through the Health Innovation Fund.  Patients were accepted to the AMS provided they had a legitimate indication for warfarin therapy in accordance with the American College of Chest Physician guidelines,</w:t>
      </w:r>
      <w:r>
        <w:rPr>
          <w:vertAlign w:val="superscript"/>
        </w:rPr>
        <w:t xml:space="preserve">1 </w:t>
      </w:r>
      <w:r>
        <w:rPr/>
        <w:t xml:space="preserve">could attend at least one clinic appointment, were accessible for follow-up, and either the patient or the caregiver had the capacity to understand the condition and implications of anticoagulant therapy.   The research protocol was approved by the Human Research Ethics Board at the University of Alberta Hospital.  </w:t>
      </w:r>
    </w:p>
    <w:p>
      <w:pPr>
        <w:pStyle w:val="Normal"/>
        <w:spacing w:lineRule="auto" w:line="480"/>
        <w:ind w:left="0" w:right="0" w:firstLine="720"/>
        <w:rPr/>
      </w:pPr>
      <w:r>
        <w:rPr/>
        <w:t>Once referred to the AMS, patients received a standardized educational session and information package.  This session informed the patient of the role of the AMS in their care, the need for compliance with therapy and blood tests, and importance of contacting the AMS with any changes that may impact their therapy.  Further, the risks and benefits of warfarin therapy as well as factors that may impact warfarin therapy (drugs, diet, alcohol) were explained.  An awareness of signs and symptoms indicative of hemorrhagic and thromboembolic complications were also addressed.  Following this initial visit, the anticoagulation management for the patient is assumed by the AMS.  With each INR drawn, patients are contacted by phone by a pharmacist, an assessment is performed, warfarin dosing instructions are given, and patients are scheduled for the next INR test date.</w:t>
      </w:r>
    </w:p>
    <w:p>
      <w:pPr>
        <w:pStyle w:val="Normal"/>
        <w:spacing w:lineRule="auto" w:line="480"/>
        <w:ind w:left="0" w:right="0" w:firstLine="720"/>
        <w:rPr/>
      </w:pPr>
      <w:r>
        <w:rPr/>
        <w:t xml:space="preserve">The adequacy of anticoagulation was assessed by measuring the proportion of time that patients spent within their desired INR range (target INR </w:t>
      </w:r>
      <w:r>
        <w:rPr>
          <w:u w:val="single"/>
        </w:rPr>
        <w:t>+</w:t>
      </w:r>
      <w:r>
        <w:rPr/>
        <w:t xml:space="preserve"> 0.5 units) and expanded INR range (target INR </w:t>
      </w:r>
      <w:r>
        <w:rPr>
          <w:u w:val="single"/>
        </w:rPr>
        <w:t>+</w:t>
      </w:r>
      <w:r>
        <w:rPr/>
        <w:t xml:space="preserve"> 0.7), using the method developed by Rosendaal and colleagues.</w:t>
      </w:r>
      <w:r>
        <w:rPr>
          <w:vertAlign w:val="superscript"/>
        </w:rPr>
        <w:t>14</w:t>
      </w:r>
      <w:r>
        <w:rPr/>
        <w:t xml:space="preserve">  The first 30 days of management prior to and following referral to the AMS were omitted to allow for initial stabilization.  INR results for patients prior to referral were derived from the Regional Laboratory Services database using Personal Health Numbers, with data being retrieved from November 2000 (six months prior to the AMS accepting the first patient for management) to December 2003.  Only patients having INRs done within the Capital Health Region were captured for this analysis.  </w:t>
      </w:r>
    </w:p>
    <w:p>
      <w:pPr>
        <w:pStyle w:val="Normal"/>
        <w:spacing w:lineRule="auto" w:line="480"/>
        <w:ind w:left="0" w:right="0" w:firstLine="720"/>
        <w:rPr/>
      </w:pPr>
      <w:r>
        <w:rPr/>
        <w:t xml:space="preserve">For the event analysis, the entire duration of follow-up prior to and during AMS care was used to capture events.  International Classification of Diseases (ICD-9 and later, 10) coding for all instances of emergency department (ED) presentations and hospital admissions on all patients referred to the AMS between April 2001 and December 2003 for the period from November 2000 (i.e., 6 months prior to the first referral in April of 2001) to the end of December 2003 were retrieved.  Personal Health Numbers were used to track health system utilization recorded in the Capital Health Region database.  Data collected included the date of admission/discharge, diagnoses, </w:t>
      </w:r>
      <w:r>
        <w:rPr>
          <w:iCs/>
        </w:rPr>
        <w:t>length of stay in hours for ED and inpatient days for hospitalization,</w:t>
      </w:r>
      <w:r>
        <w:rPr/>
        <w:t xml:space="preserve"> </w:t>
      </w:r>
      <w:r>
        <w:rPr>
          <w:iCs/>
        </w:rPr>
        <w:t>and an indicator of the cost of the inpatient event called the "Resource Intensity Weight" (RIW</w:t>
      </w:r>
      <w:r>
        <w:rPr/>
        <w:t xml:space="preserve">).  All ED visits and hospitalizations were reviewed by a single investigator and a health records analyst to classify each presentation as hemorrhagic, thromboembolic, or non-anticoagulant related in accordance with the ICD coding.  For ED visits the primary diagnosis was used, whereas for hospitalizations the most responsible diagnosis was used.  At the time of event classification, the management strategy (before or during AMS care) was not known. </w:t>
      </w:r>
    </w:p>
    <w:p>
      <w:pPr>
        <w:pStyle w:val="Normal"/>
        <w:spacing w:lineRule="auto" w:line="480"/>
        <w:rPr/>
      </w:pPr>
      <w:r>
        <w:rPr/>
        <w:tab/>
        <w:t>To assess healthcare resource consumption, the number of hours spent in the ED was captured.  For all hospitalizations, the RIW, which measured the resources required for each hospitalization was used.  The Capital Health Region has allocated a cost of $3500 for one RIW.  Using this, the costs of hospitalizations prior to and during AMS care were computed.</w:t>
      </w:r>
    </w:p>
    <w:p>
      <w:pPr>
        <w:pStyle w:val="Normal"/>
        <w:spacing w:lineRule="auto" w:line="480"/>
        <w:rPr/>
      </w:pPr>
      <w:r>
        <w:rPr/>
        <w:tab/>
        <w:t xml:space="preserve">A paired t-test was used to compare the adequacy of anticoagulation prior to and during AMS care.  </w:t>
      </w:r>
      <w:bookmarkStart w:id="0" w:name="OLE_LINK2"/>
      <w:bookmarkStart w:id="1" w:name="OLE_LINK1"/>
      <w:bookmarkEnd w:id="0"/>
      <w:bookmarkEnd w:id="1"/>
      <w:r>
        <w:rPr/>
        <w:t xml:space="preserve">Event comparisons prior to and during AMS care were done using log-linear regression models of correlated data.  </w:t>
      </w:r>
    </w:p>
    <w:p>
      <w:pPr>
        <w:pStyle w:val="Normal"/>
        <w:spacing w:lineRule="auto" w:line="480"/>
        <w:rPr/>
      </w:pPr>
      <w:r>
        <w:rPr/>
      </w:r>
    </w:p>
    <w:p>
      <w:pPr>
        <w:pStyle w:val="Heading1"/>
        <w:numPr>
          <w:ilvl w:val="0"/>
          <w:numId w:val="1"/>
        </w:numPr>
        <w:spacing w:lineRule="auto" w:line="480"/>
        <w:rPr>
          <w:rFonts w:cs="Times New Roman" w:ascii="Times New Roman" w:hAnsi="Times New Roman"/>
        </w:rPr>
      </w:pPr>
      <w:r>
        <w:rPr>
          <w:rFonts w:cs="Times New Roman" w:ascii="Times New Roman" w:hAnsi="Times New Roman"/>
        </w:rPr>
        <w:t xml:space="preserve">RESULTS </w:t>
      </w:r>
    </w:p>
    <w:p>
      <w:pPr>
        <w:pStyle w:val="Normal"/>
        <w:spacing w:lineRule="auto" w:line="480"/>
        <w:ind w:left="0" w:right="0" w:firstLine="720"/>
        <w:rPr/>
      </w:pPr>
      <w:r>
        <w:rPr/>
        <w:t xml:space="preserve">A total of 125 patients met the inclusion criteria for this analysis.  The mean patient age was 62.9 </w:t>
      </w:r>
      <w:r>
        <w:rPr>
          <w:u w:val="single"/>
        </w:rPr>
        <w:t>+</w:t>
      </w:r>
      <w:r>
        <w:rPr/>
        <w:t xml:space="preserve"> 15.0 years (</w:t>
      </w:r>
      <w:r>
        <w:rPr>
          <w:u w:val="single"/>
        </w:rPr>
        <w:t>+</w:t>
      </w:r>
      <w:r>
        <w:rPr/>
        <w:t xml:space="preserve">SD), and 57.6% were male (Table 1).  The majority of patients had atrial fibrillation (40.0%), mechanical valve replacements (24.0%) and venous thromboembolism (19.2%) as the primary indication for warfarin.  </w:t>
      </w:r>
    </w:p>
    <w:p>
      <w:pPr>
        <w:pStyle w:val="Normal"/>
        <w:spacing w:lineRule="auto" w:line="480"/>
        <w:ind w:left="0" w:right="0" w:firstLine="720"/>
        <w:rPr/>
      </w:pPr>
      <w:r>
        <w:rPr/>
        <w:t xml:space="preserve">The mean proportion of time patients were in their actual INR range prior to referral was 48.8 </w:t>
      </w:r>
      <w:r>
        <w:rPr>
          <w:u w:val="single"/>
        </w:rPr>
        <w:t>+</w:t>
      </w:r>
      <w:r>
        <w:rPr/>
        <w:t xml:space="preserve"> 23.6% whereas during AMS care, time in INR range was 66.5 </w:t>
      </w:r>
      <w:r>
        <w:rPr>
          <w:u w:val="single"/>
        </w:rPr>
        <w:t>+</w:t>
      </w:r>
      <w:r>
        <w:rPr/>
        <w:t xml:space="preserve"> 16.3% (P&lt;0.0001) (Table 2).   Using the expanded range, adequacy of anticoagulation increases to 65.3 </w:t>
      </w:r>
      <w:r>
        <w:rPr>
          <w:u w:val="single"/>
        </w:rPr>
        <w:t>+</w:t>
      </w:r>
      <w:r>
        <w:rPr/>
        <w:t xml:space="preserve"> 22.3% prior to referral and 81.7 </w:t>
      </w:r>
      <w:r>
        <w:rPr>
          <w:u w:val="single"/>
        </w:rPr>
        <w:t>+</w:t>
      </w:r>
      <w:r>
        <w:rPr/>
        <w:t xml:space="preserve"> 12.5% during AMS care (P&lt;0.0001).  To address whether the study group of 125 patients were representative of the larger population of patients requiring anticoagulant therapy, we compared this cohort of patients with those ineligible for this analysis.  Relative to these 502 patients, similar demographics (Table 1) and time in therapeutic range (Table 3) were identified.</w:t>
      </w:r>
    </w:p>
    <w:p>
      <w:pPr>
        <w:pStyle w:val="Normal"/>
        <w:spacing w:lineRule="auto" w:line="480"/>
        <w:rPr/>
      </w:pPr>
      <w:r>
        <w:rPr/>
        <w:tab/>
        <w:t xml:space="preserve">Over a mean follow-up period of 10.7 months prior to and during AMS care, significantly more ED presentations and hospitalizations for thromboembolic events occurred prior to referral (35.8 and 13.4%/patient year) compared with during AMS care (2.7 and 0.9%/patient year; P&lt;0.0001 and P=0.0080, respectively) (Table 4).  While fewer hemorrhagic ED presentations and hospitalizations occurred during AMS care (10.8 and 4.2%/patient year) compared with prior (18.8 and 6.3%/patient year, respectively), this was not statistically significant.  During AMS care, for both thromboembolic and bleeding complications, patients had fewer presentations and spent fewer hours in the ED (61 and 512 hours less, respectively) (Table 5).   Similarly, the number and cost of hospitalizations for both thromboembolic and bleeding complications during AMS care was substantially lower ($12,762) compared with that prior to referral ($134,910).  Further, patients had substantially more non-anticoagulant related presentations to the ED and hospitalizations prior to referral (323 and 115) compared with during AMS care (137 and 48, respectively).  </w:t>
      </w:r>
    </w:p>
    <w:p>
      <w:pPr>
        <w:pStyle w:val="Normal"/>
        <w:spacing w:lineRule="auto" w:line="480"/>
        <w:rPr/>
      </w:pPr>
      <w:r>
        <w:rPr/>
      </w:r>
    </w:p>
    <w:p>
      <w:pPr>
        <w:pStyle w:val="Heading1"/>
        <w:numPr>
          <w:ilvl w:val="0"/>
          <w:numId w:val="1"/>
        </w:numPr>
        <w:spacing w:lineRule="auto" w:line="480"/>
        <w:rPr>
          <w:rFonts w:cs="Times New Roman" w:ascii="Times New Roman" w:hAnsi="Times New Roman"/>
        </w:rPr>
      </w:pPr>
      <w:r>
        <w:rPr>
          <w:rFonts w:cs="Times New Roman" w:ascii="Times New Roman" w:hAnsi="Times New Roman"/>
        </w:rPr>
        <w:t>DISCUSSION</w:t>
      </w:r>
    </w:p>
    <w:p>
      <w:pPr>
        <w:pStyle w:val="Normal"/>
        <w:spacing w:lineRule="auto" w:line="480"/>
        <w:ind w:left="0" w:right="0" w:firstLine="720"/>
        <w:rPr/>
      </w:pPr>
      <w:r>
        <w:rPr/>
        <w:t xml:space="preserve">Management of patients under AMS care compared with that prior to referral revealed substantive improvements in patient care.  Patients were within their desired INR range significantly more during AMS care, compared with prior to referral.  Significantly fewer thromboembolic events occurred during AMS care compared with prior, with a trend towards reduced hemorrhagic events. </w:t>
      </w:r>
    </w:p>
    <w:p>
      <w:pPr>
        <w:pStyle w:val="Normal"/>
        <w:spacing w:lineRule="auto" w:line="480"/>
        <w:ind w:left="0" w:right="0" w:firstLine="720"/>
        <w:rPr/>
      </w:pPr>
      <w:r>
        <w:rPr/>
        <w:t>Overall, AMS care substantially reduced the use of healthcare system resources.  For the 125 patients, prior to referral to the AMS, an additional 572 ED hours and $122,144.95 for hospitalizations was consumed for anticoagulation-related events.  Given the average follow-up of 10.7 month prior to and during AMS care, the monthly savings conferred by AMS care for these anticoagulant-related events were 53 ED hours and $11,415 in hospitalization costs.  Interestingly, there were also striking reductions non-anticoagulant related events occurred in that during AMS care, with 1225 fewer ED hours and $526,005.20 less in hospitalization costs.  While the AMS cannot claim causal inference for the non-anticoagulant related events, it must be recognized that the clinic is in constant contact with these patients, and is likely to be the first to identify changes in general health, and suggest measures to mitigate progression.</w:t>
      </w:r>
    </w:p>
    <w:p>
      <w:pPr>
        <w:pStyle w:val="Normal"/>
        <w:spacing w:lineRule="auto" w:line="480"/>
        <w:ind w:left="0" w:right="0" w:firstLine="720"/>
        <w:rPr/>
      </w:pPr>
      <w:r>
        <w:rPr/>
        <w:t>Comparing our data to the literature, the adequacy of anticoagulant control within our AMS population is comparable.</w:t>
      </w:r>
      <w:r>
        <w:rPr>
          <w:vertAlign w:val="superscript"/>
        </w:rPr>
        <w:t>8-12</w:t>
      </w:r>
      <w:r>
        <w:rPr/>
        <w:t xml:space="preserve">  Time in therapeutic range for other AMSs varies from 59% to 89% of the time, depending upon the population evaluated.  Our rates may be on the lower end of this range because our AMS is situated within a quaternary referral centre, and largely receives referrals from subspecialists for patients that have had poor anticoagulant-related outcomes or have been poorly anticoagulated in the past.  This is verified by the higher rate of events observed in our population.  Combining anticoagulation and non-anticoagulation-related events, prior to referral there were 4.7 events per patient year whereas during AMS care only 1.9 events per patient year followed.  Despite the impressive reduction observed under AMS care, these data highlight that each patient under AMS care still used our acute healthcare system twice per year.</w:t>
      </w:r>
    </w:p>
    <w:p>
      <w:pPr>
        <w:pStyle w:val="Normal"/>
        <w:spacing w:lineRule="auto" w:line="480"/>
        <w:ind w:left="0" w:right="0" w:firstLine="720"/>
        <w:rPr/>
      </w:pPr>
      <w:r>
        <w:rPr/>
        <w:t>The rates of thromboembolic events, compared with prior studies of AMSs (4.8% per patient year managed) and routine anticoagulation management (8.1% per patient year managed), were lower during AMS care and substantially higher prior to referral to our program.</w:t>
      </w:r>
      <w:r>
        <w:rPr>
          <w:vertAlign w:val="superscript"/>
        </w:rPr>
        <w:t>15</w:t>
      </w:r>
      <w:r>
        <w:rPr/>
        <w:t xml:space="preserve">  This is, in part, likely due to the types of patients referred to our AMS – a referral bias for patients with poor outcomes with anticoagulant therapy or complicated comorbidities that are sent to our program.  Although the rate of major bleeding was not significantly different prior to and during AMS care, it was higher than that reported in the literature for AMSs (4.6% per patient year managed).  The rate of major bleeding for AMS care fell within that reported for routine anticoagulation management (7.4-18% per patient year managed), although the rates prior to referral were higher than that reported in the literature.  Little difference in rates of bleeding over the two time intervals was anticipated as data during AMS care shows patients are more likely to be supra-therapeutic (or therapeutic) relative to prior to being referred.  The relatively high bleeding rates in our population is likely a reflection of patient selection in utilizing a specialty service.</w:t>
      </w:r>
    </w:p>
    <w:p>
      <w:pPr>
        <w:pStyle w:val="Normal"/>
        <w:spacing w:lineRule="auto" w:line="480"/>
        <w:rPr/>
      </w:pPr>
      <w:r>
        <w:rPr/>
        <w:tab/>
        <w:t>There are a few limitations to this study.  Firstly, a before-after design was necessary to evaluate this pilot program.  Randomization was not feasible because the majority of patients had problematic management or outcomes prior to being referred to our specialty service.  Secondly, our data is limited in that it has a relatively small sample size.  We applied strict inclusion criteria to comprehensively evaluate INR control and associated outcomes – this resulted in only 125 patients being eligible, but, demographics and INR control are similar to the whole population.  Therefore, it seems reasonable to assume these data are reflective of our entire clinic population.</w:t>
      </w:r>
    </w:p>
    <w:p>
      <w:pPr>
        <w:pStyle w:val="Normal"/>
        <w:spacing w:lineRule="auto" w:line="480"/>
        <w:ind w:left="0" w:right="0" w:firstLine="720"/>
        <w:rPr/>
      </w:pPr>
      <w:r>
        <w:rPr/>
        <w:t>The findings of this study demonstrate that a pharmacist-managed anticoagulation clinic, in a multidisciplinary setting, is not only safe and effective, but is superior in terms of anticoagulant control and thromboembolic events, with a trend towards lower hemorrhagic events.  This is important in the Canadian healthcare context because of the growing service needs of patients in light of physician shortages, the need for quality improvement in this practice area, and the cost-savings demonstrated herein justify the development of AMSs using this model.</w:t>
      </w:r>
    </w:p>
    <w:p>
      <w:pPr>
        <w:pStyle w:val="Normal"/>
        <w:rPr>
          <w:b/>
          <w:bCs/>
        </w:rPr>
      </w:pPr>
      <w:r>
        <w:rPr>
          <w:b/>
          <w:bCs/>
        </w:rPr>
      </w:r>
    </w:p>
    <w:p>
      <w:pPr>
        <w:pStyle w:val="Normal"/>
        <w:pageBreakBefore/>
        <w:spacing w:lineRule="auto" w:line="480"/>
        <w:rPr>
          <w:b/>
          <w:bCs/>
        </w:rPr>
      </w:pPr>
      <w:r>
        <w:rPr>
          <w:b/>
          <w:bCs/>
        </w:rPr>
        <w:t>REFERENCES:</w:t>
      </w:r>
    </w:p>
    <w:p>
      <w:pPr>
        <w:pStyle w:val="Normal"/>
        <w:numPr>
          <w:ilvl w:val="0"/>
          <w:numId w:val="2"/>
        </w:numPr>
        <w:tabs>
          <w:tab w:val="left" w:pos="360" w:leader="none"/>
        </w:tabs>
        <w:spacing w:lineRule="auto" w:line="480"/>
        <w:ind w:left="360" w:right="0" w:hanging="360"/>
        <w:rPr/>
      </w:pPr>
      <w:r>
        <w:rPr>
          <w:lang w:val="da-DK"/>
        </w:rPr>
        <w:t xml:space="preserve">Ansell J, Hirsh J, Poller L et al.  </w:t>
      </w:r>
      <w:r>
        <w:rPr/>
        <w:t xml:space="preserve">The pharmacology and management of the vitamin K antagonists.  </w:t>
      </w:r>
      <w:r>
        <w:rPr>
          <w:iCs/>
        </w:rPr>
        <w:t xml:space="preserve">Chest </w:t>
      </w:r>
      <w:r>
        <w:rPr/>
        <w:t xml:space="preserve">2004; 126(3):204S-233S.  </w:t>
      </w:r>
    </w:p>
    <w:p>
      <w:pPr>
        <w:pStyle w:val="Normal"/>
        <w:numPr>
          <w:ilvl w:val="0"/>
          <w:numId w:val="2"/>
        </w:numPr>
        <w:tabs>
          <w:tab w:val="left" w:pos="360" w:leader="none"/>
        </w:tabs>
        <w:spacing w:lineRule="auto" w:line="480"/>
        <w:ind w:left="360" w:right="0" w:hanging="360"/>
        <w:rPr/>
      </w:pPr>
      <w:r>
        <w:rPr/>
        <w:t>Hylek EM, Singer DE.  Risk factors for intracranial hemorrhage in outpatients taking warfarin.  Ann Intern Med 1994;120:897-902.</w:t>
      </w:r>
    </w:p>
    <w:p>
      <w:pPr>
        <w:pStyle w:val="Normal"/>
        <w:numPr>
          <w:ilvl w:val="0"/>
          <w:numId w:val="2"/>
        </w:numPr>
        <w:tabs>
          <w:tab w:val="left" w:pos="360" w:leader="none"/>
        </w:tabs>
        <w:spacing w:lineRule="auto" w:line="480"/>
        <w:ind w:left="360" w:right="0" w:hanging="360"/>
        <w:rPr/>
      </w:pPr>
      <w:r>
        <w:rPr>
          <w:lang w:val="sv-SE"/>
        </w:rPr>
        <w:t xml:space="preserve">Hylek EM, Skates SJ, Sheehan MA, Singer DE.  </w:t>
      </w:r>
      <w:r>
        <w:rPr/>
        <w:t xml:space="preserve">An analysis of the lowest effective intensity of prophylactic anticoagulation for patients with nonrheumatic atrial fibrillation.  N Engl J Med 1996;335:540-546. </w:t>
      </w:r>
    </w:p>
    <w:p>
      <w:pPr>
        <w:pStyle w:val="TextBodyIndent"/>
        <w:numPr>
          <w:ilvl w:val="0"/>
          <w:numId w:val="2"/>
        </w:numPr>
        <w:tabs>
          <w:tab w:val="left" w:pos="360" w:leader="none"/>
        </w:tabs>
        <w:spacing w:lineRule="auto" w:line="480" w:before="0" w:after="0"/>
        <w:ind w:left="360" w:right="0" w:hanging="360"/>
        <w:rPr/>
      </w:pPr>
      <w:r>
        <w:rPr/>
        <w:t>Bungard TJ, Ghali, WA, Teo KK, McAlister FA, Tsuyuki RT.  Why do Patients with Non-valvular Atrial Fibrillation Not Receive Warfarin?  Arch Intern Med 2000; 160:41-46.</w:t>
      </w:r>
    </w:p>
    <w:p>
      <w:pPr>
        <w:pStyle w:val="Normal"/>
        <w:numPr>
          <w:ilvl w:val="0"/>
          <w:numId w:val="2"/>
        </w:numPr>
        <w:tabs>
          <w:tab w:val="left" w:pos="360" w:leader="none"/>
        </w:tabs>
        <w:spacing w:lineRule="auto" w:line="480"/>
        <w:ind w:left="360" w:right="0" w:hanging="360"/>
        <w:rPr/>
      </w:pPr>
      <w:r>
        <w:rPr>
          <w:lang w:val="de-DE"/>
        </w:rPr>
        <w:t xml:space="preserve">Tsuyuki RT, Walters B, Yim R, Teo KK.  </w:t>
      </w:r>
      <w:r>
        <w:rPr/>
        <w:t>RE: The Clinical Quality Improvement Network (CQIN) Investigators.  Thromboembolic prophylaxis in 3575 hospitalized patients with atrial fibrillation.  Can J Cardiol 2000;16:99.  (letter to the editor)</w:t>
      </w:r>
    </w:p>
    <w:p>
      <w:pPr>
        <w:pStyle w:val="TextBodyIndent"/>
        <w:numPr>
          <w:ilvl w:val="0"/>
          <w:numId w:val="2"/>
        </w:numPr>
        <w:tabs>
          <w:tab w:val="left" w:pos="360" w:leader="none"/>
        </w:tabs>
        <w:spacing w:lineRule="auto" w:line="480" w:before="0" w:after="0"/>
        <w:ind w:left="360" w:right="0" w:hanging="360"/>
        <w:rPr>
          <w:szCs w:val="22"/>
        </w:rPr>
      </w:pPr>
      <w:r>
        <w:rPr>
          <w:szCs w:val="22"/>
          <w:lang w:val="sv-SE"/>
        </w:rPr>
        <w:t xml:space="preserve">Bungard TJ, Ackman ML, Ho G, Tsuyuki RT.  </w:t>
      </w:r>
      <w:r>
        <w:rPr>
          <w:szCs w:val="22"/>
        </w:rPr>
        <w:t>Adequacy of anticoagulation in patients coming to hospital with atrial fibrillation.  Pharmacother 2000;20:1060-1065.</w:t>
      </w:r>
    </w:p>
    <w:p>
      <w:pPr>
        <w:pStyle w:val="Normal"/>
        <w:numPr>
          <w:ilvl w:val="0"/>
          <w:numId w:val="2"/>
        </w:numPr>
        <w:tabs>
          <w:tab w:val="left" w:pos="360" w:leader="none"/>
        </w:tabs>
        <w:spacing w:lineRule="auto" w:line="480"/>
        <w:ind w:left="360" w:right="0" w:hanging="360"/>
        <w:rPr/>
      </w:pPr>
      <w:r>
        <w:rPr/>
        <w:t>Burkiewicz JS.  Effect of access to anticoagulation management services on warfarin use in patients with atrial fibrillation.  Pharmacother 2005;25(8):1062-1067.</w:t>
      </w:r>
    </w:p>
    <w:p>
      <w:pPr>
        <w:pStyle w:val="Normal"/>
        <w:numPr>
          <w:ilvl w:val="0"/>
          <w:numId w:val="2"/>
        </w:numPr>
        <w:tabs>
          <w:tab w:val="left" w:pos="360" w:leader="none"/>
        </w:tabs>
        <w:spacing w:lineRule="auto" w:line="480"/>
        <w:ind w:left="360" w:right="0" w:hanging="360"/>
        <w:rPr/>
      </w:pPr>
      <w:r>
        <w:rPr/>
        <w:t>Charney R, Leddomando E, Rose DN, Fuster V.  Anticoagulation clinics and the monitoring of anticoagulant therapy.  Int J Cardiol 1988;18:197-206.</w:t>
      </w:r>
    </w:p>
    <w:p>
      <w:pPr>
        <w:pStyle w:val="Normal"/>
        <w:numPr>
          <w:ilvl w:val="0"/>
          <w:numId w:val="2"/>
        </w:numPr>
        <w:tabs>
          <w:tab w:val="left" w:pos="360" w:leader="none"/>
        </w:tabs>
        <w:spacing w:lineRule="auto" w:line="480"/>
        <w:ind w:left="360" w:right="0" w:hanging="360"/>
        <w:rPr/>
      </w:pPr>
      <w:r>
        <w:rPr/>
        <w:t>Conte RR, Kehoe WA, Nielson N, Lodhia H.  Nine-year experience with a pharmacist-managed anticoagulation clinic.  Am J Hosp Pharm 1986;43:2460-2464.</w:t>
      </w:r>
    </w:p>
    <w:p>
      <w:pPr>
        <w:pStyle w:val="Normal"/>
        <w:numPr>
          <w:ilvl w:val="0"/>
          <w:numId w:val="2"/>
        </w:numPr>
        <w:tabs>
          <w:tab w:val="left" w:pos="360" w:leader="none"/>
        </w:tabs>
        <w:spacing w:lineRule="auto" w:line="480"/>
        <w:ind w:left="360" w:right="0" w:hanging="360"/>
        <w:rPr/>
      </w:pPr>
      <w:r>
        <w:rPr/>
        <w:t>Davis FB, Estruch MT, Samson-Corvera EB, Boigt GC, Tobin JD.  Management of anticoagulation in outpatients: experience with an anticoagulation service in a municipal setting.  Arch Intern Med 1977;137:197-202.</w:t>
      </w:r>
    </w:p>
    <w:p>
      <w:pPr>
        <w:pStyle w:val="Normal"/>
        <w:numPr>
          <w:ilvl w:val="0"/>
          <w:numId w:val="2"/>
        </w:numPr>
        <w:tabs>
          <w:tab w:val="left" w:pos="360" w:leader="none"/>
        </w:tabs>
        <w:spacing w:lineRule="auto" w:line="480"/>
        <w:ind w:left="360" w:right="0" w:hanging="360"/>
        <w:rPr/>
      </w:pPr>
      <w:r>
        <w:rPr/>
        <w:t>Errichetti AM, Holden A, Ansell J.  Management of oral anticoagulant therapy: experience with an anticoagulation clinic.  Arch Intern Med 1984;144:1966-1968.</w:t>
      </w:r>
    </w:p>
    <w:p>
      <w:pPr>
        <w:pStyle w:val="Normal"/>
        <w:numPr>
          <w:ilvl w:val="0"/>
          <w:numId w:val="2"/>
        </w:numPr>
        <w:tabs>
          <w:tab w:val="left" w:pos="360" w:leader="none"/>
        </w:tabs>
        <w:spacing w:lineRule="auto" w:line="480"/>
        <w:ind w:left="360" w:right="0" w:hanging="360"/>
        <w:rPr/>
      </w:pPr>
      <w:r>
        <w:rPr/>
        <w:t>Seabrook GR, Karp D, Schmitt DD, Bandyk DF, Towne JB.  An outpatient anticoagulation protocol managed by a vascular nurse-clinician.  Am J Surg 1990;160:501-505.</w:t>
      </w:r>
    </w:p>
    <w:p>
      <w:pPr>
        <w:pStyle w:val="Normal"/>
        <w:numPr>
          <w:ilvl w:val="0"/>
          <w:numId w:val="2"/>
        </w:numPr>
        <w:tabs>
          <w:tab w:val="left" w:pos="360" w:leader="none"/>
        </w:tabs>
        <w:spacing w:lineRule="auto" w:line="480"/>
        <w:ind w:left="360" w:right="0" w:hanging="360"/>
        <w:rPr>
          <w:lang w:val="en-GB"/>
        </w:rPr>
      </w:pPr>
      <w:r>
        <w:rPr>
          <w:lang w:val="en-GB"/>
        </w:rPr>
        <w:t>Bungard TJ, Archer SL, Hamilton P, Ritchie B, Tymchak W, Tsuyuki RT.  Bringing the benefits of anticoagulation management services to the community: Alberta program may serve as a model of care.  CPJ 2006;139(2):58-63.</w:t>
      </w:r>
    </w:p>
    <w:p>
      <w:pPr>
        <w:pStyle w:val="Normal"/>
        <w:numPr>
          <w:ilvl w:val="0"/>
          <w:numId w:val="2"/>
        </w:numPr>
        <w:tabs>
          <w:tab w:val="left" w:pos="360" w:leader="none"/>
        </w:tabs>
        <w:spacing w:lineRule="auto" w:line="480"/>
        <w:ind w:left="360" w:right="0" w:hanging="360"/>
        <w:rPr>
          <w:lang w:val="da-DK"/>
        </w:rPr>
      </w:pPr>
      <w:r>
        <w:rPr>
          <w:lang w:val="da-DK"/>
        </w:rPr>
        <w:t>Rosendaal, FR et al.  Thrombosis &amp; Haemostasis 1993; 69(3):236-9.</w:t>
      </w:r>
    </w:p>
    <w:p>
      <w:pPr>
        <w:pStyle w:val="Normal"/>
        <w:numPr>
          <w:ilvl w:val="0"/>
          <w:numId w:val="2"/>
        </w:numPr>
        <w:tabs>
          <w:tab w:val="left" w:pos="360" w:leader="none"/>
        </w:tabs>
        <w:spacing w:lineRule="auto" w:line="480"/>
        <w:ind w:left="360" w:right="0" w:hanging="360"/>
        <w:rPr/>
      </w:pPr>
      <w:r>
        <w:rPr/>
        <w:t>Ansell JE, Hughs R. Evolving models of warfarin management: anticoagulation clinics, patient self-monitoring, and patient self-management. Am Heart J 1996; 132:1095-1100.</w:t>
      </w:r>
    </w:p>
    <w:p>
      <w:pPr>
        <w:pStyle w:val="Normal"/>
        <w:spacing w:lineRule="auto" w:line="480"/>
        <w:rPr/>
      </w:pPr>
      <w:r>
        <w:rPr/>
      </w:r>
    </w:p>
    <w:p>
      <w:pPr>
        <w:pStyle w:val="Normal"/>
        <w:pageBreakBefore/>
        <w:rPr>
          <w:b/>
          <w:bCs/>
        </w:rPr>
      </w:pPr>
      <w:r>
        <w:rPr>
          <w:b/>
          <w:bCs/>
        </w:rPr>
        <w:t>Table 1:  Patient Demographics</w:t>
      </w:r>
    </w:p>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80"/>
        <w:gridCol w:w="1800"/>
        <w:gridCol w:w="1856"/>
        <w:gridCol w:w="1620"/>
      </w:tblGrid>
      <w:tr>
        <w:trPr>
          <w:cantSplit w:val="false"/>
        </w:trPr>
        <w:tc>
          <w:tcPr>
            <w:tcW w:w="4680" w:type="dxa"/>
            <w:tcBorders>
              <w:top w:val="nil"/>
              <w:left w:val="nil"/>
              <w:bottom w:val="nil"/>
              <w:insideH w:val="nil"/>
              <w:right w:val="nil"/>
              <w:insideV w:val="nil"/>
            </w:tcBorders>
            <w:shd w:fill="auto" w:val="clear"/>
          </w:tcPr>
          <w:p>
            <w:pPr>
              <w:pStyle w:val="Normal"/>
              <w:snapToGrid w:val="false"/>
              <w:rPr/>
            </w:pPr>
            <w:r>
              <w:rPr/>
            </w:r>
          </w:p>
        </w:tc>
        <w:tc>
          <w:tcPr>
            <w:tcW w:w="1800" w:type="dxa"/>
            <w:tcBorders>
              <w:top w:val="nil"/>
              <w:left w:val="nil"/>
              <w:bottom w:val="nil"/>
              <w:insideH w:val="nil"/>
              <w:right w:val="nil"/>
              <w:insideV w:val="nil"/>
            </w:tcBorders>
            <w:shd w:fill="auto" w:val="clear"/>
          </w:tcPr>
          <w:p>
            <w:pPr>
              <w:pStyle w:val="Normal"/>
              <w:rPr/>
            </w:pPr>
            <w:r>
              <w:rPr/>
              <w:t>Before / After Analysis</w:t>
            </w:r>
          </w:p>
          <w:p>
            <w:pPr>
              <w:pStyle w:val="Normal"/>
              <w:rPr/>
            </w:pPr>
            <w:r>
              <w:rPr/>
              <w:t>N=125</w:t>
            </w:r>
          </w:p>
        </w:tc>
        <w:tc>
          <w:tcPr>
            <w:tcW w:w="1856" w:type="dxa"/>
            <w:tcBorders>
              <w:top w:val="nil"/>
              <w:left w:val="nil"/>
              <w:bottom w:val="nil"/>
              <w:insideH w:val="nil"/>
              <w:right w:val="nil"/>
              <w:insideV w:val="nil"/>
            </w:tcBorders>
            <w:shd w:fill="auto" w:val="clear"/>
          </w:tcPr>
          <w:p>
            <w:pPr>
              <w:pStyle w:val="Normal"/>
              <w:rPr/>
            </w:pPr>
            <w:r>
              <w:rPr/>
              <w:t>Consecutive Patients</w:t>
            </w:r>
          </w:p>
          <w:p>
            <w:pPr>
              <w:pStyle w:val="Normal"/>
              <w:rPr/>
            </w:pPr>
            <w:r>
              <w:rPr/>
              <w:t>N=502</w:t>
            </w:r>
          </w:p>
        </w:tc>
        <w:tc>
          <w:tcPr>
            <w:tcW w:w="1620" w:type="dxa"/>
            <w:tcBorders>
              <w:top w:val="nil"/>
              <w:left w:val="nil"/>
              <w:bottom w:val="nil"/>
              <w:insideH w:val="nil"/>
              <w:right w:val="nil"/>
              <w:insideV w:val="nil"/>
            </w:tcBorders>
            <w:shd w:fill="auto" w:val="clear"/>
          </w:tcPr>
          <w:p>
            <w:pPr>
              <w:pStyle w:val="Normal"/>
              <w:rPr/>
            </w:pPr>
            <w:r>
              <w:rPr/>
              <w:t xml:space="preserve">P Value </w:t>
            </w:r>
          </w:p>
        </w:tc>
      </w:tr>
      <w:tr>
        <w:trPr>
          <w:cantSplit w:val="false"/>
        </w:trPr>
        <w:tc>
          <w:tcPr>
            <w:tcW w:w="4680" w:type="dxa"/>
            <w:tcBorders>
              <w:top w:val="nil"/>
              <w:left w:val="nil"/>
              <w:bottom w:val="nil"/>
              <w:insideH w:val="nil"/>
              <w:right w:val="nil"/>
              <w:insideV w:val="nil"/>
            </w:tcBorders>
            <w:shd w:fill="auto" w:val="clear"/>
          </w:tcPr>
          <w:p>
            <w:pPr>
              <w:pStyle w:val="Normal"/>
              <w:rPr/>
            </w:pPr>
            <w:r>
              <w:rPr/>
              <w:t xml:space="preserve">Age </w:t>
            </w:r>
            <w:r>
              <w:rPr>
                <w:u w:val="single"/>
              </w:rPr>
              <w:t>+</w:t>
            </w:r>
            <w:r>
              <w:rPr/>
              <w:t xml:space="preserve"> (years)</w:t>
            </w:r>
          </w:p>
        </w:tc>
        <w:tc>
          <w:tcPr>
            <w:tcW w:w="1800" w:type="dxa"/>
            <w:tcBorders>
              <w:top w:val="nil"/>
              <w:left w:val="nil"/>
              <w:bottom w:val="nil"/>
              <w:insideH w:val="nil"/>
              <w:right w:val="nil"/>
              <w:insideV w:val="nil"/>
            </w:tcBorders>
            <w:shd w:fill="auto" w:val="clear"/>
          </w:tcPr>
          <w:p>
            <w:pPr>
              <w:pStyle w:val="Normal"/>
              <w:rPr/>
            </w:pPr>
            <w:r>
              <w:rPr/>
              <w:t xml:space="preserve">62.9 </w:t>
            </w:r>
            <w:r>
              <w:rPr>
                <w:iCs/>
                <w:u w:val="single"/>
              </w:rPr>
              <w:t>+</w:t>
            </w:r>
            <w:r>
              <w:rPr>
                <w:iCs/>
              </w:rPr>
              <w:t xml:space="preserve"> </w:t>
            </w:r>
            <w:r>
              <w:rPr/>
              <w:t>15.0</w:t>
            </w:r>
          </w:p>
        </w:tc>
        <w:tc>
          <w:tcPr>
            <w:tcW w:w="1856" w:type="dxa"/>
            <w:tcBorders>
              <w:top w:val="nil"/>
              <w:left w:val="nil"/>
              <w:bottom w:val="nil"/>
              <w:insideH w:val="nil"/>
              <w:right w:val="nil"/>
              <w:insideV w:val="nil"/>
            </w:tcBorders>
            <w:shd w:fill="auto" w:val="clear"/>
          </w:tcPr>
          <w:p>
            <w:pPr>
              <w:pStyle w:val="Normal"/>
              <w:rPr>
                <w:iCs/>
              </w:rPr>
            </w:pPr>
            <w:r>
              <w:rPr>
                <w:iCs/>
              </w:rPr>
              <w:t xml:space="preserve">59.3 </w:t>
            </w:r>
            <w:r>
              <w:rPr>
                <w:iCs/>
                <w:u w:val="single"/>
              </w:rPr>
              <w:t>+</w:t>
            </w:r>
            <w:r>
              <w:rPr>
                <w:iCs/>
              </w:rPr>
              <w:t xml:space="preserve"> 16.9</w:t>
            </w:r>
          </w:p>
        </w:tc>
        <w:tc>
          <w:tcPr>
            <w:tcW w:w="1620" w:type="dxa"/>
            <w:tcBorders>
              <w:top w:val="nil"/>
              <w:left w:val="nil"/>
              <w:bottom w:val="nil"/>
              <w:insideH w:val="nil"/>
              <w:right w:val="nil"/>
              <w:insideV w:val="nil"/>
            </w:tcBorders>
            <w:shd w:fill="auto" w:val="clear"/>
          </w:tcPr>
          <w:p>
            <w:pPr>
              <w:pStyle w:val="Normal"/>
              <w:rPr>
                <w:iCs/>
              </w:rPr>
            </w:pPr>
            <w:r>
              <w:rPr>
                <w:iCs/>
              </w:rPr>
              <w:t>0.03*</w:t>
            </w:r>
          </w:p>
        </w:tc>
      </w:tr>
      <w:tr>
        <w:trPr>
          <w:cantSplit w:val="false"/>
        </w:trPr>
        <w:tc>
          <w:tcPr>
            <w:tcW w:w="4680" w:type="dxa"/>
            <w:tcBorders>
              <w:top w:val="nil"/>
              <w:left w:val="nil"/>
              <w:bottom w:val="nil"/>
              <w:insideH w:val="nil"/>
              <w:right w:val="nil"/>
              <w:insideV w:val="nil"/>
            </w:tcBorders>
            <w:shd w:fill="auto" w:val="clear"/>
          </w:tcPr>
          <w:p>
            <w:pPr>
              <w:pStyle w:val="Normal"/>
              <w:rPr/>
            </w:pPr>
            <w:r>
              <w:rPr/>
              <w:t>Male (%)</w:t>
            </w:r>
          </w:p>
        </w:tc>
        <w:tc>
          <w:tcPr>
            <w:tcW w:w="1800" w:type="dxa"/>
            <w:tcBorders>
              <w:top w:val="nil"/>
              <w:left w:val="nil"/>
              <w:bottom w:val="nil"/>
              <w:insideH w:val="nil"/>
              <w:right w:val="nil"/>
              <w:insideV w:val="nil"/>
            </w:tcBorders>
            <w:shd w:fill="auto" w:val="clear"/>
          </w:tcPr>
          <w:p>
            <w:pPr>
              <w:pStyle w:val="Normal"/>
              <w:rPr/>
            </w:pPr>
            <w:r>
              <w:rPr/>
              <w:t>72 (57.6%)</w:t>
            </w:r>
          </w:p>
        </w:tc>
        <w:tc>
          <w:tcPr>
            <w:tcW w:w="1856" w:type="dxa"/>
            <w:tcBorders>
              <w:top w:val="nil"/>
              <w:left w:val="nil"/>
              <w:bottom w:val="nil"/>
              <w:insideH w:val="nil"/>
              <w:right w:val="nil"/>
              <w:insideV w:val="nil"/>
            </w:tcBorders>
            <w:shd w:fill="auto" w:val="clear"/>
          </w:tcPr>
          <w:p>
            <w:pPr>
              <w:pStyle w:val="Normal"/>
              <w:rPr>
                <w:iCs/>
              </w:rPr>
            </w:pPr>
            <w:r>
              <w:rPr>
                <w:iCs/>
              </w:rPr>
              <w:t>312 (62.2%)</w:t>
            </w:r>
          </w:p>
        </w:tc>
        <w:tc>
          <w:tcPr>
            <w:tcW w:w="1620" w:type="dxa"/>
            <w:tcBorders>
              <w:top w:val="nil"/>
              <w:left w:val="nil"/>
              <w:bottom w:val="nil"/>
              <w:insideH w:val="nil"/>
              <w:right w:val="nil"/>
              <w:insideV w:val="nil"/>
            </w:tcBorders>
            <w:shd w:fill="auto" w:val="clear"/>
          </w:tcPr>
          <w:p>
            <w:pPr>
              <w:pStyle w:val="Normal"/>
              <w:rPr>
                <w:iCs/>
              </w:rPr>
            </w:pPr>
            <w:r>
              <w:rPr>
                <w:iCs/>
              </w:rPr>
              <w:t>0.35</w:t>
            </w:r>
          </w:p>
        </w:tc>
      </w:tr>
      <w:tr>
        <w:trPr>
          <w:cantSplit w:val="false"/>
        </w:trPr>
        <w:tc>
          <w:tcPr>
            <w:tcW w:w="4680" w:type="dxa"/>
            <w:tcBorders>
              <w:top w:val="nil"/>
              <w:left w:val="nil"/>
              <w:bottom w:val="nil"/>
              <w:insideH w:val="nil"/>
              <w:right w:val="nil"/>
              <w:insideV w:val="nil"/>
            </w:tcBorders>
            <w:shd w:fill="auto" w:val="clear"/>
          </w:tcPr>
          <w:p>
            <w:pPr>
              <w:pStyle w:val="Normal"/>
              <w:rPr/>
            </w:pPr>
            <w:r>
              <w:rPr/>
              <w:t>Indication (n,%)</w:t>
            </w:r>
          </w:p>
          <w:p>
            <w:pPr>
              <w:pStyle w:val="Normal"/>
              <w:rPr/>
            </w:pPr>
            <w:r>
              <w:rPr/>
              <w:t xml:space="preserve">  </w:t>
            </w:r>
            <w:r>
              <w:rPr/>
              <w:t>Atrial Fibrillation</w:t>
            </w:r>
          </w:p>
          <w:p>
            <w:pPr>
              <w:pStyle w:val="Normal"/>
              <w:rPr/>
            </w:pPr>
            <w:r>
              <w:rPr/>
              <w:t xml:space="preserve">  </w:t>
            </w:r>
            <w:r>
              <w:rPr/>
              <w:t>Venous Thrombembolism</w:t>
            </w:r>
          </w:p>
          <w:p>
            <w:pPr>
              <w:pStyle w:val="Normal"/>
              <w:rPr/>
            </w:pPr>
            <w:r>
              <w:rPr/>
              <w:t xml:space="preserve">  </w:t>
            </w:r>
            <w:r>
              <w:rPr/>
              <w:t>Mechanical Valve Replacement</w:t>
            </w:r>
          </w:p>
          <w:p>
            <w:pPr>
              <w:pStyle w:val="Normal"/>
              <w:rPr/>
            </w:pPr>
            <w:r>
              <w:rPr/>
              <w:t xml:space="preserve">  </w:t>
            </w:r>
            <w:r>
              <w:rPr/>
              <w:t>Other Diagnoses</w:t>
            </w:r>
          </w:p>
        </w:tc>
        <w:tc>
          <w:tcPr>
            <w:tcW w:w="1800" w:type="dxa"/>
            <w:tcBorders>
              <w:top w:val="nil"/>
              <w:left w:val="nil"/>
              <w:bottom w:val="nil"/>
              <w:insideH w:val="nil"/>
              <w:right w:val="nil"/>
              <w:insideV w:val="nil"/>
            </w:tcBorders>
            <w:shd w:fill="auto" w:val="clear"/>
          </w:tcPr>
          <w:p>
            <w:pPr>
              <w:pStyle w:val="Normal"/>
              <w:snapToGrid w:val="false"/>
              <w:rPr/>
            </w:pPr>
            <w:r>
              <w:rPr/>
            </w:r>
          </w:p>
          <w:p>
            <w:pPr>
              <w:pStyle w:val="Normal"/>
              <w:rPr/>
            </w:pPr>
            <w:r>
              <w:rPr/>
              <w:t>50 (40.0%)</w:t>
            </w:r>
          </w:p>
          <w:p>
            <w:pPr>
              <w:pStyle w:val="Normal"/>
              <w:rPr/>
            </w:pPr>
            <w:r>
              <w:rPr/>
              <w:t>24 (19.2%)</w:t>
            </w:r>
          </w:p>
          <w:p>
            <w:pPr>
              <w:pStyle w:val="Normal"/>
              <w:rPr/>
            </w:pPr>
            <w:r>
              <w:rPr/>
              <w:t>30 (24.0%)</w:t>
            </w:r>
          </w:p>
          <w:p>
            <w:pPr>
              <w:pStyle w:val="Normal"/>
              <w:rPr/>
            </w:pPr>
            <w:r>
              <w:rPr/>
              <w:t>21 (16.8%)</w:t>
            </w:r>
          </w:p>
        </w:tc>
        <w:tc>
          <w:tcPr>
            <w:tcW w:w="1856" w:type="dxa"/>
            <w:tcBorders>
              <w:top w:val="nil"/>
              <w:left w:val="nil"/>
              <w:bottom w:val="nil"/>
              <w:insideH w:val="nil"/>
              <w:right w:val="nil"/>
              <w:insideV w:val="nil"/>
            </w:tcBorders>
            <w:shd w:fill="auto" w:val="clear"/>
          </w:tcPr>
          <w:p>
            <w:pPr>
              <w:pStyle w:val="Normal"/>
              <w:snapToGrid w:val="false"/>
              <w:rPr>
                <w:iCs/>
              </w:rPr>
            </w:pPr>
            <w:r>
              <w:rPr>
                <w:iCs/>
              </w:rPr>
            </w:r>
          </w:p>
          <w:p>
            <w:pPr>
              <w:pStyle w:val="Normal"/>
              <w:rPr>
                <w:iCs/>
              </w:rPr>
            </w:pPr>
            <w:r>
              <w:rPr>
                <w:iCs/>
              </w:rPr>
              <w:t>184 (36.7%)</w:t>
            </w:r>
          </w:p>
          <w:p>
            <w:pPr>
              <w:pStyle w:val="Normal"/>
              <w:rPr>
                <w:iCs/>
              </w:rPr>
            </w:pPr>
            <w:r>
              <w:rPr>
                <w:iCs/>
              </w:rPr>
              <w:t>123 (24.5%)</w:t>
            </w:r>
          </w:p>
          <w:p>
            <w:pPr>
              <w:pStyle w:val="Normal"/>
              <w:rPr>
                <w:iCs/>
              </w:rPr>
            </w:pPr>
            <w:r>
              <w:rPr>
                <w:iCs/>
              </w:rPr>
              <w:t>118 (23.5%)</w:t>
            </w:r>
          </w:p>
          <w:p>
            <w:pPr>
              <w:pStyle w:val="Normal"/>
              <w:rPr>
                <w:iCs/>
              </w:rPr>
            </w:pPr>
            <w:r>
              <w:rPr>
                <w:iCs/>
              </w:rPr>
              <w:t xml:space="preserve"> </w:t>
            </w:r>
            <w:r>
              <w:rPr>
                <w:iCs/>
              </w:rPr>
              <w:t>77 (15.3%)</w:t>
            </w:r>
          </w:p>
        </w:tc>
        <w:tc>
          <w:tcPr>
            <w:tcW w:w="1620" w:type="dxa"/>
            <w:tcBorders>
              <w:top w:val="nil"/>
              <w:left w:val="nil"/>
              <w:bottom w:val="nil"/>
              <w:insideH w:val="nil"/>
              <w:right w:val="nil"/>
              <w:insideV w:val="nil"/>
            </w:tcBorders>
            <w:shd w:fill="auto" w:val="clear"/>
          </w:tcPr>
          <w:p>
            <w:pPr>
              <w:pStyle w:val="Normal"/>
              <w:snapToGrid w:val="false"/>
              <w:rPr>
                <w:iCs/>
              </w:rPr>
            </w:pPr>
            <w:r>
              <w:rPr>
                <w:iCs/>
              </w:rPr>
            </w:r>
          </w:p>
          <w:p>
            <w:pPr>
              <w:pStyle w:val="Normal"/>
              <w:rPr>
                <w:iCs/>
              </w:rPr>
            </w:pPr>
            <w:r>
              <w:rPr>
                <w:iCs/>
              </w:rPr>
              <w:t>0.49</w:t>
            </w:r>
          </w:p>
          <w:p>
            <w:pPr>
              <w:pStyle w:val="Normal"/>
              <w:rPr>
                <w:iCs/>
              </w:rPr>
            </w:pPr>
            <w:r>
              <w:rPr>
                <w:iCs/>
              </w:rPr>
              <w:t>0.21</w:t>
            </w:r>
          </w:p>
          <w:p>
            <w:pPr>
              <w:pStyle w:val="Normal"/>
              <w:rPr>
                <w:iCs/>
              </w:rPr>
            </w:pPr>
            <w:r>
              <w:rPr>
                <w:iCs/>
              </w:rPr>
              <w:t>0.90</w:t>
            </w:r>
          </w:p>
          <w:p>
            <w:pPr>
              <w:pStyle w:val="Normal"/>
              <w:rPr>
                <w:iCs/>
              </w:rPr>
            </w:pPr>
            <w:r>
              <w:rPr>
                <w:iCs/>
              </w:rPr>
              <w:t>0.69</w:t>
            </w:r>
          </w:p>
        </w:tc>
      </w:tr>
      <w:tr>
        <w:trPr>
          <w:cantSplit w:val="false"/>
        </w:trPr>
        <w:tc>
          <w:tcPr>
            <w:tcW w:w="4680" w:type="dxa"/>
            <w:tcBorders>
              <w:top w:val="nil"/>
              <w:left w:val="nil"/>
              <w:bottom w:val="nil"/>
              <w:insideH w:val="nil"/>
              <w:right w:val="nil"/>
              <w:insideV w:val="nil"/>
            </w:tcBorders>
            <w:shd w:fill="auto" w:val="clear"/>
          </w:tcPr>
          <w:p>
            <w:pPr>
              <w:pStyle w:val="Normal"/>
              <w:rPr/>
            </w:pPr>
            <w:r>
              <w:rPr/>
              <w:t>PMH:</w:t>
            </w:r>
          </w:p>
          <w:p>
            <w:pPr>
              <w:pStyle w:val="Normal"/>
              <w:rPr/>
            </w:pPr>
            <w:r>
              <w:rPr/>
              <w:t xml:space="preserve">   </w:t>
            </w:r>
            <w:r>
              <w:rPr/>
              <w:t>No Concurrent Conditions</w:t>
            </w:r>
          </w:p>
          <w:p>
            <w:pPr>
              <w:pStyle w:val="Normal"/>
              <w:rPr/>
            </w:pPr>
            <w:r>
              <w:rPr/>
              <w:t xml:space="preserve">   </w:t>
            </w:r>
            <w:r>
              <w:rPr/>
              <w:t>CHF</w:t>
            </w:r>
          </w:p>
          <w:p>
            <w:pPr>
              <w:pStyle w:val="Normal"/>
              <w:rPr/>
            </w:pPr>
            <w:r>
              <w:rPr/>
              <w:t xml:space="preserve">   </w:t>
            </w:r>
            <w:r>
              <w:rPr/>
              <w:t>Liver Disease</w:t>
            </w:r>
          </w:p>
          <w:p>
            <w:pPr>
              <w:pStyle w:val="Normal"/>
              <w:rPr/>
            </w:pPr>
            <w:r>
              <w:rPr/>
              <w:t xml:space="preserve">   </w:t>
            </w:r>
            <w:r>
              <w:rPr/>
              <w:t>Diabetes</w:t>
            </w:r>
          </w:p>
          <w:p>
            <w:pPr>
              <w:pStyle w:val="Normal"/>
              <w:rPr/>
            </w:pPr>
            <w:r>
              <w:rPr/>
              <w:t xml:space="preserve">   </w:t>
            </w:r>
            <w:r>
              <w:rPr/>
              <w:t>Hypertension</w:t>
            </w:r>
          </w:p>
          <w:p>
            <w:pPr>
              <w:pStyle w:val="Normal"/>
              <w:rPr/>
            </w:pPr>
            <w:r>
              <w:rPr/>
              <w:t xml:space="preserve">   </w:t>
            </w:r>
            <w:r>
              <w:rPr/>
              <w:t>Renal Dysfunction</w:t>
            </w:r>
          </w:p>
          <w:p>
            <w:pPr>
              <w:pStyle w:val="Normal"/>
              <w:rPr/>
            </w:pPr>
            <w:r>
              <w:rPr/>
              <w:t xml:space="preserve">   </w:t>
            </w:r>
            <w:r>
              <w:rPr/>
              <w:t>Malignancy</w:t>
            </w:r>
          </w:p>
          <w:p>
            <w:pPr>
              <w:pStyle w:val="Normal"/>
              <w:rPr/>
            </w:pPr>
            <w:r>
              <w:rPr/>
              <w:t xml:space="preserve">   </w:t>
            </w:r>
            <w:r>
              <w:rPr/>
              <w:t>Hyperlipidemia</w:t>
            </w:r>
          </w:p>
          <w:p>
            <w:pPr>
              <w:pStyle w:val="Normal"/>
              <w:rPr/>
            </w:pPr>
            <w:r>
              <w:rPr/>
              <w:t xml:space="preserve">   </w:t>
            </w:r>
            <w:r>
              <w:rPr/>
              <w:t>Thyroid Disease</w:t>
            </w:r>
          </w:p>
          <w:p>
            <w:pPr>
              <w:pStyle w:val="Normal"/>
              <w:rPr/>
            </w:pPr>
            <w:r>
              <w:rPr/>
              <w:t xml:space="preserve">   </w:t>
            </w:r>
            <w:r>
              <w:rPr/>
              <w:t>Systemic Embolism</w:t>
            </w:r>
          </w:p>
        </w:tc>
        <w:tc>
          <w:tcPr>
            <w:tcW w:w="1800" w:type="dxa"/>
            <w:tcBorders>
              <w:top w:val="nil"/>
              <w:left w:val="nil"/>
              <w:bottom w:val="nil"/>
              <w:insideH w:val="nil"/>
              <w:right w:val="nil"/>
              <w:insideV w:val="nil"/>
            </w:tcBorders>
            <w:shd w:fill="auto" w:val="clear"/>
          </w:tcPr>
          <w:p>
            <w:pPr>
              <w:pStyle w:val="Normal"/>
              <w:snapToGrid w:val="false"/>
              <w:rPr/>
            </w:pPr>
            <w:r>
              <w:rPr/>
            </w:r>
          </w:p>
          <w:p>
            <w:pPr>
              <w:pStyle w:val="Normal"/>
              <w:rPr/>
            </w:pPr>
            <w:r>
              <w:rPr/>
              <w:t>30 (24.0%)</w:t>
            </w:r>
          </w:p>
          <w:p>
            <w:pPr>
              <w:pStyle w:val="Normal"/>
              <w:rPr/>
            </w:pPr>
            <w:r>
              <w:rPr/>
              <w:t>35 (28.0%)</w:t>
            </w:r>
          </w:p>
          <w:p>
            <w:pPr>
              <w:pStyle w:val="Normal"/>
              <w:rPr/>
            </w:pPr>
            <w:r>
              <w:rPr/>
              <w:t>10 (8.0%)</w:t>
            </w:r>
          </w:p>
          <w:p>
            <w:pPr>
              <w:pStyle w:val="Normal"/>
              <w:rPr/>
            </w:pPr>
            <w:r>
              <w:rPr/>
              <w:t>17 (13.6%)</w:t>
            </w:r>
          </w:p>
          <w:p>
            <w:pPr>
              <w:pStyle w:val="Normal"/>
              <w:rPr/>
            </w:pPr>
            <w:r>
              <w:rPr/>
              <w:t>45 (36.0%)</w:t>
            </w:r>
          </w:p>
          <w:p>
            <w:pPr>
              <w:pStyle w:val="Normal"/>
              <w:rPr/>
            </w:pPr>
            <w:r>
              <w:rPr/>
              <w:t>8 (6.4%)</w:t>
            </w:r>
          </w:p>
          <w:p>
            <w:pPr>
              <w:pStyle w:val="Normal"/>
              <w:rPr/>
            </w:pPr>
            <w:r>
              <w:rPr/>
              <w:t>6 (4.8%)</w:t>
            </w:r>
          </w:p>
          <w:p>
            <w:pPr>
              <w:pStyle w:val="Normal"/>
              <w:rPr/>
            </w:pPr>
            <w:r>
              <w:rPr/>
              <w:t>31 (24.8%)</w:t>
            </w:r>
          </w:p>
          <w:p>
            <w:pPr>
              <w:pStyle w:val="Normal"/>
              <w:rPr/>
            </w:pPr>
            <w:r>
              <w:rPr/>
              <w:t>18 (14.4%)</w:t>
            </w:r>
          </w:p>
          <w:p>
            <w:pPr>
              <w:pStyle w:val="Normal"/>
              <w:rPr/>
            </w:pPr>
            <w:r>
              <w:rPr/>
              <w:t>39 (31.2%)</w:t>
            </w:r>
          </w:p>
        </w:tc>
        <w:tc>
          <w:tcPr>
            <w:tcW w:w="1856" w:type="dxa"/>
            <w:tcBorders>
              <w:top w:val="nil"/>
              <w:left w:val="nil"/>
              <w:bottom w:val="nil"/>
              <w:insideH w:val="nil"/>
              <w:right w:val="nil"/>
              <w:insideV w:val="nil"/>
            </w:tcBorders>
            <w:shd w:fill="auto" w:val="clear"/>
          </w:tcPr>
          <w:p>
            <w:pPr>
              <w:pStyle w:val="Normal"/>
              <w:snapToGrid w:val="false"/>
              <w:rPr/>
            </w:pPr>
            <w:r>
              <w:rPr/>
            </w:r>
          </w:p>
          <w:p>
            <w:pPr>
              <w:pStyle w:val="Normal"/>
              <w:rPr/>
            </w:pPr>
            <w:r>
              <w:rPr/>
              <w:t>151 (30.1%)</w:t>
            </w:r>
          </w:p>
          <w:p>
            <w:pPr>
              <w:pStyle w:val="Normal"/>
              <w:rPr/>
            </w:pPr>
            <w:r>
              <w:rPr/>
              <w:t>108 (21.5%)</w:t>
            </w:r>
          </w:p>
          <w:p>
            <w:pPr>
              <w:pStyle w:val="Normal"/>
              <w:rPr/>
            </w:pPr>
            <w:r>
              <w:rPr/>
              <w:t>35 (7.0%)</w:t>
            </w:r>
          </w:p>
          <w:p>
            <w:pPr>
              <w:pStyle w:val="Normal"/>
              <w:rPr/>
            </w:pPr>
            <w:r>
              <w:rPr/>
              <w:t>58 (11.6%)</w:t>
            </w:r>
          </w:p>
          <w:p>
            <w:pPr>
              <w:pStyle w:val="Normal"/>
              <w:rPr/>
            </w:pPr>
            <w:r>
              <w:rPr/>
              <w:t>173 (34.5%)</w:t>
            </w:r>
          </w:p>
          <w:p>
            <w:pPr>
              <w:pStyle w:val="Normal"/>
              <w:rPr/>
            </w:pPr>
            <w:r>
              <w:rPr/>
              <w:t>42 (8.4%)</w:t>
            </w:r>
          </w:p>
          <w:p>
            <w:pPr>
              <w:pStyle w:val="Normal"/>
              <w:rPr/>
            </w:pPr>
            <w:r>
              <w:rPr/>
              <w:t>29 (5.8%)</w:t>
            </w:r>
          </w:p>
          <w:p>
            <w:pPr>
              <w:pStyle w:val="Normal"/>
              <w:rPr/>
            </w:pPr>
            <w:r>
              <w:rPr/>
              <w:t>129 (25.7%)</w:t>
            </w:r>
          </w:p>
          <w:p>
            <w:pPr>
              <w:pStyle w:val="Normal"/>
              <w:rPr/>
            </w:pPr>
            <w:r>
              <w:rPr/>
              <w:t>56 (11.2%)</w:t>
            </w:r>
          </w:p>
          <w:p>
            <w:pPr>
              <w:pStyle w:val="Normal"/>
              <w:rPr/>
            </w:pPr>
            <w:r>
              <w:rPr/>
              <w:t>117 (23.3%)</w:t>
            </w:r>
          </w:p>
        </w:tc>
        <w:tc>
          <w:tcPr>
            <w:tcW w:w="1620" w:type="dxa"/>
            <w:tcBorders>
              <w:top w:val="nil"/>
              <w:left w:val="nil"/>
              <w:bottom w:val="nil"/>
              <w:insideH w:val="nil"/>
              <w:right w:val="nil"/>
              <w:insideV w:val="nil"/>
            </w:tcBorders>
            <w:shd w:fill="auto" w:val="clear"/>
          </w:tcPr>
          <w:p>
            <w:pPr>
              <w:pStyle w:val="Normal"/>
              <w:snapToGrid w:val="false"/>
              <w:rPr/>
            </w:pPr>
            <w:r>
              <w:rPr/>
            </w:r>
          </w:p>
          <w:p>
            <w:pPr>
              <w:pStyle w:val="Normal"/>
              <w:rPr/>
            </w:pPr>
            <w:r>
              <w:rPr/>
              <w:t>0.18</w:t>
            </w:r>
          </w:p>
          <w:p>
            <w:pPr>
              <w:pStyle w:val="Normal"/>
              <w:rPr/>
            </w:pPr>
            <w:r>
              <w:rPr/>
              <w:t>0.12</w:t>
            </w:r>
          </w:p>
          <w:p>
            <w:pPr>
              <w:pStyle w:val="Normal"/>
              <w:rPr/>
            </w:pPr>
            <w:r>
              <w:rPr/>
              <w:t>0.69</w:t>
            </w:r>
          </w:p>
          <w:p>
            <w:pPr>
              <w:pStyle w:val="Normal"/>
              <w:rPr/>
            </w:pPr>
            <w:r>
              <w:rPr/>
              <w:t>0.53</w:t>
            </w:r>
          </w:p>
          <w:p>
            <w:pPr>
              <w:pStyle w:val="Normal"/>
              <w:rPr/>
            </w:pPr>
            <w:r>
              <w:rPr/>
              <w:t>0.75</w:t>
            </w:r>
          </w:p>
          <w:p>
            <w:pPr>
              <w:pStyle w:val="Normal"/>
              <w:rPr/>
            </w:pPr>
            <w:r>
              <w:rPr/>
              <w:t>0.47</w:t>
            </w:r>
          </w:p>
          <w:p>
            <w:pPr>
              <w:pStyle w:val="Normal"/>
              <w:rPr/>
            </w:pPr>
            <w:r>
              <w:rPr/>
              <w:t>0.67</w:t>
            </w:r>
          </w:p>
          <w:p>
            <w:pPr>
              <w:pStyle w:val="Normal"/>
              <w:rPr/>
            </w:pPr>
            <w:r>
              <w:rPr/>
              <w:t>0.84</w:t>
            </w:r>
          </w:p>
          <w:p>
            <w:pPr>
              <w:pStyle w:val="Normal"/>
              <w:rPr/>
            </w:pPr>
            <w:r>
              <w:rPr/>
              <w:t>0.31</w:t>
            </w:r>
          </w:p>
          <w:p>
            <w:pPr>
              <w:pStyle w:val="Normal"/>
              <w:rPr/>
            </w:pPr>
            <w:r>
              <w:rPr/>
              <w:t>0.07</w:t>
            </w:r>
          </w:p>
        </w:tc>
      </w:tr>
      <w:tr>
        <w:trPr>
          <w:cantSplit w:val="false"/>
        </w:trPr>
        <w:tc>
          <w:tcPr>
            <w:tcW w:w="4680" w:type="dxa"/>
            <w:tcBorders>
              <w:top w:val="nil"/>
              <w:left w:val="nil"/>
              <w:bottom w:val="nil"/>
              <w:insideH w:val="nil"/>
              <w:right w:val="nil"/>
              <w:insideV w:val="nil"/>
            </w:tcBorders>
            <w:shd w:fill="auto" w:val="clear"/>
          </w:tcPr>
          <w:p>
            <w:pPr>
              <w:pStyle w:val="Normal"/>
              <w:rPr/>
            </w:pPr>
            <w:r>
              <w:rPr/>
              <w:t>Target INR Range (n,%):</w:t>
            </w:r>
          </w:p>
          <w:p>
            <w:pPr>
              <w:pStyle w:val="Normal"/>
              <w:rPr/>
            </w:pPr>
            <w:r>
              <w:rPr/>
              <w:t xml:space="preserve">     </w:t>
            </w:r>
            <w:r>
              <w:rPr/>
              <w:t>2.0-3.0</w:t>
            </w:r>
          </w:p>
          <w:p>
            <w:pPr>
              <w:pStyle w:val="Normal"/>
              <w:rPr/>
            </w:pPr>
            <w:r>
              <w:rPr/>
              <w:t xml:space="preserve">     </w:t>
            </w:r>
            <w:r>
              <w:rPr/>
              <w:t>2.5-3.5</w:t>
            </w:r>
          </w:p>
          <w:p>
            <w:pPr>
              <w:pStyle w:val="Normal"/>
              <w:rPr/>
            </w:pPr>
            <w:r>
              <w:rPr/>
              <w:t xml:space="preserve">     </w:t>
            </w:r>
            <w:r>
              <w:rPr/>
              <w:t>Other</w:t>
            </w:r>
          </w:p>
        </w:tc>
        <w:tc>
          <w:tcPr>
            <w:tcW w:w="1800" w:type="dxa"/>
            <w:tcBorders>
              <w:top w:val="nil"/>
              <w:left w:val="nil"/>
              <w:bottom w:val="nil"/>
              <w:insideH w:val="nil"/>
              <w:right w:val="nil"/>
              <w:insideV w:val="nil"/>
            </w:tcBorders>
            <w:shd w:fill="auto" w:val="clear"/>
          </w:tcPr>
          <w:p>
            <w:pPr>
              <w:pStyle w:val="Normal"/>
              <w:snapToGrid w:val="false"/>
              <w:rPr/>
            </w:pPr>
            <w:r>
              <w:rPr/>
            </w:r>
          </w:p>
          <w:p>
            <w:pPr>
              <w:pStyle w:val="Normal"/>
              <w:rPr/>
            </w:pPr>
            <w:r>
              <w:rPr/>
              <w:t>84 (67.2%)</w:t>
            </w:r>
          </w:p>
          <w:p>
            <w:pPr>
              <w:pStyle w:val="Normal"/>
              <w:rPr/>
            </w:pPr>
            <w:r>
              <w:rPr/>
              <w:t>30 (24.0%)</w:t>
            </w:r>
          </w:p>
          <w:p>
            <w:pPr>
              <w:pStyle w:val="Normal"/>
              <w:rPr/>
            </w:pPr>
            <w:r>
              <w:rPr/>
              <w:t>11 (8.8%)</w:t>
            </w:r>
          </w:p>
        </w:tc>
        <w:tc>
          <w:tcPr>
            <w:tcW w:w="1856" w:type="dxa"/>
            <w:tcBorders>
              <w:top w:val="nil"/>
              <w:left w:val="nil"/>
              <w:bottom w:val="nil"/>
              <w:insideH w:val="nil"/>
              <w:right w:val="nil"/>
              <w:insideV w:val="nil"/>
            </w:tcBorders>
            <w:shd w:fill="auto" w:val="clear"/>
          </w:tcPr>
          <w:p>
            <w:pPr>
              <w:pStyle w:val="Normal"/>
              <w:snapToGrid w:val="false"/>
              <w:rPr/>
            </w:pPr>
            <w:r>
              <w:rPr/>
            </w:r>
          </w:p>
          <w:p>
            <w:pPr>
              <w:pStyle w:val="Normal"/>
              <w:rPr/>
            </w:pPr>
            <w:r>
              <w:rPr/>
              <w:t>354 (70.5%)</w:t>
            </w:r>
          </w:p>
          <w:p>
            <w:pPr>
              <w:pStyle w:val="Normal"/>
              <w:rPr/>
            </w:pPr>
            <w:r>
              <w:rPr/>
              <w:t>111 (22.1%)</w:t>
            </w:r>
          </w:p>
          <w:p>
            <w:pPr>
              <w:pStyle w:val="Normal"/>
              <w:rPr/>
            </w:pPr>
            <w:r>
              <w:rPr/>
              <w:t xml:space="preserve"> </w:t>
            </w:r>
            <w:r>
              <w:rPr/>
              <w:t>37 (7.4%)</w:t>
            </w:r>
          </w:p>
        </w:tc>
        <w:tc>
          <w:tcPr>
            <w:tcW w:w="1620" w:type="dxa"/>
            <w:tcBorders>
              <w:top w:val="nil"/>
              <w:left w:val="nil"/>
              <w:bottom w:val="nil"/>
              <w:insideH w:val="nil"/>
              <w:right w:val="nil"/>
              <w:insideV w:val="nil"/>
            </w:tcBorders>
            <w:shd w:fill="auto" w:val="clear"/>
          </w:tcPr>
          <w:p>
            <w:pPr>
              <w:pStyle w:val="Normal"/>
              <w:rPr/>
            </w:pPr>
            <w:r>
              <w:rPr/>
              <w:t>0.75</w:t>
            </w:r>
          </w:p>
        </w:tc>
      </w:tr>
    </w:tbl>
    <w:p>
      <w:pPr>
        <w:pStyle w:val="Normal"/>
        <w:rPr/>
      </w:pPr>
      <w:r>
        <w:rPr/>
        <w:t>*Wilcoxon Test</w:t>
      </w:r>
    </w:p>
    <w:p>
      <w:pPr>
        <w:pStyle w:val="Normal"/>
        <w:rPr/>
      </w:pPr>
      <w:r>
        <w:rPr/>
      </w:r>
    </w:p>
    <w:p>
      <w:pPr>
        <w:pStyle w:val="Normal"/>
        <w:rPr/>
      </w:pPr>
      <w:r>
        <w:rPr/>
      </w:r>
    </w:p>
    <w:p>
      <w:pPr>
        <w:pStyle w:val="Normal"/>
        <w:rPr>
          <w:b/>
          <w:bCs/>
        </w:rPr>
      </w:pPr>
      <w:r>
        <w:rPr>
          <w:b/>
          <w:bCs/>
        </w:rPr>
        <w:t>Table 2:  Proportion of Time in INR Range</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538"/>
        <w:gridCol w:w="717"/>
        <w:gridCol w:w="2299"/>
        <w:gridCol w:w="2121"/>
        <w:gridCol w:w="1225"/>
      </w:tblGrid>
      <w:tr>
        <w:trPr>
          <w:cantSplit w:val="false"/>
        </w:trPr>
        <w:tc>
          <w:tcPr>
            <w:tcW w:w="3538" w:type="dxa"/>
            <w:tcBorders>
              <w:top w:val="nil"/>
              <w:left w:val="nil"/>
              <w:bottom w:val="nil"/>
              <w:insideH w:val="nil"/>
              <w:right w:val="nil"/>
              <w:insideV w:val="nil"/>
            </w:tcBorders>
            <w:shd w:fill="auto" w:val="clear"/>
          </w:tcPr>
          <w:p>
            <w:pPr>
              <w:pStyle w:val="Normal"/>
              <w:snapToGrid w:val="false"/>
              <w:rPr/>
            </w:pPr>
            <w:r>
              <w:rPr/>
            </w:r>
          </w:p>
        </w:tc>
        <w:tc>
          <w:tcPr>
            <w:tcW w:w="717" w:type="dxa"/>
            <w:tcBorders>
              <w:top w:val="nil"/>
              <w:left w:val="nil"/>
              <w:bottom w:val="nil"/>
              <w:insideH w:val="nil"/>
              <w:right w:val="nil"/>
              <w:insideV w:val="nil"/>
            </w:tcBorders>
            <w:shd w:fill="auto" w:val="clear"/>
          </w:tcPr>
          <w:p>
            <w:pPr>
              <w:pStyle w:val="Normal"/>
              <w:rPr/>
            </w:pPr>
            <w:r>
              <w:rPr/>
              <w:t>N</w:t>
            </w:r>
          </w:p>
        </w:tc>
        <w:tc>
          <w:tcPr>
            <w:tcW w:w="2299" w:type="dxa"/>
            <w:tcBorders>
              <w:top w:val="nil"/>
              <w:left w:val="nil"/>
              <w:bottom w:val="nil"/>
              <w:insideH w:val="nil"/>
              <w:right w:val="nil"/>
              <w:insideV w:val="nil"/>
            </w:tcBorders>
            <w:shd w:fill="auto" w:val="clear"/>
          </w:tcPr>
          <w:p>
            <w:pPr>
              <w:pStyle w:val="Normal"/>
              <w:rPr/>
            </w:pPr>
            <w:r>
              <w:rPr/>
              <w:t>Prior to referral</w:t>
            </w:r>
          </w:p>
        </w:tc>
        <w:tc>
          <w:tcPr>
            <w:tcW w:w="2121" w:type="dxa"/>
            <w:tcBorders>
              <w:top w:val="nil"/>
              <w:left w:val="nil"/>
              <w:bottom w:val="nil"/>
              <w:insideH w:val="nil"/>
              <w:right w:val="nil"/>
              <w:insideV w:val="nil"/>
            </w:tcBorders>
            <w:shd w:fill="auto" w:val="clear"/>
          </w:tcPr>
          <w:p>
            <w:pPr>
              <w:pStyle w:val="Normal"/>
              <w:rPr/>
            </w:pPr>
            <w:r>
              <w:rPr/>
              <w:t>During AMS Care</w:t>
            </w:r>
          </w:p>
        </w:tc>
        <w:tc>
          <w:tcPr>
            <w:tcW w:w="1225" w:type="dxa"/>
            <w:tcBorders>
              <w:top w:val="nil"/>
              <w:left w:val="nil"/>
              <w:bottom w:val="nil"/>
              <w:insideH w:val="nil"/>
              <w:right w:val="nil"/>
              <w:insideV w:val="nil"/>
            </w:tcBorders>
            <w:shd w:fill="auto" w:val="clear"/>
          </w:tcPr>
          <w:p>
            <w:pPr>
              <w:pStyle w:val="Normal"/>
              <w:rPr/>
            </w:pPr>
            <w:r>
              <w:rPr/>
              <w:t>P</w:t>
            </w:r>
          </w:p>
        </w:tc>
      </w:tr>
      <w:tr>
        <w:trPr>
          <w:cantSplit w:val="false"/>
        </w:trPr>
        <w:tc>
          <w:tcPr>
            <w:tcW w:w="3538" w:type="dxa"/>
            <w:tcBorders>
              <w:top w:val="nil"/>
              <w:left w:val="nil"/>
              <w:bottom w:val="nil"/>
              <w:insideH w:val="nil"/>
              <w:right w:val="nil"/>
              <w:insideV w:val="nil"/>
            </w:tcBorders>
            <w:shd w:fill="auto" w:val="clear"/>
          </w:tcPr>
          <w:p>
            <w:pPr>
              <w:pStyle w:val="Normal"/>
              <w:rPr/>
            </w:pPr>
            <w:r>
              <w:rPr/>
              <w:t xml:space="preserve">Adequacy INR </w:t>
            </w:r>
            <w:r>
              <w:rPr>
                <w:u w:val="single"/>
              </w:rPr>
              <w:t>+</w:t>
            </w:r>
            <w:r>
              <w:rPr/>
              <w:t xml:space="preserve"> 0.5; Mean </w:t>
            </w:r>
            <w:r>
              <w:rPr>
                <w:u w:val="single"/>
              </w:rPr>
              <w:t>+</w:t>
            </w:r>
            <w:r>
              <w:rPr/>
              <w:t xml:space="preserve"> SD (Median, Lower-Upper Quartile)</w:t>
            </w:r>
          </w:p>
        </w:tc>
        <w:tc>
          <w:tcPr>
            <w:tcW w:w="717" w:type="dxa"/>
            <w:tcBorders>
              <w:top w:val="nil"/>
              <w:left w:val="nil"/>
              <w:bottom w:val="nil"/>
              <w:insideH w:val="nil"/>
              <w:right w:val="nil"/>
              <w:insideV w:val="nil"/>
            </w:tcBorders>
            <w:shd w:fill="auto" w:val="clear"/>
          </w:tcPr>
          <w:p>
            <w:pPr>
              <w:pStyle w:val="Normal"/>
              <w:rPr>
                <w:bCs/>
              </w:rPr>
            </w:pPr>
            <w:r>
              <w:rPr>
                <w:bCs/>
              </w:rPr>
              <w:t>125</w:t>
            </w:r>
          </w:p>
        </w:tc>
        <w:tc>
          <w:tcPr>
            <w:tcW w:w="2299" w:type="dxa"/>
            <w:tcBorders>
              <w:top w:val="nil"/>
              <w:left w:val="nil"/>
              <w:bottom w:val="nil"/>
              <w:insideH w:val="nil"/>
              <w:right w:val="nil"/>
              <w:insideV w:val="nil"/>
            </w:tcBorders>
            <w:shd w:fill="auto" w:val="clear"/>
          </w:tcPr>
          <w:p>
            <w:pPr>
              <w:pStyle w:val="Normal"/>
              <w:rPr/>
            </w:pPr>
            <w:r>
              <w:rPr/>
              <w:t xml:space="preserve">48.8 </w:t>
            </w:r>
            <w:r>
              <w:rPr>
                <w:u w:val="single"/>
              </w:rPr>
              <w:t>+</w:t>
            </w:r>
            <w:r>
              <w:rPr/>
              <w:t xml:space="preserve"> 23.6 (48.7; 32.3-66.2)</w:t>
            </w:r>
          </w:p>
        </w:tc>
        <w:tc>
          <w:tcPr>
            <w:tcW w:w="2121" w:type="dxa"/>
            <w:tcBorders>
              <w:top w:val="nil"/>
              <w:left w:val="nil"/>
              <w:bottom w:val="nil"/>
              <w:insideH w:val="nil"/>
              <w:right w:val="nil"/>
              <w:insideV w:val="nil"/>
            </w:tcBorders>
            <w:shd w:fill="auto" w:val="clear"/>
          </w:tcPr>
          <w:p>
            <w:pPr>
              <w:pStyle w:val="Normal"/>
              <w:rPr/>
            </w:pPr>
            <w:r>
              <w:rPr/>
              <w:t xml:space="preserve">66.5 </w:t>
            </w:r>
            <w:r>
              <w:rPr>
                <w:u w:val="single"/>
              </w:rPr>
              <w:t>+</w:t>
            </w:r>
            <w:r>
              <w:rPr/>
              <w:t xml:space="preserve"> 16.3 (69.2; 56.4-78.4)</w:t>
            </w:r>
          </w:p>
        </w:tc>
        <w:tc>
          <w:tcPr>
            <w:tcW w:w="1225" w:type="dxa"/>
            <w:tcBorders>
              <w:top w:val="nil"/>
              <w:left w:val="nil"/>
              <w:bottom w:val="nil"/>
              <w:insideH w:val="nil"/>
              <w:right w:val="nil"/>
              <w:insideV w:val="nil"/>
            </w:tcBorders>
            <w:shd w:fill="auto" w:val="clear"/>
          </w:tcPr>
          <w:p>
            <w:pPr>
              <w:pStyle w:val="Normal"/>
              <w:rPr/>
            </w:pPr>
            <w:r>
              <w:rPr/>
              <w:t>&lt;0.0001</w:t>
            </w:r>
          </w:p>
        </w:tc>
      </w:tr>
      <w:tr>
        <w:trPr>
          <w:cantSplit w:val="false"/>
        </w:trPr>
        <w:tc>
          <w:tcPr>
            <w:tcW w:w="3538" w:type="dxa"/>
            <w:tcBorders>
              <w:top w:val="nil"/>
              <w:left w:val="nil"/>
              <w:bottom w:val="nil"/>
              <w:insideH w:val="nil"/>
              <w:right w:val="nil"/>
              <w:insideV w:val="nil"/>
            </w:tcBorders>
            <w:shd w:fill="auto" w:val="clear"/>
          </w:tcPr>
          <w:p>
            <w:pPr>
              <w:pStyle w:val="Normal"/>
              <w:rPr/>
            </w:pPr>
            <w:r>
              <w:rPr/>
              <w:t xml:space="preserve">Adequacy INR </w:t>
            </w:r>
            <w:r>
              <w:rPr>
                <w:u w:val="single"/>
              </w:rPr>
              <w:t xml:space="preserve">+ </w:t>
            </w:r>
            <w:r>
              <w:rPr/>
              <w:t xml:space="preserve">0.7 Mean </w:t>
            </w:r>
            <w:r>
              <w:rPr>
                <w:u w:val="single"/>
              </w:rPr>
              <w:t>+</w:t>
            </w:r>
            <w:r>
              <w:rPr/>
              <w:t xml:space="preserve"> SD (Median, Lower-Upper Quartile)</w:t>
            </w:r>
          </w:p>
        </w:tc>
        <w:tc>
          <w:tcPr>
            <w:tcW w:w="717" w:type="dxa"/>
            <w:tcBorders>
              <w:top w:val="nil"/>
              <w:left w:val="nil"/>
              <w:bottom w:val="nil"/>
              <w:insideH w:val="nil"/>
              <w:right w:val="nil"/>
              <w:insideV w:val="nil"/>
            </w:tcBorders>
            <w:shd w:fill="auto" w:val="clear"/>
          </w:tcPr>
          <w:p>
            <w:pPr>
              <w:pStyle w:val="Normal"/>
              <w:rPr>
                <w:bCs/>
              </w:rPr>
            </w:pPr>
            <w:r>
              <w:rPr>
                <w:bCs/>
              </w:rPr>
              <w:t>125</w:t>
            </w:r>
          </w:p>
        </w:tc>
        <w:tc>
          <w:tcPr>
            <w:tcW w:w="2299" w:type="dxa"/>
            <w:tcBorders>
              <w:top w:val="nil"/>
              <w:left w:val="nil"/>
              <w:bottom w:val="nil"/>
              <w:insideH w:val="nil"/>
              <w:right w:val="nil"/>
              <w:insideV w:val="nil"/>
            </w:tcBorders>
            <w:shd w:fill="auto" w:val="clear"/>
          </w:tcPr>
          <w:p>
            <w:pPr>
              <w:pStyle w:val="Normal"/>
              <w:rPr/>
            </w:pPr>
            <w:r>
              <w:rPr/>
              <w:t xml:space="preserve">65.3 </w:t>
            </w:r>
            <w:r>
              <w:rPr>
                <w:u w:val="single"/>
              </w:rPr>
              <w:t>+</w:t>
            </w:r>
            <w:r>
              <w:rPr/>
              <w:t xml:space="preserve"> 22.3 (66.3; 49.9-83.6)</w:t>
            </w:r>
          </w:p>
        </w:tc>
        <w:tc>
          <w:tcPr>
            <w:tcW w:w="2121" w:type="dxa"/>
            <w:tcBorders>
              <w:top w:val="nil"/>
              <w:left w:val="nil"/>
              <w:bottom w:val="nil"/>
              <w:insideH w:val="nil"/>
              <w:right w:val="nil"/>
              <w:insideV w:val="nil"/>
            </w:tcBorders>
            <w:shd w:fill="auto" w:val="clear"/>
          </w:tcPr>
          <w:p>
            <w:pPr>
              <w:pStyle w:val="Normal"/>
              <w:rPr/>
            </w:pPr>
            <w:r>
              <w:rPr/>
              <w:t xml:space="preserve">81.7 </w:t>
            </w:r>
            <w:r>
              <w:rPr>
                <w:u w:val="single"/>
              </w:rPr>
              <w:t>+</w:t>
            </w:r>
            <w:r>
              <w:rPr/>
              <w:t xml:space="preserve"> 12.5 (84.0; 75.2-90.6)</w:t>
            </w:r>
          </w:p>
        </w:tc>
        <w:tc>
          <w:tcPr>
            <w:tcW w:w="1225" w:type="dxa"/>
            <w:tcBorders>
              <w:top w:val="nil"/>
              <w:left w:val="nil"/>
              <w:bottom w:val="nil"/>
              <w:insideH w:val="nil"/>
              <w:right w:val="nil"/>
              <w:insideV w:val="nil"/>
            </w:tcBorders>
            <w:shd w:fill="auto" w:val="clear"/>
          </w:tcPr>
          <w:p>
            <w:pPr>
              <w:pStyle w:val="Normal"/>
              <w:rPr/>
            </w:pPr>
            <w:r>
              <w:rPr/>
              <w:t>&lt;0.0001</w:t>
            </w:r>
          </w:p>
        </w:tc>
      </w:tr>
      <w:tr>
        <w:trPr>
          <w:cantSplit w:val="false"/>
        </w:trPr>
        <w:tc>
          <w:tcPr>
            <w:tcW w:w="3538" w:type="dxa"/>
            <w:tcBorders>
              <w:top w:val="nil"/>
              <w:left w:val="nil"/>
              <w:bottom w:val="nil"/>
              <w:insideH w:val="nil"/>
              <w:right w:val="nil"/>
              <w:insideV w:val="nil"/>
            </w:tcBorders>
            <w:shd w:fill="auto" w:val="clear"/>
          </w:tcPr>
          <w:p>
            <w:pPr>
              <w:pStyle w:val="Normal"/>
              <w:rPr/>
            </w:pPr>
            <w:r>
              <w:rPr/>
              <w:t xml:space="preserve">Duration of therapy (mo, Mean </w:t>
            </w:r>
            <w:r>
              <w:rPr>
                <w:u w:val="single"/>
              </w:rPr>
              <w:t>+</w:t>
            </w:r>
            <w:r>
              <w:rPr/>
              <w:t xml:space="preserve"> SD)</w:t>
            </w:r>
          </w:p>
        </w:tc>
        <w:tc>
          <w:tcPr>
            <w:tcW w:w="717" w:type="dxa"/>
            <w:tcBorders>
              <w:top w:val="nil"/>
              <w:left w:val="nil"/>
              <w:bottom w:val="nil"/>
              <w:insideH w:val="nil"/>
              <w:right w:val="nil"/>
              <w:insideV w:val="nil"/>
            </w:tcBorders>
            <w:shd w:fill="auto" w:val="clear"/>
          </w:tcPr>
          <w:p>
            <w:pPr>
              <w:pStyle w:val="Normal"/>
              <w:rPr>
                <w:bCs/>
              </w:rPr>
            </w:pPr>
            <w:r>
              <w:rPr>
                <w:bCs/>
              </w:rPr>
              <w:t>125</w:t>
            </w:r>
          </w:p>
        </w:tc>
        <w:tc>
          <w:tcPr>
            <w:tcW w:w="2299" w:type="dxa"/>
            <w:tcBorders>
              <w:top w:val="nil"/>
              <w:left w:val="nil"/>
              <w:bottom w:val="nil"/>
              <w:insideH w:val="nil"/>
              <w:right w:val="nil"/>
              <w:insideV w:val="nil"/>
            </w:tcBorders>
            <w:shd w:fill="auto" w:val="clear"/>
          </w:tcPr>
          <w:p>
            <w:pPr>
              <w:pStyle w:val="Normal"/>
              <w:rPr/>
            </w:pPr>
            <w:r>
              <w:rPr/>
              <w:t xml:space="preserve">10.7 </w:t>
            </w:r>
            <w:r>
              <w:rPr>
                <w:u w:val="single"/>
              </w:rPr>
              <w:t>+</w:t>
            </w:r>
            <w:r>
              <w:rPr/>
              <w:t xml:space="preserve"> 10.0; 1341.02 mo</w:t>
            </w:r>
          </w:p>
        </w:tc>
        <w:tc>
          <w:tcPr>
            <w:tcW w:w="2121" w:type="dxa"/>
            <w:tcBorders>
              <w:top w:val="nil"/>
              <w:left w:val="nil"/>
              <w:bottom w:val="nil"/>
              <w:insideH w:val="nil"/>
              <w:right w:val="nil"/>
              <w:insideV w:val="nil"/>
            </w:tcBorders>
            <w:shd w:fill="auto" w:val="clear"/>
          </w:tcPr>
          <w:p>
            <w:pPr>
              <w:pStyle w:val="Normal"/>
              <w:rPr/>
            </w:pPr>
            <w:r>
              <w:rPr/>
              <w:t xml:space="preserve">29.3 </w:t>
            </w:r>
            <w:r>
              <w:rPr>
                <w:u w:val="single"/>
              </w:rPr>
              <w:t>+</w:t>
            </w:r>
            <w:r>
              <w:rPr/>
              <w:t xml:space="preserve"> 13.1; 3660.72 mo</w:t>
            </w:r>
          </w:p>
        </w:tc>
        <w:tc>
          <w:tcPr>
            <w:tcW w:w="1225" w:type="dxa"/>
            <w:tcBorders>
              <w:top w:val="nil"/>
              <w:left w:val="nil"/>
              <w:bottom w:val="nil"/>
              <w:insideH w:val="nil"/>
              <w:right w:val="nil"/>
              <w:insideV w:val="nil"/>
            </w:tcBorders>
            <w:shd w:fill="auto" w:val="clear"/>
          </w:tcPr>
          <w:p>
            <w:pPr>
              <w:pStyle w:val="Normal"/>
              <w:rPr/>
            </w:pPr>
            <w:r>
              <w:rPr/>
              <w:t>&lt;0.0001</w:t>
            </w:r>
          </w:p>
        </w:tc>
      </w:tr>
    </w:tbl>
    <w:p>
      <w:pPr>
        <w:pStyle w:val="Normal"/>
        <w:rPr/>
      </w:pPr>
      <w:r>
        <w:rPr/>
      </w:r>
    </w:p>
    <w:p>
      <w:pPr>
        <w:pStyle w:val="Normal"/>
        <w:rPr/>
      </w:pPr>
      <w:r>
        <w:rPr/>
      </w:r>
    </w:p>
    <w:p>
      <w:pPr>
        <w:pStyle w:val="Normal"/>
        <w:pageBreakBefore/>
        <w:rPr>
          <w:b/>
        </w:rPr>
      </w:pPr>
      <w:r>
        <w:rPr>
          <w:b/>
        </w:rPr>
        <w:t>Table 3: AMS care- group comparison for adequacy</w:t>
      </w:r>
    </w:p>
    <w:tbl>
      <w:tblPr>
        <w:jc w:val="left"/>
        <w:tblInd w:w="-432" w:type="dxa"/>
        <w:tblBorders>
          <w:top w:val="nil"/>
          <w:left w:val="nil"/>
          <w:bottom w:val="nil"/>
          <w:insideH w:val="nil"/>
          <w:right w:val="nil"/>
          <w:insideV w:val="nil"/>
        </w:tblBorders>
        <w:tblCellMar>
          <w:top w:w="0" w:type="dxa"/>
          <w:left w:w="108" w:type="dxa"/>
          <w:bottom w:w="0" w:type="dxa"/>
          <w:right w:w="108" w:type="dxa"/>
        </w:tblCellMar>
      </w:tblPr>
      <w:tblGrid>
        <w:gridCol w:w="3600"/>
        <w:gridCol w:w="2340"/>
        <w:gridCol w:w="1980"/>
        <w:gridCol w:w="1368"/>
      </w:tblGrid>
      <w:tr>
        <w:trPr>
          <w:cantSplit w:val="false"/>
        </w:trPr>
        <w:tc>
          <w:tcPr>
            <w:tcW w:w="3600" w:type="dxa"/>
            <w:tcBorders>
              <w:top w:val="nil"/>
              <w:left w:val="nil"/>
              <w:bottom w:val="nil"/>
              <w:insideH w:val="nil"/>
              <w:right w:val="nil"/>
              <w:insideV w:val="nil"/>
            </w:tcBorders>
            <w:shd w:fill="auto" w:val="clear"/>
          </w:tcPr>
          <w:p>
            <w:pPr>
              <w:pStyle w:val="Normal"/>
              <w:snapToGrid w:val="false"/>
              <w:rPr/>
            </w:pPr>
            <w:r>
              <w:rPr/>
            </w:r>
          </w:p>
        </w:tc>
        <w:tc>
          <w:tcPr>
            <w:tcW w:w="2340" w:type="dxa"/>
            <w:tcBorders>
              <w:top w:val="nil"/>
              <w:left w:val="nil"/>
              <w:bottom w:val="nil"/>
              <w:insideH w:val="nil"/>
              <w:right w:val="nil"/>
              <w:insideV w:val="nil"/>
            </w:tcBorders>
            <w:shd w:fill="auto" w:val="clear"/>
          </w:tcPr>
          <w:p>
            <w:pPr>
              <w:pStyle w:val="Normal"/>
              <w:rPr/>
            </w:pPr>
            <w:r>
              <w:rPr/>
              <w:t>N=125</w:t>
            </w:r>
          </w:p>
        </w:tc>
        <w:tc>
          <w:tcPr>
            <w:tcW w:w="1980" w:type="dxa"/>
            <w:tcBorders>
              <w:top w:val="nil"/>
              <w:left w:val="nil"/>
              <w:bottom w:val="nil"/>
              <w:insideH w:val="nil"/>
              <w:right w:val="nil"/>
              <w:insideV w:val="nil"/>
            </w:tcBorders>
            <w:shd w:fill="auto" w:val="clear"/>
          </w:tcPr>
          <w:p>
            <w:pPr>
              <w:pStyle w:val="Normal"/>
              <w:rPr/>
            </w:pPr>
            <w:r>
              <w:rPr/>
              <w:t>N=502</w:t>
            </w:r>
          </w:p>
        </w:tc>
        <w:tc>
          <w:tcPr>
            <w:tcW w:w="1368" w:type="dxa"/>
            <w:tcBorders>
              <w:top w:val="nil"/>
              <w:left w:val="nil"/>
              <w:bottom w:val="nil"/>
              <w:insideH w:val="nil"/>
              <w:right w:val="nil"/>
              <w:insideV w:val="nil"/>
            </w:tcBorders>
            <w:shd w:fill="auto" w:val="clear"/>
          </w:tcPr>
          <w:p>
            <w:pPr>
              <w:pStyle w:val="Normal"/>
              <w:rPr>
                <w:b/>
              </w:rPr>
            </w:pPr>
            <w:r>
              <w:rPr>
                <w:b/>
              </w:rPr>
              <w:t>P-value</w:t>
            </w:r>
          </w:p>
        </w:tc>
      </w:tr>
      <w:tr>
        <w:trPr>
          <w:cantSplit w:val="false"/>
        </w:trPr>
        <w:tc>
          <w:tcPr>
            <w:tcW w:w="3600" w:type="dxa"/>
            <w:tcBorders>
              <w:top w:val="nil"/>
              <w:left w:val="nil"/>
              <w:bottom w:val="nil"/>
              <w:insideH w:val="nil"/>
              <w:right w:val="nil"/>
              <w:insideV w:val="nil"/>
            </w:tcBorders>
            <w:shd w:fill="auto" w:val="clear"/>
          </w:tcPr>
          <w:p>
            <w:pPr>
              <w:pStyle w:val="Normal"/>
              <w:rPr>
                <w:b/>
              </w:rPr>
            </w:pPr>
            <w:r>
              <w:rPr>
                <w:b/>
              </w:rPr>
              <w:t>(INR± 0.5)</w:t>
            </w:r>
          </w:p>
        </w:tc>
        <w:tc>
          <w:tcPr>
            <w:tcW w:w="2340" w:type="dxa"/>
            <w:tcBorders>
              <w:top w:val="nil"/>
              <w:left w:val="nil"/>
              <w:bottom w:val="nil"/>
              <w:insideH w:val="nil"/>
              <w:right w:val="nil"/>
              <w:insideV w:val="nil"/>
            </w:tcBorders>
            <w:shd w:fill="auto" w:val="clear"/>
          </w:tcPr>
          <w:p>
            <w:pPr>
              <w:pStyle w:val="Normal"/>
              <w:snapToGrid w:val="false"/>
              <w:rPr/>
            </w:pPr>
            <w:r>
              <w:rPr/>
            </w:r>
          </w:p>
        </w:tc>
        <w:tc>
          <w:tcPr>
            <w:tcW w:w="1980" w:type="dxa"/>
            <w:tcBorders>
              <w:top w:val="nil"/>
              <w:left w:val="nil"/>
              <w:bottom w:val="nil"/>
              <w:insideH w:val="nil"/>
              <w:right w:val="nil"/>
              <w:insideV w:val="nil"/>
            </w:tcBorders>
            <w:shd w:fill="auto" w:val="clear"/>
          </w:tcPr>
          <w:p>
            <w:pPr>
              <w:pStyle w:val="Normal"/>
              <w:snapToGrid w:val="false"/>
              <w:rPr/>
            </w:pPr>
            <w:r>
              <w:rPr/>
            </w:r>
          </w:p>
        </w:tc>
        <w:tc>
          <w:tcPr>
            <w:tcW w:w="1368" w:type="dxa"/>
            <w:tcBorders>
              <w:top w:val="nil"/>
              <w:left w:val="nil"/>
              <w:bottom w:val="nil"/>
              <w:insideH w:val="nil"/>
              <w:right w:val="nil"/>
              <w:insideV w:val="nil"/>
            </w:tcBorders>
            <w:shd w:fill="auto" w:val="clear"/>
          </w:tcPr>
          <w:p>
            <w:pPr>
              <w:pStyle w:val="Normal"/>
              <w:rPr/>
            </w:pPr>
            <w:r>
              <w:rPr/>
              <w:t>0.68</w:t>
            </w:r>
          </w:p>
        </w:tc>
      </w:tr>
      <w:tr>
        <w:trPr>
          <w:cantSplit w:val="false"/>
        </w:trPr>
        <w:tc>
          <w:tcPr>
            <w:tcW w:w="3600" w:type="dxa"/>
            <w:tcBorders>
              <w:top w:val="nil"/>
              <w:left w:val="nil"/>
              <w:bottom w:val="nil"/>
              <w:insideH w:val="nil"/>
              <w:right w:val="nil"/>
              <w:insideV w:val="nil"/>
            </w:tcBorders>
            <w:shd w:fill="auto" w:val="clear"/>
          </w:tcPr>
          <w:p>
            <w:pPr>
              <w:pStyle w:val="Normal"/>
              <w:rPr/>
            </w:pPr>
            <w:r>
              <w:rPr/>
              <w:t>(mean months ± SD)</w:t>
            </w:r>
          </w:p>
        </w:tc>
        <w:tc>
          <w:tcPr>
            <w:tcW w:w="2340" w:type="dxa"/>
            <w:tcBorders>
              <w:top w:val="nil"/>
              <w:left w:val="nil"/>
              <w:bottom w:val="nil"/>
              <w:insideH w:val="nil"/>
              <w:right w:val="nil"/>
              <w:insideV w:val="nil"/>
            </w:tcBorders>
            <w:shd w:fill="auto" w:val="clear"/>
          </w:tcPr>
          <w:p>
            <w:pPr>
              <w:pStyle w:val="Normal"/>
              <w:rPr/>
            </w:pPr>
            <w:r>
              <w:rPr/>
              <w:t>66.5 ± 16.3</w:t>
            </w:r>
          </w:p>
        </w:tc>
        <w:tc>
          <w:tcPr>
            <w:tcW w:w="1980" w:type="dxa"/>
            <w:tcBorders>
              <w:top w:val="nil"/>
              <w:left w:val="nil"/>
              <w:bottom w:val="nil"/>
              <w:insideH w:val="nil"/>
              <w:right w:val="nil"/>
              <w:insideV w:val="nil"/>
            </w:tcBorders>
            <w:shd w:fill="auto" w:val="clear"/>
          </w:tcPr>
          <w:p>
            <w:pPr>
              <w:pStyle w:val="Normal"/>
              <w:rPr/>
            </w:pPr>
            <w:r>
              <w:rPr/>
              <w:t>67.2 ±  16.3</w:t>
            </w:r>
          </w:p>
        </w:tc>
        <w:tc>
          <w:tcPr>
            <w:tcW w:w="1368" w:type="dxa"/>
            <w:tcBorders>
              <w:top w:val="nil"/>
              <w:left w:val="nil"/>
              <w:bottom w:val="nil"/>
              <w:insideH w:val="nil"/>
              <w:right w:val="nil"/>
              <w:insideV w:val="nil"/>
            </w:tcBorders>
            <w:shd w:fill="auto" w:val="clear"/>
          </w:tcPr>
          <w:p>
            <w:pPr>
              <w:pStyle w:val="Normal"/>
              <w:snapToGrid w:val="false"/>
              <w:rPr/>
            </w:pPr>
            <w:r>
              <w:rPr/>
            </w:r>
          </w:p>
        </w:tc>
      </w:tr>
      <w:tr>
        <w:trPr>
          <w:cantSplit w:val="false"/>
        </w:trPr>
        <w:tc>
          <w:tcPr>
            <w:tcW w:w="3600" w:type="dxa"/>
            <w:tcBorders>
              <w:top w:val="nil"/>
              <w:left w:val="nil"/>
              <w:bottom w:val="nil"/>
              <w:insideH w:val="nil"/>
              <w:right w:val="nil"/>
              <w:insideV w:val="nil"/>
            </w:tcBorders>
            <w:shd w:fill="auto" w:val="clear"/>
          </w:tcPr>
          <w:p>
            <w:pPr>
              <w:pStyle w:val="Normal"/>
              <w:rPr/>
            </w:pPr>
            <w:r>
              <w:rPr/>
              <w:t>(median, Upper-Lower Q)</w:t>
            </w:r>
          </w:p>
        </w:tc>
        <w:tc>
          <w:tcPr>
            <w:tcW w:w="2340" w:type="dxa"/>
            <w:tcBorders>
              <w:top w:val="nil"/>
              <w:left w:val="nil"/>
              <w:bottom w:val="nil"/>
              <w:insideH w:val="nil"/>
              <w:right w:val="nil"/>
              <w:insideV w:val="nil"/>
            </w:tcBorders>
            <w:shd w:fill="auto" w:val="clear"/>
          </w:tcPr>
          <w:p>
            <w:pPr>
              <w:pStyle w:val="Normal"/>
              <w:rPr/>
            </w:pPr>
            <w:r>
              <w:rPr/>
              <w:t>69.2, 56.4-78.4</w:t>
            </w:r>
          </w:p>
        </w:tc>
        <w:tc>
          <w:tcPr>
            <w:tcW w:w="1980" w:type="dxa"/>
            <w:tcBorders>
              <w:top w:val="nil"/>
              <w:left w:val="nil"/>
              <w:bottom w:val="nil"/>
              <w:insideH w:val="nil"/>
              <w:right w:val="nil"/>
              <w:insideV w:val="nil"/>
            </w:tcBorders>
            <w:shd w:fill="auto" w:val="clear"/>
          </w:tcPr>
          <w:p>
            <w:pPr>
              <w:pStyle w:val="Normal"/>
              <w:rPr/>
            </w:pPr>
            <w:r>
              <w:rPr/>
              <w:t>68.9, 57.4-79.2</w:t>
            </w:r>
          </w:p>
        </w:tc>
        <w:tc>
          <w:tcPr>
            <w:tcW w:w="1368" w:type="dxa"/>
            <w:tcBorders>
              <w:top w:val="nil"/>
              <w:left w:val="nil"/>
              <w:bottom w:val="nil"/>
              <w:insideH w:val="nil"/>
              <w:right w:val="nil"/>
              <w:insideV w:val="nil"/>
            </w:tcBorders>
            <w:shd w:fill="auto" w:val="clear"/>
          </w:tcPr>
          <w:p>
            <w:pPr>
              <w:pStyle w:val="Normal"/>
              <w:snapToGrid w:val="false"/>
              <w:rPr/>
            </w:pPr>
            <w:r>
              <w:rPr/>
            </w:r>
          </w:p>
        </w:tc>
      </w:tr>
      <w:tr>
        <w:trPr>
          <w:cantSplit w:val="false"/>
        </w:trPr>
        <w:tc>
          <w:tcPr>
            <w:tcW w:w="3600" w:type="dxa"/>
            <w:tcBorders>
              <w:top w:val="nil"/>
              <w:left w:val="nil"/>
              <w:bottom w:val="nil"/>
              <w:insideH w:val="nil"/>
              <w:right w:val="nil"/>
              <w:insideV w:val="nil"/>
            </w:tcBorders>
            <w:shd w:fill="auto" w:val="clear"/>
          </w:tcPr>
          <w:p>
            <w:pPr>
              <w:pStyle w:val="Normal"/>
              <w:rPr>
                <w:b/>
              </w:rPr>
            </w:pPr>
            <w:r>
              <w:rPr>
                <w:b/>
              </w:rPr>
              <w:t>(INR± 0.7)</w:t>
            </w:r>
          </w:p>
        </w:tc>
        <w:tc>
          <w:tcPr>
            <w:tcW w:w="2340" w:type="dxa"/>
            <w:tcBorders>
              <w:top w:val="nil"/>
              <w:left w:val="nil"/>
              <w:bottom w:val="nil"/>
              <w:insideH w:val="nil"/>
              <w:right w:val="nil"/>
              <w:insideV w:val="nil"/>
            </w:tcBorders>
            <w:shd w:fill="auto" w:val="clear"/>
          </w:tcPr>
          <w:p>
            <w:pPr>
              <w:pStyle w:val="Normal"/>
              <w:snapToGrid w:val="false"/>
              <w:rPr/>
            </w:pPr>
            <w:r>
              <w:rPr/>
            </w:r>
          </w:p>
        </w:tc>
        <w:tc>
          <w:tcPr>
            <w:tcW w:w="1980" w:type="dxa"/>
            <w:tcBorders>
              <w:top w:val="nil"/>
              <w:left w:val="nil"/>
              <w:bottom w:val="nil"/>
              <w:insideH w:val="nil"/>
              <w:right w:val="nil"/>
              <w:insideV w:val="nil"/>
            </w:tcBorders>
            <w:shd w:fill="auto" w:val="clear"/>
          </w:tcPr>
          <w:p>
            <w:pPr>
              <w:pStyle w:val="Normal"/>
              <w:snapToGrid w:val="false"/>
              <w:rPr/>
            </w:pPr>
            <w:r>
              <w:rPr/>
            </w:r>
          </w:p>
        </w:tc>
        <w:tc>
          <w:tcPr>
            <w:tcW w:w="1368" w:type="dxa"/>
            <w:tcBorders>
              <w:top w:val="nil"/>
              <w:left w:val="nil"/>
              <w:bottom w:val="nil"/>
              <w:insideH w:val="nil"/>
              <w:right w:val="nil"/>
              <w:insideV w:val="nil"/>
            </w:tcBorders>
            <w:shd w:fill="auto" w:val="clear"/>
          </w:tcPr>
          <w:p>
            <w:pPr>
              <w:pStyle w:val="Normal"/>
              <w:rPr/>
            </w:pPr>
            <w:r>
              <w:rPr/>
              <w:t>0.73</w:t>
            </w:r>
          </w:p>
        </w:tc>
      </w:tr>
      <w:tr>
        <w:trPr>
          <w:cantSplit w:val="false"/>
        </w:trPr>
        <w:tc>
          <w:tcPr>
            <w:tcW w:w="3600" w:type="dxa"/>
            <w:tcBorders>
              <w:top w:val="nil"/>
              <w:left w:val="nil"/>
              <w:bottom w:val="nil"/>
              <w:insideH w:val="nil"/>
              <w:right w:val="nil"/>
              <w:insideV w:val="nil"/>
            </w:tcBorders>
            <w:shd w:fill="auto" w:val="clear"/>
          </w:tcPr>
          <w:p>
            <w:pPr>
              <w:pStyle w:val="Normal"/>
              <w:rPr/>
            </w:pPr>
            <w:r>
              <w:rPr/>
              <w:t>(mean months ± SD)</w:t>
            </w:r>
          </w:p>
        </w:tc>
        <w:tc>
          <w:tcPr>
            <w:tcW w:w="2340" w:type="dxa"/>
            <w:tcBorders>
              <w:top w:val="nil"/>
              <w:left w:val="nil"/>
              <w:bottom w:val="nil"/>
              <w:insideH w:val="nil"/>
              <w:right w:val="nil"/>
              <w:insideV w:val="nil"/>
            </w:tcBorders>
            <w:shd w:fill="auto" w:val="clear"/>
          </w:tcPr>
          <w:p>
            <w:pPr>
              <w:pStyle w:val="Normal"/>
              <w:rPr/>
            </w:pPr>
            <w:r>
              <w:rPr/>
              <w:t>81.7 ± 12.5</w:t>
            </w:r>
          </w:p>
        </w:tc>
        <w:tc>
          <w:tcPr>
            <w:tcW w:w="1980" w:type="dxa"/>
            <w:tcBorders>
              <w:top w:val="nil"/>
              <w:left w:val="nil"/>
              <w:bottom w:val="nil"/>
              <w:insideH w:val="nil"/>
              <w:right w:val="nil"/>
              <w:insideV w:val="nil"/>
            </w:tcBorders>
            <w:shd w:fill="auto" w:val="clear"/>
          </w:tcPr>
          <w:p>
            <w:pPr>
              <w:pStyle w:val="Normal"/>
              <w:rPr/>
            </w:pPr>
            <w:r>
              <w:rPr/>
              <w:t>82.2 ± 13.2</w:t>
            </w:r>
          </w:p>
        </w:tc>
        <w:tc>
          <w:tcPr>
            <w:tcW w:w="1368" w:type="dxa"/>
            <w:tcBorders>
              <w:top w:val="nil"/>
              <w:left w:val="nil"/>
              <w:bottom w:val="nil"/>
              <w:insideH w:val="nil"/>
              <w:right w:val="nil"/>
              <w:insideV w:val="nil"/>
            </w:tcBorders>
            <w:shd w:fill="auto" w:val="clear"/>
          </w:tcPr>
          <w:p>
            <w:pPr>
              <w:pStyle w:val="Normal"/>
              <w:snapToGrid w:val="false"/>
              <w:rPr/>
            </w:pPr>
            <w:r>
              <w:rPr/>
            </w:r>
          </w:p>
        </w:tc>
      </w:tr>
      <w:tr>
        <w:trPr>
          <w:cantSplit w:val="false"/>
        </w:trPr>
        <w:tc>
          <w:tcPr>
            <w:tcW w:w="3600" w:type="dxa"/>
            <w:tcBorders>
              <w:top w:val="nil"/>
              <w:left w:val="nil"/>
              <w:bottom w:val="nil"/>
              <w:insideH w:val="nil"/>
              <w:right w:val="nil"/>
              <w:insideV w:val="nil"/>
            </w:tcBorders>
            <w:shd w:fill="auto" w:val="clear"/>
          </w:tcPr>
          <w:p>
            <w:pPr>
              <w:pStyle w:val="Normal"/>
              <w:rPr/>
            </w:pPr>
            <w:r>
              <w:rPr/>
              <w:t>(median, Upper-Lower Q)</w:t>
            </w:r>
          </w:p>
        </w:tc>
        <w:tc>
          <w:tcPr>
            <w:tcW w:w="2340" w:type="dxa"/>
            <w:tcBorders>
              <w:top w:val="nil"/>
              <w:left w:val="nil"/>
              <w:bottom w:val="nil"/>
              <w:insideH w:val="nil"/>
              <w:right w:val="nil"/>
              <w:insideV w:val="nil"/>
            </w:tcBorders>
            <w:shd w:fill="auto" w:val="clear"/>
          </w:tcPr>
          <w:p>
            <w:pPr>
              <w:pStyle w:val="Normal"/>
              <w:rPr/>
            </w:pPr>
            <w:r>
              <w:rPr/>
              <w:t>84.0, 75.2-90.6</w:t>
            </w:r>
          </w:p>
        </w:tc>
        <w:tc>
          <w:tcPr>
            <w:tcW w:w="1980" w:type="dxa"/>
            <w:tcBorders>
              <w:top w:val="nil"/>
              <w:left w:val="nil"/>
              <w:bottom w:val="nil"/>
              <w:insideH w:val="nil"/>
              <w:right w:val="nil"/>
              <w:insideV w:val="nil"/>
            </w:tcBorders>
            <w:shd w:fill="auto" w:val="clear"/>
          </w:tcPr>
          <w:p>
            <w:pPr>
              <w:pStyle w:val="Normal"/>
              <w:rPr/>
            </w:pPr>
            <w:r>
              <w:rPr/>
              <w:t>84.4, 75.9-91.7</w:t>
            </w:r>
          </w:p>
        </w:tc>
        <w:tc>
          <w:tcPr>
            <w:tcW w:w="1368" w:type="dxa"/>
            <w:tcBorders>
              <w:top w:val="nil"/>
              <w:left w:val="nil"/>
              <w:bottom w:val="nil"/>
              <w:insideH w:val="nil"/>
              <w:right w:val="nil"/>
              <w:insideV w:val="nil"/>
            </w:tcBorders>
            <w:shd w:fill="auto" w:val="clear"/>
          </w:tcPr>
          <w:p>
            <w:pPr>
              <w:pStyle w:val="Normal"/>
              <w:snapToGrid w:val="false"/>
              <w:rPr/>
            </w:pPr>
            <w:r>
              <w:rPr/>
            </w:r>
          </w:p>
        </w:tc>
      </w:tr>
    </w:tbl>
    <w:p>
      <w:pPr>
        <w:pStyle w:val="Normal"/>
        <w:rPr/>
      </w:pPr>
      <w:r>
        <w:rPr/>
      </w:r>
    </w:p>
    <w:p>
      <w:pPr>
        <w:pStyle w:val="Normal"/>
        <w:rPr/>
      </w:pPr>
      <w:r>
        <w:rPr/>
      </w:r>
    </w:p>
    <w:p>
      <w:pPr>
        <w:pStyle w:val="Normal"/>
        <w:rPr>
          <w:b/>
          <w:bCs/>
        </w:rPr>
      </w:pPr>
      <w:r>
        <w:rPr>
          <w:b/>
          <w:bCs/>
        </w:rPr>
        <w:t>Table 4:  ER Visits &amp; Hospitalizations Prior to and During AMS Care</w:t>
      </w:r>
    </w:p>
    <w:tbl>
      <w:tblPr>
        <w:jc w:val="left"/>
        <w:tblInd w:w="-432" w:type="dxa"/>
        <w:tblBorders>
          <w:top w:val="nil"/>
          <w:left w:val="nil"/>
          <w:bottom w:val="nil"/>
          <w:insideH w:val="nil"/>
          <w:right w:val="nil"/>
          <w:insideV w:val="nil"/>
        </w:tblBorders>
        <w:tblCellMar>
          <w:top w:w="0" w:type="dxa"/>
          <w:left w:w="108" w:type="dxa"/>
          <w:bottom w:w="0" w:type="dxa"/>
          <w:right w:w="108" w:type="dxa"/>
        </w:tblCellMar>
      </w:tblPr>
      <w:tblGrid>
        <w:gridCol w:w="1726"/>
        <w:gridCol w:w="794"/>
        <w:gridCol w:w="1089"/>
        <w:gridCol w:w="1251"/>
        <w:gridCol w:w="720"/>
        <w:gridCol w:w="950"/>
        <w:gridCol w:w="1210"/>
        <w:gridCol w:w="1548"/>
      </w:tblGrid>
      <w:tr>
        <w:trPr>
          <w:cantSplit w:val="true"/>
        </w:trPr>
        <w:tc>
          <w:tcPr>
            <w:tcW w:w="1726" w:type="dxa"/>
            <w:tcBorders>
              <w:top w:val="nil"/>
              <w:left w:val="nil"/>
              <w:bottom w:val="nil"/>
              <w:insideH w:val="nil"/>
              <w:right w:val="nil"/>
              <w:insideV w:val="nil"/>
            </w:tcBorders>
            <w:shd w:fill="auto" w:val="clear"/>
          </w:tcPr>
          <w:p>
            <w:pPr>
              <w:pStyle w:val="Normal"/>
              <w:rPr/>
            </w:pPr>
            <w:r>
              <w:rPr/>
              <w:t>Event type</w:t>
            </w:r>
          </w:p>
        </w:tc>
        <w:tc>
          <w:tcPr>
            <w:tcW w:w="3134" w:type="dxa"/>
            <w:gridSpan w:val="3"/>
            <w:tcBorders>
              <w:top w:val="nil"/>
              <w:left w:val="nil"/>
              <w:bottom w:val="nil"/>
              <w:insideH w:val="nil"/>
              <w:right w:val="nil"/>
              <w:insideV w:val="nil"/>
            </w:tcBorders>
            <w:shd w:fill="auto" w:val="clear"/>
          </w:tcPr>
          <w:p>
            <w:pPr>
              <w:pStyle w:val="Normal"/>
              <w:rPr/>
            </w:pPr>
            <w:r>
              <w:rPr/>
              <w:t>Prior to AMS Care</w:t>
            </w:r>
          </w:p>
        </w:tc>
        <w:tc>
          <w:tcPr>
            <w:tcW w:w="4428" w:type="dxa"/>
            <w:gridSpan w:val="4"/>
            <w:tcBorders>
              <w:top w:val="nil"/>
              <w:left w:val="nil"/>
              <w:bottom w:val="nil"/>
              <w:insideH w:val="nil"/>
              <w:right w:val="nil"/>
              <w:insideV w:val="nil"/>
            </w:tcBorders>
            <w:shd w:fill="auto" w:val="clear"/>
          </w:tcPr>
          <w:p>
            <w:pPr>
              <w:pStyle w:val="Normal"/>
              <w:rPr/>
            </w:pPr>
            <w:r>
              <w:rPr/>
              <w:t>During AMS Care</w:t>
            </w:r>
          </w:p>
        </w:tc>
      </w:tr>
      <w:tr>
        <w:trPr>
          <w:cantSplit w:val="false"/>
        </w:trPr>
        <w:tc>
          <w:tcPr>
            <w:tcW w:w="1726" w:type="dxa"/>
            <w:tcBorders>
              <w:top w:val="nil"/>
              <w:left w:val="nil"/>
              <w:bottom w:val="nil"/>
              <w:insideH w:val="nil"/>
              <w:right w:val="nil"/>
              <w:insideV w:val="nil"/>
            </w:tcBorders>
            <w:shd w:fill="auto" w:val="clear"/>
          </w:tcPr>
          <w:p>
            <w:pPr>
              <w:pStyle w:val="Normal"/>
              <w:snapToGrid w:val="false"/>
              <w:rPr/>
            </w:pPr>
            <w:r>
              <w:rPr/>
            </w:r>
          </w:p>
        </w:tc>
        <w:tc>
          <w:tcPr>
            <w:tcW w:w="794" w:type="dxa"/>
            <w:tcBorders>
              <w:top w:val="nil"/>
              <w:left w:val="nil"/>
              <w:bottom w:val="nil"/>
              <w:insideH w:val="nil"/>
              <w:right w:val="nil"/>
              <w:insideV w:val="nil"/>
            </w:tcBorders>
            <w:shd w:fill="auto" w:val="clear"/>
          </w:tcPr>
          <w:p>
            <w:pPr>
              <w:pStyle w:val="Normal"/>
              <w:rPr/>
            </w:pPr>
            <w:r>
              <w:rPr/>
              <w:t>N (# pts)</w:t>
            </w:r>
          </w:p>
        </w:tc>
        <w:tc>
          <w:tcPr>
            <w:tcW w:w="1089" w:type="dxa"/>
            <w:tcBorders>
              <w:top w:val="nil"/>
              <w:left w:val="nil"/>
              <w:bottom w:val="nil"/>
              <w:insideH w:val="nil"/>
              <w:right w:val="nil"/>
              <w:insideV w:val="nil"/>
            </w:tcBorders>
            <w:shd w:fill="auto" w:val="clear"/>
          </w:tcPr>
          <w:p>
            <w:pPr>
              <w:pStyle w:val="Normal"/>
              <w:rPr/>
            </w:pPr>
            <w:r>
              <w:rPr/>
              <w:t># Events</w:t>
            </w:r>
          </w:p>
        </w:tc>
        <w:tc>
          <w:tcPr>
            <w:tcW w:w="1251" w:type="dxa"/>
            <w:tcBorders>
              <w:top w:val="nil"/>
              <w:left w:val="nil"/>
              <w:bottom w:val="nil"/>
              <w:insideH w:val="nil"/>
              <w:right w:val="nil"/>
              <w:insideV w:val="nil"/>
            </w:tcBorders>
            <w:shd w:fill="auto" w:val="clear"/>
          </w:tcPr>
          <w:p>
            <w:pPr>
              <w:pStyle w:val="Normal"/>
              <w:rPr/>
            </w:pPr>
            <w:r>
              <w:rPr/>
              <w:t>% event / pt year</w:t>
            </w:r>
          </w:p>
        </w:tc>
        <w:tc>
          <w:tcPr>
            <w:tcW w:w="720" w:type="dxa"/>
            <w:tcBorders>
              <w:top w:val="nil"/>
              <w:left w:val="nil"/>
              <w:bottom w:val="nil"/>
              <w:insideH w:val="nil"/>
              <w:right w:val="nil"/>
              <w:insideV w:val="nil"/>
            </w:tcBorders>
            <w:shd w:fill="auto" w:val="clear"/>
          </w:tcPr>
          <w:p>
            <w:pPr>
              <w:pStyle w:val="Normal"/>
              <w:rPr/>
            </w:pPr>
            <w:r>
              <w:rPr/>
              <w:t>N (# pts)</w:t>
            </w:r>
          </w:p>
        </w:tc>
        <w:tc>
          <w:tcPr>
            <w:tcW w:w="950" w:type="dxa"/>
            <w:tcBorders>
              <w:top w:val="nil"/>
              <w:left w:val="nil"/>
              <w:bottom w:val="nil"/>
              <w:insideH w:val="nil"/>
              <w:right w:val="nil"/>
              <w:insideV w:val="nil"/>
            </w:tcBorders>
            <w:shd w:fill="auto" w:val="clear"/>
          </w:tcPr>
          <w:p>
            <w:pPr>
              <w:pStyle w:val="Normal"/>
              <w:rPr/>
            </w:pPr>
            <w:r>
              <w:rPr/>
              <w:t># Events</w:t>
            </w:r>
          </w:p>
        </w:tc>
        <w:tc>
          <w:tcPr>
            <w:tcW w:w="1210" w:type="dxa"/>
            <w:tcBorders>
              <w:top w:val="nil"/>
              <w:left w:val="nil"/>
              <w:bottom w:val="nil"/>
              <w:insideH w:val="nil"/>
              <w:right w:val="nil"/>
              <w:insideV w:val="nil"/>
            </w:tcBorders>
            <w:shd w:fill="auto" w:val="clear"/>
          </w:tcPr>
          <w:p>
            <w:pPr>
              <w:pStyle w:val="Normal"/>
              <w:rPr/>
            </w:pPr>
            <w:r>
              <w:rPr/>
              <w:t>% event / pt year</w:t>
            </w:r>
          </w:p>
        </w:tc>
        <w:tc>
          <w:tcPr>
            <w:tcW w:w="1548" w:type="dxa"/>
            <w:tcBorders>
              <w:top w:val="nil"/>
              <w:left w:val="nil"/>
              <w:bottom w:val="nil"/>
              <w:insideH w:val="nil"/>
              <w:right w:val="nil"/>
              <w:insideV w:val="nil"/>
            </w:tcBorders>
            <w:shd w:fill="auto" w:val="clear"/>
          </w:tcPr>
          <w:p>
            <w:pPr>
              <w:pStyle w:val="Normal"/>
              <w:rPr/>
            </w:pPr>
            <w:r>
              <w:rPr/>
              <w:t>P</w:t>
            </w:r>
          </w:p>
        </w:tc>
      </w:tr>
      <w:tr>
        <w:trPr>
          <w:cantSplit w:val="false"/>
        </w:trPr>
        <w:tc>
          <w:tcPr>
            <w:tcW w:w="1726" w:type="dxa"/>
            <w:tcBorders>
              <w:top w:val="nil"/>
              <w:left w:val="nil"/>
              <w:bottom w:val="nil"/>
              <w:insideH w:val="nil"/>
              <w:right w:val="nil"/>
              <w:insideV w:val="nil"/>
            </w:tcBorders>
            <w:shd w:fill="auto" w:val="clear"/>
          </w:tcPr>
          <w:p>
            <w:pPr>
              <w:pStyle w:val="Normal"/>
              <w:rPr/>
            </w:pPr>
            <w:r>
              <w:rPr/>
              <w:t>Bleed - ED</w:t>
            </w:r>
          </w:p>
        </w:tc>
        <w:tc>
          <w:tcPr>
            <w:tcW w:w="794" w:type="dxa"/>
            <w:tcBorders>
              <w:top w:val="nil"/>
              <w:left w:val="nil"/>
              <w:bottom w:val="nil"/>
              <w:insideH w:val="nil"/>
              <w:right w:val="nil"/>
              <w:insideV w:val="nil"/>
            </w:tcBorders>
            <w:shd w:fill="auto" w:val="clear"/>
          </w:tcPr>
          <w:p>
            <w:pPr>
              <w:pStyle w:val="Normal"/>
              <w:rPr/>
            </w:pPr>
            <w:r>
              <w:rPr/>
              <w:t>15</w:t>
            </w:r>
          </w:p>
        </w:tc>
        <w:tc>
          <w:tcPr>
            <w:tcW w:w="1089" w:type="dxa"/>
            <w:tcBorders>
              <w:top w:val="nil"/>
              <w:left w:val="nil"/>
              <w:bottom w:val="nil"/>
              <w:insideH w:val="nil"/>
              <w:right w:val="nil"/>
              <w:insideV w:val="nil"/>
            </w:tcBorders>
            <w:shd w:fill="auto" w:val="clear"/>
          </w:tcPr>
          <w:p>
            <w:pPr>
              <w:pStyle w:val="Normal"/>
              <w:rPr/>
            </w:pPr>
            <w:r>
              <w:rPr/>
              <w:t>21</w:t>
            </w:r>
          </w:p>
        </w:tc>
        <w:tc>
          <w:tcPr>
            <w:tcW w:w="1251" w:type="dxa"/>
            <w:tcBorders>
              <w:top w:val="nil"/>
              <w:left w:val="nil"/>
              <w:bottom w:val="nil"/>
              <w:insideH w:val="nil"/>
              <w:right w:val="nil"/>
              <w:insideV w:val="nil"/>
            </w:tcBorders>
            <w:shd w:fill="auto" w:val="clear"/>
          </w:tcPr>
          <w:p>
            <w:pPr>
              <w:pStyle w:val="Normal"/>
              <w:rPr/>
            </w:pPr>
            <w:r>
              <w:rPr/>
              <w:t>18.8</w:t>
            </w:r>
          </w:p>
        </w:tc>
        <w:tc>
          <w:tcPr>
            <w:tcW w:w="720" w:type="dxa"/>
            <w:tcBorders>
              <w:top w:val="nil"/>
              <w:left w:val="nil"/>
              <w:bottom w:val="nil"/>
              <w:insideH w:val="nil"/>
              <w:right w:val="nil"/>
              <w:insideV w:val="nil"/>
            </w:tcBorders>
            <w:shd w:fill="auto" w:val="clear"/>
          </w:tcPr>
          <w:p>
            <w:pPr>
              <w:pStyle w:val="Normal"/>
              <w:rPr/>
            </w:pPr>
            <w:r>
              <w:rPr/>
              <w:t>9</w:t>
            </w:r>
          </w:p>
        </w:tc>
        <w:tc>
          <w:tcPr>
            <w:tcW w:w="950" w:type="dxa"/>
            <w:tcBorders>
              <w:top w:val="nil"/>
              <w:left w:val="nil"/>
              <w:bottom w:val="nil"/>
              <w:insideH w:val="nil"/>
              <w:right w:val="nil"/>
              <w:insideV w:val="nil"/>
            </w:tcBorders>
            <w:shd w:fill="auto" w:val="clear"/>
          </w:tcPr>
          <w:p>
            <w:pPr>
              <w:pStyle w:val="Normal"/>
              <w:rPr/>
            </w:pPr>
            <w:r>
              <w:rPr/>
              <w:t>12</w:t>
            </w:r>
          </w:p>
        </w:tc>
        <w:tc>
          <w:tcPr>
            <w:tcW w:w="1210" w:type="dxa"/>
            <w:tcBorders>
              <w:top w:val="nil"/>
              <w:left w:val="nil"/>
              <w:bottom w:val="nil"/>
              <w:insideH w:val="nil"/>
              <w:right w:val="nil"/>
              <w:insideV w:val="nil"/>
            </w:tcBorders>
            <w:shd w:fill="auto" w:val="clear"/>
          </w:tcPr>
          <w:p>
            <w:pPr>
              <w:pStyle w:val="Normal"/>
              <w:rPr/>
            </w:pPr>
            <w:r>
              <w:rPr/>
              <w:t>10.8</w:t>
            </w:r>
          </w:p>
        </w:tc>
        <w:tc>
          <w:tcPr>
            <w:tcW w:w="1548" w:type="dxa"/>
            <w:tcBorders>
              <w:top w:val="nil"/>
              <w:left w:val="nil"/>
              <w:bottom w:val="nil"/>
              <w:insideH w:val="nil"/>
              <w:right w:val="nil"/>
              <w:insideV w:val="nil"/>
            </w:tcBorders>
            <w:shd w:fill="auto" w:val="clear"/>
          </w:tcPr>
          <w:p>
            <w:pPr>
              <w:pStyle w:val="Normal"/>
              <w:rPr/>
            </w:pPr>
            <w:r>
              <w:rPr/>
              <w:t>0.21</w:t>
            </w:r>
          </w:p>
        </w:tc>
      </w:tr>
      <w:tr>
        <w:trPr>
          <w:cantSplit w:val="false"/>
        </w:trPr>
        <w:tc>
          <w:tcPr>
            <w:tcW w:w="1726" w:type="dxa"/>
            <w:tcBorders>
              <w:top w:val="nil"/>
              <w:left w:val="nil"/>
              <w:bottom w:val="nil"/>
              <w:insideH w:val="nil"/>
              <w:right w:val="nil"/>
              <w:insideV w:val="nil"/>
            </w:tcBorders>
            <w:shd w:fill="auto" w:val="clear"/>
          </w:tcPr>
          <w:p>
            <w:pPr>
              <w:pStyle w:val="Normal"/>
              <w:rPr/>
            </w:pPr>
            <w:r>
              <w:rPr/>
              <w:t>Bleed - Hosp</w:t>
            </w:r>
          </w:p>
        </w:tc>
        <w:tc>
          <w:tcPr>
            <w:tcW w:w="794" w:type="dxa"/>
            <w:tcBorders>
              <w:top w:val="nil"/>
              <w:left w:val="nil"/>
              <w:bottom w:val="nil"/>
              <w:insideH w:val="nil"/>
              <w:right w:val="nil"/>
              <w:insideV w:val="nil"/>
            </w:tcBorders>
            <w:shd w:fill="auto" w:val="clear"/>
          </w:tcPr>
          <w:p>
            <w:pPr>
              <w:pStyle w:val="Normal"/>
              <w:rPr/>
            </w:pPr>
            <w:r>
              <w:rPr/>
              <w:t>6</w:t>
            </w:r>
          </w:p>
        </w:tc>
        <w:tc>
          <w:tcPr>
            <w:tcW w:w="1089" w:type="dxa"/>
            <w:tcBorders>
              <w:top w:val="nil"/>
              <w:left w:val="nil"/>
              <w:bottom w:val="nil"/>
              <w:insideH w:val="nil"/>
              <w:right w:val="nil"/>
              <w:insideV w:val="nil"/>
            </w:tcBorders>
            <w:shd w:fill="auto" w:val="clear"/>
          </w:tcPr>
          <w:p>
            <w:pPr>
              <w:pStyle w:val="Normal"/>
              <w:rPr/>
            </w:pPr>
            <w:r>
              <w:rPr/>
              <w:t>7</w:t>
            </w:r>
          </w:p>
        </w:tc>
        <w:tc>
          <w:tcPr>
            <w:tcW w:w="1251" w:type="dxa"/>
            <w:tcBorders>
              <w:top w:val="nil"/>
              <w:left w:val="nil"/>
              <w:bottom w:val="nil"/>
              <w:insideH w:val="nil"/>
              <w:right w:val="nil"/>
              <w:insideV w:val="nil"/>
            </w:tcBorders>
            <w:shd w:fill="auto" w:val="clear"/>
          </w:tcPr>
          <w:p>
            <w:pPr>
              <w:pStyle w:val="Normal"/>
              <w:rPr/>
            </w:pPr>
            <w:r>
              <w:rPr/>
              <w:t>6.3</w:t>
            </w:r>
          </w:p>
        </w:tc>
        <w:tc>
          <w:tcPr>
            <w:tcW w:w="720" w:type="dxa"/>
            <w:tcBorders>
              <w:top w:val="nil"/>
              <w:left w:val="nil"/>
              <w:bottom w:val="nil"/>
              <w:insideH w:val="nil"/>
              <w:right w:val="nil"/>
              <w:insideV w:val="nil"/>
            </w:tcBorders>
            <w:shd w:fill="auto" w:val="clear"/>
          </w:tcPr>
          <w:p>
            <w:pPr>
              <w:pStyle w:val="Normal"/>
              <w:rPr/>
            </w:pPr>
            <w:r>
              <w:rPr/>
              <w:t>5</w:t>
            </w:r>
          </w:p>
        </w:tc>
        <w:tc>
          <w:tcPr>
            <w:tcW w:w="950" w:type="dxa"/>
            <w:tcBorders>
              <w:top w:val="nil"/>
              <w:left w:val="nil"/>
              <w:bottom w:val="nil"/>
              <w:insideH w:val="nil"/>
              <w:right w:val="nil"/>
              <w:insideV w:val="nil"/>
            </w:tcBorders>
            <w:shd w:fill="auto" w:val="clear"/>
          </w:tcPr>
          <w:p>
            <w:pPr>
              <w:pStyle w:val="Normal"/>
              <w:rPr/>
            </w:pPr>
            <w:r>
              <w:rPr/>
              <w:t>5</w:t>
            </w:r>
          </w:p>
        </w:tc>
        <w:tc>
          <w:tcPr>
            <w:tcW w:w="1210" w:type="dxa"/>
            <w:tcBorders>
              <w:top w:val="nil"/>
              <w:left w:val="nil"/>
              <w:bottom w:val="nil"/>
              <w:insideH w:val="nil"/>
              <w:right w:val="nil"/>
              <w:insideV w:val="nil"/>
            </w:tcBorders>
            <w:shd w:fill="auto" w:val="clear"/>
          </w:tcPr>
          <w:p>
            <w:pPr>
              <w:pStyle w:val="Normal"/>
              <w:rPr/>
            </w:pPr>
            <w:r>
              <w:rPr/>
              <w:t>4.5</w:t>
            </w:r>
          </w:p>
        </w:tc>
        <w:tc>
          <w:tcPr>
            <w:tcW w:w="1548" w:type="dxa"/>
            <w:tcBorders>
              <w:top w:val="nil"/>
              <w:left w:val="nil"/>
              <w:bottom w:val="nil"/>
              <w:insideH w:val="nil"/>
              <w:right w:val="nil"/>
              <w:insideV w:val="nil"/>
            </w:tcBorders>
            <w:shd w:fill="auto" w:val="clear"/>
          </w:tcPr>
          <w:p>
            <w:pPr>
              <w:pStyle w:val="Normal"/>
              <w:rPr/>
            </w:pPr>
            <w:r>
              <w:rPr/>
              <w:t>0.60</w:t>
            </w:r>
          </w:p>
        </w:tc>
      </w:tr>
      <w:tr>
        <w:trPr>
          <w:cantSplit w:val="false"/>
        </w:trPr>
        <w:tc>
          <w:tcPr>
            <w:tcW w:w="1726" w:type="dxa"/>
            <w:tcBorders>
              <w:top w:val="nil"/>
              <w:left w:val="nil"/>
              <w:bottom w:val="nil"/>
              <w:insideH w:val="nil"/>
              <w:right w:val="nil"/>
              <w:insideV w:val="nil"/>
            </w:tcBorders>
            <w:shd w:fill="auto" w:val="clear"/>
          </w:tcPr>
          <w:p>
            <w:pPr>
              <w:pStyle w:val="Normal"/>
              <w:rPr/>
            </w:pPr>
            <w:r>
              <w:rPr/>
              <w:t>Subtotal</w:t>
            </w:r>
          </w:p>
        </w:tc>
        <w:tc>
          <w:tcPr>
            <w:tcW w:w="794" w:type="dxa"/>
            <w:tcBorders>
              <w:top w:val="nil"/>
              <w:left w:val="nil"/>
              <w:bottom w:val="nil"/>
              <w:insideH w:val="nil"/>
              <w:right w:val="nil"/>
              <w:insideV w:val="nil"/>
            </w:tcBorders>
            <w:shd w:fill="auto" w:val="clear"/>
          </w:tcPr>
          <w:p>
            <w:pPr>
              <w:pStyle w:val="Normal"/>
              <w:rPr/>
            </w:pPr>
            <w:r>
              <w:rPr/>
              <w:t>17</w:t>
            </w:r>
          </w:p>
        </w:tc>
        <w:tc>
          <w:tcPr>
            <w:tcW w:w="1089" w:type="dxa"/>
            <w:tcBorders>
              <w:top w:val="nil"/>
              <w:left w:val="nil"/>
              <w:bottom w:val="nil"/>
              <w:insideH w:val="nil"/>
              <w:right w:val="nil"/>
              <w:insideV w:val="nil"/>
            </w:tcBorders>
            <w:shd w:fill="auto" w:val="clear"/>
          </w:tcPr>
          <w:p>
            <w:pPr>
              <w:pStyle w:val="Normal"/>
              <w:rPr/>
            </w:pPr>
            <w:r>
              <w:rPr/>
              <w:t>28</w:t>
            </w:r>
          </w:p>
        </w:tc>
        <w:tc>
          <w:tcPr>
            <w:tcW w:w="1251" w:type="dxa"/>
            <w:tcBorders>
              <w:top w:val="nil"/>
              <w:left w:val="nil"/>
              <w:bottom w:val="nil"/>
              <w:insideH w:val="nil"/>
              <w:right w:val="nil"/>
              <w:insideV w:val="nil"/>
            </w:tcBorders>
            <w:shd w:fill="auto" w:val="clear"/>
          </w:tcPr>
          <w:p>
            <w:pPr>
              <w:pStyle w:val="Normal"/>
              <w:rPr/>
            </w:pPr>
            <w:r>
              <w:rPr/>
              <w:t>25.1</w:t>
            </w:r>
          </w:p>
        </w:tc>
        <w:tc>
          <w:tcPr>
            <w:tcW w:w="720" w:type="dxa"/>
            <w:tcBorders>
              <w:top w:val="nil"/>
              <w:left w:val="nil"/>
              <w:bottom w:val="nil"/>
              <w:insideH w:val="nil"/>
              <w:right w:val="nil"/>
              <w:insideV w:val="nil"/>
            </w:tcBorders>
            <w:shd w:fill="auto" w:val="clear"/>
          </w:tcPr>
          <w:p>
            <w:pPr>
              <w:pStyle w:val="Normal"/>
              <w:rPr/>
            </w:pPr>
            <w:r>
              <w:rPr/>
              <w:t>11</w:t>
            </w:r>
          </w:p>
        </w:tc>
        <w:tc>
          <w:tcPr>
            <w:tcW w:w="950" w:type="dxa"/>
            <w:tcBorders>
              <w:top w:val="nil"/>
              <w:left w:val="nil"/>
              <w:bottom w:val="nil"/>
              <w:insideH w:val="nil"/>
              <w:right w:val="nil"/>
              <w:insideV w:val="nil"/>
            </w:tcBorders>
            <w:shd w:fill="auto" w:val="clear"/>
          </w:tcPr>
          <w:p>
            <w:pPr>
              <w:pStyle w:val="Normal"/>
              <w:rPr/>
            </w:pPr>
            <w:r>
              <w:rPr/>
              <w:t>17</w:t>
            </w:r>
          </w:p>
        </w:tc>
        <w:tc>
          <w:tcPr>
            <w:tcW w:w="1210" w:type="dxa"/>
            <w:tcBorders>
              <w:top w:val="nil"/>
              <w:left w:val="nil"/>
              <w:bottom w:val="nil"/>
              <w:insideH w:val="nil"/>
              <w:right w:val="nil"/>
              <w:insideV w:val="nil"/>
            </w:tcBorders>
            <w:shd w:fill="auto" w:val="clear"/>
          </w:tcPr>
          <w:p>
            <w:pPr>
              <w:pStyle w:val="Normal"/>
              <w:rPr/>
            </w:pPr>
            <w:r>
              <w:rPr/>
              <w:t>15.3</w:t>
            </w:r>
          </w:p>
        </w:tc>
        <w:tc>
          <w:tcPr>
            <w:tcW w:w="1548" w:type="dxa"/>
            <w:tcBorders>
              <w:top w:val="nil"/>
              <w:left w:val="nil"/>
              <w:bottom w:val="nil"/>
              <w:insideH w:val="nil"/>
              <w:right w:val="nil"/>
              <w:insideV w:val="nil"/>
            </w:tcBorders>
            <w:shd w:fill="auto" w:val="clear"/>
          </w:tcPr>
          <w:p>
            <w:pPr>
              <w:pStyle w:val="Normal"/>
              <w:rPr/>
            </w:pPr>
            <w:r>
              <w:rPr/>
              <w:t>0.25</w:t>
            </w:r>
          </w:p>
        </w:tc>
      </w:tr>
      <w:tr>
        <w:trPr>
          <w:cantSplit w:val="false"/>
        </w:trPr>
        <w:tc>
          <w:tcPr>
            <w:tcW w:w="1726" w:type="dxa"/>
            <w:tcBorders>
              <w:top w:val="nil"/>
              <w:left w:val="nil"/>
              <w:bottom w:val="nil"/>
              <w:insideH w:val="nil"/>
              <w:right w:val="nil"/>
              <w:insideV w:val="nil"/>
            </w:tcBorders>
            <w:shd w:fill="auto" w:val="clear"/>
          </w:tcPr>
          <w:p>
            <w:pPr>
              <w:pStyle w:val="Normal"/>
              <w:rPr/>
            </w:pPr>
            <w:r>
              <w:rPr/>
              <w:t>Clot – ED</w:t>
            </w:r>
          </w:p>
        </w:tc>
        <w:tc>
          <w:tcPr>
            <w:tcW w:w="794" w:type="dxa"/>
            <w:tcBorders>
              <w:top w:val="nil"/>
              <w:left w:val="nil"/>
              <w:bottom w:val="nil"/>
              <w:insideH w:val="nil"/>
              <w:right w:val="nil"/>
              <w:insideV w:val="nil"/>
            </w:tcBorders>
            <w:shd w:fill="auto" w:val="clear"/>
          </w:tcPr>
          <w:p>
            <w:pPr>
              <w:pStyle w:val="Normal"/>
              <w:rPr/>
            </w:pPr>
            <w:r>
              <w:rPr/>
              <w:t>22</w:t>
            </w:r>
          </w:p>
        </w:tc>
        <w:tc>
          <w:tcPr>
            <w:tcW w:w="1089" w:type="dxa"/>
            <w:tcBorders>
              <w:top w:val="nil"/>
              <w:left w:val="nil"/>
              <w:bottom w:val="nil"/>
              <w:insideH w:val="nil"/>
              <w:right w:val="nil"/>
              <w:insideV w:val="nil"/>
            </w:tcBorders>
            <w:shd w:fill="auto" w:val="clear"/>
          </w:tcPr>
          <w:p>
            <w:pPr>
              <w:pStyle w:val="Normal"/>
              <w:rPr/>
            </w:pPr>
            <w:r>
              <w:rPr/>
              <w:t>40</w:t>
            </w:r>
          </w:p>
        </w:tc>
        <w:tc>
          <w:tcPr>
            <w:tcW w:w="1251" w:type="dxa"/>
            <w:tcBorders>
              <w:top w:val="nil"/>
              <w:left w:val="nil"/>
              <w:bottom w:val="nil"/>
              <w:insideH w:val="nil"/>
              <w:right w:val="nil"/>
              <w:insideV w:val="nil"/>
            </w:tcBorders>
            <w:shd w:fill="auto" w:val="clear"/>
          </w:tcPr>
          <w:p>
            <w:pPr>
              <w:pStyle w:val="Normal"/>
              <w:rPr/>
            </w:pPr>
            <w:r>
              <w:rPr/>
              <w:t>35.8</w:t>
            </w:r>
          </w:p>
        </w:tc>
        <w:tc>
          <w:tcPr>
            <w:tcW w:w="720" w:type="dxa"/>
            <w:tcBorders>
              <w:top w:val="nil"/>
              <w:left w:val="nil"/>
              <w:bottom w:val="nil"/>
              <w:insideH w:val="nil"/>
              <w:right w:val="nil"/>
              <w:insideV w:val="nil"/>
            </w:tcBorders>
            <w:shd w:fill="auto" w:val="clear"/>
          </w:tcPr>
          <w:p>
            <w:pPr>
              <w:pStyle w:val="Normal"/>
              <w:rPr/>
            </w:pPr>
            <w:r>
              <w:rPr/>
              <w:t>3</w:t>
            </w:r>
          </w:p>
        </w:tc>
        <w:tc>
          <w:tcPr>
            <w:tcW w:w="950" w:type="dxa"/>
            <w:tcBorders>
              <w:top w:val="nil"/>
              <w:left w:val="nil"/>
              <w:bottom w:val="nil"/>
              <w:insideH w:val="nil"/>
              <w:right w:val="nil"/>
              <w:insideV w:val="nil"/>
            </w:tcBorders>
            <w:shd w:fill="auto" w:val="clear"/>
          </w:tcPr>
          <w:p>
            <w:pPr>
              <w:pStyle w:val="Normal"/>
              <w:rPr/>
            </w:pPr>
            <w:r>
              <w:rPr/>
              <w:t>3</w:t>
            </w:r>
          </w:p>
        </w:tc>
        <w:tc>
          <w:tcPr>
            <w:tcW w:w="1210" w:type="dxa"/>
            <w:tcBorders>
              <w:top w:val="nil"/>
              <w:left w:val="nil"/>
              <w:bottom w:val="nil"/>
              <w:insideH w:val="nil"/>
              <w:right w:val="nil"/>
              <w:insideV w:val="nil"/>
            </w:tcBorders>
            <w:shd w:fill="auto" w:val="clear"/>
          </w:tcPr>
          <w:p>
            <w:pPr>
              <w:pStyle w:val="Normal"/>
              <w:rPr/>
            </w:pPr>
            <w:r>
              <w:rPr/>
              <w:t>2.7</w:t>
            </w:r>
          </w:p>
        </w:tc>
        <w:tc>
          <w:tcPr>
            <w:tcW w:w="1548" w:type="dxa"/>
            <w:tcBorders>
              <w:top w:val="nil"/>
              <w:left w:val="nil"/>
              <w:bottom w:val="nil"/>
              <w:insideH w:val="nil"/>
              <w:right w:val="nil"/>
              <w:insideV w:val="nil"/>
            </w:tcBorders>
            <w:shd w:fill="auto" w:val="clear"/>
          </w:tcPr>
          <w:p>
            <w:pPr>
              <w:pStyle w:val="Normal"/>
              <w:rPr/>
            </w:pPr>
            <w:r>
              <w:rPr/>
              <w:t>&lt;0.0001</w:t>
            </w:r>
          </w:p>
        </w:tc>
      </w:tr>
      <w:tr>
        <w:trPr>
          <w:cantSplit w:val="false"/>
        </w:trPr>
        <w:tc>
          <w:tcPr>
            <w:tcW w:w="1726" w:type="dxa"/>
            <w:tcBorders>
              <w:top w:val="nil"/>
              <w:left w:val="nil"/>
              <w:bottom w:val="nil"/>
              <w:insideH w:val="nil"/>
              <w:right w:val="nil"/>
              <w:insideV w:val="nil"/>
            </w:tcBorders>
            <w:shd w:fill="auto" w:val="clear"/>
          </w:tcPr>
          <w:p>
            <w:pPr>
              <w:pStyle w:val="Normal"/>
              <w:rPr/>
            </w:pPr>
            <w:r>
              <w:rPr/>
              <w:t>Clot - Hosp</w:t>
            </w:r>
          </w:p>
        </w:tc>
        <w:tc>
          <w:tcPr>
            <w:tcW w:w="794" w:type="dxa"/>
            <w:tcBorders>
              <w:top w:val="nil"/>
              <w:left w:val="nil"/>
              <w:bottom w:val="nil"/>
              <w:insideH w:val="nil"/>
              <w:right w:val="nil"/>
              <w:insideV w:val="nil"/>
            </w:tcBorders>
            <w:shd w:fill="auto" w:val="clear"/>
          </w:tcPr>
          <w:p>
            <w:pPr>
              <w:pStyle w:val="Normal"/>
              <w:rPr/>
            </w:pPr>
            <w:r>
              <w:rPr/>
              <w:t>11</w:t>
            </w:r>
          </w:p>
        </w:tc>
        <w:tc>
          <w:tcPr>
            <w:tcW w:w="1089" w:type="dxa"/>
            <w:tcBorders>
              <w:top w:val="nil"/>
              <w:left w:val="nil"/>
              <w:bottom w:val="nil"/>
              <w:insideH w:val="nil"/>
              <w:right w:val="nil"/>
              <w:insideV w:val="nil"/>
            </w:tcBorders>
            <w:shd w:fill="auto" w:val="clear"/>
          </w:tcPr>
          <w:p>
            <w:pPr>
              <w:pStyle w:val="Normal"/>
              <w:rPr/>
            </w:pPr>
            <w:r>
              <w:rPr/>
              <w:t>15</w:t>
            </w:r>
          </w:p>
        </w:tc>
        <w:tc>
          <w:tcPr>
            <w:tcW w:w="1251" w:type="dxa"/>
            <w:tcBorders>
              <w:top w:val="nil"/>
              <w:left w:val="nil"/>
              <w:bottom w:val="nil"/>
              <w:insideH w:val="nil"/>
              <w:right w:val="nil"/>
              <w:insideV w:val="nil"/>
            </w:tcBorders>
            <w:shd w:fill="auto" w:val="clear"/>
          </w:tcPr>
          <w:p>
            <w:pPr>
              <w:pStyle w:val="Normal"/>
              <w:rPr/>
            </w:pPr>
            <w:r>
              <w:rPr/>
              <w:t>13.4</w:t>
            </w:r>
          </w:p>
        </w:tc>
        <w:tc>
          <w:tcPr>
            <w:tcW w:w="720" w:type="dxa"/>
            <w:tcBorders>
              <w:top w:val="nil"/>
              <w:left w:val="nil"/>
              <w:bottom w:val="nil"/>
              <w:insideH w:val="nil"/>
              <w:right w:val="nil"/>
              <w:insideV w:val="nil"/>
            </w:tcBorders>
            <w:shd w:fill="auto" w:val="clear"/>
          </w:tcPr>
          <w:p>
            <w:pPr>
              <w:pStyle w:val="Normal"/>
              <w:rPr/>
            </w:pPr>
            <w:r>
              <w:rPr/>
              <w:t>1</w:t>
            </w:r>
          </w:p>
        </w:tc>
        <w:tc>
          <w:tcPr>
            <w:tcW w:w="950" w:type="dxa"/>
            <w:tcBorders>
              <w:top w:val="nil"/>
              <w:left w:val="nil"/>
              <w:bottom w:val="nil"/>
              <w:insideH w:val="nil"/>
              <w:right w:val="nil"/>
              <w:insideV w:val="nil"/>
            </w:tcBorders>
            <w:shd w:fill="auto" w:val="clear"/>
          </w:tcPr>
          <w:p>
            <w:pPr>
              <w:pStyle w:val="Normal"/>
              <w:rPr/>
            </w:pPr>
            <w:r>
              <w:rPr/>
              <w:t>1</w:t>
            </w:r>
          </w:p>
        </w:tc>
        <w:tc>
          <w:tcPr>
            <w:tcW w:w="1210" w:type="dxa"/>
            <w:tcBorders>
              <w:top w:val="nil"/>
              <w:left w:val="nil"/>
              <w:bottom w:val="nil"/>
              <w:insideH w:val="nil"/>
              <w:right w:val="nil"/>
              <w:insideV w:val="nil"/>
            </w:tcBorders>
            <w:shd w:fill="auto" w:val="clear"/>
          </w:tcPr>
          <w:p>
            <w:pPr>
              <w:pStyle w:val="Normal"/>
              <w:rPr/>
            </w:pPr>
            <w:r>
              <w:rPr/>
              <w:t>0.9</w:t>
            </w:r>
          </w:p>
        </w:tc>
        <w:tc>
          <w:tcPr>
            <w:tcW w:w="1548" w:type="dxa"/>
            <w:tcBorders>
              <w:top w:val="nil"/>
              <w:left w:val="nil"/>
              <w:bottom w:val="nil"/>
              <w:insideH w:val="nil"/>
              <w:right w:val="nil"/>
              <w:insideV w:val="nil"/>
            </w:tcBorders>
            <w:shd w:fill="auto" w:val="clear"/>
          </w:tcPr>
          <w:p>
            <w:pPr>
              <w:pStyle w:val="Normal"/>
              <w:rPr/>
            </w:pPr>
            <w:r>
              <w:rPr/>
              <w:t>0.0080</w:t>
            </w:r>
          </w:p>
        </w:tc>
      </w:tr>
      <w:tr>
        <w:trPr>
          <w:cantSplit w:val="false"/>
        </w:trPr>
        <w:tc>
          <w:tcPr>
            <w:tcW w:w="1726" w:type="dxa"/>
            <w:tcBorders>
              <w:top w:val="nil"/>
              <w:left w:val="nil"/>
              <w:bottom w:val="nil"/>
              <w:insideH w:val="nil"/>
              <w:right w:val="nil"/>
              <w:insideV w:val="nil"/>
            </w:tcBorders>
            <w:shd w:fill="auto" w:val="clear"/>
          </w:tcPr>
          <w:p>
            <w:pPr>
              <w:pStyle w:val="Normal"/>
              <w:rPr/>
            </w:pPr>
            <w:r>
              <w:rPr/>
              <w:t>Subtotal</w:t>
            </w:r>
          </w:p>
        </w:tc>
        <w:tc>
          <w:tcPr>
            <w:tcW w:w="794" w:type="dxa"/>
            <w:tcBorders>
              <w:top w:val="nil"/>
              <w:left w:val="nil"/>
              <w:bottom w:val="nil"/>
              <w:insideH w:val="nil"/>
              <w:right w:val="nil"/>
              <w:insideV w:val="nil"/>
            </w:tcBorders>
            <w:shd w:fill="auto" w:val="clear"/>
          </w:tcPr>
          <w:p>
            <w:pPr>
              <w:pStyle w:val="Normal"/>
              <w:rPr/>
            </w:pPr>
            <w:r>
              <w:rPr/>
              <w:t>23</w:t>
            </w:r>
          </w:p>
        </w:tc>
        <w:tc>
          <w:tcPr>
            <w:tcW w:w="1089" w:type="dxa"/>
            <w:tcBorders>
              <w:top w:val="nil"/>
              <w:left w:val="nil"/>
              <w:bottom w:val="nil"/>
              <w:insideH w:val="nil"/>
              <w:right w:val="nil"/>
              <w:insideV w:val="nil"/>
            </w:tcBorders>
            <w:shd w:fill="auto" w:val="clear"/>
          </w:tcPr>
          <w:p>
            <w:pPr>
              <w:pStyle w:val="Normal"/>
              <w:rPr/>
            </w:pPr>
            <w:r>
              <w:rPr/>
              <w:t>55</w:t>
            </w:r>
          </w:p>
        </w:tc>
        <w:tc>
          <w:tcPr>
            <w:tcW w:w="1251" w:type="dxa"/>
            <w:tcBorders>
              <w:top w:val="nil"/>
              <w:left w:val="nil"/>
              <w:bottom w:val="nil"/>
              <w:insideH w:val="nil"/>
              <w:right w:val="nil"/>
              <w:insideV w:val="nil"/>
            </w:tcBorders>
            <w:shd w:fill="auto" w:val="clear"/>
          </w:tcPr>
          <w:p>
            <w:pPr>
              <w:pStyle w:val="Normal"/>
              <w:rPr/>
            </w:pPr>
            <w:r>
              <w:rPr/>
              <w:t>49.2</w:t>
            </w:r>
          </w:p>
        </w:tc>
        <w:tc>
          <w:tcPr>
            <w:tcW w:w="720" w:type="dxa"/>
            <w:tcBorders>
              <w:top w:val="nil"/>
              <w:left w:val="nil"/>
              <w:bottom w:val="nil"/>
              <w:insideH w:val="nil"/>
              <w:right w:val="nil"/>
              <w:insideV w:val="nil"/>
            </w:tcBorders>
            <w:shd w:fill="auto" w:val="clear"/>
          </w:tcPr>
          <w:p>
            <w:pPr>
              <w:pStyle w:val="Normal"/>
              <w:rPr/>
            </w:pPr>
            <w:r>
              <w:rPr/>
              <w:t>4</w:t>
            </w:r>
          </w:p>
        </w:tc>
        <w:tc>
          <w:tcPr>
            <w:tcW w:w="950" w:type="dxa"/>
            <w:tcBorders>
              <w:top w:val="nil"/>
              <w:left w:val="nil"/>
              <w:bottom w:val="nil"/>
              <w:insideH w:val="nil"/>
              <w:right w:val="nil"/>
              <w:insideV w:val="nil"/>
            </w:tcBorders>
            <w:shd w:fill="auto" w:val="clear"/>
          </w:tcPr>
          <w:p>
            <w:pPr>
              <w:pStyle w:val="Normal"/>
              <w:rPr/>
            </w:pPr>
            <w:r>
              <w:rPr/>
              <w:t>4</w:t>
            </w:r>
          </w:p>
        </w:tc>
        <w:tc>
          <w:tcPr>
            <w:tcW w:w="1210" w:type="dxa"/>
            <w:tcBorders>
              <w:top w:val="nil"/>
              <w:left w:val="nil"/>
              <w:bottom w:val="nil"/>
              <w:insideH w:val="nil"/>
              <w:right w:val="nil"/>
              <w:insideV w:val="nil"/>
            </w:tcBorders>
            <w:shd w:fill="auto" w:val="clear"/>
          </w:tcPr>
          <w:p>
            <w:pPr>
              <w:pStyle w:val="Normal"/>
              <w:rPr/>
            </w:pPr>
            <w:r>
              <w:rPr/>
              <w:t>3.6</w:t>
            </w:r>
          </w:p>
        </w:tc>
        <w:tc>
          <w:tcPr>
            <w:tcW w:w="1548" w:type="dxa"/>
            <w:tcBorders>
              <w:top w:val="nil"/>
              <w:left w:val="nil"/>
              <w:bottom w:val="nil"/>
              <w:insideH w:val="nil"/>
              <w:right w:val="nil"/>
              <w:insideV w:val="nil"/>
            </w:tcBorders>
            <w:shd w:fill="auto" w:val="clear"/>
          </w:tcPr>
          <w:p>
            <w:pPr>
              <w:pStyle w:val="Normal"/>
              <w:rPr/>
            </w:pPr>
            <w:r>
              <w:rPr/>
              <w:t>&lt;0.0001</w:t>
            </w:r>
          </w:p>
        </w:tc>
      </w:tr>
      <w:tr>
        <w:trPr>
          <w:cantSplit w:val="false"/>
        </w:trPr>
        <w:tc>
          <w:tcPr>
            <w:tcW w:w="1726" w:type="dxa"/>
            <w:tcBorders>
              <w:top w:val="nil"/>
              <w:left w:val="nil"/>
              <w:bottom w:val="nil"/>
              <w:insideH w:val="nil"/>
              <w:right w:val="nil"/>
              <w:insideV w:val="nil"/>
            </w:tcBorders>
            <w:shd w:fill="auto" w:val="clear"/>
          </w:tcPr>
          <w:p>
            <w:pPr>
              <w:pStyle w:val="Normal"/>
              <w:rPr/>
            </w:pPr>
            <w:r>
              <w:rPr/>
              <w:t>Other – ED</w:t>
            </w:r>
          </w:p>
        </w:tc>
        <w:tc>
          <w:tcPr>
            <w:tcW w:w="794" w:type="dxa"/>
            <w:tcBorders>
              <w:top w:val="nil"/>
              <w:left w:val="nil"/>
              <w:bottom w:val="nil"/>
              <w:insideH w:val="nil"/>
              <w:right w:val="nil"/>
              <w:insideV w:val="nil"/>
            </w:tcBorders>
            <w:shd w:fill="auto" w:val="clear"/>
          </w:tcPr>
          <w:p>
            <w:pPr>
              <w:pStyle w:val="Normal"/>
              <w:rPr/>
            </w:pPr>
            <w:r>
              <w:rPr/>
              <w:t>79</w:t>
            </w:r>
          </w:p>
        </w:tc>
        <w:tc>
          <w:tcPr>
            <w:tcW w:w="1089" w:type="dxa"/>
            <w:tcBorders>
              <w:top w:val="nil"/>
              <w:left w:val="nil"/>
              <w:bottom w:val="nil"/>
              <w:insideH w:val="nil"/>
              <w:right w:val="nil"/>
              <w:insideV w:val="nil"/>
            </w:tcBorders>
            <w:shd w:fill="auto" w:val="clear"/>
          </w:tcPr>
          <w:p>
            <w:pPr>
              <w:pStyle w:val="Normal"/>
              <w:rPr/>
            </w:pPr>
            <w:r>
              <w:rPr/>
              <w:t>323</w:t>
            </w:r>
          </w:p>
        </w:tc>
        <w:tc>
          <w:tcPr>
            <w:tcW w:w="1251" w:type="dxa"/>
            <w:tcBorders>
              <w:top w:val="nil"/>
              <w:left w:val="nil"/>
              <w:bottom w:val="nil"/>
              <w:insideH w:val="nil"/>
              <w:right w:val="nil"/>
              <w:insideV w:val="nil"/>
            </w:tcBorders>
            <w:shd w:fill="auto" w:val="clear"/>
          </w:tcPr>
          <w:p>
            <w:pPr>
              <w:pStyle w:val="Normal"/>
              <w:rPr/>
            </w:pPr>
            <w:r>
              <w:rPr/>
              <w:t>289.0</w:t>
            </w:r>
          </w:p>
        </w:tc>
        <w:tc>
          <w:tcPr>
            <w:tcW w:w="720" w:type="dxa"/>
            <w:tcBorders>
              <w:top w:val="nil"/>
              <w:left w:val="nil"/>
              <w:bottom w:val="nil"/>
              <w:insideH w:val="nil"/>
              <w:right w:val="nil"/>
              <w:insideV w:val="nil"/>
            </w:tcBorders>
            <w:shd w:fill="auto" w:val="clear"/>
          </w:tcPr>
          <w:p>
            <w:pPr>
              <w:pStyle w:val="Normal"/>
              <w:rPr/>
            </w:pPr>
            <w:r>
              <w:rPr/>
              <w:t>52</w:t>
            </w:r>
          </w:p>
        </w:tc>
        <w:tc>
          <w:tcPr>
            <w:tcW w:w="950" w:type="dxa"/>
            <w:tcBorders>
              <w:top w:val="nil"/>
              <w:left w:val="nil"/>
              <w:bottom w:val="nil"/>
              <w:insideH w:val="nil"/>
              <w:right w:val="nil"/>
              <w:insideV w:val="nil"/>
            </w:tcBorders>
            <w:shd w:fill="auto" w:val="clear"/>
          </w:tcPr>
          <w:p>
            <w:pPr>
              <w:pStyle w:val="Normal"/>
              <w:rPr/>
            </w:pPr>
            <w:r>
              <w:rPr/>
              <w:t>137</w:t>
            </w:r>
          </w:p>
        </w:tc>
        <w:tc>
          <w:tcPr>
            <w:tcW w:w="1210" w:type="dxa"/>
            <w:tcBorders>
              <w:top w:val="nil"/>
              <w:left w:val="nil"/>
              <w:bottom w:val="nil"/>
              <w:insideH w:val="nil"/>
              <w:right w:val="nil"/>
              <w:insideV w:val="nil"/>
            </w:tcBorders>
            <w:shd w:fill="auto" w:val="clear"/>
          </w:tcPr>
          <w:p>
            <w:pPr>
              <w:pStyle w:val="Normal"/>
              <w:rPr/>
            </w:pPr>
            <w:r>
              <w:rPr/>
              <w:t>123.4</w:t>
            </w:r>
          </w:p>
        </w:tc>
        <w:tc>
          <w:tcPr>
            <w:tcW w:w="1548" w:type="dxa"/>
            <w:tcBorders>
              <w:top w:val="nil"/>
              <w:left w:val="nil"/>
              <w:bottom w:val="nil"/>
              <w:insideH w:val="nil"/>
              <w:right w:val="nil"/>
              <w:insideV w:val="nil"/>
            </w:tcBorders>
            <w:shd w:fill="auto" w:val="clear"/>
          </w:tcPr>
          <w:p>
            <w:pPr>
              <w:pStyle w:val="Normal"/>
              <w:rPr/>
            </w:pPr>
            <w:r>
              <w:rPr/>
              <w:t>&lt;0.0001</w:t>
            </w:r>
          </w:p>
        </w:tc>
      </w:tr>
      <w:tr>
        <w:trPr>
          <w:cantSplit w:val="false"/>
        </w:trPr>
        <w:tc>
          <w:tcPr>
            <w:tcW w:w="1726" w:type="dxa"/>
            <w:tcBorders>
              <w:top w:val="nil"/>
              <w:left w:val="nil"/>
              <w:bottom w:val="nil"/>
              <w:insideH w:val="nil"/>
              <w:right w:val="nil"/>
              <w:insideV w:val="nil"/>
            </w:tcBorders>
            <w:shd w:fill="auto" w:val="clear"/>
          </w:tcPr>
          <w:p>
            <w:pPr>
              <w:pStyle w:val="Normal"/>
              <w:rPr/>
            </w:pPr>
            <w:r>
              <w:rPr/>
              <w:t>Other - Hosp</w:t>
            </w:r>
          </w:p>
        </w:tc>
        <w:tc>
          <w:tcPr>
            <w:tcW w:w="794" w:type="dxa"/>
            <w:tcBorders>
              <w:top w:val="nil"/>
              <w:left w:val="nil"/>
              <w:bottom w:val="nil"/>
              <w:insideH w:val="nil"/>
              <w:right w:val="nil"/>
              <w:insideV w:val="nil"/>
            </w:tcBorders>
            <w:shd w:fill="auto" w:val="clear"/>
          </w:tcPr>
          <w:p>
            <w:pPr>
              <w:pStyle w:val="Normal"/>
              <w:rPr/>
            </w:pPr>
            <w:r>
              <w:rPr/>
              <w:t>67</w:t>
            </w:r>
          </w:p>
        </w:tc>
        <w:tc>
          <w:tcPr>
            <w:tcW w:w="1089" w:type="dxa"/>
            <w:tcBorders>
              <w:top w:val="nil"/>
              <w:left w:val="nil"/>
              <w:bottom w:val="nil"/>
              <w:insideH w:val="nil"/>
              <w:right w:val="nil"/>
              <w:insideV w:val="nil"/>
            </w:tcBorders>
            <w:shd w:fill="auto" w:val="clear"/>
          </w:tcPr>
          <w:p>
            <w:pPr>
              <w:pStyle w:val="Normal"/>
              <w:rPr/>
            </w:pPr>
            <w:r>
              <w:rPr/>
              <w:t>115</w:t>
            </w:r>
          </w:p>
        </w:tc>
        <w:tc>
          <w:tcPr>
            <w:tcW w:w="1251" w:type="dxa"/>
            <w:tcBorders>
              <w:top w:val="nil"/>
              <w:left w:val="nil"/>
              <w:bottom w:val="nil"/>
              <w:insideH w:val="nil"/>
              <w:right w:val="nil"/>
              <w:insideV w:val="nil"/>
            </w:tcBorders>
            <w:shd w:fill="auto" w:val="clear"/>
          </w:tcPr>
          <w:p>
            <w:pPr>
              <w:pStyle w:val="Normal"/>
              <w:rPr/>
            </w:pPr>
            <w:r>
              <w:rPr/>
              <w:t>102.9</w:t>
            </w:r>
          </w:p>
        </w:tc>
        <w:tc>
          <w:tcPr>
            <w:tcW w:w="720" w:type="dxa"/>
            <w:tcBorders>
              <w:top w:val="nil"/>
              <w:left w:val="nil"/>
              <w:bottom w:val="nil"/>
              <w:insideH w:val="nil"/>
              <w:right w:val="nil"/>
              <w:insideV w:val="nil"/>
            </w:tcBorders>
            <w:shd w:fill="auto" w:val="clear"/>
          </w:tcPr>
          <w:p>
            <w:pPr>
              <w:pStyle w:val="Normal"/>
              <w:rPr/>
            </w:pPr>
            <w:r>
              <w:rPr/>
              <w:t>30</w:t>
            </w:r>
          </w:p>
        </w:tc>
        <w:tc>
          <w:tcPr>
            <w:tcW w:w="950" w:type="dxa"/>
            <w:tcBorders>
              <w:top w:val="nil"/>
              <w:left w:val="nil"/>
              <w:bottom w:val="nil"/>
              <w:insideH w:val="nil"/>
              <w:right w:val="nil"/>
              <w:insideV w:val="nil"/>
            </w:tcBorders>
            <w:shd w:fill="auto" w:val="clear"/>
          </w:tcPr>
          <w:p>
            <w:pPr>
              <w:pStyle w:val="Normal"/>
              <w:rPr/>
            </w:pPr>
            <w:r>
              <w:rPr/>
              <w:t>48</w:t>
            </w:r>
          </w:p>
        </w:tc>
        <w:tc>
          <w:tcPr>
            <w:tcW w:w="1210" w:type="dxa"/>
            <w:tcBorders>
              <w:top w:val="nil"/>
              <w:left w:val="nil"/>
              <w:bottom w:val="nil"/>
              <w:insideH w:val="nil"/>
              <w:right w:val="nil"/>
              <w:insideV w:val="nil"/>
            </w:tcBorders>
            <w:shd w:fill="auto" w:val="clear"/>
          </w:tcPr>
          <w:p>
            <w:pPr>
              <w:pStyle w:val="Normal"/>
              <w:rPr/>
            </w:pPr>
            <w:r>
              <w:rPr/>
              <w:t>43.2</w:t>
            </w:r>
          </w:p>
        </w:tc>
        <w:tc>
          <w:tcPr>
            <w:tcW w:w="1548" w:type="dxa"/>
            <w:tcBorders>
              <w:top w:val="nil"/>
              <w:left w:val="nil"/>
              <w:bottom w:val="nil"/>
              <w:insideH w:val="nil"/>
              <w:right w:val="nil"/>
              <w:insideV w:val="nil"/>
            </w:tcBorders>
            <w:shd w:fill="auto" w:val="clear"/>
          </w:tcPr>
          <w:p>
            <w:pPr>
              <w:pStyle w:val="Normal"/>
              <w:rPr/>
            </w:pPr>
            <w:r>
              <w:rPr/>
              <w:t>0.0007</w:t>
            </w:r>
          </w:p>
        </w:tc>
      </w:tr>
      <w:tr>
        <w:trPr>
          <w:cantSplit w:val="false"/>
        </w:trPr>
        <w:tc>
          <w:tcPr>
            <w:tcW w:w="1726" w:type="dxa"/>
            <w:tcBorders>
              <w:top w:val="nil"/>
              <w:left w:val="nil"/>
              <w:bottom w:val="nil"/>
              <w:insideH w:val="nil"/>
              <w:right w:val="nil"/>
              <w:insideV w:val="nil"/>
            </w:tcBorders>
            <w:shd w:fill="auto" w:val="clear"/>
          </w:tcPr>
          <w:p>
            <w:pPr>
              <w:pStyle w:val="Normal"/>
              <w:rPr/>
            </w:pPr>
            <w:r>
              <w:rPr/>
              <w:t>Subtotal</w:t>
            </w:r>
          </w:p>
        </w:tc>
        <w:tc>
          <w:tcPr>
            <w:tcW w:w="794" w:type="dxa"/>
            <w:tcBorders>
              <w:top w:val="nil"/>
              <w:left w:val="nil"/>
              <w:bottom w:val="nil"/>
              <w:insideH w:val="nil"/>
              <w:right w:val="nil"/>
              <w:insideV w:val="nil"/>
            </w:tcBorders>
            <w:shd w:fill="auto" w:val="clear"/>
          </w:tcPr>
          <w:p>
            <w:pPr>
              <w:pStyle w:val="Normal"/>
              <w:rPr/>
            </w:pPr>
            <w:r>
              <w:rPr/>
              <w:t>93</w:t>
            </w:r>
          </w:p>
        </w:tc>
        <w:tc>
          <w:tcPr>
            <w:tcW w:w="1089" w:type="dxa"/>
            <w:tcBorders>
              <w:top w:val="nil"/>
              <w:left w:val="nil"/>
              <w:bottom w:val="nil"/>
              <w:insideH w:val="nil"/>
              <w:right w:val="nil"/>
              <w:insideV w:val="nil"/>
            </w:tcBorders>
            <w:shd w:fill="auto" w:val="clear"/>
          </w:tcPr>
          <w:p>
            <w:pPr>
              <w:pStyle w:val="Normal"/>
              <w:rPr/>
            </w:pPr>
            <w:r>
              <w:rPr/>
              <w:t>438</w:t>
            </w:r>
          </w:p>
        </w:tc>
        <w:tc>
          <w:tcPr>
            <w:tcW w:w="1251" w:type="dxa"/>
            <w:tcBorders>
              <w:top w:val="nil"/>
              <w:left w:val="nil"/>
              <w:bottom w:val="nil"/>
              <w:insideH w:val="nil"/>
              <w:right w:val="nil"/>
              <w:insideV w:val="nil"/>
            </w:tcBorders>
            <w:shd w:fill="auto" w:val="clear"/>
          </w:tcPr>
          <w:p>
            <w:pPr>
              <w:pStyle w:val="Normal"/>
              <w:rPr/>
            </w:pPr>
            <w:r>
              <w:rPr/>
              <w:t>391.9</w:t>
            </w:r>
          </w:p>
        </w:tc>
        <w:tc>
          <w:tcPr>
            <w:tcW w:w="720" w:type="dxa"/>
            <w:tcBorders>
              <w:top w:val="nil"/>
              <w:left w:val="nil"/>
              <w:bottom w:val="nil"/>
              <w:insideH w:val="nil"/>
              <w:right w:val="nil"/>
              <w:insideV w:val="nil"/>
            </w:tcBorders>
            <w:shd w:fill="auto" w:val="clear"/>
          </w:tcPr>
          <w:p>
            <w:pPr>
              <w:pStyle w:val="Normal"/>
              <w:rPr/>
            </w:pPr>
            <w:r>
              <w:rPr/>
              <w:t>61</w:t>
            </w:r>
          </w:p>
        </w:tc>
        <w:tc>
          <w:tcPr>
            <w:tcW w:w="950" w:type="dxa"/>
            <w:tcBorders>
              <w:top w:val="nil"/>
              <w:left w:val="nil"/>
              <w:bottom w:val="nil"/>
              <w:insideH w:val="nil"/>
              <w:right w:val="nil"/>
              <w:insideV w:val="nil"/>
            </w:tcBorders>
            <w:shd w:fill="auto" w:val="clear"/>
          </w:tcPr>
          <w:p>
            <w:pPr>
              <w:pStyle w:val="Normal"/>
              <w:rPr/>
            </w:pPr>
            <w:r>
              <w:rPr/>
              <w:t>185</w:t>
            </w:r>
          </w:p>
        </w:tc>
        <w:tc>
          <w:tcPr>
            <w:tcW w:w="1210" w:type="dxa"/>
            <w:tcBorders>
              <w:top w:val="nil"/>
              <w:left w:val="nil"/>
              <w:bottom w:val="nil"/>
              <w:insideH w:val="nil"/>
              <w:right w:val="nil"/>
              <w:insideV w:val="nil"/>
            </w:tcBorders>
            <w:shd w:fill="auto" w:val="clear"/>
          </w:tcPr>
          <w:p>
            <w:pPr>
              <w:pStyle w:val="Normal"/>
              <w:rPr/>
            </w:pPr>
            <w:r>
              <w:rPr/>
              <w:t>166.7</w:t>
            </w:r>
          </w:p>
        </w:tc>
        <w:tc>
          <w:tcPr>
            <w:tcW w:w="1548" w:type="dxa"/>
            <w:tcBorders>
              <w:top w:val="nil"/>
              <w:left w:val="nil"/>
              <w:bottom w:val="nil"/>
              <w:insideH w:val="nil"/>
              <w:right w:val="nil"/>
              <w:insideV w:val="nil"/>
            </w:tcBorders>
            <w:shd w:fill="auto" w:val="clear"/>
          </w:tcPr>
          <w:p>
            <w:pPr>
              <w:pStyle w:val="Normal"/>
              <w:rPr/>
            </w:pPr>
            <w:r>
              <w:rPr/>
              <w:t>&lt;0.0001</w:t>
            </w:r>
          </w:p>
        </w:tc>
      </w:tr>
      <w:tr>
        <w:trPr>
          <w:cantSplit w:val="false"/>
        </w:trPr>
        <w:tc>
          <w:tcPr>
            <w:tcW w:w="1726" w:type="dxa"/>
            <w:tcBorders>
              <w:top w:val="nil"/>
              <w:left w:val="nil"/>
              <w:bottom w:val="nil"/>
              <w:insideH w:val="nil"/>
              <w:right w:val="nil"/>
              <w:insideV w:val="nil"/>
            </w:tcBorders>
            <w:shd w:fill="auto" w:val="clear"/>
          </w:tcPr>
          <w:p>
            <w:pPr>
              <w:pStyle w:val="Normal"/>
              <w:rPr/>
            </w:pPr>
            <w:r>
              <w:rPr/>
              <w:t>Total</w:t>
            </w:r>
          </w:p>
        </w:tc>
        <w:tc>
          <w:tcPr>
            <w:tcW w:w="794" w:type="dxa"/>
            <w:tcBorders>
              <w:top w:val="nil"/>
              <w:left w:val="nil"/>
              <w:bottom w:val="nil"/>
              <w:insideH w:val="nil"/>
              <w:right w:val="nil"/>
              <w:insideV w:val="nil"/>
            </w:tcBorders>
            <w:shd w:fill="auto" w:val="clear"/>
          </w:tcPr>
          <w:p>
            <w:pPr>
              <w:pStyle w:val="Normal"/>
              <w:rPr/>
            </w:pPr>
            <w:r>
              <w:rPr/>
              <w:t>98</w:t>
            </w:r>
          </w:p>
        </w:tc>
        <w:tc>
          <w:tcPr>
            <w:tcW w:w="1089" w:type="dxa"/>
            <w:tcBorders>
              <w:top w:val="nil"/>
              <w:left w:val="nil"/>
              <w:bottom w:val="nil"/>
              <w:insideH w:val="nil"/>
              <w:right w:val="nil"/>
              <w:insideV w:val="nil"/>
            </w:tcBorders>
            <w:shd w:fill="auto" w:val="clear"/>
          </w:tcPr>
          <w:p>
            <w:pPr>
              <w:pStyle w:val="Normal"/>
              <w:rPr/>
            </w:pPr>
            <w:r>
              <w:rPr/>
              <w:t>521</w:t>
            </w:r>
          </w:p>
        </w:tc>
        <w:tc>
          <w:tcPr>
            <w:tcW w:w="1251" w:type="dxa"/>
            <w:tcBorders>
              <w:top w:val="nil"/>
              <w:left w:val="nil"/>
              <w:bottom w:val="nil"/>
              <w:insideH w:val="nil"/>
              <w:right w:val="nil"/>
              <w:insideV w:val="nil"/>
            </w:tcBorders>
            <w:shd w:fill="auto" w:val="clear"/>
          </w:tcPr>
          <w:p>
            <w:pPr>
              <w:pStyle w:val="Normal"/>
              <w:rPr/>
            </w:pPr>
            <w:r>
              <w:rPr/>
              <w:t>466.2</w:t>
            </w:r>
          </w:p>
        </w:tc>
        <w:tc>
          <w:tcPr>
            <w:tcW w:w="720" w:type="dxa"/>
            <w:tcBorders>
              <w:top w:val="nil"/>
              <w:left w:val="nil"/>
              <w:bottom w:val="nil"/>
              <w:insideH w:val="nil"/>
              <w:right w:val="nil"/>
              <w:insideV w:val="nil"/>
            </w:tcBorders>
            <w:shd w:fill="auto" w:val="clear"/>
          </w:tcPr>
          <w:p>
            <w:pPr>
              <w:pStyle w:val="Normal"/>
              <w:rPr/>
            </w:pPr>
            <w:r>
              <w:rPr/>
              <w:t>*66</w:t>
            </w:r>
          </w:p>
        </w:tc>
        <w:tc>
          <w:tcPr>
            <w:tcW w:w="950" w:type="dxa"/>
            <w:tcBorders>
              <w:top w:val="nil"/>
              <w:left w:val="nil"/>
              <w:bottom w:val="nil"/>
              <w:insideH w:val="nil"/>
              <w:right w:val="nil"/>
              <w:insideV w:val="nil"/>
            </w:tcBorders>
            <w:shd w:fill="auto" w:val="clear"/>
          </w:tcPr>
          <w:p>
            <w:pPr>
              <w:pStyle w:val="Normal"/>
              <w:rPr/>
            </w:pPr>
            <w:r>
              <w:rPr/>
              <w:t>206</w:t>
            </w:r>
          </w:p>
        </w:tc>
        <w:tc>
          <w:tcPr>
            <w:tcW w:w="1210" w:type="dxa"/>
            <w:tcBorders>
              <w:top w:val="nil"/>
              <w:left w:val="nil"/>
              <w:bottom w:val="nil"/>
              <w:insideH w:val="nil"/>
              <w:right w:val="nil"/>
              <w:insideV w:val="nil"/>
            </w:tcBorders>
            <w:shd w:fill="auto" w:val="clear"/>
          </w:tcPr>
          <w:p>
            <w:pPr>
              <w:pStyle w:val="Normal"/>
              <w:rPr/>
            </w:pPr>
            <w:r>
              <w:rPr/>
              <w:t>185.6</w:t>
            </w:r>
          </w:p>
        </w:tc>
        <w:tc>
          <w:tcPr>
            <w:tcW w:w="1548" w:type="dxa"/>
            <w:tcBorders>
              <w:top w:val="nil"/>
              <w:left w:val="nil"/>
              <w:bottom w:val="nil"/>
              <w:insideH w:val="nil"/>
              <w:right w:val="nil"/>
              <w:insideV w:val="nil"/>
            </w:tcBorders>
            <w:shd w:fill="auto" w:val="clear"/>
          </w:tcPr>
          <w:p>
            <w:pPr>
              <w:pStyle w:val="Normal"/>
              <w:rPr/>
            </w:pPr>
            <w:r>
              <w:rPr/>
              <w:t>&lt;0.0001</w:t>
            </w:r>
          </w:p>
        </w:tc>
      </w:tr>
    </w:tbl>
    <w:p>
      <w:pPr>
        <w:pStyle w:val="Normal"/>
        <w:rPr/>
      </w:pPr>
      <w:r>
        <w:rPr/>
      </w:r>
    </w:p>
    <w:p>
      <w:pPr>
        <w:pStyle w:val="Normal"/>
        <w:rPr/>
      </w:pPr>
      <w:r>
        <w:rPr/>
      </w:r>
    </w:p>
    <w:p>
      <w:pPr>
        <w:pStyle w:val="Normal"/>
        <w:rPr>
          <w:b/>
        </w:rPr>
      </w:pPr>
      <w:r>
        <w:rPr>
          <w:b/>
        </w:rPr>
        <w:t>Table 5: Healthcare System Resource Utilization</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081"/>
        <w:gridCol w:w="937"/>
        <w:gridCol w:w="2377"/>
        <w:gridCol w:w="937"/>
        <w:gridCol w:w="2377"/>
        <w:gridCol w:w="937"/>
        <w:gridCol w:w="2377"/>
      </w:tblGrid>
      <w:tr>
        <w:trPr>
          <w:cantSplit w:val="false"/>
        </w:trPr>
        <w:tc>
          <w:tcPr>
            <w:tcW w:w="1081" w:type="dxa"/>
            <w:tcBorders>
              <w:top w:val="nil"/>
              <w:left w:val="nil"/>
              <w:bottom w:val="nil"/>
              <w:insideH w:val="nil"/>
              <w:right w:val="nil"/>
              <w:insideV w:val="nil"/>
            </w:tcBorders>
            <w:shd w:fill="auto" w:val="clear"/>
          </w:tcPr>
          <w:p>
            <w:pPr>
              <w:pStyle w:val="Normal"/>
              <w:snapToGrid w:val="false"/>
              <w:rPr/>
            </w:pPr>
            <w:r>
              <w:rPr/>
            </w:r>
          </w:p>
        </w:tc>
        <w:tc>
          <w:tcPr>
            <w:tcW w:w="3314" w:type="dxa"/>
            <w:gridSpan w:val="2"/>
            <w:tcBorders>
              <w:top w:val="nil"/>
              <w:left w:val="nil"/>
              <w:bottom w:val="nil"/>
              <w:insideH w:val="nil"/>
              <w:right w:val="nil"/>
              <w:insideV w:val="nil"/>
            </w:tcBorders>
            <w:shd w:fill="auto" w:val="clear"/>
          </w:tcPr>
          <w:p>
            <w:pPr>
              <w:pStyle w:val="Normal"/>
              <w:rPr/>
            </w:pPr>
            <w:r>
              <w:rPr/>
              <w:t>Prior to AMS Care</w:t>
            </w:r>
          </w:p>
        </w:tc>
        <w:tc>
          <w:tcPr>
            <w:tcW w:w="3314" w:type="dxa"/>
            <w:gridSpan w:val="2"/>
            <w:tcBorders>
              <w:top w:val="nil"/>
              <w:left w:val="nil"/>
              <w:bottom w:val="nil"/>
              <w:insideH w:val="nil"/>
              <w:right w:val="nil"/>
              <w:insideV w:val="nil"/>
            </w:tcBorders>
            <w:shd w:fill="auto" w:val="clear"/>
          </w:tcPr>
          <w:p>
            <w:pPr>
              <w:pStyle w:val="Normal"/>
              <w:rPr/>
            </w:pPr>
            <w:r>
              <w:rPr/>
              <w:t>During AMS Care</w:t>
            </w:r>
          </w:p>
        </w:tc>
        <w:tc>
          <w:tcPr>
            <w:tcW w:w="3314" w:type="dxa"/>
            <w:gridSpan w:val="2"/>
            <w:tcBorders>
              <w:top w:val="nil"/>
              <w:left w:val="nil"/>
              <w:bottom w:val="nil"/>
              <w:insideH w:val="nil"/>
              <w:right w:val="nil"/>
              <w:insideV w:val="nil"/>
            </w:tcBorders>
            <w:shd w:fill="auto" w:val="clear"/>
          </w:tcPr>
          <w:p>
            <w:pPr>
              <w:pStyle w:val="Normal"/>
              <w:rPr/>
            </w:pPr>
            <w:r>
              <w:rPr/>
              <w:t>Difference</w:t>
            </w:r>
          </w:p>
        </w:tc>
      </w:tr>
      <w:tr>
        <w:trPr>
          <w:cantSplit w:val="false"/>
        </w:trPr>
        <w:tc>
          <w:tcPr>
            <w:tcW w:w="1081" w:type="dxa"/>
            <w:tcBorders>
              <w:top w:val="nil"/>
              <w:left w:val="nil"/>
              <w:bottom w:val="nil"/>
              <w:insideH w:val="nil"/>
              <w:right w:val="nil"/>
              <w:insideV w:val="nil"/>
            </w:tcBorders>
            <w:shd w:fill="auto" w:val="clear"/>
          </w:tcPr>
          <w:p>
            <w:pPr>
              <w:pStyle w:val="Normal"/>
              <w:snapToGrid w:val="false"/>
              <w:rPr/>
            </w:pPr>
            <w:r>
              <w:rPr/>
            </w:r>
          </w:p>
        </w:tc>
        <w:tc>
          <w:tcPr>
            <w:tcW w:w="937" w:type="dxa"/>
            <w:tcBorders>
              <w:top w:val="nil"/>
              <w:left w:val="nil"/>
              <w:bottom w:val="nil"/>
              <w:insideH w:val="nil"/>
              <w:right w:val="nil"/>
              <w:insideV w:val="nil"/>
            </w:tcBorders>
            <w:shd w:fill="auto" w:val="clear"/>
          </w:tcPr>
          <w:p>
            <w:pPr>
              <w:pStyle w:val="Normal"/>
              <w:rPr/>
            </w:pPr>
            <w:r>
              <w:rPr/>
              <w:t>ED Hours</w:t>
            </w:r>
          </w:p>
        </w:tc>
        <w:tc>
          <w:tcPr>
            <w:tcW w:w="2377" w:type="dxa"/>
            <w:tcBorders>
              <w:top w:val="nil"/>
              <w:left w:val="nil"/>
              <w:bottom w:val="nil"/>
              <w:insideH w:val="nil"/>
              <w:right w:val="nil"/>
              <w:insideV w:val="nil"/>
            </w:tcBorders>
            <w:shd w:fill="auto" w:val="clear"/>
          </w:tcPr>
          <w:p>
            <w:pPr>
              <w:pStyle w:val="Normal"/>
              <w:rPr/>
            </w:pPr>
            <w:r>
              <w:rPr/>
              <w:t>Hospitalization Costs</w:t>
            </w:r>
          </w:p>
        </w:tc>
        <w:tc>
          <w:tcPr>
            <w:tcW w:w="937" w:type="dxa"/>
            <w:tcBorders>
              <w:top w:val="nil"/>
              <w:left w:val="nil"/>
              <w:bottom w:val="nil"/>
              <w:insideH w:val="nil"/>
              <w:right w:val="nil"/>
              <w:insideV w:val="nil"/>
            </w:tcBorders>
            <w:shd w:fill="auto" w:val="clear"/>
          </w:tcPr>
          <w:p>
            <w:pPr>
              <w:pStyle w:val="Normal"/>
              <w:rPr/>
            </w:pPr>
            <w:r>
              <w:rPr/>
              <w:t>ED Hours</w:t>
            </w:r>
          </w:p>
        </w:tc>
        <w:tc>
          <w:tcPr>
            <w:tcW w:w="2377" w:type="dxa"/>
            <w:tcBorders>
              <w:top w:val="nil"/>
              <w:left w:val="nil"/>
              <w:bottom w:val="nil"/>
              <w:insideH w:val="nil"/>
              <w:right w:val="nil"/>
              <w:insideV w:val="nil"/>
            </w:tcBorders>
            <w:shd w:fill="auto" w:val="clear"/>
          </w:tcPr>
          <w:p>
            <w:pPr>
              <w:pStyle w:val="Normal"/>
              <w:rPr/>
            </w:pPr>
            <w:r>
              <w:rPr/>
              <w:t>Hospitalization Costs</w:t>
            </w:r>
          </w:p>
        </w:tc>
        <w:tc>
          <w:tcPr>
            <w:tcW w:w="937" w:type="dxa"/>
            <w:tcBorders>
              <w:top w:val="nil"/>
              <w:left w:val="nil"/>
              <w:bottom w:val="nil"/>
              <w:insideH w:val="nil"/>
              <w:right w:val="nil"/>
              <w:insideV w:val="nil"/>
            </w:tcBorders>
            <w:shd w:fill="auto" w:val="clear"/>
          </w:tcPr>
          <w:p>
            <w:pPr>
              <w:pStyle w:val="Normal"/>
              <w:rPr/>
            </w:pPr>
            <w:r>
              <w:rPr/>
              <w:t>ED Hours</w:t>
            </w:r>
          </w:p>
        </w:tc>
        <w:tc>
          <w:tcPr>
            <w:tcW w:w="2377" w:type="dxa"/>
            <w:tcBorders>
              <w:top w:val="nil"/>
              <w:left w:val="nil"/>
              <w:bottom w:val="nil"/>
              <w:insideH w:val="nil"/>
              <w:right w:val="nil"/>
              <w:insideV w:val="nil"/>
            </w:tcBorders>
            <w:shd w:fill="auto" w:val="clear"/>
          </w:tcPr>
          <w:p>
            <w:pPr>
              <w:pStyle w:val="Normal"/>
              <w:rPr/>
            </w:pPr>
            <w:r>
              <w:rPr/>
              <w:t>Hospitalization Costs</w:t>
            </w:r>
          </w:p>
        </w:tc>
      </w:tr>
      <w:tr>
        <w:trPr>
          <w:cantSplit w:val="false"/>
        </w:trPr>
        <w:tc>
          <w:tcPr>
            <w:tcW w:w="1081" w:type="dxa"/>
            <w:tcBorders>
              <w:top w:val="nil"/>
              <w:left w:val="nil"/>
              <w:bottom w:val="nil"/>
              <w:insideH w:val="nil"/>
              <w:right w:val="nil"/>
              <w:insideV w:val="nil"/>
            </w:tcBorders>
            <w:shd w:fill="auto" w:val="clear"/>
          </w:tcPr>
          <w:p>
            <w:pPr>
              <w:pStyle w:val="Normal"/>
              <w:rPr/>
            </w:pPr>
            <w:r>
              <w:rPr/>
              <w:t>Bleeds</w:t>
            </w:r>
          </w:p>
        </w:tc>
        <w:tc>
          <w:tcPr>
            <w:tcW w:w="937" w:type="dxa"/>
            <w:tcBorders>
              <w:top w:val="nil"/>
              <w:left w:val="nil"/>
              <w:bottom w:val="nil"/>
              <w:insideH w:val="nil"/>
              <w:right w:val="nil"/>
              <w:insideV w:val="nil"/>
            </w:tcBorders>
            <w:shd w:fill="auto" w:val="clear"/>
          </w:tcPr>
          <w:p>
            <w:pPr>
              <w:pStyle w:val="Normal"/>
              <w:rPr/>
            </w:pPr>
            <w:r>
              <w:rPr/>
              <w:t>176</w:t>
            </w:r>
          </w:p>
        </w:tc>
        <w:tc>
          <w:tcPr>
            <w:tcW w:w="2377" w:type="dxa"/>
            <w:tcBorders>
              <w:top w:val="nil"/>
              <w:left w:val="nil"/>
              <w:bottom w:val="nil"/>
              <w:insideH w:val="nil"/>
              <w:right w:val="nil"/>
              <w:insideV w:val="nil"/>
            </w:tcBorders>
            <w:shd w:fill="auto" w:val="clear"/>
          </w:tcPr>
          <w:p>
            <w:pPr>
              <w:pStyle w:val="Normal"/>
              <w:rPr/>
            </w:pPr>
            <w:r>
              <w:rPr/>
              <w:t>28,598.15</w:t>
            </w:r>
          </w:p>
        </w:tc>
        <w:tc>
          <w:tcPr>
            <w:tcW w:w="937" w:type="dxa"/>
            <w:tcBorders>
              <w:top w:val="nil"/>
              <w:left w:val="nil"/>
              <w:bottom w:val="nil"/>
              <w:insideH w:val="nil"/>
              <w:right w:val="nil"/>
              <w:insideV w:val="nil"/>
            </w:tcBorders>
            <w:shd w:fill="auto" w:val="clear"/>
          </w:tcPr>
          <w:p>
            <w:pPr>
              <w:pStyle w:val="Normal"/>
              <w:rPr/>
            </w:pPr>
            <w:r>
              <w:rPr/>
              <w:t>115</w:t>
            </w:r>
          </w:p>
        </w:tc>
        <w:tc>
          <w:tcPr>
            <w:tcW w:w="2377" w:type="dxa"/>
            <w:tcBorders>
              <w:top w:val="nil"/>
              <w:left w:val="nil"/>
              <w:bottom w:val="nil"/>
              <w:insideH w:val="nil"/>
              <w:right w:val="nil"/>
              <w:insideV w:val="nil"/>
            </w:tcBorders>
            <w:shd w:fill="auto" w:val="clear"/>
          </w:tcPr>
          <w:p>
            <w:pPr>
              <w:pStyle w:val="Normal"/>
              <w:rPr/>
            </w:pPr>
            <w:r>
              <w:rPr/>
              <w:t>10,549.70</w:t>
            </w:r>
          </w:p>
        </w:tc>
        <w:tc>
          <w:tcPr>
            <w:tcW w:w="937" w:type="dxa"/>
            <w:tcBorders>
              <w:top w:val="nil"/>
              <w:left w:val="nil"/>
              <w:bottom w:val="nil"/>
              <w:insideH w:val="nil"/>
              <w:right w:val="nil"/>
              <w:insideV w:val="nil"/>
            </w:tcBorders>
            <w:shd w:fill="auto" w:val="clear"/>
          </w:tcPr>
          <w:p>
            <w:pPr>
              <w:pStyle w:val="Normal"/>
              <w:rPr/>
            </w:pPr>
            <w:r>
              <w:rPr/>
              <w:t>61</w:t>
            </w:r>
          </w:p>
        </w:tc>
        <w:tc>
          <w:tcPr>
            <w:tcW w:w="2377" w:type="dxa"/>
            <w:tcBorders>
              <w:top w:val="nil"/>
              <w:left w:val="nil"/>
              <w:bottom w:val="nil"/>
              <w:insideH w:val="nil"/>
              <w:right w:val="nil"/>
              <w:insideV w:val="nil"/>
            </w:tcBorders>
            <w:shd w:fill="auto" w:val="clear"/>
          </w:tcPr>
          <w:p>
            <w:pPr>
              <w:pStyle w:val="Normal"/>
              <w:rPr/>
            </w:pPr>
            <w:r>
              <w:rPr/>
              <w:t>18,048.45</w:t>
            </w:r>
          </w:p>
        </w:tc>
      </w:tr>
      <w:tr>
        <w:trPr>
          <w:cantSplit w:val="false"/>
        </w:trPr>
        <w:tc>
          <w:tcPr>
            <w:tcW w:w="1081" w:type="dxa"/>
            <w:tcBorders>
              <w:top w:val="nil"/>
              <w:left w:val="nil"/>
              <w:bottom w:val="nil"/>
              <w:insideH w:val="nil"/>
              <w:right w:val="nil"/>
              <w:insideV w:val="nil"/>
            </w:tcBorders>
            <w:shd w:fill="auto" w:val="clear"/>
          </w:tcPr>
          <w:p>
            <w:pPr>
              <w:pStyle w:val="Normal"/>
              <w:rPr/>
            </w:pPr>
            <w:r>
              <w:rPr/>
              <w:t>Clots</w:t>
            </w:r>
          </w:p>
        </w:tc>
        <w:tc>
          <w:tcPr>
            <w:tcW w:w="937" w:type="dxa"/>
            <w:tcBorders>
              <w:top w:val="nil"/>
              <w:left w:val="nil"/>
              <w:bottom w:val="nil"/>
              <w:insideH w:val="nil"/>
              <w:right w:val="nil"/>
              <w:insideV w:val="nil"/>
            </w:tcBorders>
            <w:shd w:fill="auto" w:val="clear"/>
          </w:tcPr>
          <w:p>
            <w:pPr>
              <w:pStyle w:val="Normal"/>
              <w:rPr/>
            </w:pPr>
            <w:r>
              <w:rPr/>
              <w:t>529</w:t>
            </w:r>
          </w:p>
        </w:tc>
        <w:tc>
          <w:tcPr>
            <w:tcW w:w="2377" w:type="dxa"/>
            <w:tcBorders>
              <w:top w:val="nil"/>
              <w:left w:val="nil"/>
              <w:bottom w:val="nil"/>
              <w:insideH w:val="nil"/>
              <w:right w:val="nil"/>
              <w:insideV w:val="nil"/>
            </w:tcBorders>
            <w:shd w:fill="auto" w:val="clear"/>
          </w:tcPr>
          <w:p>
            <w:pPr>
              <w:pStyle w:val="Normal"/>
              <w:rPr/>
            </w:pPr>
            <w:r>
              <w:rPr/>
              <w:t>106,312</w:t>
            </w:r>
          </w:p>
        </w:tc>
        <w:tc>
          <w:tcPr>
            <w:tcW w:w="937" w:type="dxa"/>
            <w:tcBorders>
              <w:top w:val="nil"/>
              <w:left w:val="nil"/>
              <w:bottom w:val="nil"/>
              <w:insideH w:val="nil"/>
              <w:right w:val="nil"/>
              <w:insideV w:val="nil"/>
            </w:tcBorders>
            <w:shd w:fill="auto" w:val="clear"/>
          </w:tcPr>
          <w:p>
            <w:pPr>
              <w:pStyle w:val="Normal"/>
              <w:rPr/>
            </w:pPr>
            <w:r>
              <w:rPr/>
              <w:t>17</w:t>
            </w:r>
          </w:p>
        </w:tc>
        <w:tc>
          <w:tcPr>
            <w:tcW w:w="2377" w:type="dxa"/>
            <w:tcBorders>
              <w:top w:val="nil"/>
              <w:left w:val="nil"/>
              <w:bottom w:val="nil"/>
              <w:insideH w:val="nil"/>
              <w:right w:val="nil"/>
              <w:insideV w:val="nil"/>
            </w:tcBorders>
            <w:shd w:fill="auto" w:val="clear"/>
          </w:tcPr>
          <w:p>
            <w:pPr>
              <w:pStyle w:val="Normal"/>
              <w:rPr/>
            </w:pPr>
            <w:r>
              <w:rPr/>
              <w:t>2,215.50</w:t>
            </w:r>
          </w:p>
        </w:tc>
        <w:tc>
          <w:tcPr>
            <w:tcW w:w="937" w:type="dxa"/>
            <w:tcBorders>
              <w:top w:val="nil"/>
              <w:left w:val="nil"/>
              <w:bottom w:val="nil"/>
              <w:insideH w:val="nil"/>
              <w:right w:val="nil"/>
              <w:insideV w:val="nil"/>
            </w:tcBorders>
            <w:shd w:fill="auto" w:val="clear"/>
          </w:tcPr>
          <w:p>
            <w:pPr>
              <w:pStyle w:val="Normal"/>
              <w:rPr/>
            </w:pPr>
            <w:r>
              <w:rPr/>
              <w:t>512</w:t>
            </w:r>
          </w:p>
        </w:tc>
        <w:tc>
          <w:tcPr>
            <w:tcW w:w="2377" w:type="dxa"/>
            <w:tcBorders>
              <w:top w:val="nil"/>
              <w:left w:val="nil"/>
              <w:bottom w:val="nil"/>
              <w:insideH w:val="nil"/>
              <w:right w:val="nil"/>
              <w:insideV w:val="nil"/>
            </w:tcBorders>
            <w:shd w:fill="auto" w:val="clear"/>
          </w:tcPr>
          <w:p>
            <w:pPr>
              <w:pStyle w:val="Normal"/>
              <w:rPr/>
            </w:pPr>
            <w:r>
              <w:rPr/>
              <w:t>104,096.50</w:t>
            </w:r>
          </w:p>
        </w:tc>
      </w:tr>
      <w:tr>
        <w:trPr>
          <w:cantSplit w:val="false"/>
        </w:trPr>
        <w:tc>
          <w:tcPr>
            <w:tcW w:w="1081" w:type="dxa"/>
            <w:tcBorders>
              <w:top w:val="nil"/>
              <w:left w:val="nil"/>
              <w:bottom w:val="nil"/>
              <w:insideH w:val="nil"/>
              <w:right w:val="nil"/>
              <w:insideV w:val="nil"/>
            </w:tcBorders>
            <w:shd w:fill="auto" w:val="clear"/>
          </w:tcPr>
          <w:p>
            <w:pPr>
              <w:pStyle w:val="Normal"/>
              <w:rPr/>
            </w:pPr>
            <w:r>
              <w:rPr/>
              <w:t>Other</w:t>
            </w:r>
          </w:p>
        </w:tc>
        <w:tc>
          <w:tcPr>
            <w:tcW w:w="937" w:type="dxa"/>
            <w:tcBorders>
              <w:top w:val="nil"/>
              <w:left w:val="nil"/>
              <w:bottom w:val="nil"/>
              <w:insideH w:val="nil"/>
              <w:right w:val="nil"/>
              <w:insideV w:val="nil"/>
            </w:tcBorders>
            <w:shd w:fill="auto" w:val="clear"/>
          </w:tcPr>
          <w:p>
            <w:pPr>
              <w:pStyle w:val="Normal"/>
              <w:rPr/>
            </w:pPr>
            <w:r>
              <w:rPr/>
              <w:t>2217</w:t>
            </w:r>
          </w:p>
        </w:tc>
        <w:tc>
          <w:tcPr>
            <w:tcW w:w="2377" w:type="dxa"/>
            <w:tcBorders>
              <w:top w:val="nil"/>
              <w:left w:val="nil"/>
              <w:bottom w:val="nil"/>
              <w:insideH w:val="nil"/>
              <w:right w:val="nil"/>
              <w:insideV w:val="nil"/>
            </w:tcBorders>
            <w:shd w:fill="auto" w:val="clear"/>
          </w:tcPr>
          <w:p>
            <w:pPr>
              <w:pStyle w:val="Normal"/>
              <w:rPr/>
            </w:pPr>
            <w:r>
              <w:rPr/>
              <w:t>864,913</w:t>
            </w:r>
          </w:p>
        </w:tc>
        <w:tc>
          <w:tcPr>
            <w:tcW w:w="937" w:type="dxa"/>
            <w:tcBorders>
              <w:top w:val="nil"/>
              <w:left w:val="nil"/>
              <w:bottom w:val="nil"/>
              <w:insideH w:val="nil"/>
              <w:right w:val="nil"/>
              <w:insideV w:val="nil"/>
            </w:tcBorders>
            <w:shd w:fill="auto" w:val="clear"/>
          </w:tcPr>
          <w:p>
            <w:pPr>
              <w:pStyle w:val="Normal"/>
              <w:rPr/>
            </w:pPr>
            <w:r>
              <w:rPr/>
              <w:t>992</w:t>
            </w:r>
          </w:p>
        </w:tc>
        <w:tc>
          <w:tcPr>
            <w:tcW w:w="2377" w:type="dxa"/>
            <w:tcBorders>
              <w:top w:val="nil"/>
              <w:left w:val="nil"/>
              <w:bottom w:val="nil"/>
              <w:insideH w:val="nil"/>
              <w:right w:val="nil"/>
              <w:insideV w:val="nil"/>
            </w:tcBorders>
            <w:shd w:fill="auto" w:val="clear"/>
          </w:tcPr>
          <w:p>
            <w:pPr>
              <w:pStyle w:val="Normal"/>
              <w:rPr/>
            </w:pPr>
            <w:r>
              <w:rPr/>
              <w:t>338,907.80</w:t>
            </w:r>
          </w:p>
        </w:tc>
        <w:tc>
          <w:tcPr>
            <w:tcW w:w="937" w:type="dxa"/>
            <w:tcBorders>
              <w:top w:val="nil"/>
              <w:left w:val="nil"/>
              <w:bottom w:val="nil"/>
              <w:insideH w:val="nil"/>
              <w:right w:val="nil"/>
              <w:insideV w:val="nil"/>
            </w:tcBorders>
            <w:shd w:fill="auto" w:val="clear"/>
          </w:tcPr>
          <w:p>
            <w:pPr>
              <w:pStyle w:val="Normal"/>
              <w:rPr/>
            </w:pPr>
            <w:r>
              <w:rPr/>
              <w:t>1,225</w:t>
            </w:r>
          </w:p>
        </w:tc>
        <w:tc>
          <w:tcPr>
            <w:tcW w:w="2377" w:type="dxa"/>
            <w:tcBorders>
              <w:top w:val="nil"/>
              <w:left w:val="nil"/>
              <w:bottom w:val="nil"/>
              <w:insideH w:val="nil"/>
              <w:right w:val="nil"/>
              <w:insideV w:val="nil"/>
            </w:tcBorders>
            <w:shd w:fill="auto" w:val="clear"/>
          </w:tcPr>
          <w:p>
            <w:pPr>
              <w:pStyle w:val="Normal"/>
              <w:rPr/>
            </w:pPr>
            <w:r>
              <w:rPr/>
              <w:t>526,005.20</w:t>
            </w:r>
          </w:p>
        </w:tc>
      </w:tr>
      <w:tr>
        <w:trPr>
          <w:cantSplit w:val="false"/>
        </w:trPr>
        <w:tc>
          <w:tcPr>
            <w:tcW w:w="1081" w:type="dxa"/>
            <w:tcBorders>
              <w:top w:val="nil"/>
              <w:left w:val="nil"/>
              <w:bottom w:val="nil"/>
              <w:insideH w:val="nil"/>
              <w:right w:val="nil"/>
              <w:insideV w:val="nil"/>
            </w:tcBorders>
            <w:shd w:fill="auto" w:val="clear"/>
          </w:tcPr>
          <w:p>
            <w:pPr>
              <w:pStyle w:val="Normal"/>
              <w:rPr/>
            </w:pPr>
            <w:r>
              <w:rPr/>
              <w:t>Total</w:t>
            </w:r>
          </w:p>
        </w:tc>
        <w:tc>
          <w:tcPr>
            <w:tcW w:w="937" w:type="dxa"/>
            <w:tcBorders>
              <w:top w:val="nil"/>
              <w:left w:val="nil"/>
              <w:bottom w:val="nil"/>
              <w:insideH w:val="nil"/>
              <w:right w:val="nil"/>
              <w:insideV w:val="nil"/>
            </w:tcBorders>
            <w:shd w:fill="auto" w:val="clear"/>
          </w:tcPr>
          <w:p>
            <w:pPr>
              <w:pStyle w:val="Normal"/>
              <w:rPr/>
            </w:pPr>
            <w:r>
              <w:rPr/>
              <w:t>2922</w:t>
            </w:r>
          </w:p>
        </w:tc>
        <w:tc>
          <w:tcPr>
            <w:tcW w:w="2377" w:type="dxa"/>
            <w:tcBorders>
              <w:top w:val="nil"/>
              <w:left w:val="nil"/>
              <w:bottom w:val="nil"/>
              <w:insideH w:val="nil"/>
              <w:right w:val="nil"/>
              <w:insideV w:val="nil"/>
            </w:tcBorders>
            <w:shd w:fill="auto" w:val="clear"/>
          </w:tcPr>
          <w:p>
            <w:pPr>
              <w:pStyle w:val="Normal"/>
              <w:rPr/>
            </w:pPr>
            <w:r>
              <w:rPr/>
              <w:t>999,823.15</w:t>
            </w:r>
          </w:p>
        </w:tc>
        <w:tc>
          <w:tcPr>
            <w:tcW w:w="937" w:type="dxa"/>
            <w:tcBorders>
              <w:top w:val="nil"/>
              <w:left w:val="nil"/>
              <w:bottom w:val="nil"/>
              <w:insideH w:val="nil"/>
              <w:right w:val="nil"/>
              <w:insideV w:val="nil"/>
            </w:tcBorders>
            <w:shd w:fill="auto" w:val="clear"/>
          </w:tcPr>
          <w:p>
            <w:pPr>
              <w:pStyle w:val="Normal"/>
              <w:rPr/>
            </w:pPr>
            <w:r>
              <w:rPr/>
              <w:t>1124</w:t>
            </w:r>
          </w:p>
        </w:tc>
        <w:tc>
          <w:tcPr>
            <w:tcW w:w="2377" w:type="dxa"/>
            <w:tcBorders>
              <w:top w:val="nil"/>
              <w:left w:val="nil"/>
              <w:bottom w:val="nil"/>
              <w:insideH w:val="nil"/>
              <w:right w:val="nil"/>
              <w:insideV w:val="nil"/>
            </w:tcBorders>
            <w:shd w:fill="auto" w:val="clear"/>
          </w:tcPr>
          <w:p>
            <w:pPr>
              <w:pStyle w:val="Normal"/>
              <w:rPr/>
            </w:pPr>
            <w:r>
              <w:rPr/>
              <w:t>351,673.00</w:t>
            </w:r>
          </w:p>
        </w:tc>
        <w:tc>
          <w:tcPr>
            <w:tcW w:w="937" w:type="dxa"/>
            <w:tcBorders>
              <w:top w:val="nil"/>
              <w:left w:val="nil"/>
              <w:bottom w:val="nil"/>
              <w:insideH w:val="nil"/>
              <w:right w:val="nil"/>
              <w:insideV w:val="nil"/>
            </w:tcBorders>
            <w:shd w:fill="auto" w:val="clear"/>
          </w:tcPr>
          <w:p>
            <w:pPr>
              <w:pStyle w:val="Normal"/>
              <w:rPr/>
            </w:pPr>
            <w:r>
              <w:rPr/>
              <w:t>1,798</w:t>
            </w:r>
          </w:p>
        </w:tc>
        <w:tc>
          <w:tcPr>
            <w:tcW w:w="2377" w:type="dxa"/>
            <w:tcBorders>
              <w:top w:val="nil"/>
              <w:left w:val="nil"/>
              <w:bottom w:val="nil"/>
              <w:insideH w:val="nil"/>
              <w:right w:val="nil"/>
              <w:insideV w:val="nil"/>
            </w:tcBorders>
            <w:shd w:fill="auto" w:val="clear"/>
          </w:tcPr>
          <w:p>
            <w:pPr>
              <w:pStyle w:val="Normal"/>
              <w:rPr/>
            </w:pPr>
            <w:r>
              <w:rPr/>
              <w:t>648,150.15</w:t>
            </w:r>
          </w:p>
        </w:tc>
      </w:tr>
    </w:tbl>
    <w:p>
      <w:pPr>
        <w:pStyle w:val="Normal"/>
        <w:rPr/>
      </w:pPr>
      <w:r>
        <w:rPr/>
      </w:r>
    </w:p>
    <w:p>
      <w:pPr>
        <w:pStyle w:val="Normal"/>
        <w:rPr/>
      </w:pPr>
      <w:r>
        <w:rPr/>
      </w:r>
    </w:p>
    <w:sectPr>
      <w:footerReference w:type="default" r:id="rId3"/>
      <w:footerReference w:type="first" r:id="rId4"/>
      <w:type w:val="nextPage"/>
      <w:pgSz w:w="12240" w:h="15840"/>
      <w:pgMar w:left="1440" w:right="144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Ecofont Vera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455.95pt">
          <v:fill opacity="0f"/>
          <v:textbox>
            <w:txbxContent>
              <w:p>
                <w:pPr>
                  <w:pStyle w:val="Footer"/>
                  <w:rPr>
                    <w:rStyle w:val="PageNumber"/>
                  </w:rPr>
                </w:pPr>
                <w:r>
                  <w:rPr>
                    <w:rStyle w:val="PageNumber"/>
                  </w:rPr>
                  <w:fldChar w:fldCharType="begin"/>
                </w:r>
                <w:r>
                  <w:instrText> PAGE </w:instrText>
                </w:r>
                <w:r>
                  <w:fldChar w:fldCharType="separate"/>
                </w:r>
                <w:r>
                  <w:t>16</w:t>
                </w:r>
                <w:r>
                  <w:fldChar w:fldCharType="end"/>
                </w:r>
              </w:p>
              <w:p>
                <w:pPr>
                  <w:pStyle w:val="Footer"/>
                  <w:rPr/>
                </w:pPr>
                <w:r>
                  <w:rPr/>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abstractNum>
  <w:num w:numId="1">
    <w:abstractNumId w:val="1"/>
  </w:num>
  <w:num w:numId="2">
    <w:abstractNumId w:val="2"/>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pPr>
      <w:keepNext/>
      <w:numPr>
        <w:ilvl w:val="0"/>
        <w:numId w:val="1"/>
      </w:numPr>
      <w:outlineLvl w:val="0"/>
      <w:outlineLvl w:val="0"/>
    </w:pPr>
    <w:rPr>
      <w:rFonts w:ascii="Arial" w:hAnsi="Arial" w:cs="Arial"/>
      <w:b/>
      <w:bCs/>
    </w:rPr>
  </w:style>
  <w:style w:type="paragraph" w:styleId="Heading2">
    <w:name w:val="Heading 2"/>
    <w:basedOn w:val="Normal"/>
    <w:next w:val="Normal"/>
    <w:pPr>
      <w:keepNext/>
      <w:numPr>
        <w:ilvl w:val="1"/>
        <w:numId w:val="1"/>
      </w:numPr>
      <w:outlineLvl w:val="1"/>
      <w:outlineLvl w:val="1"/>
    </w:pPr>
    <w:rPr>
      <w:rFonts w:ascii="Arial" w:hAnsi="Arial" w:cs="Arial"/>
      <w:b/>
      <w:bCs/>
      <w:sz w:val="22"/>
    </w:rPr>
  </w:style>
  <w:style w:type="paragraph" w:styleId="Heading3">
    <w:name w:val="Heading 3"/>
    <w:basedOn w:val="Normal"/>
    <w:next w:val="Normal"/>
    <w:pPr>
      <w:keepNext/>
      <w:numPr>
        <w:ilvl w:val="2"/>
        <w:numId w:val="1"/>
      </w:numPr>
      <w:outlineLvl w:val="2"/>
      <w:outlineLvl w:val="2"/>
    </w:pPr>
    <w:rPr>
      <w:i/>
      <w:iCs/>
    </w:rPr>
  </w:style>
  <w:style w:type="character" w:styleId="WW8Num1z0">
    <w:name w:val="WW8Num1z0"/>
    <w:rPr>
      <w:rFonts w:ascii="Symbol" w:hAnsi="Symbol" w:cs="Symbol"/>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2z0">
    <w:name w:val="WW8Num2z0"/>
    <w:rPr>
      <w:rFonts w:ascii="Symbol" w:hAnsi="Symbol" w:cs="Symbol"/>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rFonts w:ascii="Symbol" w:hAnsi="Symbol" w:cs="Symbol"/>
    </w:rPr>
  </w:style>
  <w:style w:type="character" w:styleId="WW8Num5z0">
    <w:name w:val="WW8Num5z0"/>
    <w:rPr>
      <w:rFonts w:ascii="Symbol" w:hAnsi="Symbol" w:cs="Symbol"/>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rFonts w:ascii="Symbol" w:hAnsi="Symbol" w:cs="Symbol"/>
    </w:rPr>
  </w:style>
  <w:style w:type="character" w:styleId="WW8Num11z0">
    <w:name w:val="WW8Num11z0"/>
    <w:rPr>
      <w:rFonts w:ascii="Times New Roman" w:hAnsi="Times New Roman" w:cs="Times New Roman"/>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style>
  <w:style w:type="character" w:styleId="WW8Num15z0">
    <w:name w:val="WW8Num15z0"/>
    <w:rPr>
      <w:rFonts w:ascii="Symbol" w:hAnsi="Symbol" w:cs="Symbol"/>
    </w:rPr>
  </w:style>
  <w:style w:type="character" w:styleId="WW8Num16z0">
    <w:name w:val="WW8Num16z0"/>
    <w:rPr/>
  </w:style>
  <w:style w:type="character" w:styleId="WW8Num16z1">
    <w:name w:val="WW8Num16z1"/>
    <w:rPr/>
  </w:style>
  <w:style w:type="character" w:styleId="WW8Num16z2">
    <w:name w:val="WW8Num16z2"/>
    <w:rPr/>
  </w:style>
  <w:style w:type="character" w:styleId="WW8Num16z3">
    <w:name w:val="WW8Num16z3"/>
    <w:rPr/>
  </w:style>
  <w:style w:type="character" w:styleId="WW8Num16z4">
    <w:name w:val="WW8Num16z4"/>
    <w:rPr/>
  </w:style>
  <w:style w:type="character" w:styleId="WW8Num16z5">
    <w:name w:val="WW8Num16z5"/>
    <w:rPr/>
  </w:style>
  <w:style w:type="character" w:styleId="WW8Num16z6">
    <w:name w:val="WW8Num16z6"/>
    <w:rPr/>
  </w:style>
  <w:style w:type="character" w:styleId="WW8Num16z7">
    <w:name w:val="WW8Num16z7"/>
    <w:rPr/>
  </w:style>
  <w:style w:type="character" w:styleId="WW8Num16z8">
    <w:name w:val="WW8Num16z8"/>
    <w:rPr/>
  </w:style>
  <w:style w:type="character" w:styleId="WW8Num17z0">
    <w:name w:val="WW8Num17z0"/>
    <w:rPr>
      <w:rFonts w:ascii="Times New Roman" w:hAnsi="Times New Roman" w:cs="Times New Roman"/>
    </w:rPr>
  </w:style>
  <w:style w:type="character" w:styleId="WW8Num18z0">
    <w:name w:val="WW8Num18z0"/>
    <w:rPr>
      <w:rFonts w:ascii="Symbol" w:hAnsi="Symbol" w:cs="Symbol"/>
    </w:rPr>
  </w:style>
  <w:style w:type="character" w:styleId="WW8Num19z0">
    <w:name w:val="WW8Num19z0"/>
    <w:rPr>
      <w:rFonts w:ascii="Symbol" w:hAnsi="Symbol" w:cs="Symbol"/>
    </w:rPr>
  </w:style>
  <w:style w:type="character" w:styleId="WW8Num20z0">
    <w:name w:val="WW8Num20z0"/>
    <w:rPr>
      <w:rFonts w:ascii="Symbol" w:hAnsi="Symbol" w:cs="Symbol"/>
    </w:rPr>
  </w:style>
  <w:style w:type="character" w:styleId="WW8Num21z0">
    <w:name w:val="WW8Num21z0"/>
    <w:rPr>
      <w:rFonts w:ascii="Symbol" w:hAnsi="Symbol" w:cs="Symbol"/>
    </w:rPr>
  </w:style>
  <w:style w:type="character" w:styleId="WW8Num22z0">
    <w:name w:val="WW8Num22z0"/>
    <w:rPr>
      <w:rFonts w:ascii="Symbol" w:hAnsi="Symbol" w:cs="Symbol"/>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rPr>
      <w:rFonts w:ascii="Arial" w:hAnsi="Arial" w:cs="Arial"/>
      <w:b/>
      <w:bCs/>
      <w:iCs/>
      <w:sz w:val="22"/>
      <w:u w:val="single"/>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BodyText2">
    <w:name w:val="Body Text 2"/>
    <w:basedOn w:val="Normal"/>
    <w:pPr/>
    <w:rPr>
      <w:rFonts w:ascii="Arial" w:hAnsi="Arial" w:cs="Arial"/>
      <w:sz w:val="22"/>
    </w:rPr>
  </w:style>
  <w:style w:type="paragraph" w:styleId="BodyText3">
    <w:name w:val="Body Text 3"/>
    <w:basedOn w:val="Normal"/>
    <w:pPr/>
    <w:rPr>
      <w:b/>
      <w:bCs/>
      <w:i/>
      <w:iCs/>
    </w:rPr>
  </w:style>
  <w:style w:type="paragraph" w:styleId="TextBodyIndent">
    <w:name w:val="Text Body Indent"/>
    <w:basedOn w:val="Normal"/>
    <w:pPr>
      <w:spacing w:before="0" w:after="120"/>
      <w:ind w:left="360" w:right="0" w:hanging="0"/>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pPr>
      <w:spacing w:before="280" w:after="28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ammy.bungard@ualberta.c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120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2007-05-31T05:38:00Z</dcterms:created>
  <dc:creator>Tammy Bungard</dc:creator>
  <dc:language>en-CA</dc:language>
  <cp:lastModifiedBy>Tammy Bungard</cp:lastModifiedBy>
  <cp:lastPrinted>2007-05-03T09:52:00Z</cp:lastPrinted>
  <dcterms:modified xsi:type="dcterms:W3CDTF">2007-05-31T05:38:00Z</dcterms:modified>
  <cp:revision>2</cp:revision>
  <dc:title>AMS CORE Clinic Paper(s)</dc:title>
</cp:coreProperties>
</file>