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BodyText2"/>
        <w:rPr/>
      </w:pPr>
      <w:r>
        <w:rPr/>
        <w:t>Are we over-estimating the effectiveness of dementia therapies? A Systematic Review of the use of Last-Observation-Carried-Forward in Dementia Drug Studies.</w:t>
      </w:r>
    </w:p>
    <w:p>
      <w:pPr>
        <w:pStyle w:val="Normal"/>
        <w:rPr/>
      </w:pPr>
      <w:r>
        <w:rPr/>
      </w:r>
    </w:p>
    <w:p>
      <w:pPr>
        <w:pStyle w:val="Normal"/>
        <w:rPr/>
      </w:pPr>
      <w:r>
        <w:rPr/>
      </w:r>
    </w:p>
    <w:p>
      <w:pPr>
        <w:pStyle w:val="Normal"/>
        <w:rPr/>
      </w:pPr>
      <w:r>
        <w:rPr/>
      </w:r>
    </w:p>
    <w:p>
      <w:pPr>
        <w:pStyle w:val="Normal"/>
        <w:jc w:val="center"/>
        <w:rPr>
          <w:vertAlign w:val="superscript"/>
        </w:rPr>
      </w:pPr>
      <w:r>
        <w:rPr/>
        <w:t>Frank J. Molnar MSc MDCM  FRCPC</w:t>
      </w:r>
      <w:r>
        <w:rPr>
          <w:vertAlign w:val="superscript"/>
        </w:rPr>
        <w:t>1,2,3</w:t>
      </w:r>
    </w:p>
    <w:p>
      <w:pPr>
        <w:pStyle w:val="Normal"/>
        <w:jc w:val="center"/>
        <w:rPr>
          <w:vertAlign w:val="superscript"/>
        </w:rPr>
      </w:pPr>
      <w:r>
        <w:rPr/>
        <w:t>Malcolm Man-Son-Hing MSc MD FRCPC</w:t>
      </w:r>
      <w:r>
        <w:rPr>
          <w:vertAlign w:val="superscript"/>
        </w:rPr>
        <w:t>1,2,3</w:t>
      </w:r>
    </w:p>
    <w:p>
      <w:pPr>
        <w:pStyle w:val="Normal"/>
        <w:jc w:val="center"/>
        <w:rPr>
          <w:vertAlign w:val="superscript"/>
        </w:rPr>
      </w:pPr>
      <w:r>
        <w:rPr/>
        <w:t xml:space="preserve">Brian Hutton BSc, MSc </w:t>
      </w:r>
      <w:r>
        <w:rPr>
          <w:vertAlign w:val="superscript"/>
        </w:rPr>
        <w:t>1</w:t>
      </w:r>
    </w:p>
    <w:p>
      <w:pPr>
        <w:pStyle w:val="Normal"/>
        <w:jc w:val="center"/>
        <w:rPr>
          <w:vertAlign w:val="superscript"/>
        </w:rPr>
      </w:pPr>
      <w:r>
        <w:rPr/>
        <w:t>Dean Fergusson MHA, PhD</w:t>
      </w:r>
      <w:r>
        <w:rPr>
          <w:vertAlign w:val="superscript"/>
        </w:rPr>
        <w:t>1,4,5</w:t>
      </w:r>
    </w:p>
    <w:p>
      <w:pPr>
        <w:pStyle w:val="Normal"/>
        <w:rPr/>
      </w:pPr>
      <w:r>
        <w:rPr/>
      </w:r>
    </w:p>
    <w:p>
      <w:pPr>
        <w:pStyle w:val="Normal"/>
        <w:rPr/>
      </w:pPr>
      <w:r>
        <w:rPr/>
      </w:r>
    </w:p>
    <w:p>
      <w:pPr>
        <w:pStyle w:val="Normal"/>
        <w:rPr/>
      </w:pPr>
      <w:r>
        <w:rPr/>
      </w:r>
    </w:p>
    <w:p>
      <w:pPr>
        <w:pStyle w:val="Normal"/>
        <w:rPr>
          <w:lang w:val="en-GB"/>
        </w:rPr>
      </w:pPr>
      <w:r>
        <w:rPr>
          <w:vertAlign w:val="superscript"/>
        </w:rPr>
        <w:t>1</w:t>
      </w:r>
      <w:r>
        <w:rPr>
          <w:lang w:val="en-GB"/>
        </w:rPr>
        <w:t xml:space="preserve">Clinical Epidemiology Program, the University of Ottawa Health Research Institute, </w:t>
      </w:r>
      <w:r>
        <w:rPr>
          <w:vertAlign w:val="superscript"/>
          <w:lang w:val="en-GB"/>
        </w:rPr>
        <w:t>2</w:t>
      </w:r>
      <w:r>
        <w:rPr/>
        <w:t>Élisabeth-Bruyère Research Institute, Ottawa;</w:t>
      </w:r>
      <w:r>
        <w:rPr>
          <w:lang w:val="en-GB"/>
        </w:rPr>
        <w:t xml:space="preserve"> </w:t>
      </w:r>
      <w:r>
        <w:rPr>
          <w:vertAlign w:val="superscript"/>
          <w:lang w:val="en-GB"/>
        </w:rPr>
        <w:t>3</w:t>
      </w:r>
      <w:r>
        <w:rPr>
          <w:lang w:val="en-GB"/>
        </w:rPr>
        <w:t xml:space="preserve">Division of Geriatric Medicine, Department of Internal Medicine, University of Ottawa; </w:t>
      </w:r>
      <w:r>
        <w:rPr>
          <w:vertAlign w:val="superscript"/>
          <w:lang w:val="en-GB"/>
        </w:rPr>
        <w:t>4</w:t>
      </w:r>
      <w:r>
        <w:rPr>
          <w:lang w:val="en-GB"/>
        </w:rPr>
        <w:t xml:space="preserve">Clinical Trials Research Group, Biomedical Ethics Unit, McGill University; </w:t>
      </w:r>
      <w:r>
        <w:rPr>
          <w:vertAlign w:val="superscript"/>
          <w:lang w:val="en-GB"/>
        </w:rPr>
        <w:t>5</w:t>
      </w:r>
      <w:r>
        <w:rPr>
          <w:lang w:val="en-GB"/>
        </w:rPr>
        <w:t>Department of Medicine, University of Ottawa.</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t>Corresponding Author:</w:t>
      </w:r>
    </w:p>
    <w:p>
      <w:pPr>
        <w:pStyle w:val="Normal"/>
        <w:rPr>
          <w:lang w:val="en-GB"/>
        </w:rPr>
      </w:pPr>
      <w:r>
        <w:rPr>
          <w:lang w:val="en-GB"/>
        </w:rPr>
        <w:t>Dr. F. Molnar</w:t>
      </w:r>
    </w:p>
    <w:p>
      <w:pPr>
        <w:pStyle w:val="Normal"/>
        <w:rPr>
          <w:lang w:val="en-GB"/>
        </w:rPr>
      </w:pPr>
      <w:r>
        <w:rPr>
          <w:lang w:val="en-GB"/>
        </w:rPr>
        <w:t>Director of Research</w:t>
      </w:r>
    </w:p>
    <w:p>
      <w:pPr>
        <w:pStyle w:val="Normal"/>
        <w:rPr>
          <w:lang w:val="en-GB"/>
        </w:rPr>
      </w:pPr>
      <w:r>
        <w:rPr>
          <w:lang w:val="en-GB"/>
        </w:rPr>
        <w:t>University of Ottawa Division of Geriatric Medicine</w:t>
      </w:r>
    </w:p>
    <w:p>
      <w:pPr>
        <w:pStyle w:val="Normal"/>
        <w:rPr>
          <w:lang w:val="en-GB"/>
        </w:rPr>
      </w:pPr>
      <w:r>
        <w:rPr>
          <w:lang w:val="en-GB"/>
        </w:rPr>
        <w:t>The Ottawa Hospital, Civic Campus</w:t>
      </w:r>
    </w:p>
    <w:p>
      <w:pPr>
        <w:pStyle w:val="Normal"/>
        <w:rPr>
          <w:lang w:val="en-GB"/>
        </w:rPr>
      </w:pPr>
      <w:r>
        <w:rPr>
          <w:lang w:val="en-GB"/>
        </w:rPr>
        <w:t>1053 Carling Ave, Ottawa Ontario, Canada K1Y 4E9</w:t>
      </w:r>
    </w:p>
    <w:p>
      <w:pPr>
        <w:pStyle w:val="Normal"/>
        <w:rPr>
          <w:lang w:val="en-GB"/>
        </w:rPr>
      </w:pPr>
      <w:r>
        <w:rPr>
          <w:lang w:val="en-GB"/>
        </w:rPr>
        <w:t>Telephone: (613) 798-5555 ext 16486</w:t>
      </w:r>
    </w:p>
    <w:p>
      <w:pPr>
        <w:pStyle w:val="Normal"/>
        <w:rPr>
          <w:lang w:val="fr-CA"/>
        </w:rPr>
      </w:pPr>
      <w:r>
        <w:rPr>
          <w:lang w:val="fr-CA"/>
        </w:rPr>
        <w:t>Fax (613) 761-5334</w:t>
      </w:r>
    </w:p>
    <w:p>
      <w:pPr>
        <w:pStyle w:val="Normal"/>
        <w:rPr>
          <w:rStyle w:val="InternetLink"/>
          <w:lang w:val="en-GB"/>
        </w:rPr>
      </w:pPr>
      <w:r>
        <w:rPr>
          <w:lang w:val="en-GB"/>
        </w:rPr>
        <w:t xml:space="preserve">email: </w:t>
      </w:r>
      <w:hyperlink r:id="rId2">
        <w:r>
          <w:rPr>
            <w:rStyle w:val="InternetLink"/>
            <w:lang w:val="en-GB"/>
          </w:rPr>
          <w:t>fmolnar@ottawahospital.on.ca</w:t>
        </w:r>
      </w:hyperlink>
    </w:p>
    <w:p>
      <w:pPr>
        <w:pStyle w:val="Normal"/>
        <w:rPr>
          <w:lang w:val="en-GB"/>
        </w:rPr>
      </w:pPr>
      <w:r>
        <w:rPr>
          <w:lang w:val="en-GB"/>
        </w:rPr>
      </w:r>
    </w:p>
    <w:p>
      <w:pPr>
        <w:pStyle w:val="Normal"/>
        <w:rPr/>
      </w:pPr>
      <w:r>
        <w:rPr/>
      </w:r>
    </w:p>
    <w:p>
      <w:pPr>
        <w:pStyle w:val="Normal"/>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rPr/>
      </w:pPr>
      <w:r>
        <w:rPr/>
        <w:t xml:space="preserve">Brian Hutton </w:t>
      </w:r>
    </w:p>
    <w:p>
      <w:pPr>
        <w:pStyle w:val="Normal"/>
        <w:rPr>
          <w:rFonts w:cs="Clarendon Condensed;Times New Roman" w:ascii="Clarendon Condensed;Times New Roman" w:hAnsi="Clarendon Condensed;Times New Roman"/>
          <w:sz w:val="22"/>
          <w:szCs w:val="22"/>
        </w:rPr>
      </w:pPr>
      <w:r>
        <w:rPr>
          <w:rFonts w:cs="Clarendon Condensed;Times New Roman" w:ascii="Clarendon Condensed;Times New Roman" w:hAnsi="Clarendon Condensed;Times New Roman"/>
          <w:sz w:val="22"/>
          <w:szCs w:val="22"/>
        </w:rPr>
        <w:t>Biostatistician</w:t>
      </w:r>
    </w:p>
    <w:p>
      <w:pPr>
        <w:pStyle w:val="Normal"/>
        <w:rPr>
          <w:rFonts w:cs="Clarendon Condensed;Times New Roman" w:ascii="Clarendon Condensed;Times New Roman" w:hAnsi="Clarendon Condensed;Times New Roman"/>
          <w:sz w:val="22"/>
          <w:szCs w:val="22"/>
        </w:rPr>
      </w:pPr>
      <w:r>
        <w:rPr>
          <w:rFonts w:cs="Clarendon Condensed;Times New Roman" w:ascii="Clarendon Condensed;Times New Roman" w:hAnsi="Clarendon Condensed;Times New Roman"/>
          <w:sz w:val="22"/>
          <w:szCs w:val="22"/>
        </w:rPr>
        <w:t xml:space="preserve">Research Coordinator, Age of Blood in Premature Infants </w:t>
      </w:r>
      <w:r>
        <w:rPr>
          <w:rFonts w:cs="Clarendon Condensed;Times New Roman" w:ascii="Clarendon Condensed;Times New Roman" w:hAnsi="Clarendon Condensed;Times New Roman"/>
          <w:b/>
          <w:bCs/>
          <w:sz w:val="22"/>
          <w:szCs w:val="22"/>
        </w:rPr>
        <w:t>(ARIPI)</w:t>
      </w:r>
      <w:r>
        <w:rPr>
          <w:rFonts w:cs="Clarendon Condensed;Times New Roman" w:ascii="Clarendon Condensed;Times New Roman" w:hAnsi="Clarendon Condensed;Times New Roman"/>
          <w:sz w:val="22"/>
          <w:szCs w:val="22"/>
        </w:rPr>
        <w:t xml:space="preserve"> Study</w:t>
      </w:r>
    </w:p>
    <w:p>
      <w:pPr>
        <w:pStyle w:val="Normal"/>
        <w:rPr>
          <w:rFonts w:cs="Clarendon Condensed;Times New Roman" w:ascii="Clarendon Condensed;Times New Roman" w:hAnsi="Clarendon Condensed;Times New Roman"/>
          <w:color w:val="339966"/>
          <w:sz w:val="22"/>
          <w:szCs w:val="22"/>
        </w:rPr>
      </w:pPr>
      <w:r>
        <w:rPr>
          <w:rFonts w:cs="Clarendon Condensed;Times New Roman" w:ascii="Clarendon Condensed;Times New Roman" w:hAnsi="Clarendon Condensed;Times New Roman"/>
          <w:color w:val="339966"/>
          <w:sz w:val="22"/>
          <w:szCs w:val="22"/>
        </w:rPr>
        <w:t>Ottawa Health Research Institute</w:t>
      </w:r>
    </w:p>
    <w:p>
      <w:pPr>
        <w:pStyle w:val="Normal"/>
        <w:rPr>
          <w:rFonts w:cs="Clarendon Condensed;Times New Roman" w:ascii="Clarendon Condensed;Times New Roman" w:hAnsi="Clarendon Condensed;Times New Roman"/>
          <w:color w:val="339966"/>
          <w:sz w:val="22"/>
          <w:szCs w:val="22"/>
        </w:rPr>
      </w:pPr>
      <w:r>
        <w:rPr>
          <w:rFonts w:cs="Clarendon Condensed;Times New Roman" w:ascii="Clarendon Condensed;Times New Roman" w:hAnsi="Clarendon Condensed;Times New Roman"/>
          <w:color w:val="339966"/>
          <w:sz w:val="22"/>
          <w:szCs w:val="22"/>
        </w:rPr>
        <w:t>Ottawa University Center for Transfusion Research</w:t>
      </w:r>
    </w:p>
    <w:p>
      <w:pPr>
        <w:pStyle w:val="Normal"/>
        <w:rPr>
          <w:rStyle w:val="InternetLink"/>
          <w:rFonts w:cs="Clarendon Condensed;Times New Roman" w:ascii="Clarendon Condensed;Times New Roman" w:hAnsi="Clarendon Condensed;Times New Roman"/>
          <w:sz w:val="22"/>
          <w:szCs w:val="22"/>
          <w:lang w:val="pt-BR"/>
        </w:rPr>
      </w:pPr>
      <w:r>
        <w:rPr>
          <w:rFonts w:cs="Clarendon Condensed;Times New Roman" w:ascii="Clarendon Condensed;Times New Roman" w:hAnsi="Clarendon Condensed;Times New Roman"/>
          <w:b/>
          <w:bCs/>
          <w:color w:val="339966"/>
          <w:sz w:val="22"/>
          <w:szCs w:val="22"/>
          <w:u w:val="single"/>
          <w:lang w:val="pt-BR"/>
        </w:rPr>
        <w:t>E-mail</w:t>
      </w:r>
      <w:r>
        <w:rPr>
          <w:rFonts w:cs="Clarendon Condensed;Times New Roman" w:ascii="Clarendon Condensed;Times New Roman" w:hAnsi="Clarendon Condensed;Times New Roman"/>
          <w:b/>
          <w:bCs/>
          <w:color w:val="339966"/>
          <w:sz w:val="22"/>
          <w:szCs w:val="22"/>
          <w:lang w:val="pt-BR"/>
        </w:rPr>
        <w:t>:</w:t>
      </w:r>
      <w:r>
        <w:rPr>
          <w:rFonts w:cs="Clarendon Condensed;Times New Roman" w:ascii="Clarendon Condensed;Times New Roman" w:hAnsi="Clarendon Condensed;Times New Roman"/>
          <w:color w:val="339966"/>
          <w:sz w:val="22"/>
          <w:szCs w:val="22"/>
          <w:lang w:val="pt-BR"/>
        </w:rPr>
        <w:t xml:space="preserve"> </w:t>
      </w:r>
      <w:hyperlink r:id="rId3">
        <w:r>
          <w:rPr>
            <w:rStyle w:val="InternetLink"/>
            <w:rFonts w:cs="Clarendon Condensed;Times New Roman" w:ascii="Clarendon Condensed;Times New Roman" w:hAnsi="Clarendon Condensed;Times New Roman"/>
            <w:sz w:val="22"/>
            <w:szCs w:val="22"/>
            <w:lang w:val="pt-BR"/>
          </w:rPr>
          <w:t>bhutton@ohri.ca</w:t>
        </w:r>
      </w:hyperlink>
    </w:p>
    <w:p>
      <w:pPr>
        <w:pStyle w:val="Normal"/>
        <w:rPr>
          <w:rFonts w:cs="Clarendon Condensed;Times New Roman" w:ascii="Clarendon Condensed;Times New Roman" w:hAnsi="Clarendon Condensed;Times New Roman"/>
          <w:color w:val="339966"/>
          <w:sz w:val="22"/>
          <w:szCs w:val="22"/>
          <w:lang w:val="pt-BR"/>
        </w:rPr>
      </w:pPr>
      <w:r>
        <w:rPr>
          <w:rFonts w:cs="Clarendon Condensed;Times New Roman" w:ascii="Clarendon Condensed;Times New Roman" w:hAnsi="Clarendon Condensed;Times New Roman"/>
          <w:b/>
          <w:bCs/>
          <w:color w:val="339966"/>
          <w:sz w:val="22"/>
          <w:szCs w:val="22"/>
          <w:u w:val="single"/>
          <w:lang w:val="pt-BR"/>
        </w:rPr>
        <w:t>Phone:</w:t>
      </w:r>
      <w:r>
        <w:rPr>
          <w:rFonts w:cs="Clarendon Condensed;Times New Roman" w:ascii="Clarendon Condensed;Times New Roman" w:hAnsi="Clarendon Condensed;Times New Roman"/>
          <w:color w:val="339966"/>
          <w:sz w:val="22"/>
          <w:szCs w:val="22"/>
          <w:lang w:val="pt-BR"/>
        </w:rPr>
        <w:t>  (613) 737-8122</w:t>
      </w:r>
    </w:p>
    <w:p>
      <w:pPr>
        <w:pStyle w:val="Normal"/>
        <w:rPr>
          <w:rFonts w:cs="Clarendon Condensed;Times New Roman" w:ascii="Clarendon Condensed;Times New Roman" w:hAnsi="Clarendon Condensed;Times New Roman"/>
          <w:color w:val="339966"/>
          <w:sz w:val="22"/>
          <w:szCs w:val="22"/>
          <w:lang w:val="pt-BR"/>
        </w:rPr>
      </w:pPr>
      <w:r>
        <w:rPr>
          <w:rFonts w:cs="Clarendon Condensed;Times New Roman" w:ascii="Clarendon Condensed;Times New Roman" w:hAnsi="Clarendon Condensed;Times New Roman"/>
          <w:color w:val="339966"/>
          <w:sz w:val="22"/>
          <w:szCs w:val="22"/>
          <w:lang w:val="pt-BR"/>
        </w:rPr>
        <w:t>Ottawa Hospital</w:t>
      </w:r>
    </w:p>
    <w:p>
      <w:pPr>
        <w:pStyle w:val="Normal"/>
        <w:rPr>
          <w:rFonts w:cs="Clarendon Condensed;Times New Roman" w:ascii="Clarendon Condensed;Times New Roman" w:hAnsi="Clarendon Condensed;Times New Roman"/>
          <w:color w:val="339966"/>
          <w:sz w:val="22"/>
          <w:szCs w:val="22"/>
        </w:rPr>
      </w:pPr>
      <w:r>
        <w:rPr>
          <w:rFonts w:cs="Clarendon Condensed;Times New Roman" w:ascii="Clarendon Condensed;Times New Roman" w:hAnsi="Clarendon Condensed;Times New Roman"/>
          <w:color w:val="339966"/>
          <w:sz w:val="22"/>
          <w:szCs w:val="22"/>
        </w:rPr>
        <w:t>501 Smyth Road</w:t>
      </w:r>
    </w:p>
    <w:p>
      <w:pPr>
        <w:pStyle w:val="Normal"/>
        <w:rPr>
          <w:rFonts w:cs="Clarendon Condensed;Times New Roman" w:ascii="Clarendon Condensed;Times New Roman" w:hAnsi="Clarendon Condensed;Times New Roman"/>
          <w:color w:val="339966"/>
          <w:sz w:val="22"/>
          <w:szCs w:val="22"/>
        </w:rPr>
      </w:pPr>
      <w:r>
        <w:rPr>
          <w:rFonts w:cs="Clarendon Condensed;Times New Roman" w:ascii="Clarendon Condensed;Times New Roman" w:hAnsi="Clarendon Condensed;Times New Roman"/>
          <w:color w:val="339966"/>
          <w:sz w:val="22"/>
          <w:szCs w:val="22"/>
        </w:rPr>
        <w:t>Ottawa, Ontario</w:t>
      </w:r>
    </w:p>
    <w:p>
      <w:pPr>
        <w:pStyle w:val="Normal"/>
        <w:rPr>
          <w:rFonts w:cs="Clarendon Condensed;Times New Roman" w:ascii="Clarendon Condensed;Times New Roman" w:hAnsi="Clarendon Condensed;Times New Roman"/>
          <w:color w:val="339966"/>
          <w:sz w:val="22"/>
          <w:szCs w:val="22"/>
        </w:rPr>
      </w:pPr>
      <w:r>
        <w:rPr>
          <w:rFonts w:cs="Clarendon Condensed;Times New Roman" w:ascii="Clarendon Condensed;Times New Roman" w:hAnsi="Clarendon Condensed;Times New Roman"/>
          <w:color w:val="339966"/>
          <w:sz w:val="22"/>
          <w:szCs w:val="22"/>
        </w:rPr>
        <w:t>K1H 8L6</w:t>
      </w:r>
    </w:p>
    <w:p>
      <w:pPr>
        <w:pStyle w:val="Normal"/>
        <w:spacing w:lineRule="auto" w:line="480"/>
        <w:rPr/>
      </w:pPr>
      <w:r>
        <w:rPr/>
      </w:r>
    </w:p>
    <w:p>
      <w:pPr>
        <w:pStyle w:val="Normal"/>
        <w:rPr/>
      </w:pPr>
      <w:r>
        <w:rPr/>
        <w:t>Malcolm Man-Son-Hing</w:t>
      </w:r>
    </w:p>
    <w:p>
      <w:pPr>
        <w:pStyle w:val="Normal"/>
        <w:rPr>
          <w:lang w:val="en-GB"/>
        </w:rPr>
      </w:pPr>
      <w:r>
        <w:rPr>
          <w:lang w:val="en-GB"/>
        </w:rPr>
        <w:t>University of Ottawa Division of Geriatric Medicine</w:t>
      </w:r>
    </w:p>
    <w:p>
      <w:pPr>
        <w:pStyle w:val="Normal"/>
        <w:rPr>
          <w:lang w:val="en-GB"/>
        </w:rPr>
      </w:pPr>
      <w:r>
        <w:rPr>
          <w:lang w:val="en-GB"/>
        </w:rPr>
        <w:t>The Ottawa Hospital, Civic Campus</w:t>
      </w:r>
    </w:p>
    <w:p>
      <w:pPr>
        <w:pStyle w:val="Normal"/>
        <w:rPr>
          <w:lang w:val="en-GB"/>
        </w:rPr>
      </w:pPr>
      <w:r>
        <w:rPr>
          <w:lang w:val="en-GB"/>
        </w:rPr>
        <w:t>1053 Carling Ave, Ottawa Ontario, Canada K1Y 4E9</w:t>
      </w:r>
    </w:p>
    <w:p>
      <w:pPr>
        <w:pStyle w:val="Footer"/>
        <w:rPr>
          <w:lang w:val="en-GB"/>
        </w:rPr>
      </w:pPr>
      <w:r>
        <w:rPr>
          <w:lang w:val="en-GB"/>
        </w:rPr>
        <w:t>Telephone: (613) 798-5555 ext 16486</w:t>
      </w:r>
    </w:p>
    <w:p>
      <w:pPr>
        <w:pStyle w:val="Normal"/>
        <w:rPr>
          <w:lang w:val="en-GB"/>
        </w:rPr>
      </w:pPr>
      <w:r>
        <w:rPr>
          <w:lang w:val="en-GB"/>
        </w:rPr>
        <w:t>Fax (613) 761-5334</w:t>
      </w:r>
    </w:p>
    <w:p>
      <w:pPr>
        <w:pStyle w:val="Normal"/>
        <w:spacing w:lineRule="auto" w:line="480"/>
        <w:rPr>
          <w:lang w:val="en-GB"/>
        </w:rPr>
      </w:pPr>
      <w:r>
        <w:rPr>
          <w:lang w:val="en-GB"/>
        </w:rPr>
        <w:t xml:space="preserve">email: </w:t>
      </w:r>
      <w:hyperlink r:id="rId4">
        <w:r>
          <w:rPr>
            <w:rStyle w:val="InternetLink"/>
            <w:lang w:val="en-GB"/>
          </w:rPr>
          <w:t>mhing@ohri.on.ca</w:t>
        </w:r>
      </w:hyperlink>
      <w:r>
        <w:rPr>
          <w:lang w:val="en-GB"/>
        </w:rPr>
        <w:t xml:space="preserve"> </w:t>
      </w:r>
    </w:p>
    <w:p>
      <w:pPr>
        <w:pStyle w:val="Normal"/>
        <w:spacing w:lineRule="auto" w:line="480"/>
        <w:rPr/>
      </w:pPr>
      <w:r>
        <w:rPr/>
      </w:r>
    </w:p>
    <w:p>
      <w:pPr>
        <w:pStyle w:val="Normal"/>
        <w:autoSpaceDE w:val="false"/>
        <w:rPr>
          <w:rFonts w:cs="Arial" w:ascii="Arial" w:hAnsi="Arial"/>
          <w:color w:val="008000"/>
          <w:lang w:val="en-CA" w:eastAsia="en-CA"/>
        </w:rPr>
      </w:pPr>
      <w:r>
        <w:rPr>
          <w:rFonts w:cs="Arial" w:ascii="Arial" w:hAnsi="Arial"/>
          <w:color w:val="008000"/>
          <w:lang w:val="en-CA" w:eastAsia="en-CA"/>
        </w:rPr>
        <w:t>Dean A. Fergusson, MHA, PhD</w:t>
      </w:r>
    </w:p>
    <w:p>
      <w:pPr>
        <w:pStyle w:val="Normal"/>
        <w:autoSpaceDE w:val="false"/>
        <w:rPr>
          <w:rFonts w:cs="Arial" w:ascii="Arial" w:hAnsi="Arial"/>
          <w:color w:val="008000"/>
          <w:lang w:val="en-CA" w:eastAsia="en-CA"/>
        </w:rPr>
      </w:pPr>
      <w:r>
        <w:rPr>
          <w:rFonts w:cs="Arial" w:ascii="Arial" w:hAnsi="Arial"/>
          <w:color w:val="008000"/>
          <w:lang w:val="en-CA" w:eastAsia="en-CA"/>
        </w:rPr>
        <w:t>Director, The CEP Methods Centre, The Ottawa Hospital</w:t>
      </w:r>
    </w:p>
    <w:p>
      <w:pPr>
        <w:pStyle w:val="Normal"/>
        <w:autoSpaceDE w:val="false"/>
        <w:rPr>
          <w:rFonts w:cs="Arial" w:ascii="Arial" w:hAnsi="Arial"/>
          <w:color w:val="008000"/>
          <w:lang w:val="en-CA" w:eastAsia="en-CA"/>
        </w:rPr>
      </w:pPr>
      <w:r>
        <w:rPr>
          <w:rFonts w:cs="Arial" w:ascii="Arial" w:hAnsi="Arial"/>
          <w:color w:val="008000"/>
          <w:lang w:val="en-CA" w:eastAsia="en-CA"/>
        </w:rPr>
        <w:t>Associate Director, Clinical Epidemiology Program</w:t>
      </w:r>
    </w:p>
    <w:p>
      <w:pPr>
        <w:pStyle w:val="Normal"/>
        <w:autoSpaceDE w:val="false"/>
        <w:rPr>
          <w:rFonts w:cs="Arial" w:ascii="Arial" w:hAnsi="Arial"/>
          <w:color w:val="008000"/>
          <w:lang w:val="en-CA" w:eastAsia="en-CA"/>
        </w:rPr>
      </w:pPr>
      <w:r>
        <w:rPr>
          <w:rFonts w:cs="Arial" w:ascii="Arial" w:hAnsi="Arial"/>
          <w:color w:val="008000"/>
          <w:lang w:val="en-CA" w:eastAsia="en-CA"/>
        </w:rPr>
        <w:t>Scientist, Ottawa Health Research Institute</w:t>
      </w:r>
    </w:p>
    <w:p>
      <w:pPr>
        <w:pStyle w:val="Normal"/>
        <w:autoSpaceDE w:val="false"/>
        <w:rPr>
          <w:rFonts w:cs="Arial" w:ascii="Arial" w:hAnsi="Arial"/>
          <w:color w:val="0000FF"/>
          <w:lang w:val="en-CA" w:eastAsia="en-CA"/>
        </w:rPr>
      </w:pPr>
      <w:r>
        <w:rPr>
          <w:rFonts w:cs="Arial" w:ascii="Arial" w:hAnsi="Arial"/>
          <w:color w:val="0000FF"/>
          <w:lang w:val="en-CA" w:eastAsia="en-CA"/>
        </w:rPr>
        <w:t>Phone #:  613-737-8899 Ext. 7-9216</w:t>
      </w:r>
    </w:p>
    <w:p>
      <w:pPr>
        <w:pStyle w:val="Normal"/>
        <w:autoSpaceDE w:val="false"/>
        <w:rPr>
          <w:rFonts w:cs="Arial" w:ascii="Arial" w:hAnsi="Arial"/>
          <w:color w:val="0000FF"/>
          <w:lang w:val="en-CA" w:eastAsia="en-CA"/>
        </w:rPr>
      </w:pPr>
      <w:r>
        <w:rPr>
          <w:rFonts w:cs="Arial" w:ascii="Arial" w:hAnsi="Arial"/>
          <w:color w:val="0000FF"/>
          <w:lang w:val="en-CA" w:eastAsia="en-CA"/>
        </w:rPr>
        <w:t>Fax #:  613-739-6266</w:t>
      </w:r>
    </w:p>
    <w:p>
      <w:pPr>
        <w:pStyle w:val="Normal"/>
        <w:spacing w:lineRule="auto" w:line="480"/>
        <w:rPr/>
      </w:pPr>
      <w:hyperlink r:id="rId5">
        <w:r>
          <w:rPr>
            <w:rStyle w:val="InternetLink"/>
          </w:rPr>
          <w:t>dafergusson@ottawahospital.on.ca</w:t>
        </w:r>
      </w:hyperlink>
      <w:r>
        <w:rPr/>
        <w:t xml:space="preserve"> </w:t>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Heading1"/>
        <w:numPr>
          <w:ilvl w:val="0"/>
          <w:numId w:val="1"/>
        </w:numPr>
        <w:spacing w:lineRule="auto" w:line="480"/>
        <w:rPr/>
      </w:pPr>
      <w:r>
        <w:rPr/>
        <w:t>ABSTRACT</w:t>
      </w:r>
    </w:p>
    <w:p>
      <w:pPr>
        <w:pStyle w:val="Normal"/>
        <w:spacing w:lineRule="auto" w:line="480"/>
        <w:rPr/>
      </w:pPr>
      <w:r>
        <w:rPr>
          <w:i/>
          <w:iCs/>
        </w:rPr>
        <w:t>Objective</w:t>
      </w:r>
      <w:r>
        <w:rPr/>
        <w:t>: To examine the use of intent-to-treat (ITT) imputation of missing data techniques, such as Last-Observation-Carried-Forward, employed in cholinesterase inhibitor and memantine randomized-controlled trials (RCTs) in Alzheimer disease, Vascular dementia, Mixed dementia and Mild Cognitive Impairment.</w:t>
      </w:r>
    </w:p>
    <w:p>
      <w:pPr>
        <w:pStyle w:val="Normal"/>
        <w:spacing w:lineRule="auto" w:line="480"/>
        <w:rPr/>
      </w:pPr>
      <w:r>
        <w:rPr/>
      </w:r>
    </w:p>
    <w:p>
      <w:pPr>
        <w:pStyle w:val="Normal"/>
        <w:spacing w:lineRule="auto" w:line="480"/>
        <w:rPr/>
      </w:pPr>
      <w:r>
        <w:rPr>
          <w:i/>
          <w:iCs/>
        </w:rPr>
        <w:t>Design</w:t>
      </w:r>
      <w:r>
        <w:rPr/>
        <w:t>: Systematic review of analytic methodology.</w:t>
      </w:r>
    </w:p>
    <w:p>
      <w:pPr>
        <w:pStyle w:val="Normal"/>
        <w:spacing w:lineRule="auto" w:line="480"/>
        <w:rPr/>
      </w:pPr>
      <w:r>
        <w:rPr/>
      </w:r>
    </w:p>
    <w:p>
      <w:pPr>
        <w:pStyle w:val="Normal"/>
        <w:spacing w:lineRule="auto" w:line="480"/>
        <w:rPr/>
      </w:pPr>
      <w:r>
        <w:rPr>
          <w:i/>
          <w:iCs/>
        </w:rPr>
        <w:t>Data Sources</w:t>
      </w:r>
      <w:r>
        <w:rPr/>
        <w:t>: Systematic electronic search of Medline and Cochrane’s RCT Register,</w:t>
      </w:r>
      <w:r>
        <w:rPr>
          <w:rStyle w:val="CommentReference"/>
          <w:vanish w:val="false"/>
        </w:rPr>
        <w:commentReference w:id="0"/>
      </w:r>
      <w:r>
        <w:rPr/>
        <w:t xml:space="preserve"> supplemented by hand search of the reference lists of selected articles, meta-analyses and review articles.  </w:t>
      </w:r>
    </w:p>
    <w:p>
      <w:pPr>
        <w:pStyle w:val="Normal"/>
        <w:spacing w:lineRule="auto" w:line="480"/>
        <w:rPr/>
      </w:pPr>
      <w:r>
        <w:rPr/>
      </w:r>
    </w:p>
    <w:p>
      <w:pPr>
        <w:pStyle w:val="Normal"/>
        <w:spacing w:lineRule="auto" w:line="480"/>
        <w:rPr/>
      </w:pPr>
      <w:r>
        <w:rPr>
          <w:i/>
          <w:iCs/>
        </w:rPr>
        <w:t>Review Methods</w:t>
      </w:r>
      <w:r>
        <w:rPr/>
        <w:t xml:space="preserve">: Two reviewers independently reviewed selected RCT reports; extracted data using standardized forms and performed quality assessments using the Jadad scale (+ Schultz criteria). These reviewers then met to review discrepancies in extracted data, and to resolve these via a modified Delphi technique. </w:t>
      </w:r>
    </w:p>
    <w:p>
      <w:pPr>
        <w:pStyle w:val="Normal"/>
        <w:spacing w:lineRule="auto" w:line="480"/>
        <w:rPr/>
      </w:pPr>
      <w:r>
        <w:rPr/>
      </w:r>
    </w:p>
    <w:p>
      <w:pPr>
        <w:pStyle w:val="Normal"/>
        <w:spacing w:lineRule="auto" w:line="480"/>
        <w:rPr>
          <w:b/>
          <w:bCs/>
        </w:rPr>
      </w:pPr>
      <w:r>
        <w:rPr>
          <w:i/>
          <w:iCs/>
        </w:rPr>
        <w:t>Results</w:t>
      </w:r>
      <w:r>
        <w:rPr/>
        <w:t xml:space="preserve">: Of the 57 studies selected, 12 did not report the results of ITT analyses and 35 employed Last-Observation-Carried-Forward as the only form of ITT analysis (with 24 of these studies reporting conditions that could promote bias favoring the drug under study in Last-Observation-Carried-Forward analyses). </w:t>
      </w:r>
      <w:r>
        <w:rPr>
          <w:b/>
          <w:bCs/>
        </w:rPr>
        <w:t xml:space="preserve"> </w:t>
      </w:r>
    </w:p>
    <w:p>
      <w:pPr>
        <w:pStyle w:val="Footer"/>
        <w:spacing w:lineRule="auto" w:line="480"/>
        <w:rPr/>
      </w:pPr>
      <w:r>
        <w:rPr/>
      </w:r>
    </w:p>
    <w:p>
      <w:pPr>
        <w:pStyle w:val="Normal"/>
        <w:spacing w:lineRule="auto" w:line="480"/>
        <w:rPr/>
      </w:pPr>
      <w:r>
        <w:rPr>
          <w:i/>
          <w:iCs/>
        </w:rPr>
        <w:t>Conclusions</w:t>
      </w:r>
      <w:r>
        <w:rPr/>
        <w:t xml:space="preserve">: The findings suggest that the published results of some dementia drug RCTs may be inaccurate (i.e. exaggerated effectiveness) or potentially invalid (i.e. false positive results). RCTs that either did not report the results of ITT analyses or employed Last-Observation-Carried-Forward while also demonstrating conditions that could introduce bias in favor of the drugs under study (e.g. greater dropout in treatment groups) should be reanalyzed to verify their results.  </w:t>
      </w:r>
    </w:p>
    <w:p>
      <w:pPr>
        <w:pStyle w:val="Footer"/>
        <w:spacing w:lineRule="auto" w:line="480"/>
        <w:rPr/>
      </w:pPr>
      <w:r>
        <w:rPr/>
      </w:r>
    </w:p>
    <w:p>
      <w:pPr>
        <w:pStyle w:val="Normal"/>
        <w:spacing w:lineRule="auto" w:line="480"/>
        <w:rPr/>
      </w:pPr>
      <w:r>
        <w:rPr/>
        <w:t>The potential problem uncovered may represent the ‘tip of the iceberg’. Systematic reviews of the use of Last-Observation-Carried-Forward in other areas of research involving chronic progressive disorders  (e.g. Osteoporosis, Parkinson’s disease, Lewy Body disease, Stroke, Multiple Sclerosis, COPD, Congestive Heart Failure, Diabetes, Chronic Renal Insufficiency, AIDS etc.) are encouraged.</w:t>
      </w:r>
    </w:p>
    <w:p>
      <w:pPr>
        <w:pStyle w:val="Normal"/>
        <w:spacing w:lineRule="auto" w:line="480"/>
        <w:rPr/>
      </w:pPr>
      <w:r>
        <w:rPr/>
      </w:r>
    </w:p>
    <w:p>
      <w:pPr>
        <w:pStyle w:val="Normal"/>
        <w:spacing w:lineRule="auto" w:line="480"/>
        <w:rPr/>
      </w:pPr>
      <w:r>
        <w:rPr/>
        <w:t>Given the potentially enormous scope of this problem, the CONSORT group (</w:t>
      </w:r>
      <w:hyperlink r:id="rId6">
        <w:r>
          <w:rPr>
            <w:rStyle w:val="InternetLink"/>
          </w:rPr>
          <w:t>www.consort-statement.org</w:t>
        </w:r>
      </w:hyperlink>
      <w:r>
        <w:rPr/>
        <w:t xml:space="preserve"> ) should consider incorporating additional guidelines regarding appropriate analyses for studies of medications used to treat chronic progressive disorders. Licensing authorities (e.g. U.S. Food &amp; Drug Administration, European Agency for the Evaluation of Medicinal Products, Health Canada) should review the suitability of Last-Observation-Carried-Forward in drug research in chronic progressive diseases.</w:t>
      </w:r>
    </w:p>
    <w:p>
      <w:pPr>
        <w:pStyle w:val="Normal"/>
        <w:spacing w:lineRule="auto" w:line="480"/>
        <w:rPr/>
      </w:pPr>
      <w:r>
        <w:rPr/>
      </w:r>
    </w:p>
    <w:p>
      <w:pPr>
        <w:pStyle w:val="Normal"/>
        <w:spacing w:lineRule="auto" w:line="480"/>
        <w:rPr>
          <w:lang w:val="en-GB"/>
        </w:rPr>
      </w:pPr>
      <w:r>
        <w:rPr>
          <w:lang w:val="en-GB"/>
        </w:rPr>
        <w:t>Key words: Alzheimer’s disease, dementia, clinical trials, dropout, withdrawal, intent-to-treat, missing data</w:t>
      </w:r>
    </w:p>
    <w:p>
      <w:pPr>
        <w:pStyle w:val="BodyText2"/>
        <w:spacing w:lineRule="auto" w:line="480"/>
        <w:rPr/>
      </w:pPr>
      <w:r>
        <w:rPr/>
        <w:t>Are we over-estimating the effectiveness of dementia therapies? A Systematic Review of the use of Last-Observation-Carried-Forward in Dementia Drug Studies.</w:t>
      </w:r>
    </w:p>
    <w:p>
      <w:pPr>
        <w:pStyle w:val="Normal"/>
        <w:spacing w:lineRule="auto" w:line="480"/>
        <w:rPr/>
      </w:pPr>
      <w:r>
        <w:rPr/>
      </w:r>
    </w:p>
    <w:p>
      <w:pPr>
        <w:pStyle w:val="Heading1"/>
        <w:numPr>
          <w:ilvl w:val="0"/>
          <w:numId w:val="1"/>
        </w:numPr>
        <w:spacing w:lineRule="auto" w:line="480"/>
        <w:rPr/>
      </w:pPr>
      <w:r>
        <w:rPr/>
        <w:t>INTRODUCTION:</w:t>
      </w:r>
    </w:p>
    <w:p>
      <w:pPr>
        <w:pStyle w:val="TextBody"/>
        <w:spacing w:lineRule="auto" w:line="480"/>
        <w:rPr>
          <w:b w:val="false"/>
          <w:bCs w:val="false"/>
          <w:i w:val="false"/>
          <w:iCs w:val="false"/>
        </w:rPr>
      </w:pPr>
      <w:r>
        <w:rPr>
          <w:b w:val="false"/>
          <w:bCs w:val="false"/>
          <w:i w:val="false"/>
          <w:iCs w:val="false"/>
        </w:rPr>
        <w:t>Worldwide it is estimated that 24.3 million people suffer from dementia and that the annual costs for Alzheimer’s disease (1996 $US dollars) range as high as $155 billion in the US.</w:t>
      </w:r>
      <w:r>
        <w:rPr>
          <w:b w:val="false"/>
          <w:bCs w:val="false"/>
          <w:i w:val="false"/>
          <w:iCs w:val="false"/>
          <w:vertAlign w:val="superscript"/>
        </w:rPr>
        <w:t>1,2</w:t>
      </w:r>
      <w:r>
        <w:rPr>
          <w:b w:val="false"/>
          <w:bCs w:val="false"/>
          <w:i w:val="false"/>
          <w:iCs w:val="false"/>
        </w:rPr>
        <w:t xml:space="preserve"> It has been argued that one potential approach to decreasing the negative impact on patients, families and societies may be the optimal use of medications to treat dementia.</w:t>
      </w:r>
      <w:r>
        <w:rPr>
          <w:b w:val="false"/>
          <w:bCs w:val="false"/>
          <w:i w:val="false"/>
          <w:iCs w:val="false"/>
          <w:vertAlign w:val="superscript"/>
        </w:rPr>
        <w:t>2</w:t>
      </w:r>
      <w:r>
        <w:rPr>
          <w:b w:val="false"/>
          <w:bCs w:val="false"/>
          <w:i w:val="false"/>
          <w:iCs w:val="false"/>
        </w:rPr>
        <w:t xml:space="preserve"> </w:t>
      </w:r>
    </w:p>
    <w:p>
      <w:pPr>
        <w:pStyle w:val="TextBody"/>
        <w:spacing w:lineRule="auto" w:line="480"/>
        <w:rPr>
          <w:b w:val="false"/>
          <w:bCs w:val="false"/>
          <w:i w:val="false"/>
          <w:iCs w:val="false"/>
        </w:rPr>
      </w:pPr>
      <w:r>
        <w:rPr>
          <w:b w:val="false"/>
          <w:bCs w:val="false"/>
          <w:i w:val="false"/>
          <w:iCs w:val="false"/>
        </w:rPr>
      </w:r>
    </w:p>
    <w:p>
      <w:pPr>
        <w:pStyle w:val="TextBody"/>
        <w:spacing w:lineRule="auto" w:line="480"/>
        <w:rPr>
          <w:b w:val="false"/>
          <w:bCs w:val="false"/>
          <w:i w:val="false"/>
          <w:iCs w:val="false"/>
        </w:rPr>
      </w:pPr>
      <w:r>
        <w:rPr>
          <w:b w:val="false"/>
          <w:bCs w:val="false"/>
          <w:i w:val="false"/>
          <w:iCs w:val="false"/>
        </w:rPr>
        <w:t>Since its introduction in the 1960s, the principle of intention-to-treat (ITT), the inclusion of all patients in the analysis according to the group determined at randomization, has become the accepted standard for the analysis of controlled clinical trials.</w:t>
      </w:r>
      <w:r>
        <w:rPr>
          <w:b w:val="false"/>
          <w:bCs w:val="false"/>
          <w:i w:val="false"/>
          <w:iCs w:val="false"/>
          <w:vertAlign w:val="superscript"/>
        </w:rPr>
        <w:t xml:space="preserve">3 </w:t>
      </w:r>
      <w:r>
        <w:rPr>
          <w:b w:val="false"/>
          <w:bCs w:val="false"/>
          <w:i w:val="false"/>
          <w:iCs w:val="false"/>
        </w:rPr>
        <w:t xml:space="preserve">  The strength of ITT is that it promotes balance between treatment groups for both known and unknown confounders, thereby preserving the benefits of randomization. In order for ITT approaches to analyze all patients randomized, including dropouts, several methods to impute missing data have been developed.</w:t>
      </w:r>
      <w:r>
        <w:rPr>
          <w:b w:val="false"/>
          <w:bCs w:val="false"/>
          <w:i w:val="false"/>
          <w:iCs w:val="false"/>
          <w:vertAlign w:val="superscript"/>
        </w:rPr>
        <w:t>3-10</w:t>
      </w:r>
      <w:r>
        <w:rPr>
          <w:b w:val="false"/>
          <w:bCs w:val="false"/>
          <w:i w:val="false"/>
          <w:iCs w:val="false"/>
        </w:rPr>
        <w:t xml:space="preserve"> </w:t>
      </w:r>
    </w:p>
    <w:p>
      <w:pPr>
        <w:pStyle w:val="Normal"/>
        <w:spacing w:lineRule="auto" w:line="480"/>
        <w:rPr/>
      </w:pPr>
      <w:r>
        <w:rPr/>
      </w:r>
    </w:p>
    <w:p>
      <w:pPr>
        <w:pStyle w:val="Normal"/>
        <w:spacing w:lineRule="auto" w:line="480"/>
        <w:rPr>
          <w:vertAlign w:val="superscript"/>
        </w:rPr>
      </w:pPr>
      <w:r>
        <w:rPr/>
        <w:t>A commonly employed technique to impute missing data is Last-Observation-Carried-Forward, also known as ‘endpoint analysis’. Last-Observation-Carried-Forward replaces subjects’ missing outcomes with the last available measurement and requires that two basic conditions be met: [1] that the subjects’ responses would have been constant (i.e. stable) from the last observed value (i.e. point of dropout) to the endpoint of the trial rather than declining or improving further, and [2] that missing values are ‘missing completely at random’ (i.e. that the probability of dropout is not related in any way to variables such as disease severity, symptoms, group assignment or drug side-effects).</w:t>
      </w:r>
      <w:r>
        <w:rPr>
          <w:vertAlign w:val="superscript"/>
        </w:rPr>
        <w:t>5-7</w:t>
      </w:r>
    </w:p>
    <w:p>
      <w:pPr>
        <w:pStyle w:val="Normal"/>
        <w:spacing w:lineRule="auto" w:line="480"/>
        <w:rPr/>
      </w:pPr>
      <w:r>
        <w:rPr/>
      </w:r>
    </w:p>
    <w:p>
      <w:pPr>
        <w:pStyle w:val="Normal"/>
        <w:spacing w:lineRule="auto" w:line="480"/>
        <w:rPr>
          <w:vertAlign w:val="superscript"/>
        </w:rPr>
      </w:pPr>
      <w:r>
        <w:rPr/>
        <w:t>Since 1998, researchers have expressed concern that the use of Last-Observation-Carried-Forward in dementia drug trials contravenes both assumptions and, hence, risks generating biased results.</w:t>
      </w:r>
      <w:r>
        <w:rPr>
          <w:vertAlign w:val="superscript"/>
          <w:lang w:val="en-GB"/>
        </w:rPr>
        <w:t>2,11-21</w:t>
      </w:r>
      <w:r>
        <w:rPr>
          <w:lang w:val="en-GB"/>
        </w:rPr>
        <w:t xml:space="preserve"> I</w:t>
      </w:r>
      <w:r>
        <w:rPr/>
        <w:t xml:space="preserve">t has been </w:t>
      </w:r>
      <w:r>
        <w:rPr>
          <w:lang w:val="en-GB"/>
        </w:rPr>
        <w:t>pointed out that since</w:t>
      </w:r>
      <w:r>
        <w:rPr/>
        <w:t xml:space="preserve"> progression is the hallmark of dementia,</w:t>
      </w:r>
      <w:r>
        <w:rPr>
          <w:vertAlign w:val="superscript"/>
        </w:rPr>
        <w:t>22,23</w:t>
      </w:r>
      <w:r>
        <w:rPr/>
        <w:t xml:space="preserve"> the first condition of stable values from the point of dropout to the end of a study cannot be guaranteed.</w:t>
      </w:r>
      <w:r>
        <w:rPr>
          <w:vertAlign w:val="superscript"/>
        </w:rPr>
        <w:t>3,9,10</w:t>
      </w:r>
    </w:p>
    <w:p>
      <w:pPr>
        <w:pStyle w:val="Normal"/>
        <w:spacing w:lineRule="auto" w:line="480"/>
        <w:rPr/>
      </w:pPr>
      <w:r>
        <w:rPr/>
      </w:r>
    </w:p>
    <w:p>
      <w:pPr>
        <w:pStyle w:val="Normal"/>
        <w:spacing w:lineRule="auto" w:line="480"/>
        <w:rPr/>
      </w:pPr>
      <w:r>
        <w:rPr/>
        <w:t>It has also been pointed out that Last-Observation-Carried-Forward ignores the trajectory of a patient’s clinical progress (i.e. whether the subject was improving or getting worse at the time of dropout).</w:t>
      </w:r>
      <w:r>
        <w:rPr>
          <w:vertAlign w:val="superscript"/>
        </w:rPr>
        <w:t>8</w:t>
      </w:r>
      <w:r>
        <w:rPr/>
        <w:t xml:space="preserve"> It freezes outcome values at the last observation, thereby creating an apparent stabilization of  disease and/or function in dropouts (Figure 1). Based on this effect, authors have highlighted three contraindications to the use of Last-Observation-Carried-Forward - factors that indicate the second condition (e.g. values are missing completely at random) has been breeched and that can bias results in favor of the drug under study relative to the placebo: [1] greater dropout rates in the treatment group, [2] earlier dropouts in the treatment group, and [3] more rapid progressors in the treatment dropout group.</w:t>
      </w:r>
      <w:r>
        <w:rPr>
          <w:vertAlign w:val="superscript"/>
        </w:rPr>
        <w:t>3,4,9,10,11</w:t>
      </w:r>
      <w:r>
        <w:rPr/>
        <w:t xml:space="preserve"> These conditions result in more treatment group dropouts having their decline artificially frozen at an earlier stage of disease thereby inflating the measured efficacy of the drug under study. Researchers have not raised similar concerns regarding other imputation techniques.</w:t>
      </w:r>
    </w:p>
    <w:p>
      <w:pPr>
        <w:pStyle w:val="Normal"/>
        <w:spacing w:lineRule="auto" w:line="480"/>
        <w:rPr/>
      </w:pPr>
      <w:r>
        <w:rPr/>
      </w:r>
    </w:p>
    <w:p>
      <w:pPr>
        <w:pStyle w:val="Normal"/>
        <w:spacing w:lineRule="auto" w:line="480"/>
        <w:rPr/>
      </w:pPr>
      <w:r>
        <w:rPr/>
        <w:t xml:space="preserve">It remains unclear how concerned we should be regarding the limitations of Last-Observation-Carried-Forward. If a drug study clearly ruled out or minimized the effect of the abovementioned contraindications or if Last-Observation-Carried-Forward were verified by a sensitivity analysis that included other ITT imputation of missing data techniques, then there would seem to be little to worry about. Conversely, if contraindications to the use of Last-Observation-Carried-Forward are present in a trial and Last-Observation-Carried-Forward based results are not verified by other ITT imputation of missing data techniques in a sensitivity analysis, then we should be more concerned regarding potential bias in such a study. </w:t>
      </w:r>
    </w:p>
    <w:p>
      <w:pPr>
        <w:pStyle w:val="Normal"/>
        <w:spacing w:lineRule="auto" w:line="480"/>
        <w:rPr/>
      </w:pPr>
      <w:r>
        <w:rPr/>
      </w:r>
    </w:p>
    <w:p>
      <w:pPr>
        <w:pStyle w:val="Normal"/>
        <w:spacing w:lineRule="auto" w:line="480"/>
        <w:rPr/>
      </w:pPr>
      <w:r>
        <w:rPr/>
        <w:t xml:space="preserve">To better understand how significant these concerns might be in dementia research we examined not only the prevalence of use of Last-Observation-Carried-Forward but also the frequency with which the above contraindications were present in randomized trials employing Last-Observation-Carried-Forward to estimate the efficacy of cholinesterase inhibitors and memantine in the treatment of Alzheimer disease, Vascular dementia, Mixed dementia and Mild Cognitive Impairment.  </w:t>
      </w:r>
    </w:p>
    <w:p>
      <w:pPr>
        <w:pStyle w:val="Normal"/>
        <w:spacing w:lineRule="auto" w:line="480"/>
        <w:rPr/>
      </w:pPr>
      <w:r>
        <w:rPr/>
      </w:r>
    </w:p>
    <w:p>
      <w:pPr>
        <w:pStyle w:val="BodyText2"/>
        <w:spacing w:lineRule="auto" w:line="480"/>
        <w:rPr>
          <w:bCs w:val="false"/>
        </w:rPr>
      </w:pPr>
      <w:r>
        <w:rPr>
          <w:bCs w:val="false"/>
        </w:rPr>
        <w:t xml:space="preserve">METHODS: </w:t>
      </w:r>
    </w:p>
    <w:p>
      <w:pPr>
        <w:pStyle w:val="Normal"/>
        <w:spacing w:lineRule="auto" w:line="480"/>
        <w:rPr/>
      </w:pPr>
      <w:r>
        <w:rPr/>
        <w:t xml:space="preserve">This systematic review was conducted in accordance with the QUOROM guidelines </w:t>
      </w:r>
      <w:r>
        <w:rPr>
          <w:vertAlign w:val="superscript"/>
        </w:rPr>
        <w:t>24</w:t>
      </w:r>
      <w:r>
        <w:rPr/>
        <w:t xml:space="preserve"> (adapted for a methodological systematic review).</w:t>
      </w:r>
    </w:p>
    <w:p>
      <w:pPr>
        <w:pStyle w:val="Normal"/>
        <w:spacing w:lineRule="auto" w:line="480"/>
        <w:rPr/>
      </w:pPr>
      <w:r>
        <w:rPr/>
      </w:r>
    </w:p>
    <w:p>
      <w:pPr>
        <w:pStyle w:val="Normal"/>
        <w:spacing w:lineRule="auto" w:line="480"/>
        <w:rPr>
          <w:b/>
        </w:rPr>
      </w:pPr>
      <w:r>
        <w:rPr>
          <w:b/>
        </w:rPr>
        <w:t>Identification of Studies:</w:t>
      </w:r>
    </w:p>
    <w:p>
      <w:pPr>
        <w:pStyle w:val="Normal"/>
        <w:spacing w:lineRule="auto" w:line="480"/>
        <w:rPr/>
      </w:pPr>
      <w:r>
        <w:rPr/>
        <w:t xml:space="preserve">An electronic literature search of Medline and the Cochrane Register of Controlled Trials from 1989 to February 2008 was performed using the OVID search interface. The search strategy included the following terms, and the Medline search was augmented by the use of the Dickersin filter for identification of randomized controlled trials: </w:t>
      </w:r>
      <w:r>
        <w:rPr>
          <w:i/>
        </w:rPr>
        <w:t>dementia, Alzheimer, vascular dementia, mixed dementia, donepezil, Aricept, rivastigmine, Exelon, galantamine, Reminyl, memantine, Ebixa, cholinesterase inhibitor</w:t>
      </w:r>
      <w:r>
        <w:rPr/>
        <w:t xml:space="preserve">. This electronic search was supplemented by hand searching of the reference lists of selected articles, meta-analyses and review articles.  </w:t>
      </w:r>
    </w:p>
    <w:p>
      <w:pPr>
        <w:pStyle w:val="Normal"/>
        <w:spacing w:lineRule="auto" w:line="480"/>
        <w:rPr/>
      </w:pPr>
      <w:r>
        <w:rPr/>
      </w:r>
    </w:p>
    <w:p>
      <w:pPr>
        <w:pStyle w:val="BodyText2"/>
        <w:spacing w:lineRule="auto" w:line="480"/>
        <w:rPr/>
      </w:pPr>
      <w:r>
        <w:rPr/>
        <w:t>Eligibility Criteria:</w:t>
      </w:r>
    </w:p>
    <w:p>
      <w:pPr>
        <w:pStyle w:val="Normal"/>
        <w:spacing w:lineRule="auto" w:line="480"/>
        <w:rPr/>
      </w:pPr>
      <w:r>
        <w:rPr/>
        <w:t>Double-blinded, randomized controlled trials of cholinesterase inhibitors or memantine examining progressive symptoms (e.g. cognition, function) in Alzheimer disease, Vascular dementia, Mixed dementia or Mild Cognitive Impairment employing DSM (Diagnostic and Statistical Manual of Mental Disorders)</w:t>
      </w:r>
      <w:r>
        <w:rPr>
          <w:vertAlign w:val="superscript"/>
        </w:rPr>
        <w:t>22</w:t>
      </w:r>
      <w:r>
        <w:rPr/>
        <w:t xml:space="preserve"> or NINCDS-ADRDA (National Institute of Neurological and Communicative Disorders and Stroke – Alzheimer’s Disease and Related Disorders Association)</w:t>
      </w:r>
      <w:r>
        <w:rPr>
          <w:vertAlign w:val="superscript"/>
        </w:rPr>
        <w:t>23</w:t>
      </w:r>
      <w:r>
        <w:rPr/>
        <w:t xml:space="preserve"> criteria for Alzheimer’s disease or NINDS-AIREN (National Institute of Neurological Disorders and Stroke – Association Internationale pour la Recherche et l’Enseignement en Neurosciences) criteria for Vascular Dementia were eligible for this review. Trials of cholinesterase inhibitors not currently licensed in Canada (tacrine, metrifonate) were not reviewed. The systematic review was restricted to studies with full trial reports published in English language peer-reviewed journals. The diagnostic criteria for Mild Cognitive Impairment were not specified, as they were still in development when the relevant studies were being published. </w:t>
      </w:r>
    </w:p>
    <w:p>
      <w:pPr>
        <w:pStyle w:val="Normal"/>
        <w:spacing w:lineRule="auto" w:line="480"/>
        <w:rPr/>
      </w:pPr>
      <w:r>
        <w:rPr/>
      </w:r>
    </w:p>
    <w:p>
      <w:pPr>
        <w:pStyle w:val="Normal"/>
        <w:spacing w:lineRule="auto" w:line="480"/>
        <w:rPr/>
      </w:pPr>
      <w:r>
        <w:rPr/>
        <w:t>Open label studies, reviews, meta-analyses, commentaries, editorials, studies of pooled data from previous studies, tolerability and safety studies were not included. Subgroup analyses, secondary or retrospective analyses were also excluded.</w:t>
      </w:r>
    </w:p>
    <w:p>
      <w:pPr>
        <w:pStyle w:val="Normal"/>
        <w:spacing w:lineRule="auto" w:line="480"/>
        <w:rPr/>
      </w:pPr>
      <w:r>
        <w:rPr/>
      </w:r>
    </w:p>
    <w:p>
      <w:pPr>
        <w:pStyle w:val="BodyText2"/>
        <w:spacing w:lineRule="auto" w:line="480"/>
        <w:rPr>
          <w:bCs w:val="false"/>
        </w:rPr>
      </w:pPr>
      <w:r>
        <w:rPr>
          <w:bCs w:val="false"/>
        </w:rPr>
        <w:t>Data Collection:</w:t>
      </w:r>
    </w:p>
    <w:p>
      <w:pPr>
        <w:pStyle w:val="Normal"/>
        <w:spacing w:lineRule="auto" w:line="480"/>
        <w:rPr/>
      </w:pPr>
      <w:r>
        <w:rPr/>
        <w:t>Data collected included publication details, investigative site locations, funding, drug comparators, drug doses, diagnostic criteria employed, type(s) of analysis employed, discussion of the limitations of the forms of analysis employed, dropout characteristics (e.g. number, timing, patient characteristics, reasons for dropout), , contraindications to the use of Last-Observation-Carried-Forward, and the results of each primary and secondary outcome measure employed.</w:t>
      </w:r>
    </w:p>
    <w:p>
      <w:pPr>
        <w:pStyle w:val="Normal"/>
        <w:spacing w:lineRule="auto" w:line="480"/>
        <w:rPr/>
      </w:pPr>
      <w:r>
        <w:rPr/>
      </w:r>
    </w:p>
    <w:p>
      <w:pPr>
        <w:pStyle w:val="Normal"/>
        <w:spacing w:lineRule="auto" w:line="480"/>
        <w:rPr/>
      </w:pPr>
      <w:r>
        <w:rPr/>
        <w:t>Two certified specialists in Geriatric Medicine with clinical expertise in dementia, with formal research methodological training and with recognized expertise in the review of dementia drug trials independently extracted data from all included studies.   The two reviewers resolved discrepancies in extracted data using a modified Delphi technique.</w:t>
      </w:r>
    </w:p>
    <w:p>
      <w:pPr>
        <w:pStyle w:val="Normal"/>
        <w:spacing w:lineRule="auto" w:line="480"/>
        <w:rPr/>
      </w:pPr>
      <w:r>
        <w:rPr/>
      </w:r>
    </w:p>
    <w:p>
      <w:pPr>
        <w:pStyle w:val="BodyText2"/>
        <w:rPr/>
      </w:pPr>
      <w:r>
        <w:rPr/>
        <w:t>Quality Assessment of Included Trials:</w:t>
      </w:r>
    </w:p>
    <w:p>
      <w:pPr>
        <w:pStyle w:val="Normal"/>
        <w:rPr>
          <w:b/>
          <w:bCs/>
        </w:rPr>
      </w:pPr>
      <w:r>
        <w:rPr>
          <w:b/>
          <w:bCs/>
        </w:rPr>
      </w:r>
    </w:p>
    <w:p>
      <w:pPr>
        <w:pStyle w:val="Normal"/>
        <w:spacing w:lineRule="auto" w:line="480"/>
        <w:rPr>
          <w:szCs w:val="20"/>
        </w:rPr>
      </w:pPr>
      <w:r>
        <w:rPr/>
        <w:t>Study report quality was assessed using the validated, 3-item Jadad scale (with the addition of the 1 point Schultz criteria)</w:t>
      </w:r>
      <w:r>
        <w:rPr>
          <w:szCs w:val="20"/>
        </w:rPr>
        <w:t>.</w:t>
      </w:r>
      <w:r>
        <w:rPr>
          <w:vertAlign w:val="superscript"/>
        </w:rPr>
        <w:t>25</w:t>
      </w:r>
      <w:r>
        <w:rPr>
          <w:szCs w:val="20"/>
        </w:rPr>
        <w:t xml:space="preserve"> This scale assigns points for randomization (0-2 points), double-blinding (0-2 points) and account for withdrawals (1 point).</w:t>
      </w:r>
    </w:p>
    <w:p>
      <w:pPr>
        <w:pStyle w:val="Normal"/>
        <w:spacing w:lineRule="auto" w:line="480"/>
        <w:rPr>
          <w:szCs w:val="20"/>
        </w:rPr>
      </w:pPr>
      <w:r>
        <w:rPr>
          <w:szCs w:val="20"/>
        </w:rPr>
        <w:t> </w:t>
      </w:r>
    </w:p>
    <w:p>
      <w:pPr>
        <w:pStyle w:val="BodyText2"/>
        <w:spacing w:lineRule="auto" w:line="480"/>
        <w:rPr/>
      </w:pPr>
      <w:r>
        <w:rPr/>
        <w:t>RESULTS:</w:t>
      </w:r>
    </w:p>
    <w:p>
      <w:pPr>
        <w:pStyle w:val="Normal"/>
        <w:spacing w:lineRule="auto" w:line="480"/>
        <w:rPr/>
      </w:pPr>
      <w:r>
        <w:rPr/>
        <w:t>Of the 1146 articles identified by the search strategies, 191 were selected for full text review. Of these, 57 articles met the eligibility criteria for systematic review (Figure 2).</w:t>
      </w:r>
      <w:r>
        <w:rPr>
          <w:vertAlign w:val="superscript"/>
        </w:rPr>
        <w:t>2,14,20,21,26-79</w:t>
      </w:r>
      <w:r>
        <w:rPr/>
        <w:t xml:space="preserve"> </w:t>
      </w:r>
    </w:p>
    <w:p>
      <w:pPr>
        <w:pStyle w:val="Normal"/>
        <w:spacing w:lineRule="auto" w:line="480"/>
        <w:rPr>
          <w:b/>
        </w:rPr>
      </w:pPr>
      <w:r>
        <w:rPr>
          <w:b/>
        </w:rPr>
      </w:r>
    </w:p>
    <w:p>
      <w:pPr>
        <w:pStyle w:val="Normal"/>
        <w:spacing w:lineRule="auto" w:line="480"/>
        <w:rPr>
          <w:b/>
        </w:rPr>
      </w:pPr>
      <w:r>
        <w:rPr>
          <w:b/>
        </w:rPr>
        <w:t>Trial Characteristics (Tables 1 &amp; 2):</w:t>
      </w:r>
    </w:p>
    <w:p>
      <w:pPr>
        <w:pStyle w:val="Normal"/>
        <w:spacing w:lineRule="auto" w:line="480"/>
        <w:rPr/>
      </w:pPr>
      <w:r>
        <w:rPr/>
        <w:t xml:space="preserve">Details of the 57 included trials are provided in Tables 1 and 2.  Forty-five studies enrolled patients with Alzheimer disease (21 donepezil, 11 rivastigmine [1was a donepezil-rivastigmine comparison study], 7 galantamine, 6 memantine), 8 enrolled patients with vascular dementia or mixed dementia (3 donepezil, 3 galantamine, 2 memantine) and 4 enrolled patients with MCI (2 donepezil, 1 rivastigmine, 1 galantamine). </w:t>
      </w:r>
    </w:p>
    <w:p>
      <w:pPr>
        <w:pStyle w:val="Normal"/>
        <w:spacing w:lineRule="auto" w:line="480"/>
        <w:rPr/>
      </w:pPr>
      <w:r>
        <w:rPr/>
      </w:r>
    </w:p>
    <w:p>
      <w:pPr>
        <w:pStyle w:val="Normal"/>
        <w:spacing w:lineRule="auto" w:line="480"/>
        <w:rPr/>
      </w:pPr>
      <w:r>
        <w:rPr/>
        <w:t xml:space="preserve">Forty trials explicitly indicated they were funded by industry, 6 implied industry funding (the authors were industry employees but the source of funding was not explicitly stated), 3 were funded by industry in partnership with public funders and four studies reported being entirely publicly funded (Table 1). The source of funding for 4 studies could not be determined. </w:t>
      </w:r>
    </w:p>
    <w:p>
      <w:pPr>
        <w:pStyle w:val="Normal"/>
        <w:spacing w:lineRule="auto" w:line="480"/>
        <w:rPr/>
      </w:pPr>
      <w:r>
        <w:rPr/>
      </w:r>
    </w:p>
    <w:p>
      <w:pPr>
        <w:pStyle w:val="Normal"/>
        <w:spacing w:lineRule="auto" w:line="480"/>
        <w:rPr/>
      </w:pPr>
      <w:r>
        <w:rPr/>
        <w:t>All 57 study reports were rated as demonstrating high quality methodology with a Jadad / Schultz  score ≥ 3 (</w:t>
      </w:r>
      <w:r>
        <w:rPr>
          <w:rStyle w:val="CommentReference"/>
          <w:vanish w:val="false"/>
        </w:rPr>
        <w:commentReference w:id="1"/>
      </w:r>
      <w:r>
        <w:rPr>
          <w:rStyle w:val="CommentReference"/>
          <w:vanish/>
        </w:rPr>
        <w:t>(</w:t>
      </w:r>
      <w:r>
        <w:rPr/>
        <w:t>Table 1).</w:t>
      </w:r>
    </w:p>
    <w:p>
      <w:pPr>
        <w:pStyle w:val="Normal"/>
        <w:spacing w:lineRule="auto" w:line="480"/>
        <w:rPr/>
      </w:pPr>
      <w:r>
        <w:rPr/>
      </w:r>
    </w:p>
    <w:p>
      <w:pPr>
        <w:pStyle w:val="Normal"/>
        <w:spacing w:lineRule="auto" w:line="480"/>
        <w:rPr>
          <w:b/>
        </w:rPr>
      </w:pPr>
      <w:r>
        <w:rPr>
          <w:b/>
        </w:rPr>
        <w:t>Reporting of Dropouts (Tables 3 &amp; 4):</w:t>
      </w:r>
    </w:p>
    <w:p>
      <w:pPr>
        <w:pStyle w:val="Normal"/>
        <w:spacing w:lineRule="auto" w:line="480"/>
        <w:rPr/>
      </w:pPr>
      <w:r>
        <w:rPr/>
        <w:t>Ten studies (18%) discussed potential bias secondary to dropouts (Table 3).</w:t>
      </w:r>
    </w:p>
    <w:p>
      <w:pPr>
        <w:pStyle w:val="Normal"/>
        <w:spacing w:lineRule="auto" w:line="480"/>
        <w:rPr/>
      </w:pPr>
      <w:r>
        <w:rPr/>
        <w:t>Dropouts were described in 94% of cholinesterase inhibitor studies and 100% of memantine trials (Table 4). The descriptions were often incomplete with respect to timing and reasons for dropout. Seven of the 49 cholinesterase inhibitor trials (14%) and none of the memantine trials reported data on timing of dropouts. The reasons for dropout were often difficult to discern, as many were described as ‘adverse events’ that might be due to drug side effects, but were not reported as such. Cholinesterase inhibitor studies were more likely to demonstrate greater dropout in the treatment group (73% of studies) compared to memantine studies (25% of studies). Table 4 demonstrates that when cholinesterase inhibitor studies were combined, there was a higher dropout rate in the treatment group (23.3%) than in the control group (16.8%). When memantine trials were combined the opposite pattern was noted with fewer dropouts in the treatment group (14.6%) than in the control group (18.5%).</w:t>
      </w:r>
    </w:p>
    <w:p>
      <w:pPr>
        <w:pStyle w:val="Normal"/>
        <w:spacing w:lineRule="auto" w:line="480"/>
        <w:rPr/>
      </w:pPr>
      <w:r>
        <w:rPr/>
      </w:r>
    </w:p>
    <w:p>
      <w:pPr>
        <w:pStyle w:val="BodyText2"/>
        <w:spacing w:lineRule="auto" w:line="480"/>
        <w:rPr/>
      </w:pPr>
      <w:r>
        <w:rPr/>
        <w:t>Types of non-ITT Analyses Conducted (Tables 2 &amp; 3):</w:t>
      </w:r>
    </w:p>
    <w:p>
      <w:pPr>
        <w:pStyle w:val="Normal"/>
        <w:spacing w:lineRule="auto" w:line="480"/>
        <w:rPr/>
      </w:pPr>
      <w:r>
        <w:rPr/>
        <w:t xml:space="preserve">The most common non-ITT analysis (employed in 35 trials) was Observed Case analysis (Tables 2 &amp; 3). Other forms of non-ITT analysis included Fully Evaluable Population analysis (FEP), Treatment Per Protocol analysis (TPP) and Completer analysis (CA). These were rarely described as non-ITT analyses. </w:t>
      </w:r>
    </w:p>
    <w:p>
      <w:pPr>
        <w:pStyle w:val="Normal"/>
        <w:spacing w:lineRule="auto" w:line="480"/>
        <w:rPr/>
      </w:pPr>
      <w:r>
        <w:rPr/>
      </w:r>
    </w:p>
    <w:p>
      <w:pPr>
        <w:pStyle w:val="Normal"/>
        <w:spacing w:lineRule="auto" w:line="480"/>
        <w:rPr>
          <w:b/>
        </w:rPr>
      </w:pPr>
      <w:r>
        <w:rPr>
          <w:b/>
        </w:rPr>
        <w:t>Types of ITT Analyses Conducted (Tables 2 &amp; 3):</w:t>
      </w:r>
    </w:p>
    <w:p>
      <w:pPr>
        <w:pStyle w:val="BodyText2"/>
        <w:spacing w:lineRule="auto" w:line="480"/>
        <w:rPr>
          <w:b w:val="false"/>
          <w:bCs w:val="false"/>
        </w:rPr>
      </w:pPr>
      <w:r>
        <w:rPr>
          <w:b w:val="false"/>
          <w:bCs w:val="false"/>
        </w:rPr>
        <w:t xml:space="preserve">The results demonstrate that 12 (21%) of the 57 studies did not identify the type of ITT analysis performed or performed only non-ITT analysis. Of the remaining 45 studies that did perform an identifiable form of ITT analysis, 42 (93%) employed Last-Observation-Carried-Forward. Thirty-five of the trials that performed ITT analysis (78 %) relied on Last-Observation-Carried-Forward as the only form of ITT analysis. </w:t>
      </w:r>
    </w:p>
    <w:p>
      <w:pPr>
        <w:pStyle w:val="BodyText2"/>
        <w:spacing w:lineRule="auto" w:line="480"/>
        <w:rPr>
          <w:b w:val="false"/>
          <w:bCs w:val="false"/>
        </w:rPr>
      </w:pPr>
      <w:r>
        <w:rPr>
          <w:b w:val="false"/>
          <w:bCs w:val="false"/>
        </w:rPr>
      </w:r>
    </w:p>
    <w:p>
      <w:pPr>
        <w:pStyle w:val="Normal"/>
        <w:spacing w:lineRule="auto" w:line="480"/>
        <w:rPr>
          <w:vertAlign w:val="superscript"/>
        </w:rPr>
      </w:pPr>
      <w:r>
        <w:rPr/>
        <w:t>Ten of the 57 studies (17.5%) reported employing ITT techniques other than Last-Observation-Carried-Forward (Tables 2 and 3). Breaking this down by drug class demonstrates that 6 of 49 cholinesterase studies (12%) and 4 of 8 memantine studies (50%) employed ITT techniques other than Last-Observation-Carried-Forward. The alternate ITT imputation of missing data techniques included</w:t>
      </w:r>
      <w:r>
        <w:rPr>
          <w:rStyle w:val="CommentReference"/>
          <w:vanish w:val="false"/>
        </w:rPr>
        <w:commentReference w:id="2"/>
      </w:r>
      <w:r>
        <w:rPr/>
        <w:t>: replacement of missing values with the mean changes observed in the placebo group,</w:t>
      </w:r>
      <w:r>
        <w:rPr>
          <w:vertAlign w:val="superscript"/>
        </w:rPr>
        <w:t xml:space="preserve">42, 58 </w:t>
      </w:r>
      <w:r>
        <w:rPr/>
        <w:t xml:space="preserve"> time response relationship for ADAScog/11 analyzed using generalized linear modeling,</w:t>
      </w:r>
      <w:r>
        <w:rPr>
          <w:vertAlign w:val="superscript"/>
        </w:rPr>
        <w:t>50, 52</w:t>
      </w:r>
      <w:r>
        <w:rPr/>
        <w:t xml:space="preserve"> mixed effects modeling,</w:t>
      </w:r>
      <w:r>
        <w:rPr>
          <w:vertAlign w:val="superscript"/>
        </w:rPr>
        <w:t>56, 63</w:t>
      </w:r>
      <w:r>
        <w:rPr/>
        <w:t xml:space="preserve"> mixed models repeated measures (MMRM),</w:t>
      </w:r>
      <w:r>
        <w:rPr>
          <w:vertAlign w:val="superscript"/>
        </w:rPr>
        <w:t>78,79</w:t>
      </w:r>
      <w:r>
        <w:rPr/>
        <w:t xml:space="preserve">  replacement of missing data with worst ranks,</w:t>
      </w:r>
      <w:r>
        <w:rPr>
          <w:vertAlign w:val="superscript"/>
        </w:rPr>
        <w:t>57</w:t>
      </w:r>
      <w:r>
        <w:rPr/>
        <w:t xml:space="preserve"> and sensitivity analyses consisting of a number of simulations.</w:t>
      </w:r>
      <w:r>
        <w:rPr>
          <w:vertAlign w:val="superscript"/>
        </w:rPr>
        <w:t>68</w:t>
      </w:r>
    </w:p>
    <w:p>
      <w:pPr>
        <w:pStyle w:val="Footer"/>
        <w:spacing w:lineRule="auto" w:line="480"/>
        <w:rPr/>
      </w:pPr>
      <w:r>
        <w:rPr/>
      </w:r>
    </w:p>
    <w:p>
      <w:pPr>
        <w:pStyle w:val="BodyText2"/>
        <w:spacing w:lineRule="auto" w:line="480"/>
        <w:rPr>
          <w:b w:val="false"/>
          <w:bCs w:val="false"/>
        </w:rPr>
      </w:pPr>
      <w:r>
        <w:rPr>
          <w:b w:val="false"/>
          <w:bCs w:val="false"/>
        </w:rPr>
        <w:t xml:space="preserve">Eight of these 10 studies performed both Last-Observation-Carried-Forward and a confirmatory ITT technique other than Last-Observation-Carried-Forward. Put differently, of the 42 studies that employed Last-Observation-Carried-Forward, only 8 reported performing another type of ITT analysis.  Three of these 8 studies did not comment on the results of the alternate non- Last-Observation-Carried-Forward analysis. Of the 5 studies that commented on the results of the alternate ITT analysis, 4 did not report the values of the outcomes calculated by the alternate ITT analysis but did indicate that the direction of results was unchanged. This would indicate that the direction of the findings of the 6 positive outcomes in these 4 studies was unchanged when Last-Observation-Carried-Forward analysis was verified by another ITT analysis (i.e. no false positive findings were generated by Last-Observation-Carried-Forward). </w:t>
      </w:r>
    </w:p>
    <w:p>
      <w:pPr>
        <w:pStyle w:val="BodyText2"/>
        <w:spacing w:lineRule="auto" w:line="480"/>
        <w:rPr>
          <w:b w:val="false"/>
          <w:bCs w:val="false"/>
        </w:rPr>
      </w:pPr>
      <w:r>
        <w:rPr>
          <w:b w:val="false"/>
          <w:bCs w:val="false"/>
        </w:rPr>
      </w:r>
    </w:p>
    <w:p>
      <w:pPr>
        <w:pStyle w:val="Normal"/>
        <w:spacing w:lineRule="auto" w:line="480"/>
        <w:rPr/>
      </w:pPr>
      <w:r>
        <w:rPr/>
        <w:t>Only 1 study verified the point estimates of outcomes measuring drug efficacy generated by Last-Observation-Carried-Forward with point estimates of an alternate form of ITT analysis.</w:t>
      </w:r>
      <w:r>
        <w:rPr>
          <w:vertAlign w:val="superscript"/>
        </w:rPr>
        <w:t>42</w:t>
      </w:r>
      <w:r>
        <w:rPr/>
        <w:t xml:space="preserve"> The study verified the values of 3 positive outcomes.</w:t>
      </w:r>
    </w:p>
    <w:p>
      <w:pPr>
        <w:pStyle w:val="BodyText2"/>
        <w:spacing w:lineRule="auto" w:line="480"/>
        <w:rPr>
          <w:b w:val="false"/>
          <w:bCs w:val="false"/>
        </w:rPr>
      </w:pPr>
      <w:r>
        <w:rPr>
          <w:b w:val="false"/>
          <w:bCs w:val="false"/>
        </w:rPr>
      </w:r>
    </w:p>
    <w:p>
      <w:pPr>
        <w:pStyle w:val="BodyText2"/>
        <w:spacing w:lineRule="auto" w:line="480"/>
        <w:rPr/>
      </w:pPr>
      <w:r>
        <w:rPr/>
        <w:t>Contraindications to the use of Last-Observation-Carried-Forward as the only form of ITT analysis:</w:t>
      </w:r>
    </w:p>
    <w:p>
      <w:pPr>
        <w:pStyle w:val="Normal"/>
        <w:spacing w:lineRule="auto" w:line="480"/>
        <w:rPr/>
      </w:pPr>
      <w:r>
        <w:rPr/>
        <w:t>Of the 35 studies employing Last-Observation-Carried-Forward as the only form of ITT analysis, 23 (66 %) explicitly demonstrated contraindications (factors that could introduce bias) to the use of Last-Observation-Carried-Forward.</w:t>
      </w:r>
      <w:r>
        <w:rPr>
          <w:b/>
          <w:bCs/>
        </w:rPr>
        <w:t xml:space="preserve"> </w:t>
      </w:r>
      <w:r>
        <w:rPr/>
        <w:t>It was unclear if the remaining 12 studies were free of contraindications as most studies failed to report adequate data regarding the timing and severity of disease of dropouts to permit a precise estimate of the number of contraindications to the use of Last-Observation-Carried-Forward. Consequently, Table 2 provides a range of potential contraindications to the use of Last-Observation-Carried-Forward for each study.</w:t>
      </w:r>
      <w:r>
        <w:rPr>
          <w:rStyle w:val="CommentReference"/>
          <w:vanish w:val="false"/>
        </w:rPr>
        <w:commentReference w:id="3"/>
      </w:r>
      <w:r>
        <w:rPr/>
        <w:t xml:space="preserve"> Seven trials (12%) discussed the limitations of Last-Observation-Carried-Forward or non-ITT approaches (Table 3). </w:t>
      </w:r>
    </w:p>
    <w:p>
      <w:pPr>
        <w:pStyle w:val="Normal"/>
        <w:spacing w:lineRule="auto" w:line="480"/>
        <w:rPr/>
      </w:pPr>
      <w:r>
        <w:rPr/>
      </w:r>
    </w:p>
    <w:p>
      <w:pPr>
        <w:pStyle w:val="BodyText2"/>
        <w:spacing w:lineRule="auto" w:line="480"/>
        <w:rPr/>
      </w:pPr>
      <w:r>
        <w:rPr/>
        <w:t>DISCUSSION:</w:t>
      </w:r>
    </w:p>
    <w:p>
      <w:pPr>
        <w:pStyle w:val="Normal"/>
        <w:spacing w:lineRule="auto" w:line="480"/>
        <w:rPr/>
      </w:pPr>
      <w:r>
        <w:rPr/>
        <w:t>This study set out to determine whether the coexistence of Last-Observation-Carried-Forward and contraindications to the use of this form of analysis (i.e. conditions that would increase the probability of bias) were relatively infrequent occurrences of minor significance or whether these were highly prevalent occurrences suggesting the need for further study to rule out the possibility of widespread bias in this field of research. The study also examined whether confirmatory ITT analyses (e.g. Sensitivity Analyses) were published to rule out the possibility of ‘</w:t>
      </w:r>
      <w:r>
        <w:rPr>
          <w:i/>
          <w:iCs/>
        </w:rPr>
        <w:t>Last-Observation-Carried-Forward bias’</w:t>
      </w:r>
      <w:r>
        <w:rPr/>
        <w:t xml:space="preserve">. </w:t>
      </w:r>
    </w:p>
    <w:p>
      <w:pPr>
        <w:pStyle w:val="Normal"/>
        <w:spacing w:lineRule="auto" w:line="480"/>
        <w:rPr/>
      </w:pPr>
      <w:r>
        <w:rPr/>
      </w:r>
    </w:p>
    <w:p>
      <w:pPr>
        <w:pStyle w:val="Normal"/>
        <w:spacing w:lineRule="auto" w:line="480"/>
        <w:rPr/>
      </w:pPr>
      <w:r>
        <w:rPr/>
        <w:t>The results demonstrate that Last-Observation-Carried-Forward has been the primary approach employed for imputation of missing values in ITT analyses in dementia and MCI drug trials. Despite previously published cautions that this form of analysis may introduce bias into research on dementia, the results are rarely verified by other forms of ITT analysis. This is particularly concerning in cholinesterase inhibitor research as most of the cholinesterase inhibitor studies reviewed violated the conditions required for valid (i.e. unbiased) Last-Observation-Carried-Forward analyses (Table 2): [1] the assumption that missing values are ‘missing completely at random’ is unlikely given the frequently reported gastrointestinal side-effects of the cholinesterase inhibitors; [2] differential dropout (e.g. greater dropout in the treatment group) is widely prevalent in cholinesterase inhibitor research; and [3] given the fact that progression is the hallmark of dementia and is incorporated into the definitions of dementia</w:t>
      </w:r>
      <w:r>
        <w:rPr>
          <w:vertAlign w:val="superscript"/>
        </w:rPr>
        <w:t>22</w:t>
      </w:r>
      <w:r>
        <w:rPr/>
        <w:t xml:space="preserve"> and of Alzheimer disease</w:t>
      </w:r>
      <w:r>
        <w:rPr>
          <w:vertAlign w:val="superscript"/>
        </w:rPr>
        <w:t>23</w:t>
      </w:r>
      <w:r>
        <w:rPr/>
        <w:t xml:space="preserve">, the assumption that subjects’ outcome measures would remain constant from the time of dropout until completion of the trial (rather than declining further) is not guaranteed to be correct. The latter concern is supported by the fact that the reviewed studies often include graphs demonstrating continued decline in outcome measures throughout the study. Conditions that may lead to bias in favor of the drugs under study when employing Last-Observation-Carried-Forward analysis are frequently present in cholinesterase inhibitor studies that rely on Last-Observation-Carried-Forward as the sole form of ITT analysis. Due to lack of data on timing of dropouts and severity of disease in dropouts, our results may underestimate the true extent of the problem uncovered. Until completion and reporting of studies that verify the point estimates of drug efficacy of publications that relied on Last-Observation-Carried-Forward as the sole form of ITT analysis while also demonstrating conditions that would promote bias (e.g. greater dropout in the treatment group), the point estimates of efficacy of such studies should be interpreted with caution. </w:t>
      </w:r>
    </w:p>
    <w:p>
      <w:pPr>
        <w:pStyle w:val="Normal"/>
        <w:spacing w:lineRule="auto" w:line="480"/>
        <w:rPr/>
      </w:pPr>
      <w:r>
        <w:rPr/>
      </w:r>
    </w:p>
    <w:p>
      <w:pPr>
        <w:pStyle w:val="Normal"/>
        <w:spacing w:lineRule="auto" w:line="480"/>
        <w:rPr/>
      </w:pPr>
      <w:r>
        <w:rPr/>
        <w:t xml:space="preserve">Memantine appears to have fewer side effects relative to cholinesterase inhibitors and differential dropout is less of an issue in memantine studies. In fact, the greater dropouts in the control groups could result in Last-Observation-Carried-Forward biasing the results against this drug and underestimating its’ true efficacy. It is therefore possible that, when compared to cholinesterase inhibitor research, memantine studies may be disadvantaged by the use of Last-Observation-Carried-Forward. </w:t>
      </w:r>
    </w:p>
    <w:p>
      <w:pPr>
        <w:pStyle w:val="Normal"/>
        <w:spacing w:lineRule="auto" w:line="480"/>
        <w:rPr/>
      </w:pPr>
      <w:r>
        <w:rPr/>
      </w:r>
    </w:p>
    <w:p>
      <w:pPr>
        <w:pStyle w:val="Normal"/>
        <w:spacing w:lineRule="auto" w:line="480"/>
        <w:rPr/>
      </w:pPr>
      <w:r>
        <w:rPr/>
        <w:t>The concern that Last-Observation-Carried-Forward might introduce bias can be addressed by sensitivity analyses that demonstrate similar outcomes when other forms of ITT analysis are employed. Only one study</w:t>
      </w:r>
      <w:r>
        <w:rPr>
          <w:vertAlign w:val="superscript"/>
        </w:rPr>
        <w:t>42</w:t>
      </w:r>
      <w:r>
        <w:rPr/>
        <w:t xml:space="preserve"> verified the point estimates of efficacy calculated by Last-Observation-Carried-Forward with an alternate ITT analysis. These are only 3 positive outcomes out of the hundreds of outcomes reported in the studies reviewed. Regrettably, there is insufficient published information to assure us that Last-Observation-Carried-Forward has not introduced bias in other dementia drug studies. Rather, there is significant evidence that the risk that it has introduced bias is fairly high, particularly in cholinesterase inhibitor research where drug side effects resulting in greater treatment group dropouts are common.</w:t>
      </w:r>
    </w:p>
    <w:p>
      <w:pPr>
        <w:pStyle w:val="Normal"/>
        <w:spacing w:lineRule="auto" w:line="480"/>
        <w:rPr/>
      </w:pPr>
      <w:r>
        <w:rPr/>
      </w:r>
    </w:p>
    <w:p>
      <w:pPr>
        <w:pStyle w:val="Normal"/>
        <w:spacing w:lineRule="auto" w:line="480"/>
        <w:rPr/>
      </w:pPr>
      <w:r>
        <w:rPr/>
        <w:t>The argument that results based on Last-Observation-Carried-Forward are correct because they are supported by the results of alternate analyses (e.g. observed case analysis, completer analysis, fully-evaluable population analysis, or treated per protocol analysis) is questionable if not completely invalid. These techniques do not impute missing data, but rather exclude subjects without data from analysis. Since they do not analyze all randomized patients, they are not ITT analyses. Many will be systematically biased in the same direction as Last-Observation-Carried-Forward (i.e. in favor of the group with greater, earlier and/or more severely affected dropouts), and do not represent valid confirmatory sensitivity analyses. The biases inherent in these non-ITT techniques have been highlighted by the International Conference on Harmonisation Tripartite Guideline,</w:t>
      </w:r>
      <w:r>
        <w:rPr>
          <w:vertAlign w:val="superscript"/>
        </w:rPr>
        <w:t>80</w:t>
      </w:r>
      <w:r>
        <w:rPr/>
        <w:t xml:space="preserve"> by the European Agency for the Evaluation of Medicinal Products (EMEA)</w:t>
      </w:r>
      <w:r>
        <w:rPr>
          <w:vertAlign w:val="superscript"/>
        </w:rPr>
        <w:t>14</w:t>
      </w:r>
      <w:r>
        <w:rPr/>
        <w:t xml:space="preserve"> as well as by a number of authors.</w:t>
      </w:r>
      <w:r>
        <w:rPr>
          <w:vertAlign w:val="superscript"/>
        </w:rPr>
        <w:t>15,53,67,81</w:t>
      </w:r>
      <w:r>
        <w:rPr/>
        <w:t xml:space="preserve"> </w:t>
      </w:r>
    </w:p>
    <w:p>
      <w:pPr>
        <w:pStyle w:val="Normal"/>
        <w:spacing w:lineRule="auto" w:line="480"/>
        <w:rPr/>
      </w:pPr>
      <w:r>
        <w:rPr/>
      </w:r>
    </w:p>
    <w:p>
      <w:pPr>
        <w:pStyle w:val="Normal"/>
        <w:spacing w:lineRule="auto" w:line="480"/>
        <w:rPr>
          <w:lang w:val="en-GB"/>
        </w:rPr>
      </w:pPr>
      <w:r>
        <w:rPr/>
        <w:t>Given the above, it is difficult to justify the ongoing reliance on Last-Observation-Carried-Forward as the sole form of ITT analysis in dementia studies. Other forms of ITT analysis that do not treat dropouts artificially by freezing values at the point of dropout, but rather model for expected natural decline in dropouts, would not cost anything to perform and to publish (either as the primary analysis or as a sensitivity analysis).  The modeling can be as simple as using the rate of decline noted in the control group and applying it to all dropouts. More complex modeling procedures are available in standard statistical programs. More appropriate forms of analysis have been employed in the field of dementia research.</w:t>
      </w:r>
      <w:r>
        <w:rPr>
          <w:vertAlign w:val="superscript"/>
        </w:rPr>
        <w:t xml:space="preserve"> 42, 50, 52,56-58, 68, 78, 79</w:t>
      </w:r>
      <w:r>
        <w:rPr/>
        <w:t xml:space="preserve">  </w:t>
      </w:r>
      <w:r>
        <w:rPr>
          <w:lang w:val="en-GB"/>
        </w:rPr>
        <w:t>Petersen’s MCI study</w:t>
      </w:r>
      <w:r>
        <w:rPr>
          <w:vertAlign w:val="superscript"/>
          <w:lang w:val="en-GB"/>
        </w:rPr>
        <w:t>68</w:t>
      </w:r>
      <w:r>
        <w:rPr>
          <w:lang w:val="en-GB"/>
        </w:rPr>
        <w:t xml:space="preserve"> may serve as a model for future research, as it employed both modelling for dropouts and sensitivity analyses of the effect of various modelling assumptions and approaches. </w:t>
      </w:r>
    </w:p>
    <w:p>
      <w:pPr>
        <w:pStyle w:val="Normal"/>
        <w:spacing w:lineRule="auto" w:line="480"/>
        <w:rPr/>
      </w:pPr>
      <w:r>
        <w:rPr/>
      </w:r>
    </w:p>
    <w:p>
      <w:pPr>
        <w:pStyle w:val="Normal"/>
        <w:spacing w:lineRule="auto" w:line="480"/>
        <w:rPr/>
      </w:pPr>
      <w:r>
        <w:rPr/>
        <w:t>By demonstrating the reliance on Last-Observation-Carried-Forward as the only form of ITT analysis in a high percentage of studies that also demonstrate factors that will promote bias when Last-Observation-Carried-Forward is used (e.g. greater dropouts in the treatment group), this study provides further validation of the concerns previously raised regarding the use of Last-Observation-Carried-Forward in dementia drug trials.</w:t>
      </w:r>
      <w:r>
        <w:rPr>
          <w:vertAlign w:val="superscript"/>
          <w:lang w:val="en-GB"/>
        </w:rPr>
        <w:t>2, 3, 9 – 21</w:t>
      </w:r>
      <w:r>
        <w:rPr>
          <w:lang w:val="en-GB"/>
        </w:rPr>
        <w:t xml:space="preserve"> </w:t>
      </w:r>
      <w:r>
        <w:rPr/>
        <w:t xml:space="preserve">The results of this study, therefore, provide a strong rationale for the reanalysis of previously published dementia studies that relied solely on Last-Observation-Carried-Forward as the only form of ITT analysis (particularly for those demonstrating greater dropout in treatment groups) and for studies that did not publish any identifiable ITT analyses. </w:t>
      </w:r>
    </w:p>
    <w:p>
      <w:pPr>
        <w:pStyle w:val="Normal"/>
        <w:spacing w:lineRule="auto" w:line="480"/>
        <w:rPr/>
      </w:pPr>
      <w:r>
        <w:rPr/>
      </w:r>
    </w:p>
    <w:p>
      <w:pPr>
        <w:pStyle w:val="Normal"/>
        <w:spacing w:lineRule="auto" w:line="480"/>
        <w:rPr/>
      </w:pPr>
      <w:r>
        <w:rPr/>
        <w:t xml:space="preserve">Verifying Last-Observation-Carried-Forward based results would require individual patient data that, unfortunately, are not in the public domain. Therefore this study cannot quantify the magnitude of the effect of the use of Last-Observation-Carried-Forward on trial results but is restricted to highlighting the prevalence and potential seriousness of the problem.  </w:t>
      </w:r>
    </w:p>
    <w:p>
      <w:pPr>
        <w:pStyle w:val="Normal"/>
        <w:spacing w:lineRule="auto" w:line="480"/>
        <w:rPr/>
      </w:pPr>
      <w:r>
        <w:rPr/>
      </w:r>
    </w:p>
    <w:p>
      <w:pPr>
        <w:pStyle w:val="Normal"/>
        <w:spacing w:lineRule="auto" w:line="480"/>
        <w:rPr>
          <w:lang w:val="en-GB"/>
        </w:rPr>
      </w:pPr>
      <w:r>
        <w:rPr/>
        <w:t xml:space="preserve">Given the fact that the concerns regarding the use of Last-Observation-Carried-Forward in dementia studies predate most of the trials reviewed and that the primary study data required for reanalysis of these studies is not in the public domain, the onus is therefore on the investigators who have published these trials to disprove the possibility that Last-Observation-Carried-Forward or non-ITT analyses have introduced bias into their trials. To do so they would need to re-analyze their studies using ITT modeling techniques that anticipate the trajectory of disease in dropouts. In order to insure the robustness of the findings based on such modeling, sensitivity analyses employing various types of modeling and varying data employed by models should be presented, as was done in </w:t>
      </w:r>
      <w:r>
        <w:rPr>
          <w:lang w:val="en-GB"/>
        </w:rPr>
        <w:t>Petersen’s MCI study.</w:t>
      </w:r>
      <w:r>
        <w:rPr>
          <w:vertAlign w:val="superscript"/>
          <w:lang w:val="en-GB"/>
        </w:rPr>
        <w:t>68</w:t>
      </w:r>
      <w:r>
        <w:rPr>
          <w:lang w:val="en-GB"/>
        </w:rPr>
        <w:t xml:space="preserve"> Meta-analyses that did not employ modelling for decline in individual dropouts should also be re-analysed in a similar fashion, and such an approach should be adopted by future RCTs in dementia research.</w:t>
      </w:r>
    </w:p>
    <w:p>
      <w:pPr>
        <w:pStyle w:val="Normal"/>
        <w:spacing w:lineRule="auto" w:line="480"/>
        <w:rPr/>
      </w:pPr>
      <w:r>
        <w:rPr/>
      </w:r>
    </w:p>
    <w:p>
      <w:pPr>
        <w:pStyle w:val="Footer"/>
        <w:spacing w:lineRule="auto" w:line="480"/>
        <w:rPr/>
      </w:pPr>
      <w:r>
        <w:rPr/>
        <w:t xml:space="preserve">These results are meaningful in day-to-day clinical care. Without accurate analyses, physicians cannot optimally counsel patients and families, patients and families cannot provide truly informed consent when making treatment decisions, accurate meta-analyses and pharmacoeconomic studies cannot be performed, and we cannot make reliable statements regarding whether trial results truly cross thresholds of clinical significance. Continued reliance on Last-Observation-Carried-Forward and non-ITT analyses may result in more toxic therapies, with greater and earlier dropout, being favored over less toxic therapies. This situation may already be occurring, as the greater dropout rate in treatment groups in cholinesterase inhibitor trials vs. greater dropout in the control groups in memantine studies (Table 4) may bias results in favor of cholinesterase inhibitors relative to memantine (thereby placing memantine at a relative disadvantage). </w:t>
      </w:r>
    </w:p>
    <w:p>
      <w:pPr>
        <w:pStyle w:val="Footer"/>
        <w:spacing w:lineRule="auto" w:line="480"/>
        <w:rPr/>
      </w:pPr>
      <w:r>
        <w:rPr/>
      </w:r>
    </w:p>
    <w:p>
      <w:pPr>
        <w:pStyle w:val="Footer"/>
        <w:spacing w:lineRule="auto" w:line="480"/>
        <w:rPr/>
      </w:pPr>
      <w:r>
        <w:rPr/>
        <w:t xml:space="preserve">While there is a preponderance of evidence suggesting the drugs studied have some degree of positive effect in some patients, the high prevalence of the potential source of bias uncovered in this study suggests that we cannot be confident regarding the accuracy of point estimates of efficacy of many of the studies reviewed. We may not know how effective these drugs truly are. Without confirmatory ITT analyses, the worst-case scenario of false positive trials cannot be confidently excluded. </w:t>
      </w:r>
    </w:p>
    <w:p>
      <w:pPr>
        <w:pStyle w:val="Footer"/>
        <w:spacing w:lineRule="auto" w:line="480"/>
        <w:rPr/>
      </w:pPr>
      <w:r>
        <w:rPr/>
      </w:r>
    </w:p>
    <w:p>
      <w:pPr>
        <w:pStyle w:val="BodyText2"/>
        <w:spacing w:lineRule="auto" w:line="480"/>
        <w:rPr/>
      </w:pPr>
      <w:r>
        <w:rPr/>
        <w:t>CONCLUSIONS:</w:t>
      </w:r>
    </w:p>
    <w:p>
      <w:pPr>
        <w:pStyle w:val="Normal"/>
        <w:spacing w:lineRule="auto" w:line="480"/>
        <w:rPr/>
      </w:pPr>
      <w:r>
        <w:rPr/>
        <w:t xml:space="preserve">The findings of this study are of major significance. The majority of the studies reviewed (38/57 = 66%) either did not report the results of an ITT analysis (12/57 = 21%), did not verify the results of Last-Observation-Carried-Forward when conditions that could introduce bias in favor of the study drug existed (23/57 = 40%), or did not comment on the results of alternate ITT analyses performed (3/57 = 5%). Furthermore, due to lack of data on timing of dropouts and severity of disease in dropouts, these results may underestimate the true extent of the problem uncovered. </w:t>
      </w:r>
    </w:p>
    <w:p>
      <w:pPr>
        <w:pStyle w:val="Normal"/>
        <w:spacing w:lineRule="auto" w:line="480"/>
        <w:rPr/>
      </w:pPr>
      <w:r>
        <w:rPr/>
      </w:r>
    </w:p>
    <w:p>
      <w:pPr>
        <w:pStyle w:val="Normal"/>
        <w:spacing w:lineRule="auto" w:line="480"/>
        <w:rPr/>
      </w:pPr>
      <w:r>
        <w:rPr/>
        <w:t>It is highly unlikely that, given the findings of this study, the point estimates of some of the hundreds of positive outcomes generated in the reviewed trials that used Last-Observation-Carried-Forward have not been altered in some way. The question is likely not ‘</w:t>
      </w:r>
      <w:r>
        <w:rPr>
          <w:i/>
          <w:iCs/>
        </w:rPr>
        <w:t>has bias been introduced’</w:t>
      </w:r>
      <w:r>
        <w:rPr/>
        <w:t>, but rather ‘</w:t>
      </w:r>
      <w:r>
        <w:rPr>
          <w:i/>
          <w:iCs/>
        </w:rPr>
        <w:t>how many outcomes have been biased</w:t>
      </w:r>
      <w:r>
        <w:rPr/>
        <w:t>’ and ‘</w:t>
      </w:r>
      <w:r>
        <w:rPr>
          <w:i/>
          <w:iCs/>
        </w:rPr>
        <w:t>to what degree have they been biased</w:t>
      </w:r>
      <w:r>
        <w:rPr/>
        <w:t>’.</w:t>
      </w:r>
    </w:p>
    <w:p>
      <w:pPr>
        <w:pStyle w:val="Normal"/>
        <w:spacing w:lineRule="auto" w:line="480"/>
        <w:rPr/>
      </w:pPr>
      <w:r>
        <w:rPr/>
      </w:r>
    </w:p>
    <w:p>
      <w:pPr>
        <w:pStyle w:val="Normal"/>
        <w:spacing w:lineRule="auto" w:line="480"/>
        <w:rPr/>
      </w:pPr>
      <w:r>
        <w:rPr/>
        <w:t xml:space="preserve">Given the enormous prevalence and cost of dementia, its severe impact on patients and families, and the associated rapidly escalating drug costs that are straining the resources of public health care systems, the possibility that the use of Last-Observation-Carried-Forward may have introduced bias into research on dementia therapies is a serious concern that needs to be ruled out or, if found to be true, should be corrected.  </w:t>
      </w:r>
    </w:p>
    <w:p>
      <w:pPr>
        <w:pStyle w:val="Normal"/>
        <w:spacing w:lineRule="auto" w:line="480"/>
        <w:rPr/>
      </w:pPr>
      <w:r>
        <w:rPr/>
      </w:r>
    </w:p>
    <w:p>
      <w:pPr>
        <w:pStyle w:val="Normal"/>
        <w:spacing w:lineRule="auto" w:line="480"/>
        <w:rPr/>
      </w:pPr>
      <w:r>
        <w:rPr/>
        <w:t>We have come a long way in terms of improving the methodology of dementia trials by selecting more appropriate outcome measures, study designs and sample sizes. The results of this study indicate that the research community should now take the next step in the ongoing evolution of dementia RCT methodology by focusing on the analytic approaches employed in these trials.</w:t>
      </w:r>
    </w:p>
    <w:p>
      <w:pPr>
        <w:pStyle w:val="Normal"/>
        <w:spacing w:lineRule="auto" w:line="480"/>
        <w:rPr/>
      </w:pPr>
      <w:r>
        <w:rPr/>
      </w:r>
    </w:p>
    <w:p>
      <w:pPr>
        <w:pStyle w:val="Normal"/>
        <w:spacing w:lineRule="auto" w:line="480"/>
        <w:rPr/>
      </w:pPr>
      <w:r>
        <w:rPr/>
        <w:t>Scientists in other areas of research involving chronic progressive disorders  (e.g. Osteoporosis, Parkinson’s disease, Lewy Body disease, Stroke, Multiple Sclerosis, COPD, Congestive Heart Failure, DM, Chronic Renal Insufficiency, AIDS etc.) are encouraged to perform similar reviews to examine the use of Last-Observation-Carried-Forward or non-ITT techniques in these highly prevalent and costly conditions.</w:t>
      </w:r>
    </w:p>
    <w:p>
      <w:pPr>
        <w:pStyle w:val="Footer"/>
        <w:spacing w:lineRule="auto" w:line="480"/>
        <w:rPr/>
      </w:pPr>
      <w:r>
        <w:rPr/>
      </w:r>
    </w:p>
    <w:p>
      <w:pPr>
        <w:pStyle w:val="Normal"/>
        <w:spacing w:lineRule="auto" w:line="480"/>
        <w:rPr/>
      </w:pPr>
      <w:r>
        <w:rPr/>
        <w:t>Given the potentially enormous scope of this problem, the CONSORT group (</w:t>
      </w:r>
      <w:hyperlink r:id="rId7">
        <w:r>
          <w:rPr>
            <w:rStyle w:val="InternetLink"/>
          </w:rPr>
          <w:t>www.consort-statement.org</w:t>
        </w:r>
      </w:hyperlink>
      <w:r>
        <w:rPr/>
        <w:t xml:space="preserve"> ) should consider incorporating additional guidelines regarding appropriate analyses for studies of medications used to treat chronic progressive disorders. Journal editors, funding agencies, ethics review boards and drug formulary committees would then be able to request that such CONSORT recommendations be employed</w:t>
      </w:r>
      <w:r>
        <w:rPr>
          <w:i/>
          <w:iCs/>
        </w:rPr>
        <w:t xml:space="preserve"> </w:t>
      </w:r>
      <w:r>
        <w:rPr/>
        <w:t xml:space="preserve">in future studies of dementia and other chronic progressive disorders. </w:t>
      </w:r>
    </w:p>
    <w:p>
      <w:pPr>
        <w:pStyle w:val="Normal"/>
        <w:spacing w:lineRule="auto" w:line="480"/>
        <w:rPr>
          <w:i/>
          <w:iCs/>
        </w:rPr>
      </w:pPr>
      <w:r>
        <w:rPr>
          <w:i/>
          <w:iCs/>
        </w:rPr>
      </w:r>
    </w:p>
    <w:p>
      <w:pPr>
        <w:pStyle w:val="Normal"/>
        <w:spacing w:lineRule="auto" w:line="480"/>
        <w:rPr/>
      </w:pPr>
      <w:r>
        <w:rPr/>
        <w:t>Continued reliance on Last-Observation-Carried-Forward provides no benefits while creating unnecessary risk of generating biased results that will tend to favor more toxic therapies. Consequently, it is recommended that licensing agencies (e.g. US Food and Drug Administration, European Agency for the Evaluation of Medicinal Products, Health Canada etc.) review this situation in order to determine whether they should continue to accept Last-Observation-Carried-Forward analyses in research on dementias and other chronic progressive conditions.</w:t>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Footer"/>
        <w:spacing w:lineRule="auto" w:line="480"/>
        <w:rPr/>
      </w:pPr>
      <w:r>
        <w:rPr/>
      </w:r>
    </w:p>
    <w:p>
      <w:pPr>
        <w:pStyle w:val="BodyText2"/>
        <w:spacing w:lineRule="auto" w:line="480"/>
        <w:rPr/>
      </w:pPr>
      <w:r>
        <w:rPr>
          <w:bCs w:val="false"/>
        </w:rPr>
        <w:t>ACKNOWLEDGEMENTS, FUNDING, CONFLICTS OF INTEREST,</w:t>
      </w:r>
      <w:r>
        <w:rPr/>
        <w:t xml:space="preserve"> COMPETING INTERESTS:</w:t>
      </w:r>
    </w:p>
    <w:p>
      <w:pPr>
        <w:pStyle w:val="Normal"/>
        <w:spacing w:lineRule="auto" w:line="480"/>
        <w:rPr/>
      </w:pPr>
      <w:r>
        <w:rPr/>
        <w:t>None of the authors is aware of any actual, potential or perceived conflict of interests with respect to this publication. None of the authors has received financial support from private industry to perform this research. All authors were involved in the design, analysis, interpretation of data, and the preparation of this manuscript. Ethics approval was not required for this systematic review of trial methodology.</w:t>
      </w:r>
    </w:p>
    <w:p>
      <w:pPr>
        <w:pStyle w:val="Normal"/>
        <w:spacing w:lineRule="auto" w:line="480"/>
        <w:rPr/>
      </w:pPr>
      <w:r>
        <w:rPr/>
      </w:r>
    </w:p>
    <w:p>
      <w:pPr>
        <w:pStyle w:val="Normal"/>
        <w:spacing w:lineRule="auto" w:line="480"/>
        <w:rPr/>
      </w:pPr>
      <w:r>
        <w:rPr/>
        <w:t xml:space="preserve">The Corresponding Author and guarantor (FJM) has had full access to all the data in the study and had final responsibility for the decision to submit for publication. </w:t>
      </w:r>
    </w:p>
    <w:p>
      <w:pPr>
        <w:pStyle w:val="Normal"/>
        <w:spacing w:lineRule="auto" w:line="480"/>
        <w:rPr/>
      </w:pPr>
      <w:r>
        <w:rPr/>
      </w:r>
    </w:p>
    <w:p>
      <w:pPr>
        <w:pStyle w:val="Normal"/>
        <w:spacing w:lineRule="auto" w:line="480"/>
        <w:rPr/>
      </w:pPr>
      <w:r>
        <w:rPr/>
        <w:t>The authors would like to thank Judy Willoughby for her support in preparing this transcript as well as Emmanuel Nkansah for his assistance in searching the literature.</w:t>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BodyText2"/>
        <w:spacing w:lineRule="auto" w:line="480"/>
        <w:rPr>
          <w:lang w:val="fr-CA"/>
        </w:rPr>
      </w:pPr>
      <w:r>
        <w:rPr>
          <w:lang w:val="fr-CA"/>
        </w:rPr>
        <w:t xml:space="preserve">REFERENCES: </w:t>
      </w:r>
    </w:p>
    <w:p>
      <w:pPr>
        <w:pStyle w:val="BodyText2"/>
        <w:spacing w:lineRule="auto" w:line="480"/>
        <w:rPr>
          <w:b w:val="false"/>
          <w:bCs w:val="false"/>
          <w:lang w:val="fr-CA"/>
        </w:rPr>
      </w:pPr>
      <w:r>
        <w:rPr>
          <w:b w:val="false"/>
          <w:bCs w:val="false"/>
          <w:lang w:val="fr-CA"/>
        </w:rPr>
      </w:r>
    </w:p>
    <w:p>
      <w:pPr>
        <w:pStyle w:val="Normal"/>
        <w:numPr>
          <w:ilvl w:val="0"/>
          <w:numId w:val="2"/>
        </w:numPr>
        <w:spacing w:lineRule="auto" w:line="480"/>
        <w:rPr/>
      </w:pPr>
      <w:r>
        <w:rPr>
          <w:rStyle w:val="Searchresulthittext2"/>
          <w:lang w:val="fr-CA"/>
        </w:rPr>
        <w:t>Ferri</w:t>
      </w:r>
      <w:r>
        <w:rPr>
          <w:lang w:val="fr-CA"/>
        </w:rPr>
        <w:t xml:space="preserve"> CP, Prince M, Brayne C et al. </w:t>
      </w:r>
      <w:r>
        <w:rPr>
          <w:rStyle w:val="Summarytitle2"/>
        </w:rPr>
        <w:t>Global prevalence of dementia: a Delphi consensus study.</w:t>
      </w:r>
      <w:r>
        <w:rPr/>
        <w:t xml:space="preserve"> T</w:t>
      </w:r>
      <w:r>
        <w:rPr>
          <w:rStyle w:val="Summarypages2"/>
        </w:rPr>
        <w:t>he Lancet</w:t>
      </w:r>
      <w:r>
        <w:rPr/>
        <w:t xml:space="preserve"> 2005; 366: 2112-2117</w:t>
      </w:r>
    </w:p>
    <w:p>
      <w:pPr>
        <w:pStyle w:val="Normal"/>
        <w:numPr>
          <w:ilvl w:val="0"/>
          <w:numId w:val="2"/>
        </w:numPr>
        <w:spacing w:lineRule="auto" w:line="480"/>
        <w:rPr/>
      </w:pPr>
      <w:r>
        <w:rPr/>
        <w:t>Wimo A, Winblad B, Stőffler A et al. Resource Utilization and Cost Analysis of Memantine in Patients with Moderate to Severe Alzheimer’s Disease. Pharmacoeconomics 2003; 21(5): 327 – 340.</w:t>
      </w:r>
    </w:p>
    <w:p>
      <w:pPr>
        <w:pStyle w:val="Normal"/>
        <w:numPr>
          <w:ilvl w:val="0"/>
          <w:numId w:val="2"/>
        </w:numPr>
        <w:spacing w:lineRule="auto" w:line="480"/>
        <w:rPr/>
      </w:pPr>
      <w:r>
        <w:rPr/>
        <w:t>Unnebrink K, Windeler J. Intention-to-treat: methods for dealing with missing values in clinical trials of progressively deteriorating diseases. Statistics in Medicine 2001; 20: 3931 – 3946.</w:t>
      </w:r>
    </w:p>
    <w:p>
      <w:pPr>
        <w:pStyle w:val="Normal"/>
        <w:numPr>
          <w:ilvl w:val="0"/>
          <w:numId w:val="2"/>
        </w:numPr>
        <w:spacing w:lineRule="auto" w:line="480"/>
        <w:rPr/>
      </w:pPr>
      <w:r>
        <w:rPr/>
        <w:t>Engels JM, Diehr P. Imputation of missing longitudinal data: comparison of methods. Journal of Clinical Epidemiology 2003; 56: 968 – 976.</w:t>
      </w:r>
    </w:p>
    <w:p>
      <w:pPr>
        <w:pStyle w:val="Normal"/>
        <w:numPr>
          <w:ilvl w:val="0"/>
          <w:numId w:val="2"/>
        </w:numPr>
        <w:spacing w:lineRule="auto" w:line="480"/>
        <w:rPr/>
      </w:pPr>
      <w:r>
        <w:rPr/>
        <w:t>Gadbury GL, Coffey CS and Allison DB. Modern statistical methods for handling missing repeated measurements in obesity trial data: beyond LOCF. Obesity Reviews 2003; 4: 175 – 184.</w:t>
      </w:r>
    </w:p>
    <w:p>
      <w:pPr>
        <w:pStyle w:val="Normal"/>
        <w:numPr>
          <w:ilvl w:val="0"/>
          <w:numId w:val="2"/>
        </w:numPr>
        <w:spacing w:lineRule="auto" w:line="480"/>
        <w:rPr/>
      </w:pPr>
      <w:r>
        <w:rPr/>
        <w:t>Mallinckrodt CH, Clark WS, Carroll RJ and Molenberghs G. Assessing Response Profiles from Incomplete Longitudinal Clinical Trial Data Under Regulatory Considerations. Journal of Biopharmaceutical Statistics 2003; 13 (2): 179 – 190.</w:t>
      </w:r>
    </w:p>
    <w:p>
      <w:pPr>
        <w:pStyle w:val="Normal"/>
        <w:numPr>
          <w:ilvl w:val="0"/>
          <w:numId w:val="2"/>
        </w:numPr>
        <w:spacing w:lineRule="auto" w:line="480"/>
        <w:rPr/>
      </w:pPr>
      <w:r>
        <w:rPr/>
        <w:t>Mallinckrodt CH, Clark WS, and David SR. Accounting for dropout bias using mixed-effects models. Journal of Biopharmaceutical Statistics 2001; 11: 9 – 21.</w:t>
      </w:r>
    </w:p>
    <w:p>
      <w:pPr>
        <w:pStyle w:val="Normal"/>
        <w:numPr>
          <w:ilvl w:val="0"/>
          <w:numId w:val="2"/>
        </w:numPr>
        <w:spacing w:lineRule="auto" w:line="480"/>
        <w:rPr/>
      </w:pPr>
      <w:r>
        <w:rPr/>
        <w:t>Streiner DL. The Case of the Missing Data: methods of Dealing With Dropouts and Other Research Vagaries. Can J Psychiatry 2002; 47: 68 – 75.</w:t>
      </w:r>
    </w:p>
    <w:p>
      <w:pPr>
        <w:pStyle w:val="Normal"/>
        <w:numPr>
          <w:ilvl w:val="0"/>
          <w:numId w:val="2"/>
        </w:numPr>
        <w:spacing w:lineRule="auto" w:line="480"/>
        <w:rPr/>
      </w:pPr>
      <w:r>
        <w:rPr/>
        <w:t>Galasko D, Edland SD, Morris JC et al. The Consortium to establish a Registry for Azlheimer’s Disease (CERAD). Part XI. Clinical milestones in patients with Alzheimer’s Disease followed over 3 years. Neurology 1995; 45: 1451-1455.</w:t>
      </w:r>
    </w:p>
    <w:p>
      <w:pPr>
        <w:pStyle w:val="Normal"/>
        <w:numPr>
          <w:ilvl w:val="0"/>
          <w:numId w:val="2"/>
        </w:numPr>
        <w:spacing w:lineRule="auto" w:line="480"/>
        <w:rPr/>
      </w:pPr>
      <w:r>
        <w:rPr/>
        <w:t>Meyer K, Windler J.  Intention-to-treat in progressively deteriorating diseases: should the last observation be carried forward?  Journal of Epidemiology and Biostatistics  1998; 3(2): 199 – 208.</w:t>
      </w:r>
    </w:p>
    <w:p>
      <w:pPr>
        <w:pStyle w:val="Normal"/>
        <w:numPr>
          <w:ilvl w:val="0"/>
          <w:numId w:val="2"/>
        </w:numPr>
        <w:spacing w:lineRule="auto" w:line="480"/>
        <w:rPr/>
      </w:pPr>
      <w:r>
        <w:rPr/>
        <w:t xml:space="preserve"> </w:t>
      </w:r>
      <w:r>
        <w:rPr/>
        <w:t>Mallinckrodt CH, Sanger TM, Dubė S et al. Assessing and interpreting treatment effects in longitudinal clinical trials with missing data.  Biol Psychiatry  2003; 53: 754 – 760.</w:t>
      </w:r>
    </w:p>
    <w:p>
      <w:pPr>
        <w:pStyle w:val="Normal"/>
        <w:numPr>
          <w:ilvl w:val="0"/>
          <w:numId w:val="2"/>
        </w:numPr>
        <w:spacing w:lineRule="auto" w:line="480"/>
        <w:rPr>
          <w:lang w:val="en-GB"/>
        </w:rPr>
      </w:pPr>
      <w:r>
        <w:rPr>
          <w:lang w:val="en-GB"/>
        </w:rPr>
        <w:t>Rogers SL, Doody RS, Mohs RC et al. Donepezil Improves Cognition and Global Function in Alzheimer Disease; A 15 Week, Double-blind, Placebo-Controlled Study. Arch Intern Med 1998; 158: 1021 – 1031.</w:t>
      </w:r>
    </w:p>
    <w:p>
      <w:pPr>
        <w:pStyle w:val="Normal"/>
        <w:numPr>
          <w:ilvl w:val="0"/>
          <w:numId w:val="2"/>
        </w:numPr>
        <w:spacing w:lineRule="auto" w:line="480"/>
        <w:rPr>
          <w:lang w:val="en-GB"/>
        </w:rPr>
      </w:pPr>
      <w:r>
        <w:rPr>
          <w:lang w:val="fr-CA"/>
        </w:rPr>
        <w:t xml:space="preserve">Aisen PS, Davis KL, Berg JD et al. </w:t>
      </w:r>
      <w:r>
        <w:rPr>
          <w:lang w:val="en-GB"/>
        </w:rPr>
        <w:t>A randomized controlled trial of prednisone in Alzheimer’s disease. Neurology 2000; 54(3): 588 – 592.</w:t>
      </w:r>
    </w:p>
    <w:p>
      <w:pPr>
        <w:pStyle w:val="Normal"/>
        <w:numPr>
          <w:ilvl w:val="0"/>
          <w:numId w:val="2"/>
        </w:numPr>
        <w:spacing w:lineRule="auto" w:line="480"/>
        <w:rPr>
          <w:lang w:val="en-GB"/>
        </w:rPr>
      </w:pPr>
      <w:r>
        <w:rPr>
          <w:lang w:val="en-GB"/>
        </w:rPr>
        <w:t xml:space="preserve">Committee For Proprietary Medicinal Products (CPMP). Points to consider on missing data. London, 2001: The European Agency for the Evaluation of medicinal products (EMEA), 2001. </w:t>
      </w:r>
      <w:hyperlink r:id="rId8">
        <w:r>
          <w:rPr>
            <w:rStyle w:val="InternetLink"/>
            <w:lang w:val="en-GB"/>
          </w:rPr>
          <w:t>www.emea.eu.int</w:t>
        </w:r>
      </w:hyperlink>
      <w:r>
        <w:rPr>
          <w:lang w:val="en-GB"/>
        </w:rPr>
        <w:t xml:space="preserve"> </w:t>
      </w:r>
    </w:p>
    <w:p>
      <w:pPr>
        <w:pStyle w:val="Normal"/>
        <w:numPr>
          <w:ilvl w:val="0"/>
          <w:numId w:val="2"/>
        </w:numPr>
        <w:spacing w:lineRule="auto" w:line="480"/>
        <w:rPr>
          <w:lang w:val="en-GB"/>
        </w:rPr>
      </w:pPr>
      <w:r>
        <w:rPr>
          <w:lang w:val="en-GB"/>
        </w:rPr>
        <w:t>Hills R, Gray R, Stowe R. Drop-out bias undermines findings of improved functionality with cholinesterase inhibitors. Neurobiol Aging 2002; 23 (suppl 1): S89.</w:t>
      </w:r>
    </w:p>
    <w:p>
      <w:pPr>
        <w:pStyle w:val="Normal"/>
        <w:numPr>
          <w:ilvl w:val="0"/>
          <w:numId w:val="2"/>
        </w:numPr>
        <w:spacing w:lineRule="auto" w:line="480"/>
        <w:rPr>
          <w:lang w:val="en-GB"/>
        </w:rPr>
      </w:pPr>
      <w:r>
        <w:rPr>
          <w:lang w:val="en-GB"/>
        </w:rPr>
        <w:t>Lanctột KL, Herrmann N, Yau KK et al. Efficacy and safety of cholinesterase inhibitors in Alzheimer’s disease: a meta-analysis. CMAJ 2003; 169(6): 557 – 564.</w:t>
      </w:r>
    </w:p>
    <w:p>
      <w:pPr>
        <w:pStyle w:val="Normal"/>
        <w:numPr>
          <w:ilvl w:val="0"/>
          <w:numId w:val="2"/>
        </w:numPr>
        <w:spacing w:lineRule="auto" w:line="480"/>
        <w:rPr>
          <w:lang w:val="en-GB"/>
        </w:rPr>
      </w:pPr>
      <w:r>
        <w:rPr>
          <w:lang w:val="en-GB"/>
        </w:rPr>
        <w:t>Aisen PS, Schafer KA, Grundman M et al. Effects of Refocoxib or Naproxen vs. Placebo on Alzheimer Disease Progression: a Randomized Controlled Trial. JAMA 2003; 289(21): 2819 – 2826.</w:t>
      </w:r>
    </w:p>
    <w:p>
      <w:pPr>
        <w:pStyle w:val="Normal"/>
        <w:numPr>
          <w:ilvl w:val="0"/>
          <w:numId w:val="2"/>
        </w:numPr>
        <w:spacing w:lineRule="auto" w:line="480"/>
        <w:rPr>
          <w:lang w:val="en-GB"/>
        </w:rPr>
      </w:pPr>
      <w:r>
        <w:rPr>
          <w:lang w:val="en-GB"/>
        </w:rPr>
        <w:t>AD2000 Collaborative Group. Long-term donepezil treatment in 565 patients with Alzheimer’s disease (AD2000): randomised double-blind trial. Lancet 2004; 363: 2105 – 2115.</w:t>
      </w:r>
    </w:p>
    <w:p>
      <w:pPr>
        <w:pStyle w:val="Normal"/>
        <w:numPr>
          <w:ilvl w:val="0"/>
          <w:numId w:val="2"/>
        </w:numPr>
        <w:spacing w:lineRule="auto" w:line="480"/>
        <w:rPr>
          <w:lang w:val="en-GB"/>
        </w:rPr>
      </w:pPr>
      <w:r>
        <w:rPr>
          <w:lang w:val="en-GB"/>
        </w:rPr>
        <w:t>Bullock R, Touchon J, Bergman H et al. Rivastigmine and donepezil treatment in moderate to moderately-severe Alzheimer’s disease over a 2-year period. Current Medical Research and Opinions 2005; 21(8): 1317 – 1327.</w:t>
      </w:r>
    </w:p>
    <w:p>
      <w:pPr>
        <w:pStyle w:val="Normal"/>
        <w:numPr>
          <w:ilvl w:val="0"/>
          <w:numId w:val="2"/>
        </w:numPr>
        <w:spacing w:lineRule="auto" w:line="480"/>
        <w:rPr>
          <w:lang w:val="en-GB"/>
        </w:rPr>
      </w:pPr>
      <w:r>
        <w:rPr>
          <w:lang w:val="en-GB"/>
        </w:rPr>
        <w:t>Kaduszkiewicz H, Zimmermann T, Beck-Bornholdt H-P et al. Cholinesterase inhibitors for patients with Alzheimer’s disease: systematic review of randomised clinical trials. BMJ 2005; 331: 321 – 327.</w:t>
      </w:r>
    </w:p>
    <w:p>
      <w:pPr>
        <w:pStyle w:val="Normal"/>
        <w:numPr>
          <w:ilvl w:val="0"/>
          <w:numId w:val="2"/>
        </w:numPr>
        <w:spacing w:lineRule="auto" w:line="480"/>
        <w:rPr>
          <w:lang w:val="en-GB"/>
        </w:rPr>
      </w:pPr>
      <w:r>
        <w:rPr>
          <w:lang w:val="en-GB"/>
        </w:rPr>
        <w:t>Hogan DB. Donepezil for severe Alzheimer’s disease. Lancet 2006; 367: 1031 – 1032.</w:t>
      </w:r>
    </w:p>
    <w:p>
      <w:pPr>
        <w:pStyle w:val="Normal"/>
        <w:numPr>
          <w:ilvl w:val="0"/>
          <w:numId w:val="2"/>
        </w:numPr>
        <w:spacing w:lineRule="auto" w:line="480"/>
        <w:rPr/>
      </w:pPr>
      <w:r>
        <w:rPr/>
        <w:t>Diagnostic and statistical manual of mental disorders, 4</w:t>
      </w:r>
      <w:r>
        <w:rPr>
          <w:vertAlign w:val="superscript"/>
        </w:rPr>
        <w:t>th</w:t>
      </w:r>
      <w:r>
        <w:rPr/>
        <w:t xml:space="preserve"> ed.: DSM-IV. Washington D.C.: American Psychiatric Association, 1994</w:t>
      </w:r>
    </w:p>
    <w:p>
      <w:pPr>
        <w:pStyle w:val="Normal"/>
        <w:numPr>
          <w:ilvl w:val="0"/>
          <w:numId w:val="2"/>
        </w:numPr>
        <w:spacing w:lineRule="auto" w:line="480"/>
        <w:rPr>
          <w:lang w:val="en-GB"/>
        </w:rPr>
      </w:pPr>
      <w:r>
        <w:rPr>
          <w:lang w:val="en-GB"/>
        </w:rPr>
        <w:t>McKhann G, Drachman D, Folstein M, et al.: Clinical diagnosis of Alzheimer’s disease. Report of the NINCDS-ADRDA work group under the auspices of the Department of Health and Human Services Task Force on Alzheimer’s Disease. Neurology 1984; 34: 939 – 944.</w:t>
      </w:r>
    </w:p>
    <w:p>
      <w:pPr>
        <w:pStyle w:val="Normal"/>
        <w:numPr>
          <w:ilvl w:val="0"/>
          <w:numId w:val="2"/>
        </w:numPr>
        <w:spacing w:lineRule="auto" w:line="480"/>
        <w:rPr>
          <w:rFonts w:cs="Arial" w:ascii="Arial" w:hAnsi="Arial"/>
          <w:color w:val="000080"/>
          <w:sz w:val="20"/>
          <w:szCs w:val="20"/>
        </w:rPr>
      </w:pPr>
      <w:r>
        <w:rPr>
          <w:lang w:val="en-GB"/>
        </w:rPr>
        <w:t>Clarke M. The QUORUM Statement. Lancet. 2000; 355(9205): 756 – 757.</w:t>
      </w:r>
      <w:r>
        <w:rPr>
          <w:rFonts w:cs="Arial" w:ascii="Arial" w:hAnsi="Arial"/>
          <w:color w:val="000080"/>
          <w:sz w:val="20"/>
          <w:szCs w:val="20"/>
        </w:rPr>
        <w:t xml:space="preserve"> </w:t>
      </w:r>
    </w:p>
    <w:p>
      <w:pPr>
        <w:pStyle w:val="Normal"/>
        <w:numPr>
          <w:ilvl w:val="0"/>
          <w:numId w:val="2"/>
        </w:numPr>
        <w:spacing w:lineRule="auto" w:line="480"/>
        <w:rPr>
          <w:lang w:val="en-GB"/>
        </w:rPr>
      </w:pPr>
      <w:r>
        <w:rPr>
          <w:lang w:val="en-GB"/>
        </w:rPr>
        <w:t xml:space="preserve"> </w:t>
      </w:r>
      <w:r>
        <w:rPr>
          <w:lang w:val="en-GB"/>
        </w:rPr>
        <w:t xml:space="preserve">Jadad AR, Moore RA, Carroll D et al. Assessing the Quality of Reports of Randomized Clinical Trials: Is Blinding Necessary? Control Clin Trials. 1996; 17:1–12.                                                                                                                                             </w:t>
      </w:r>
    </w:p>
    <w:p>
      <w:pPr>
        <w:pStyle w:val="Normal"/>
        <w:numPr>
          <w:ilvl w:val="0"/>
          <w:numId w:val="2"/>
        </w:numPr>
        <w:spacing w:lineRule="auto" w:line="480"/>
        <w:rPr/>
      </w:pPr>
      <w:r>
        <w:rPr/>
        <w:t>Rogers SL, Friedhoff LT, and the Donepezil Study group. The Efficacy and Safety of Donepezil in Patients with Azlheimer’s Disease: results of a US Multicentre, randomized, Double-Blind, Placebo-Controlled Trials. Dementia 1996; 7: 293 – 303.</w:t>
      </w:r>
    </w:p>
    <w:p>
      <w:pPr>
        <w:pStyle w:val="Normal"/>
        <w:numPr>
          <w:ilvl w:val="0"/>
          <w:numId w:val="2"/>
        </w:numPr>
        <w:spacing w:lineRule="auto" w:line="480"/>
        <w:rPr/>
      </w:pPr>
      <w:r>
        <w:rPr/>
        <w:t>Rogers SL, Farlow MR, Doody RS.  A 24-week, double-blind, placebo-controlled trial of donepezil in patients with Alzheimer’s disease.  Neurology 1998; 50(1): 136 – 145.</w:t>
      </w:r>
    </w:p>
    <w:p>
      <w:pPr>
        <w:pStyle w:val="Normal"/>
        <w:numPr>
          <w:ilvl w:val="0"/>
          <w:numId w:val="2"/>
        </w:numPr>
        <w:spacing w:lineRule="auto" w:line="480"/>
        <w:rPr/>
      </w:pPr>
      <w:r>
        <w:rPr/>
        <w:t>Burns A, Rossor M, Hecker J et al. The effects of donepezil in Alzheimer’s disease – results from a multinational trial.  Dement Geriatr Cogn Disord  1999; 10: 237 – 244.</w:t>
      </w:r>
    </w:p>
    <w:p>
      <w:pPr>
        <w:pStyle w:val="Normal"/>
        <w:numPr>
          <w:ilvl w:val="0"/>
          <w:numId w:val="2"/>
        </w:numPr>
        <w:spacing w:lineRule="auto" w:line="480"/>
        <w:rPr/>
      </w:pPr>
      <w:r>
        <w:rPr/>
        <w:t>Greenberg SM, Tennis MK, Brown LB et al. Donepezil Therapy in Clinical Practice: a Randomized Crossover Study. Arch Neurol 2000; 57: 94 – 99.</w:t>
      </w:r>
    </w:p>
    <w:p>
      <w:pPr>
        <w:pStyle w:val="Normal"/>
        <w:numPr>
          <w:ilvl w:val="0"/>
          <w:numId w:val="2"/>
        </w:numPr>
        <w:spacing w:lineRule="auto" w:line="480"/>
        <w:rPr/>
      </w:pPr>
      <w:r>
        <w:rPr/>
        <w:t>Homma A, Takeda M, Imai Y et al. Clinical Efficacy and Safety of Donepezil on Cognitive and Global Function in Patients with Alzheimer’s Disease. Dement Geriatr Cogn Disord 2000; 11: 299 – 313.</w:t>
      </w:r>
    </w:p>
    <w:p>
      <w:pPr>
        <w:pStyle w:val="Normal"/>
        <w:numPr>
          <w:ilvl w:val="0"/>
          <w:numId w:val="2"/>
        </w:numPr>
        <w:spacing w:lineRule="auto" w:line="480"/>
        <w:rPr/>
      </w:pPr>
      <w:r>
        <w:rPr/>
        <w:t>Feldman H, Guathier S, Hecker J et al.  A 24-week, randomized, double-blind study of donepezil in moderate to severe Alzheimer’s disease.  Neurology 2001; 57: 613 – 620.</w:t>
      </w:r>
    </w:p>
    <w:p>
      <w:pPr>
        <w:pStyle w:val="Normal"/>
        <w:numPr>
          <w:ilvl w:val="0"/>
          <w:numId w:val="2"/>
        </w:numPr>
        <w:spacing w:lineRule="auto" w:line="480"/>
        <w:rPr/>
      </w:pPr>
      <w:r>
        <w:rPr/>
        <w:t>Mohs RC, Doody RS, Morris JC et al.  A 1-year, placebo-controlled preservation of function survival study of donepezil in AD patients.   Neurology  2001; 57: 481 – 488.</w:t>
      </w:r>
    </w:p>
    <w:p>
      <w:pPr>
        <w:pStyle w:val="Normal"/>
        <w:numPr>
          <w:ilvl w:val="0"/>
          <w:numId w:val="2"/>
        </w:numPr>
        <w:spacing w:lineRule="auto" w:line="480"/>
        <w:rPr/>
      </w:pPr>
      <w:r>
        <w:rPr/>
        <w:t>Tariot PN, Cummings JL, Katz IR et al. A Randomized, Double-Blind, Placebo-Controlled study of the Efficacy and Safety of Donepezil in Patients with Alzheimer’s Disease in the Nursing Home setting. JAGS 2001; 49: 1590 – 1599.</w:t>
      </w:r>
    </w:p>
    <w:p>
      <w:pPr>
        <w:pStyle w:val="Normal"/>
        <w:numPr>
          <w:ilvl w:val="0"/>
          <w:numId w:val="2"/>
        </w:numPr>
        <w:spacing w:lineRule="auto" w:line="480"/>
        <w:rPr/>
      </w:pPr>
      <w:r>
        <w:rPr/>
        <w:t>Thomas A, Iacono D, Bonanni L et al. Donepezil, Rivastigmine, and Vitamin E in Alzheimer Disease: A Combined P300 Event-related Potentials / neuropsychologic evaluation over 6 Months. Clinical Neuropharmacology 2001; 24(1): 31 – 42.</w:t>
      </w:r>
    </w:p>
    <w:p>
      <w:pPr>
        <w:pStyle w:val="Normal"/>
        <w:numPr>
          <w:ilvl w:val="0"/>
          <w:numId w:val="2"/>
        </w:numPr>
        <w:spacing w:lineRule="auto" w:line="480"/>
        <w:rPr/>
      </w:pPr>
      <w:r>
        <w:rPr/>
        <w:t>Winblad B, Engedal K, Soininen H et al. A 1-year, randomized, placebo-controlled study of donepezil in patients with mild to moderate AD.  Neurology 2001; 57: 489 – 495.</w:t>
      </w:r>
    </w:p>
    <w:p>
      <w:pPr>
        <w:pStyle w:val="Normal"/>
        <w:numPr>
          <w:ilvl w:val="0"/>
          <w:numId w:val="2"/>
        </w:numPr>
        <w:spacing w:lineRule="auto" w:line="480"/>
        <w:rPr/>
      </w:pPr>
      <w:r>
        <w:rPr>
          <w:lang w:val="en-GB"/>
        </w:rPr>
        <w:t xml:space="preserve">Krishnan KRR, Charles HC, Doraiswamy PM et al. </w:t>
      </w:r>
      <w:r>
        <w:rPr/>
        <w:t>Randomized, Placebo-Controled Trial of the Effects of Donepezil on Neuronal Markers and Hippocampal Volumes in Alzheimer’s Disease. Am J Psychiatry 2003; 160: 3003 – 2011.</w:t>
      </w:r>
    </w:p>
    <w:p>
      <w:pPr>
        <w:pStyle w:val="Normal"/>
        <w:numPr>
          <w:ilvl w:val="0"/>
          <w:numId w:val="2"/>
        </w:numPr>
        <w:spacing w:lineRule="auto" w:line="480"/>
        <w:rPr/>
      </w:pPr>
      <w:r>
        <w:rPr>
          <w:lang w:val="fr-CA"/>
        </w:rPr>
        <w:t xml:space="preserve">Tune L, Tiseo PJ, Ieni J et al. </w:t>
      </w:r>
      <w:r>
        <w:rPr/>
        <w:t>Donepezil HCl (E2020) Maintains Functional Brain Activity in Patients With Alzheimer Disease: Results of a 24-Week, Double-Blind, Placebo-Controled Study. Am J Geriatr Psychiatry 2003; 11: 169 – 177.</w:t>
      </w:r>
    </w:p>
    <w:p>
      <w:pPr>
        <w:pStyle w:val="Normal"/>
        <w:numPr>
          <w:ilvl w:val="0"/>
          <w:numId w:val="2"/>
        </w:numPr>
        <w:spacing w:lineRule="auto" w:line="480"/>
        <w:rPr>
          <w:lang w:val="fr-CA"/>
        </w:rPr>
      </w:pPr>
      <w:r>
        <w:rPr/>
        <w:t xml:space="preserve">Holmes C, Wilkinson D, Dean C et al. The efficacy of donepezil in the treatment of neuropsychiatric symptoms in Alzheimer disease. </w:t>
      </w:r>
      <w:r>
        <w:rPr>
          <w:lang w:val="fr-CA"/>
        </w:rPr>
        <w:t>Neurology 2004; 63: 214 – 219.</w:t>
      </w:r>
    </w:p>
    <w:p>
      <w:pPr>
        <w:pStyle w:val="Normal"/>
        <w:numPr>
          <w:ilvl w:val="0"/>
          <w:numId w:val="2"/>
        </w:numPr>
        <w:spacing w:lineRule="auto" w:line="480"/>
        <w:rPr>
          <w:lang w:val="fr-CA"/>
        </w:rPr>
      </w:pPr>
      <w:r>
        <w:rPr>
          <w:lang w:val="fr-CA"/>
        </w:rPr>
        <w:t xml:space="preserve">dos Santos Moraes WA, Poyares DR, Guilleminault C et al. </w:t>
      </w:r>
      <w:r>
        <w:rPr/>
        <w:t xml:space="preserve">The Effect of Donepezil on Sleep and REM Sleep EEG in Patients with Alzheimer Disease: A Double-Blind Placebo-Controlled Study. </w:t>
      </w:r>
      <w:r>
        <w:rPr>
          <w:lang w:val="fr-CA"/>
        </w:rPr>
        <w:t>Sleep 2006 29(2): 199 – 205.</w:t>
      </w:r>
    </w:p>
    <w:p>
      <w:pPr>
        <w:pStyle w:val="Normal"/>
        <w:numPr>
          <w:ilvl w:val="0"/>
          <w:numId w:val="2"/>
        </w:numPr>
        <w:spacing w:lineRule="auto" w:line="480"/>
        <w:rPr>
          <w:lang w:val="en-GB"/>
        </w:rPr>
      </w:pPr>
      <w:r>
        <w:rPr>
          <w:lang w:val="fr-CA"/>
        </w:rPr>
        <w:t xml:space="preserve">Seltzer B, Zolnouni P, Nunez M et al. </w:t>
      </w:r>
      <w:r>
        <w:rPr>
          <w:lang w:val="en-GB"/>
        </w:rPr>
        <w:t>Efficacy of Donepezil in Early-Stage Alzheimer Disease. Arch Neurol 2004; 61: 1852 – 1856.</w:t>
      </w:r>
    </w:p>
    <w:p>
      <w:pPr>
        <w:pStyle w:val="Normal"/>
        <w:numPr>
          <w:ilvl w:val="0"/>
          <w:numId w:val="2"/>
        </w:numPr>
        <w:spacing w:lineRule="auto" w:line="480"/>
        <w:rPr>
          <w:lang w:val="en-GB"/>
        </w:rPr>
      </w:pPr>
      <w:r>
        <w:rPr>
          <w:lang w:val="en-GB"/>
        </w:rPr>
        <w:t>Johannsen P, Salmon E, Hampel H et al. Assessing Therapeutic Efficacy in a Progressive Disease: A Study of Donepezil in Alzheimer’s Disease. CNS Drugs 2006; 20(4): 311 – 325.</w:t>
      </w:r>
    </w:p>
    <w:p>
      <w:pPr>
        <w:pStyle w:val="Normal"/>
        <w:numPr>
          <w:ilvl w:val="0"/>
          <w:numId w:val="2"/>
        </w:numPr>
        <w:spacing w:lineRule="auto" w:line="480"/>
        <w:rPr>
          <w:lang w:val="fr-CA"/>
        </w:rPr>
      </w:pPr>
      <w:r>
        <w:rPr>
          <w:lang w:val="en-GB"/>
        </w:rPr>
        <w:t xml:space="preserve">Winblad B, Kilander L, Eriksson S et al. Donepezil in patients with severe Alzheimer’s disease: double-blind, parallel-group, placebo-controlled study. </w:t>
      </w:r>
      <w:r>
        <w:rPr>
          <w:lang w:val="fr-CA"/>
        </w:rPr>
        <w:t>Lancet 2006; 367: 1057 – 1065.</w:t>
      </w:r>
    </w:p>
    <w:p>
      <w:pPr>
        <w:pStyle w:val="Normal"/>
        <w:numPr>
          <w:ilvl w:val="0"/>
          <w:numId w:val="2"/>
        </w:numPr>
        <w:spacing w:lineRule="auto" w:line="480"/>
        <w:rPr>
          <w:lang w:val="en-GB"/>
        </w:rPr>
      </w:pPr>
      <w:r>
        <w:rPr>
          <w:lang w:val="fr-CA"/>
        </w:rPr>
        <w:t xml:space="preserve">Agid Y, Dubois B, Anand R et al. </w:t>
      </w:r>
      <w:r>
        <w:rPr>
          <w:lang w:val="en-GB"/>
        </w:rPr>
        <w:t>Efficacy and Tolerability of Rivastigmine in Patients With Dementia of the Alzheimer Type. Current Therapeutic Research 1998; 59(12): 837 – 845.</w:t>
      </w:r>
    </w:p>
    <w:p>
      <w:pPr>
        <w:pStyle w:val="Normal"/>
        <w:numPr>
          <w:ilvl w:val="0"/>
          <w:numId w:val="2"/>
        </w:numPr>
        <w:spacing w:lineRule="auto" w:line="480"/>
        <w:rPr/>
      </w:pPr>
      <w:r>
        <w:rPr/>
        <w:t>Corey-Bloom J, Anand R, Veach J et al.  A randomized trial evaluating the efficacy and safety of ENA 713 (rivastigmine tartrate), a new acetylcholinesterase inhibitor, in patients with mild to moderately severe Alzheimer’s disease.  International Journal of Geriatric Psychopharmacology  1998; 1: 55 – 65.</w:t>
      </w:r>
    </w:p>
    <w:p>
      <w:pPr>
        <w:pStyle w:val="Normal"/>
        <w:numPr>
          <w:ilvl w:val="0"/>
          <w:numId w:val="2"/>
        </w:numPr>
        <w:spacing w:lineRule="auto" w:line="480"/>
        <w:rPr/>
      </w:pPr>
      <w:r>
        <w:rPr/>
        <w:t xml:space="preserve">Forette F, Anand R, Gharabawi G. A phase II study in patients with Alzheimer’s disease to assess the preliminary efficacy and maximum tolerated dose of rivastigmine (Exelon). European Journal of Neurology 1999; 6: 423 – 429. </w:t>
      </w:r>
    </w:p>
    <w:p>
      <w:pPr>
        <w:pStyle w:val="Normal"/>
        <w:numPr>
          <w:ilvl w:val="0"/>
          <w:numId w:val="2"/>
        </w:numPr>
        <w:spacing w:lineRule="auto" w:line="480"/>
        <w:rPr>
          <w:lang w:val="fr-CA"/>
        </w:rPr>
      </w:pPr>
      <w:r>
        <w:rPr/>
        <w:t xml:space="preserve">Rösler M, Anand R, Cicin-Sain A et al.  Efficacy and safety of rivastigmine in patients with Alzheimer’s disease: international randomized controlled trial.  </w:t>
      </w:r>
      <w:r>
        <w:rPr>
          <w:lang w:val="fr-CA"/>
        </w:rPr>
        <w:t>BMJ  1999; 318: 633 – 640.</w:t>
      </w:r>
    </w:p>
    <w:p>
      <w:pPr>
        <w:pStyle w:val="Normal"/>
        <w:numPr>
          <w:ilvl w:val="0"/>
          <w:numId w:val="2"/>
        </w:numPr>
        <w:spacing w:lineRule="auto" w:line="480"/>
        <w:rPr>
          <w:lang w:val="en-GB"/>
        </w:rPr>
      </w:pPr>
      <w:r>
        <w:rPr>
          <w:lang w:val="fr-CA"/>
        </w:rPr>
        <w:t xml:space="preserve">Kumar V, Anand R, Messina J et al. </w:t>
      </w:r>
      <w:r>
        <w:rPr>
          <w:lang w:val="en-GB"/>
        </w:rPr>
        <w:t>An efficacy and safety analysis of Exelon in Alzheimer’s disease patients with concurrent vascular risk factors. European Journal of Neurology 2000; 7: 159 – 169.</w:t>
      </w:r>
    </w:p>
    <w:p>
      <w:pPr>
        <w:pStyle w:val="Normal"/>
        <w:numPr>
          <w:ilvl w:val="0"/>
          <w:numId w:val="2"/>
        </w:numPr>
        <w:spacing w:lineRule="auto" w:line="480"/>
        <w:rPr>
          <w:lang w:val="en-GB"/>
        </w:rPr>
      </w:pPr>
      <w:r>
        <w:rPr>
          <w:lang w:val="en-GB"/>
        </w:rPr>
        <w:t>Doraiswamy PM, Krishnan KRR, Anand R et al. Long-term effects of rivastigmine in moderately severe Alzheimer’s disease: Does early initiation of therapy offer sustained benefits? Progress in Neuro-Psychopharmacology and Biological Psychiatry 2002; 26: 705 – 712.</w:t>
      </w:r>
    </w:p>
    <w:p>
      <w:pPr>
        <w:pStyle w:val="Normal"/>
        <w:numPr>
          <w:ilvl w:val="0"/>
          <w:numId w:val="2"/>
        </w:numPr>
        <w:spacing w:lineRule="auto" w:line="480"/>
        <w:rPr>
          <w:lang w:val="en-GB"/>
        </w:rPr>
      </w:pPr>
      <w:r>
        <w:rPr>
          <w:lang w:val="fr-CA"/>
        </w:rPr>
        <w:t xml:space="preserve">Karaman Y, Erdoğan F, Kőseoğlu E et al. </w:t>
      </w:r>
      <w:r>
        <w:rPr>
          <w:lang w:val="en-GB"/>
        </w:rPr>
        <w:t>A 12-Month Study of the Efficacy of Rivastigmine in Patients with Advanced Moderate Alzheimer’s Disease. Dement Geriatr Cogn Disord 2005; 19: 51 – 56.</w:t>
      </w:r>
    </w:p>
    <w:p>
      <w:pPr>
        <w:pStyle w:val="Normal"/>
        <w:numPr>
          <w:ilvl w:val="0"/>
          <w:numId w:val="2"/>
        </w:numPr>
        <w:spacing w:lineRule="auto" w:line="480"/>
        <w:rPr>
          <w:lang w:val="fr-CA"/>
        </w:rPr>
      </w:pPr>
      <w:r>
        <w:rPr>
          <w:lang w:val="fr-CA"/>
        </w:rPr>
        <w:t xml:space="preserve">Raskind MA, Peskind ER, Wessel T et al. </w:t>
      </w:r>
      <w:r>
        <w:rPr>
          <w:lang w:val="en-GB"/>
        </w:rPr>
        <w:t xml:space="preserve">Galantamine in AD : a 6-month randomized, placebo-controlled trial with a 6-month extension.  </w:t>
      </w:r>
      <w:r>
        <w:rPr>
          <w:lang w:val="fr-CA"/>
        </w:rPr>
        <w:t>Neurology 2000; 54: 2261 – 2268.</w:t>
      </w:r>
    </w:p>
    <w:p>
      <w:pPr>
        <w:pStyle w:val="Normal"/>
        <w:numPr>
          <w:ilvl w:val="0"/>
          <w:numId w:val="2"/>
        </w:numPr>
        <w:spacing w:lineRule="auto" w:line="480"/>
        <w:rPr>
          <w:lang w:val="en-GB"/>
        </w:rPr>
      </w:pPr>
      <w:r>
        <w:rPr>
          <w:lang w:val="fr-CA"/>
        </w:rPr>
        <w:t xml:space="preserve">Tariot PN, Solomon PR, Morris JC et al. </w:t>
      </w:r>
      <w:r>
        <w:rPr>
          <w:lang w:val="en-GB"/>
        </w:rPr>
        <w:t>A 5-month, randomized placebo-controlled trial of galantamine in AD.  Neurology  2000; 54: 2269 – 2276.</w:t>
      </w:r>
    </w:p>
    <w:p>
      <w:pPr>
        <w:pStyle w:val="Normal"/>
        <w:numPr>
          <w:ilvl w:val="0"/>
          <w:numId w:val="2"/>
        </w:numPr>
        <w:spacing w:lineRule="auto" w:line="480"/>
        <w:rPr>
          <w:lang w:val="en-GB"/>
        </w:rPr>
      </w:pPr>
      <w:r>
        <w:rPr/>
        <w:t xml:space="preserve">Wilcock GK, Lilienfeld S, Gaens.  Efficacy and safety of galantamine in patients with mild to moderate Alzheimer’s disease: multicentre randomized controlled trial. </w:t>
      </w:r>
      <w:r>
        <w:rPr>
          <w:lang w:val="en-GB"/>
        </w:rPr>
        <w:t>BMJ  2000; 321: 1 – 7.</w:t>
      </w:r>
    </w:p>
    <w:p>
      <w:pPr>
        <w:pStyle w:val="Normal"/>
        <w:numPr>
          <w:ilvl w:val="0"/>
          <w:numId w:val="2"/>
        </w:numPr>
        <w:spacing w:lineRule="auto" w:line="480"/>
        <w:rPr>
          <w:lang w:val="fr-CA"/>
        </w:rPr>
      </w:pPr>
      <w:r>
        <w:rPr>
          <w:lang w:val="en-GB"/>
        </w:rPr>
        <w:t xml:space="preserve">Rockwood K, Mintzer J, Truyen L et al.  Effects of a flexible galantamine dose in Alzheimer’s disease: a randomised, controlled trial.  </w:t>
      </w:r>
      <w:r>
        <w:rPr>
          <w:lang w:val="fr-CA"/>
        </w:rPr>
        <w:t>J Neurol Neurosurg Psychaitry  2001; 71 : 589 – 595.</w:t>
      </w:r>
    </w:p>
    <w:p>
      <w:pPr>
        <w:pStyle w:val="Normal"/>
        <w:numPr>
          <w:ilvl w:val="0"/>
          <w:numId w:val="2"/>
        </w:numPr>
        <w:spacing w:lineRule="auto" w:line="480"/>
        <w:rPr>
          <w:lang w:val="en-GB"/>
        </w:rPr>
      </w:pPr>
      <w:r>
        <w:rPr>
          <w:lang w:val="en-GB"/>
        </w:rPr>
        <w:t>Wilkinson D, Murray J, the Galantamine Research group. Galantamine: a randomised, double-blind, dose comparison in patients with Alzheimer’s disease. Int j Geriatr Psychiatry 2001; 16: 852 – 857.</w:t>
      </w:r>
    </w:p>
    <w:p>
      <w:pPr>
        <w:pStyle w:val="Normal"/>
        <w:numPr>
          <w:ilvl w:val="0"/>
          <w:numId w:val="2"/>
        </w:numPr>
        <w:spacing w:lineRule="auto" w:line="480"/>
        <w:rPr>
          <w:lang w:val="en-GB"/>
        </w:rPr>
      </w:pPr>
      <w:r>
        <w:rPr>
          <w:lang w:val="en-GB"/>
        </w:rPr>
        <w:t>Brodaty H, Corey-Bloom J, Potocnik FCV et al. Galantamine Prolonged-release Formulation in the Treatment of Mild to Moderate Alzheimer’s Disease. Dement Geriatr Cogn Disord 2005; 20: 120 – 132.</w:t>
      </w:r>
    </w:p>
    <w:p>
      <w:pPr>
        <w:pStyle w:val="Normal"/>
        <w:numPr>
          <w:ilvl w:val="0"/>
          <w:numId w:val="2"/>
        </w:numPr>
        <w:spacing w:lineRule="auto" w:line="480"/>
        <w:rPr>
          <w:lang w:val="en-GB"/>
        </w:rPr>
      </w:pPr>
      <w:r>
        <w:rPr>
          <w:lang w:val="en-GB"/>
        </w:rPr>
        <w:t>Rockwood K, Fay S, Song X et al. Attainment of treatment goals by people with Alzheimer’s disease receiving galantamine: a randomised controlled trial. CMAJ 2006; 174(8): 1099 – 1105.</w:t>
      </w:r>
    </w:p>
    <w:p>
      <w:pPr>
        <w:pStyle w:val="Normal"/>
        <w:numPr>
          <w:ilvl w:val="0"/>
          <w:numId w:val="2"/>
        </w:numPr>
        <w:spacing w:lineRule="auto" w:line="480"/>
        <w:rPr>
          <w:lang w:val="en-GB"/>
        </w:rPr>
      </w:pPr>
      <w:r>
        <w:rPr>
          <w:lang w:val="en-GB"/>
        </w:rPr>
        <w:t xml:space="preserve">Winblad B, Poritis N. Memantine in severe dementia: Results of the  </w:t>
      </w:r>
      <w:r>
        <w:rPr>
          <w:vertAlign w:val="superscript"/>
          <w:lang w:val="en-GB"/>
        </w:rPr>
        <w:t>9</w:t>
      </w:r>
      <w:r>
        <w:rPr>
          <w:lang w:val="en-GB"/>
        </w:rPr>
        <w:t>M-BEST study (Benefit and efficacy in severely demented patients during treatment with Memantine). International Journal of Geriatric Psychiatry 1999; 14: 135 – 146.</w:t>
      </w:r>
    </w:p>
    <w:p>
      <w:pPr>
        <w:pStyle w:val="Normal"/>
        <w:numPr>
          <w:ilvl w:val="0"/>
          <w:numId w:val="2"/>
        </w:numPr>
        <w:spacing w:lineRule="auto" w:line="480"/>
        <w:rPr>
          <w:lang w:val="en-GB"/>
        </w:rPr>
      </w:pPr>
      <w:r>
        <w:rPr>
          <w:lang w:val="en-GB"/>
        </w:rPr>
        <w:t>Reisberg B, Doody R, Stöffler A et al. Memantine in Moderate-to-Severe Alzheimer’s Disease. NEJM 2003; 348: 1333 – 1341.</w:t>
      </w:r>
    </w:p>
    <w:p>
      <w:pPr>
        <w:pStyle w:val="Normal"/>
        <w:numPr>
          <w:ilvl w:val="0"/>
          <w:numId w:val="2"/>
        </w:numPr>
        <w:spacing w:lineRule="auto" w:line="480"/>
        <w:rPr>
          <w:lang w:val="fr-CA"/>
        </w:rPr>
      </w:pPr>
      <w:r>
        <w:rPr/>
        <w:t xml:space="preserve">Tariot PN, Farlow MR, Grossberg GT et al. Memantine treatment in patients with moderate to severe Alzheimer’s disease already receiving donepezil.  </w:t>
      </w:r>
      <w:r>
        <w:rPr>
          <w:lang w:val="fr-CA"/>
        </w:rPr>
        <w:t>JAMA 2004; 291: 317 – 324.</w:t>
      </w:r>
    </w:p>
    <w:p>
      <w:pPr>
        <w:pStyle w:val="Normal"/>
        <w:numPr>
          <w:ilvl w:val="0"/>
          <w:numId w:val="2"/>
        </w:numPr>
        <w:spacing w:lineRule="auto" w:line="480"/>
        <w:rPr>
          <w:lang w:val="en-GB"/>
        </w:rPr>
      </w:pPr>
      <w:r>
        <w:rPr>
          <w:lang w:val="fr-CA"/>
        </w:rPr>
        <w:t xml:space="preserve">Pratt RD,  Perdomo CA et al. </w:t>
      </w:r>
      <w:r>
        <w:rPr>
          <w:lang w:val="en-GB"/>
        </w:rPr>
        <w:t>Donepezil-Treated patients with Probable Vascular Dementia Demonstrate Cognitive Benefits. Ann NY Acad Sci 2002; 977: 513 – 522.</w:t>
      </w:r>
    </w:p>
    <w:p>
      <w:pPr>
        <w:pStyle w:val="Normal"/>
        <w:numPr>
          <w:ilvl w:val="0"/>
          <w:numId w:val="2"/>
        </w:numPr>
        <w:spacing w:lineRule="auto" w:line="480"/>
        <w:rPr>
          <w:lang w:val="en-GB"/>
        </w:rPr>
      </w:pPr>
      <w:r>
        <w:rPr>
          <w:lang w:val="en-GB"/>
        </w:rPr>
        <w:t>Black S, Romάn GC, Geldmacher DS et al. Efficacy and Tolerability of Donepezil in Vascular Dementia: Positive Results of a 24-Week, Multicenter, International, Randomized, Placebo-Controlled Clinical Trial. Stroke 2003; 34: 2323 – 2332.</w:t>
      </w:r>
    </w:p>
    <w:p>
      <w:pPr>
        <w:pStyle w:val="Normal"/>
        <w:numPr>
          <w:ilvl w:val="0"/>
          <w:numId w:val="2"/>
        </w:numPr>
        <w:spacing w:lineRule="auto" w:line="480"/>
        <w:rPr>
          <w:lang w:val="en-GB"/>
        </w:rPr>
      </w:pPr>
      <w:r>
        <w:rPr>
          <w:lang w:val="en-GB"/>
        </w:rPr>
        <w:t>Wilkinson D, Dody R, Helme R et al. Donepezil in vascular dementia: A randomised, placebo-controlled study. Neurology 2003; 61: 479 – 486.</w:t>
      </w:r>
    </w:p>
    <w:p>
      <w:pPr>
        <w:pStyle w:val="Normal"/>
        <w:numPr>
          <w:ilvl w:val="0"/>
          <w:numId w:val="2"/>
        </w:numPr>
        <w:spacing w:lineRule="auto" w:line="480"/>
        <w:rPr>
          <w:lang w:val="en-GB"/>
        </w:rPr>
      </w:pPr>
      <w:r>
        <w:rPr>
          <w:lang w:val="en-GB"/>
        </w:rPr>
        <w:t>Erkinjuntti T, Kurz A, Gauthier S et al. Efficacy of galantamine in probable vascular dementia and Alzheimer’s disease combined with cerebrovascular disease: a randomised trial. Lancet 2002; 359: 1283 – 1290.</w:t>
      </w:r>
    </w:p>
    <w:p>
      <w:pPr>
        <w:pStyle w:val="Normal"/>
        <w:numPr>
          <w:ilvl w:val="0"/>
          <w:numId w:val="2"/>
        </w:numPr>
        <w:spacing w:lineRule="auto" w:line="480"/>
        <w:rPr>
          <w:lang w:val="en-GB"/>
        </w:rPr>
      </w:pPr>
      <w:r>
        <w:rPr>
          <w:lang w:val="en-GB"/>
        </w:rPr>
        <w:t>Bullock R, Erkinjuntti T, Lilienfeld S et al. Management of Patients with Alzheimer’s Disease plus Cerebrovascular Disease: 12-Month Treatment with Galantamine. Dement Geriatr Cogn Disord 2004; 17: 29 – 34.</w:t>
      </w:r>
    </w:p>
    <w:p>
      <w:pPr>
        <w:pStyle w:val="Normal"/>
        <w:numPr>
          <w:ilvl w:val="0"/>
          <w:numId w:val="2"/>
        </w:numPr>
        <w:spacing w:lineRule="auto" w:line="480"/>
        <w:rPr>
          <w:lang w:val="en-GB"/>
        </w:rPr>
      </w:pPr>
      <w:r>
        <w:rPr>
          <w:lang w:val="en-GB"/>
        </w:rPr>
        <w:t>Orgogozo J-M, Rigaud A-S, Stöffler A et al. Efficacy and Safety of Memantine in Patients With Mild to Moderate Vascular Dementia: A Randomized, Placebo-Controlled Trial (MMM 300). Stroke 2002; 33: 1834 – 1839.</w:t>
      </w:r>
    </w:p>
    <w:p>
      <w:pPr>
        <w:pStyle w:val="Normal"/>
        <w:numPr>
          <w:ilvl w:val="0"/>
          <w:numId w:val="2"/>
        </w:numPr>
        <w:spacing w:lineRule="auto" w:line="480"/>
        <w:rPr>
          <w:lang w:val="fr-CA"/>
        </w:rPr>
      </w:pPr>
      <w:r>
        <w:rPr>
          <w:lang w:val="en-GB"/>
        </w:rPr>
        <w:t xml:space="preserve">Wilcock G, Mőbius HJ, Stöffler A et al. A double-blind, placebo-controlled multicentre study of memantine in mild to moderate vascular dementia (MMM500). </w:t>
      </w:r>
      <w:r>
        <w:rPr>
          <w:lang w:val="fr-CA"/>
        </w:rPr>
        <w:t>International Clinical Psychopharmacology 2002; 17: 297 – 305.</w:t>
      </w:r>
    </w:p>
    <w:p>
      <w:pPr>
        <w:pStyle w:val="Normal"/>
        <w:numPr>
          <w:ilvl w:val="0"/>
          <w:numId w:val="2"/>
        </w:numPr>
        <w:spacing w:lineRule="auto" w:line="480"/>
        <w:rPr>
          <w:lang w:val="en-GB"/>
        </w:rPr>
      </w:pPr>
      <w:r>
        <w:rPr>
          <w:lang w:val="en-GB"/>
        </w:rPr>
        <w:t>Salloway S, Ferris S, Kluger A et al. Efficacy of donepezil in mild cognitive impairment. Neurology 2004; 63: 651 – 657.</w:t>
      </w:r>
    </w:p>
    <w:p>
      <w:pPr>
        <w:pStyle w:val="Normal"/>
        <w:numPr>
          <w:ilvl w:val="0"/>
          <w:numId w:val="2"/>
        </w:numPr>
        <w:spacing w:lineRule="auto" w:line="480"/>
        <w:rPr>
          <w:lang w:val="en-GB"/>
        </w:rPr>
      </w:pPr>
      <w:r>
        <w:rPr>
          <w:lang w:val="en-GB"/>
        </w:rPr>
        <w:t>Petersen RC, Thomas RG, Grundman M et al. Vitamin E and Donepezil for the Treatment of Mild Cognitive Impairment. NEJM 2005; 352: 2379 – 2388.</w:t>
      </w:r>
    </w:p>
    <w:p>
      <w:pPr>
        <w:pStyle w:val="Normal"/>
        <w:numPr>
          <w:ilvl w:val="0"/>
          <w:numId w:val="2"/>
        </w:numPr>
        <w:spacing w:lineRule="auto" w:line="480"/>
        <w:rPr>
          <w:lang w:val="en-GB"/>
        </w:rPr>
      </w:pPr>
      <w:r>
        <w:rPr>
          <w:lang w:val="en-GB"/>
        </w:rPr>
        <w:t>Koontz J, Baskys A. Effects of galantamine on working memory and global functioning in patients with mild cognitive impairment: a double-blind placebo-controlled study. American Journal of Alzheimer’s Disease and Other Dementias 2005; 20(5): 295 – 302.</w:t>
      </w:r>
    </w:p>
    <w:p>
      <w:pPr>
        <w:pStyle w:val="Normal"/>
        <w:numPr>
          <w:ilvl w:val="0"/>
          <w:numId w:val="2"/>
        </w:numPr>
        <w:spacing w:lineRule="auto" w:line="480"/>
        <w:rPr>
          <w:lang w:val="en-GB"/>
        </w:rPr>
      </w:pPr>
      <w:r>
        <w:rPr>
          <w:lang w:val="en-GB"/>
        </w:rPr>
        <w:t>Mazza M, Capuano A, Bria P, Mazza S. Ginkgo biloba and donepezil: a comparison in the treatment of Alzheimer’s dementia in a randomised placebo-controlled double-blind study. European Journal of Neurology 2006; 13: 981 – 985.</w:t>
      </w:r>
    </w:p>
    <w:p>
      <w:pPr>
        <w:pStyle w:val="Normal"/>
        <w:numPr>
          <w:ilvl w:val="0"/>
          <w:numId w:val="2"/>
        </w:numPr>
        <w:spacing w:lineRule="auto" w:line="480"/>
        <w:rPr>
          <w:lang w:val="en-GB"/>
        </w:rPr>
      </w:pPr>
      <w:r>
        <w:rPr>
          <w:lang w:val="en-GB"/>
        </w:rPr>
        <w:t>Black SE, Doody R, Li H et al. Donepezil preserves cognition and global function in patients with severe Alzheimer disease.  Neurology 2007; 69: 459 – 469.</w:t>
      </w:r>
    </w:p>
    <w:p>
      <w:pPr>
        <w:pStyle w:val="Normal"/>
        <w:numPr>
          <w:ilvl w:val="0"/>
          <w:numId w:val="2"/>
        </w:numPr>
        <w:spacing w:lineRule="auto" w:line="480"/>
        <w:rPr>
          <w:lang w:val="fr-CA"/>
        </w:rPr>
      </w:pPr>
      <w:r>
        <w:rPr>
          <w:lang w:val="en-GB"/>
        </w:rPr>
        <w:t xml:space="preserve">Feldman HH, Lane R, the Study 304 group. Rivastigmine: a placebo controlled trial of twice daily and three times daily regimens in patients with Alzheimer’s disease. </w:t>
      </w:r>
      <w:r>
        <w:rPr>
          <w:lang w:val="fr-CA"/>
        </w:rPr>
        <w:t>J Neurol Neurosurg Psychiatry 2007; 78: 1056 – 1063.</w:t>
      </w:r>
    </w:p>
    <w:p>
      <w:pPr>
        <w:pStyle w:val="Normal"/>
        <w:numPr>
          <w:ilvl w:val="0"/>
          <w:numId w:val="2"/>
        </w:numPr>
        <w:spacing w:lineRule="auto" w:line="480"/>
        <w:rPr>
          <w:lang w:val="fr-CA"/>
        </w:rPr>
      </w:pPr>
      <w:r>
        <w:rPr>
          <w:lang w:val="en-GB"/>
        </w:rPr>
        <w:t xml:space="preserve">Mowla A, Mosavinasab M, Haghshenas H, Haghighi AB. Does Seotonin Augmentation Have Any Effect on Cognition and Activities of Daily Living in Alzheimer’s Dementia? A Double-Blind, Placebo-Controlled Clinical Trial. </w:t>
      </w:r>
      <w:r>
        <w:rPr>
          <w:lang w:val="fr-CA"/>
        </w:rPr>
        <w:t>J Clin Psychopharmacol 2007; 27: 484 – 487.</w:t>
      </w:r>
    </w:p>
    <w:p>
      <w:pPr>
        <w:pStyle w:val="Normal"/>
        <w:numPr>
          <w:ilvl w:val="0"/>
          <w:numId w:val="2"/>
        </w:numPr>
        <w:spacing w:lineRule="auto" w:line="480"/>
        <w:rPr>
          <w:lang w:val="en-GB"/>
        </w:rPr>
      </w:pPr>
      <w:r>
        <w:rPr>
          <w:lang w:val="en-GB"/>
        </w:rPr>
        <w:t>Winblad B, Cummings J, Andreasen N et al. A six-month double-blind, randomised, placebo-controlled study of a transdermal patch in Alzheimer’s disease – rivastigmine patch versus capsule. Int J Geriatr Psychiatry 2007; 22: 456 – 467.</w:t>
      </w:r>
    </w:p>
    <w:p>
      <w:pPr>
        <w:pStyle w:val="Normal"/>
        <w:numPr>
          <w:ilvl w:val="0"/>
          <w:numId w:val="2"/>
        </w:numPr>
        <w:spacing w:lineRule="auto" w:line="480"/>
        <w:rPr>
          <w:lang w:val="en-GB"/>
        </w:rPr>
      </w:pPr>
      <w:r>
        <w:rPr>
          <w:lang w:val="en-GB"/>
        </w:rPr>
        <w:t>Bakchine S, Loft H. Memantine Treatment in Patients with Mild to Moderate Alzheimer’s Disease: Results of a Randomised, Double-Blind, Placebo-Controlled 6-Month Study. Journal of Alzheimer’s Disease 2007; 11: 471 – 479.</w:t>
      </w:r>
    </w:p>
    <w:p>
      <w:pPr>
        <w:pStyle w:val="Normal"/>
        <w:numPr>
          <w:ilvl w:val="0"/>
          <w:numId w:val="2"/>
        </w:numPr>
        <w:spacing w:lineRule="auto" w:line="480"/>
        <w:rPr>
          <w:lang w:val="en-GB"/>
        </w:rPr>
      </w:pPr>
      <w:r>
        <w:rPr>
          <w:lang w:val="en-GB"/>
        </w:rPr>
        <w:t>Auchus AP, Brashear HR, Salloway S et al. Galantamine treatment of vascular dementia. Neurology 2007; 69: 448 – 458.</w:t>
      </w:r>
    </w:p>
    <w:p>
      <w:pPr>
        <w:pStyle w:val="Normal"/>
        <w:numPr>
          <w:ilvl w:val="0"/>
          <w:numId w:val="2"/>
        </w:numPr>
        <w:spacing w:lineRule="auto" w:line="480"/>
        <w:rPr>
          <w:lang w:val="en-GB"/>
        </w:rPr>
      </w:pPr>
      <w:r>
        <w:rPr>
          <w:lang w:val="en-GB"/>
        </w:rPr>
        <w:t>Feldman HH, Ferris S, Winblad B et al. Effect of rivastigmine on delay to diagnosis of Alzheimer’s disease from mild cognitive impairment: the InDDEx study. Lancet Neurology 2007; 6: 501 – 512.</w:t>
      </w:r>
    </w:p>
    <w:p>
      <w:pPr>
        <w:pStyle w:val="Normal"/>
        <w:numPr>
          <w:ilvl w:val="0"/>
          <w:numId w:val="2"/>
        </w:numPr>
        <w:spacing w:lineRule="auto" w:line="480"/>
        <w:rPr>
          <w:lang w:val="fr-CA"/>
        </w:rPr>
      </w:pPr>
      <w:r>
        <w:rPr>
          <w:lang w:val="en-GB"/>
        </w:rPr>
        <w:t xml:space="preserve">Van Dyck CH, Tariot PN, Meyers B et al. A 24-week Randomized, Controlled Trial of Memantine in Patients With Moderate-to-severe Alzheimer Disease.  </w:t>
      </w:r>
      <w:r>
        <w:rPr>
          <w:lang w:val="fr-CA"/>
        </w:rPr>
        <w:t>Alzheimer Dis Assoc Disord 2007; 21: 136 – 143.</w:t>
      </w:r>
    </w:p>
    <w:p>
      <w:pPr>
        <w:pStyle w:val="Normal"/>
        <w:numPr>
          <w:ilvl w:val="0"/>
          <w:numId w:val="2"/>
        </w:numPr>
        <w:spacing w:lineRule="auto" w:line="480"/>
        <w:rPr>
          <w:lang w:val="en-GB"/>
        </w:rPr>
      </w:pPr>
      <w:r>
        <w:rPr>
          <w:lang w:val="fr-CA"/>
        </w:rPr>
        <w:t xml:space="preserve">Peskind ER, Potkin SG, Pomara N et al. </w:t>
      </w:r>
      <w:r>
        <w:rPr>
          <w:lang w:val="en-GB"/>
        </w:rPr>
        <w:t>Memantine Treatment in Mild to Moderate Alzheimer Disease : A 24-Week randomized, Controlled Trial. Am J Geriatr Psychiatry 2006; 14: 704 – 715.</w:t>
      </w:r>
    </w:p>
    <w:p>
      <w:pPr>
        <w:pStyle w:val="Normal"/>
        <w:numPr>
          <w:ilvl w:val="0"/>
          <w:numId w:val="2"/>
        </w:numPr>
        <w:spacing w:lineRule="auto" w:line="480"/>
        <w:rPr>
          <w:rStyle w:val="InternetLink"/>
          <w:lang w:val="en-GB"/>
        </w:rPr>
      </w:pPr>
      <w:r>
        <w:rPr>
          <w:lang w:val="en-GB"/>
        </w:rPr>
        <w:t xml:space="preserve">International Conference on Harmonisation. Structure and Content of clinical study reports, E3, 1995. </w:t>
      </w:r>
      <w:hyperlink r:id="rId9">
        <w:r>
          <w:rPr>
            <w:rStyle w:val="InternetLink"/>
            <w:lang w:val="en-GB"/>
          </w:rPr>
          <w:t>http://www.ich.org</w:t>
        </w:r>
      </w:hyperlink>
    </w:p>
    <w:p>
      <w:pPr>
        <w:pStyle w:val="Normal"/>
        <w:numPr>
          <w:ilvl w:val="0"/>
          <w:numId w:val="2"/>
        </w:numPr>
        <w:spacing w:lineRule="auto" w:line="480"/>
        <w:rPr>
          <w:lang w:val="en-GB"/>
        </w:rPr>
      </w:pPr>
      <w:r>
        <w:rPr>
          <w:lang w:val="en-GB"/>
        </w:rPr>
        <w:t>Ritchie CW, Ames D, Clayton T. Meta-analysis of Randomized Trials of the Efficacy and Safety of Donepezil, Galantamine, and Rivastigmine for the Treatment of Alzheimer Disease. Am J Geriatr Psychiatry 2004; 12(4): 358 – 369.</w:t>
      </w:r>
    </w:p>
    <w:p>
      <w:pPr>
        <w:pStyle w:val="Normal"/>
        <w:spacing w:lineRule="auto" w:line="480"/>
        <w:rPr>
          <w:lang w:val="en-GB"/>
        </w:rPr>
      </w:pPr>
      <w:r>
        <w:rPr>
          <w:lang w:val="en-GB"/>
        </w:rPr>
      </w:r>
    </w:p>
    <w:p>
      <w:pPr>
        <w:pStyle w:val="Normal"/>
        <w:tabs>
          <w:tab w:val="left" w:pos="6540" w:leader="none"/>
        </w:tabs>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spacing w:lineRule="auto" w:line="480"/>
        <w:rPr>
          <w:lang w:val="en-GB"/>
        </w:rPr>
      </w:pPr>
      <w:r>
        <w:rPr>
          <w:lang w:val="en-GB"/>
        </w:rPr>
      </w:r>
    </w:p>
    <w:p>
      <w:pPr>
        <w:sectPr>
          <w:footerReference w:type="default" r:id="rId10"/>
          <w:type w:val="nextPage"/>
          <w:pgSz w:w="12240" w:h="15840"/>
          <w:pgMar w:left="1800" w:right="1800" w:header="0" w:top="1440" w:footer="720" w:bottom="1440" w:gutter="0"/>
          <w:pgNumType w:fmt="decimal"/>
          <w:formProt w:val="false"/>
          <w:textDirection w:val="lrTb"/>
          <w:docGrid w:type="default" w:linePitch="360" w:charSpace="0"/>
        </w:sectPr>
        <w:pStyle w:val="Normal"/>
        <w:spacing w:lineRule="auto" w:line="480"/>
        <w:rPr>
          <w:lang w:val="en-GB"/>
        </w:rPr>
      </w:pPr>
      <w:r>
        <w:rPr>
          <w:lang w:val="en-GB"/>
        </w:rPr>
      </w:r>
    </w:p>
    <w:p>
      <w:pPr>
        <w:pStyle w:val="Normal"/>
        <w:ind w:left="-709" w:right="0" w:hanging="0"/>
        <w:rPr>
          <w:b/>
        </w:rPr>
      </w:pPr>
      <w:r>
        <w:rPr>
          <w:b/>
        </w:rPr>
        <w:t>Table 1: Characteristics of Included Studies (n=57)</w:t>
      </w:r>
    </w:p>
    <w:tbl>
      <w:tblPr>
        <w:jc w:val="left"/>
        <w:tblInd w:w="-606"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429"/>
        <w:gridCol w:w="1800"/>
        <w:gridCol w:w="1440"/>
        <w:gridCol w:w="3060"/>
        <w:gridCol w:w="2160"/>
        <w:gridCol w:w="1080"/>
        <w:gridCol w:w="1440"/>
        <w:gridCol w:w="1090"/>
      </w:tblGrid>
      <w:tr>
        <w:trPr>
          <w:cantSplit w:val="false"/>
        </w:trPr>
        <w:tc>
          <w:tcPr>
            <w:tcW w:w="1429" w:type="dxa"/>
            <w:vMerge w:val="restart"/>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sz w:val="20"/>
                <w:szCs w:val="20"/>
              </w:rPr>
            </w:pPr>
            <w:r>
              <w:rPr>
                <w:b/>
                <w:sz w:val="20"/>
                <w:szCs w:val="20"/>
              </w:rPr>
              <w:t>First author &amp; Year of study</w:t>
            </w:r>
          </w:p>
        </w:tc>
        <w:tc>
          <w:tcPr>
            <w:tcW w:w="1800" w:type="dxa"/>
            <w:vMerge w:val="restart"/>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sz w:val="20"/>
                <w:szCs w:val="20"/>
              </w:rPr>
            </w:pPr>
            <w:r>
              <w:rPr>
                <w:b/>
                <w:sz w:val="20"/>
                <w:szCs w:val="20"/>
              </w:rPr>
              <w:t>Countries</w:t>
            </w:r>
          </w:p>
        </w:tc>
        <w:tc>
          <w:tcPr>
            <w:tcW w:w="1440" w:type="dxa"/>
            <w:vMerge w:val="restart"/>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sz w:val="20"/>
                <w:szCs w:val="20"/>
              </w:rPr>
            </w:pPr>
            <w:r>
              <w:rPr>
                <w:b/>
                <w:sz w:val="20"/>
                <w:szCs w:val="20"/>
              </w:rPr>
              <w:t>Study funding source(s)</w:t>
            </w:r>
          </w:p>
        </w:tc>
        <w:tc>
          <w:tcPr>
            <w:tcW w:w="3060" w:type="dxa"/>
            <w:vMerge w:val="restart"/>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sz w:val="20"/>
                <w:szCs w:val="20"/>
              </w:rPr>
            </w:pPr>
            <w:r>
              <w:rPr>
                <w:b/>
                <w:sz w:val="20"/>
                <w:szCs w:val="20"/>
              </w:rPr>
              <w:t>Interventions studied</w:t>
            </w:r>
          </w:p>
        </w:tc>
        <w:tc>
          <w:tcPr>
            <w:tcW w:w="2160" w:type="dxa"/>
            <w:vMerge w:val="restart"/>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sz w:val="20"/>
                <w:szCs w:val="20"/>
              </w:rPr>
            </w:pPr>
            <w:r>
              <w:rPr>
                <w:b/>
                <w:sz w:val="20"/>
                <w:szCs w:val="20"/>
              </w:rPr>
              <w:t>Indication</w:t>
            </w:r>
          </w:p>
        </w:tc>
        <w:tc>
          <w:tcPr>
            <w:tcW w:w="2520"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sz w:val="20"/>
                <w:szCs w:val="20"/>
              </w:rPr>
            </w:pPr>
            <w:r>
              <w:rPr>
                <w:b/>
                <w:sz w:val="20"/>
                <w:szCs w:val="20"/>
              </w:rPr>
              <w:t>Sample size(s)</w:t>
            </w:r>
          </w:p>
        </w:tc>
        <w:tc>
          <w:tcPr>
            <w:tcW w:w="1090" w:type="dxa"/>
            <w:vMerge w:val="restart"/>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b/>
                <w:sz w:val="20"/>
                <w:szCs w:val="20"/>
              </w:rPr>
            </w:pPr>
            <w:r>
              <w:rPr>
                <w:b/>
                <w:sz w:val="20"/>
                <w:szCs w:val="20"/>
              </w:rPr>
              <w:t>Jadad /Schultz Quality Score</w:t>
            </w:r>
          </w:p>
        </w:tc>
      </w:tr>
      <w:tr>
        <w:trPr>
          <w:cantSplit w:val="false"/>
        </w:trPr>
        <w:tc>
          <w:tcPr>
            <w:tcW w:w="1429" w:type="dxa"/>
            <w:vMerge w:val="continue"/>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snapToGrid w:val="false"/>
              <w:jc w:val="center"/>
              <w:rPr>
                <w:sz w:val="20"/>
                <w:szCs w:val="20"/>
              </w:rPr>
            </w:pPr>
            <w:r>
              <w:rPr>
                <w:sz w:val="20"/>
                <w:szCs w:val="20"/>
              </w:rPr>
            </w:r>
          </w:p>
        </w:tc>
        <w:tc>
          <w:tcPr>
            <w:tcW w:w="1800" w:type="dxa"/>
            <w:vMerge w:val="continue"/>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bottom"/>
          </w:tcPr>
          <w:p>
            <w:pPr>
              <w:pStyle w:val="Normal"/>
              <w:snapToGrid w:val="false"/>
              <w:jc w:val="center"/>
              <w:rPr>
                <w:sz w:val="20"/>
                <w:szCs w:val="20"/>
              </w:rPr>
            </w:pPr>
            <w:r>
              <w:rPr>
                <w:sz w:val="20"/>
                <w:szCs w:val="20"/>
              </w:rPr>
            </w:r>
          </w:p>
        </w:tc>
        <w:tc>
          <w:tcPr>
            <w:tcW w:w="1440" w:type="dxa"/>
            <w:vMerge w:val="continue"/>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0"/>
                <w:szCs w:val="20"/>
              </w:rPr>
            </w:pPr>
            <w:r>
              <w:rPr>
                <w:sz w:val="20"/>
                <w:szCs w:val="20"/>
              </w:rPr>
            </w:r>
          </w:p>
        </w:tc>
        <w:tc>
          <w:tcPr>
            <w:tcW w:w="3060" w:type="dxa"/>
            <w:vMerge w:val="continue"/>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0"/>
                <w:szCs w:val="20"/>
              </w:rPr>
            </w:pPr>
            <w:r>
              <w:rPr>
                <w:sz w:val="20"/>
                <w:szCs w:val="20"/>
              </w:rPr>
            </w:r>
          </w:p>
        </w:tc>
        <w:tc>
          <w:tcPr>
            <w:tcW w:w="2160" w:type="dxa"/>
            <w:vMerge w:val="continue"/>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0"/>
                <w:szCs w:val="20"/>
              </w:rPr>
            </w:pPr>
            <w:r>
              <w:rPr>
                <w:sz w:val="20"/>
                <w:szCs w:val="20"/>
              </w:rPr>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sz w:val="20"/>
                <w:szCs w:val="20"/>
              </w:rPr>
            </w:pPr>
            <w:r>
              <w:rPr>
                <w:b/>
                <w:sz w:val="20"/>
                <w:szCs w:val="20"/>
              </w:rPr>
              <w:t>Controls</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sz w:val="20"/>
                <w:szCs w:val="20"/>
              </w:rPr>
            </w:pPr>
            <w:r>
              <w:rPr>
                <w:b/>
                <w:sz w:val="20"/>
                <w:szCs w:val="20"/>
              </w:rPr>
              <w:t>Active Comparators</w:t>
            </w:r>
          </w:p>
        </w:tc>
        <w:tc>
          <w:tcPr>
            <w:tcW w:w="1090" w:type="dxa"/>
            <w:vMerge w:val="continue"/>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sz w:val="20"/>
                <w:szCs w:val="20"/>
              </w:rPr>
            </w:pPr>
            <w:r>
              <w:rPr>
                <w:sz w:val="20"/>
                <w:szCs w:val="20"/>
              </w:rPr>
            </w:r>
          </w:p>
        </w:tc>
      </w:tr>
      <w:tr>
        <w:trPr>
          <w:cantSplit w:val="false"/>
        </w:trPr>
        <w:tc>
          <w:tcPr>
            <w:tcW w:w="14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bCs/>
                <w:sz w:val="20"/>
                <w:szCs w:val="20"/>
              </w:rPr>
            </w:pPr>
            <w:r>
              <w:rPr>
                <w:b/>
                <w:bCs/>
                <w:sz w:val="20"/>
                <w:szCs w:val="20"/>
              </w:rPr>
              <w:t>Rogers (1996)</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USA</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Industry</w:t>
            </w:r>
          </w:p>
        </w:tc>
        <w:tc>
          <w:tcPr>
            <w:tcW w:w="30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placebo, donepezil (1, 3, 5mg)</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Alzheimer's dementia</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right"/>
              <w:rPr>
                <w:sz w:val="20"/>
                <w:szCs w:val="20"/>
              </w:rPr>
            </w:pPr>
            <w:r>
              <w:rPr>
                <w:sz w:val="20"/>
                <w:szCs w:val="20"/>
              </w:rPr>
              <w:t>40</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121</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sz w:val="20"/>
                <w:szCs w:val="20"/>
              </w:rPr>
            </w:pPr>
            <w:r>
              <w:rPr>
                <w:sz w:val="20"/>
                <w:szCs w:val="20"/>
              </w:rPr>
              <w:t>4</w:t>
            </w:r>
          </w:p>
        </w:tc>
      </w:tr>
      <w:tr>
        <w:trPr>
          <w:cantSplit w:val="false"/>
        </w:trPr>
        <w:tc>
          <w:tcPr>
            <w:tcW w:w="14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b/>
                <w:bCs/>
                <w:sz w:val="20"/>
                <w:szCs w:val="20"/>
              </w:rPr>
              <w:t>Rogers (Arch Intern Med 1998</w:t>
            </w:r>
            <w:r>
              <w:rPr>
                <w:sz w:val="20"/>
                <w:szCs w:val="20"/>
              </w:rPr>
              <w:t>)</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USA</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Industry</w:t>
            </w:r>
          </w:p>
        </w:tc>
        <w:tc>
          <w:tcPr>
            <w:tcW w:w="30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placebo, donepezil (5, 10mg)</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Alzheimer's dementia</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right"/>
              <w:rPr>
                <w:sz w:val="20"/>
                <w:szCs w:val="20"/>
              </w:rPr>
            </w:pPr>
            <w:r>
              <w:rPr>
                <w:sz w:val="20"/>
                <w:szCs w:val="20"/>
              </w:rPr>
              <w:t>153</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315</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sz w:val="20"/>
                <w:szCs w:val="20"/>
              </w:rPr>
            </w:pPr>
            <w:r>
              <w:rPr>
                <w:sz w:val="20"/>
                <w:szCs w:val="20"/>
              </w:rPr>
              <w:t>4</w:t>
            </w:r>
          </w:p>
        </w:tc>
      </w:tr>
      <w:tr>
        <w:trPr>
          <w:cantSplit w:val="false"/>
        </w:trPr>
        <w:tc>
          <w:tcPr>
            <w:tcW w:w="14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bCs/>
                <w:sz w:val="20"/>
                <w:szCs w:val="20"/>
              </w:rPr>
            </w:pPr>
            <w:r>
              <w:rPr>
                <w:b/>
                <w:bCs/>
                <w:sz w:val="20"/>
                <w:szCs w:val="20"/>
              </w:rPr>
              <w:t>Rogers (Neurology 1998)</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USA</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Industry</w:t>
            </w:r>
          </w:p>
        </w:tc>
        <w:tc>
          <w:tcPr>
            <w:tcW w:w="30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placebo, donepezil (5, 10mg)</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Alzheimer's dementia</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right"/>
              <w:rPr>
                <w:sz w:val="20"/>
                <w:szCs w:val="20"/>
              </w:rPr>
            </w:pPr>
            <w:r>
              <w:rPr>
                <w:sz w:val="20"/>
                <w:szCs w:val="20"/>
              </w:rPr>
              <w:t>162</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311</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sz w:val="20"/>
                <w:szCs w:val="20"/>
              </w:rPr>
            </w:pPr>
            <w:r>
              <w:rPr>
                <w:sz w:val="20"/>
                <w:szCs w:val="20"/>
              </w:rPr>
              <w:t>4</w:t>
            </w:r>
          </w:p>
        </w:tc>
      </w:tr>
      <w:tr>
        <w:trPr>
          <w:cantSplit w:val="false"/>
        </w:trPr>
        <w:tc>
          <w:tcPr>
            <w:tcW w:w="14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bCs/>
                <w:sz w:val="20"/>
                <w:szCs w:val="20"/>
              </w:rPr>
            </w:pPr>
            <w:r>
              <w:rPr>
                <w:b/>
                <w:bCs/>
                <w:sz w:val="20"/>
                <w:szCs w:val="20"/>
              </w:rPr>
              <w:t>Aqid (1998)</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Australia, Belgium, Czechoslovakia, Denmark, Finland, France, Germany, Ireland, Norway, Sweden, Switzerland, UK</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Industry</w:t>
            </w:r>
          </w:p>
        </w:tc>
        <w:tc>
          <w:tcPr>
            <w:tcW w:w="30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Placebo, rivastigmine (4mg, 6mg )</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Alzheimer's dementia</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right"/>
              <w:rPr>
                <w:sz w:val="20"/>
                <w:szCs w:val="20"/>
              </w:rPr>
            </w:pPr>
            <w:r>
              <w:rPr>
                <w:sz w:val="20"/>
                <w:szCs w:val="20"/>
              </w:rPr>
              <w:t>133</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269</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sz w:val="20"/>
                <w:szCs w:val="20"/>
              </w:rPr>
            </w:pPr>
            <w:r>
              <w:rPr>
                <w:sz w:val="20"/>
                <w:szCs w:val="20"/>
              </w:rPr>
              <w:t>3</w:t>
            </w:r>
          </w:p>
        </w:tc>
      </w:tr>
      <w:tr>
        <w:trPr>
          <w:cantSplit w:val="false"/>
        </w:trPr>
        <w:tc>
          <w:tcPr>
            <w:tcW w:w="14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bCs/>
                <w:sz w:val="20"/>
                <w:szCs w:val="20"/>
              </w:rPr>
            </w:pPr>
            <w:r>
              <w:rPr>
                <w:b/>
                <w:bCs/>
                <w:sz w:val="20"/>
                <w:szCs w:val="20"/>
              </w:rPr>
              <w:t>Corey-Bloom (1998)</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USA</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Industry</w:t>
            </w:r>
          </w:p>
        </w:tc>
        <w:tc>
          <w:tcPr>
            <w:tcW w:w="30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Placebo, rivastigmine (1-4mg, 6-12mg )</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Alzheimer's dementia</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right"/>
              <w:rPr>
                <w:sz w:val="20"/>
                <w:szCs w:val="20"/>
              </w:rPr>
            </w:pPr>
            <w:r>
              <w:rPr>
                <w:sz w:val="20"/>
                <w:szCs w:val="20"/>
              </w:rPr>
              <w:t>235</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464</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sz w:val="20"/>
                <w:szCs w:val="20"/>
              </w:rPr>
            </w:pPr>
            <w:r>
              <w:rPr>
                <w:sz w:val="20"/>
                <w:szCs w:val="20"/>
              </w:rPr>
              <w:t>5</w:t>
            </w:r>
          </w:p>
        </w:tc>
      </w:tr>
      <w:tr>
        <w:trPr>
          <w:cantSplit w:val="false"/>
        </w:trPr>
        <w:tc>
          <w:tcPr>
            <w:tcW w:w="14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bCs/>
                <w:sz w:val="20"/>
                <w:szCs w:val="20"/>
              </w:rPr>
            </w:pPr>
            <w:r>
              <w:rPr>
                <w:b/>
                <w:bCs/>
                <w:sz w:val="20"/>
                <w:szCs w:val="20"/>
              </w:rPr>
              <w:t>Burns (1999)</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Australia, Belgium, Canada, France, Germany, Ireland, New Zealand, South Africa, UK</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Industry</w:t>
            </w:r>
          </w:p>
        </w:tc>
        <w:tc>
          <w:tcPr>
            <w:tcW w:w="30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placebo, donepezil (5, 10mg)</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Alzheimer's dementia</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right"/>
              <w:rPr>
                <w:sz w:val="20"/>
                <w:szCs w:val="20"/>
              </w:rPr>
            </w:pPr>
            <w:r>
              <w:rPr>
                <w:sz w:val="20"/>
                <w:szCs w:val="20"/>
              </w:rPr>
              <w:t>274</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544</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sz w:val="20"/>
                <w:szCs w:val="20"/>
              </w:rPr>
            </w:pPr>
            <w:r>
              <w:rPr>
                <w:sz w:val="20"/>
                <w:szCs w:val="20"/>
              </w:rPr>
              <w:t>4</w:t>
            </w:r>
          </w:p>
        </w:tc>
      </w:tr>
      <w:tr>
        <w:trPr>
          <w:cantSplit w:val="false"/>
        </w:trPr>
        <w:tc>
          <w:tcPr>
            <w:tcW w:w="14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bCs/>
                <w:sz w:val="20"/>
                <w:szCs w:val="20"/>
              </w:rPr>
            </w:pPr>
            <w:r>
              <w:rPr>
                <w:b/>
                <w:bCs/>
                <w:sz w:val="20"/>
                <w:szCs w:val="20"/>
              </w:rPr>
              <w:t>Forette (1999)</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Belgium, Canada, France, Norway, UK</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Industry</w:t>
            </w:r>
          </w:p>
        </w:tc>
        <w:tc>
          <w:tcPr>
            <w:tcW w:w="30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Placebo, rivastigmine 6 – 9mg (BID, TID)</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Alzheimer's dementia</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right"/>
              <w:rPr>
                <w:sz w:val="20"/>
                <w:szCs w:val="20"/>
              </w:rPr>
            </w:pPr>
            <w:r>
              <w:rPr>
                <w:sz w:val="20"/>
                <w:szCs w:val="20"/>
              </w:rPr>
              <w:t>24</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90</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sz w:val="20"/>
                <w:szCs w:val="20"/>
              </w:rPr>
            </w:pPr>
            <w:r>
              <w:rPr>
                <w:sz w:val="20"/>
                <w:szCs w:val="20"/>
              </w:rPr>
              <w:t>4</w:t>
            </w:r>
          </w:p>
        </w:tc>
      </w:tr>
      <w:tr>
        <w:trPr>
          <w:cantSplit w:val="false"/>
        </w:trPr>
        <w:tc>
          <w:tcPr>
            <w:tcW w:w="14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bCs/>
                <w:sz w:val="20"/>
                <w:szCs w:val="20"/>
              </w:rPr>
            </w:pPr>
            <w:r>
              <w:rPr>
                <w:b/>
                <w:bCs/>
                <w:sz w:val="20"/>
                <w:szCs w:val="20"/>
              </w:rPr>
              <w:t>R</w:t>
            </w:r>
            <w:r>
              <w:rPr>
                <w:rFonts w:cs="Arial" w:ascii="Arial" w:hAnsi="Arial"/>
                <w:b/>
                <w:bCs/>
                <w:sz w:val="20"/>
                <w:szCs w:val="20"/>
              </w:rPr>
              <w:t>ö</w:t>
            </w:r>
            <w:r>
              <w:rPr>
                <w:b/>
                <w:bCs/>
                <w:sz w:val="20"/>
                <w:szCs w:val="20"/>
              </w:rPr>
              <w:t>sler (1999)</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lang w:val="it-IT"/>
              </w:rPr>
            </w:pPr>
            <w:r>
              <w:rPr>
                <w:sz w:val="20"/>
                <w:szCs w:val="20"/>
                <w:lang w:val="it-IT"/>
              </w:rPr>
              <w:t>Australia, France, Germany, Switzerland, USA, Canada</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Industry</w:t>
            </w:r>
          </w:p>
        </w:tc>
        <w:tc>
          <w:tcPr>
            <w:tcW w:w="30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Placebo, rivastigmine (1-4mg, 6-12mg )</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Alzheimer's dementia</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right"/>
              <w:rPr>
                <w:sz w:val="20"/>
                <w:szCs w:val="20"/>
              </w:rPr>
            </w:pPr>
            <w:r>
              <w:rPr>
                <w:sz w:val="20"/>
                <w:szCs w:val="20"/>
              </w:rPr>
              <w:t>239</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486</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sz w:val="20"/>
                <w:szCs w:val="20"/>
              </w:rPr>
            </w:pPr>
            <w:r>
              <w:rPr>
                <w:sz w:val="20"/>
                <w:szCs w:val="20"/>
              </w:rPr>
              <w:t>5</w:t>
            </w:r>
          </w:p>
        </w:tc>
      </w:tr>
      <w:tr>
        <w:trPr>
          <w:cantSplit w:val="false"/>
        </w:trPr>
        <w:tc>
          <w:tcPr>
            <w:tcW w:w="14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bCs/>
                <w:sz w:val="20"/>
                <w:szCs w:val="20"/>
              </w:rPr>
            </w:pPr>
            <w:r>
              <w:rPr>
                <w:b/>
                <w:bCs/>
                <w:sz w:val="20"/>
                <w:szCs w:val="20"/>
              </w:rPr>
              <w:t>Winblad (1999)</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Latvia</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Not reported</w:t>
            </w:r>
          </w:p>
        </w:tc>
        <w:tc>
          <w:tcPr>
            <w:tcW w:w="30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placebo, memantine (10mg)</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Alzheimer's dementia, Vascular dementia</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right"/>
              <w:rPr>
                <w:sz w:val="20"/>
                <w:szCs w:val="20"/>
              </w:rPr>
            </w:pPr>
            <w:r>
              <w:rPr>
                <w:sz w:val="20"/>
                <w:szCs w:val="20"/>
              </w:rPr>
              <w:t>84</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82</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sz w:val="20"/>
                <w:szCs w:val="20"/>
              </w:rPr>
            </w:pPr>
            <w:r>
              <w:rPr>
                <w:sz w:val="20"/>
                <w:szCs w:val="20"/>
              </w:rPr>
              <w:t>3</w:t>
            </w:r>
          </w:p>
        </w:tc>
      </w:tr>
      <w:tr>
        <w:trPr>
          <w:cantSplit w:val="false"/>
        </w:trPr>
        <w:tc>
          <w:tcPr>
            <w:tcW w:w="14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bCs/>
                <w:sz w:val="20"/>
                <w:szCs w:val="20"/>
              </w:rPr>
            </w:pPr>
            <w:r>
              <w:rPr>
                <w:b/>
                <w:bCs/>
                <w:sz w:val="20"/>
                <w:szCs w:val="20"/>
              </w:rPr>
              <w:t>Greenberg (2000)</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USA</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Public</w:t>
            </w:r>
          </w:p>
        </w:tc>
        <w:tc>
          <w:tcPr>
            <w:tcW w:w="30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placebo, donepezil (5mg) cross-over trial</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Alzheimer's dementia</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right"/>
              <w:rPr>
                <w:sz w:val="20"/>
                <w:szCs w:val="20"/>
              </w:rPr>
            </w:pPr>
            <w:r>
              <w:rPr>
                <w:sz w:val="20"/>
                <w:szCs w:val="20"/>
              </w:rPr>
              <w:t>30</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30</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sz w:val="20"/>
                <w:szCs w:val="20"/>
              </w:rPr>
            </w:pPr>
            <w:r>
              <w:rPr>
                <w:sz w:val="20"/>
                <w:szCs w:val="20"/>
              </w:rPr>
              <w:t>5</w:t>
            </w:r>
          </w:p>
        </w:tc>
      </w:tr>
      <w:tr>
        <w:trPr>
          <w:cantSplit w:val="false"/>
        </w:trPr>
        <w:tc>
          <w:tcPr>
            <w:tcW w:w="14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bCs/>
                <w:sz w:val="20"/>
                <w:szCs w:val="20"/>
                <w:lang w:val="en-GB"/>
              </w:rPr>
            </w:pPr>
            <w:r>
              <w:rPr>
                <w:b/>
                <w:bCs/>
                <w:sz w:val="20"/>
                <w:szCs w:val="20"/>
                <w:lang w:val="en-GB"/>
              </w:rPr>
              <w:t>Homma (2000)</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lang w:val="en-GB"/>
              </w:rPr>
            </w:pPr>
            <w:r>
              <w:rPr>
                <w:sz w:val="20"/>
                <w:szCs w:val="20"/>
                <w:lang w:val="en-GB"/>
              </w:rPr>
              <w:t>Japan</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lang w:val="en-GB"/>
              </w:rPr>
            </w:pPr>
            <w:r>
              <w:rPr>
                <w:sz w:val="20"/>
                <w:szCs w:val="20"/>
                <w:lang w:val="en-GB"/>
              </w:rPr>
              <w:t>Industry</w:t>
            </w:r>
          </w:p>
        </w:tc>
        <w:tc>
          <w:tcPr>
            <w:tcW w:w="30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placebo, donepezil (5mg)</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Alzheimer's dementia</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 xml:space="preserve">           </w:t>
            </w:r>
            <w:r>
              <w:rPr>
                <w:sz w:val="20"/>
                <w:szCs w:val="20"/>
              </w:rPr>
              <w:t>129</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 xml:space="preserve">   </w:t>
            </w:r>
            <w:r>
              <w:rPr>
                <w:sz w:val="20"/>
                <w:szCs w:val="20"/>
              </w:rPr>
              <w:t>134 </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sz w:val="20"/>
                <w:szCs w:val="20"/>
              </w:rPr>
            </w:pPr>
            <w:r>
              <w:rPr>
                <w:sz w:val="20"/>
                <w:szCs w:val="20"/>
              </w:rPr>
              <w:t>3</w:t>
            </w:r>
          </w:p>
        </w:tc>
      </w:tr>
      <w:tr>
        <w:trPr>
          <w:cantSplit w:val="false"/>
        </w:trPr>
        <w:tc>
          <w:tcPr>
            <w:tcW w:w="14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bCs/>
                <w:sz w:val="20"/>
                <w:szCs w:val="20"/>
                <w:lang w:val="en-GB"/>
              </w:rPr>
            </w:pPr>
            <w:r>
              <w:rPr>
                <w:b/>
                <w:bCs/>
                <w:sz w:val="20"/>
                <w:szCs w:val="20"/>
                <w:lang w:val="en-GB"/>
              </w:rPr>
              <w:t>Kumar (2000)</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lang w:val="en-GB"/>
              </w:rPr>
            </w:pPr>
            <w:r>
              <w:rPr>
                <w:sz w:val="20"/>
                <w:szCs w:val="20"/>
                <w:lang w:val="en-GB"/>
              </w:rPr>
              <w:t>USA</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Industry (authors employed)</w:t>
            </w:r>
          </w:p>
        </w:tc>
        <w:tc>
          <w:tcPr>
            <w:tcW w:w="30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Placebo, rivastigmine (1-4mg, 6-12mg )</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Alzheimer's dementia</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right"/>
              <w:rPr>
                <w:sz w:val="20"/>
                <w:szCs w:val="20"/>
              </w:rPr>
            </w:pPr>
            <w:r>
              <w:rPr>
                <w:sz w:val="20"/>
                <w:szCs w:val="20"/>
              </w:rPr>
              <w:t>103</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216</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sz w:val="20"/>
                <w:szCs w:val="20"/>
              </w:rPr>
            </w:pPr>
            <w:r>
              <w:rPr>
                <w:sz w:val="20"/>
                <w:szCs w:val="20"/>
              </w:rPr>
              <w:t>3</w:t>
            </w:r>
          </w:p>
        </w:tc>
      </w:tr>
      <w:tr>
        <w:trPr>
          <w:cantSplit w:val="false"/>
        </w:trPr>
        <w:tc>
          <w:tcPr>
            <w:tcW w:w="14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bCs/>
                <w:sz w:val="20"/>
                <w:szCs w:val="20"/>
              </w:rPr>
            </w:pPr>
            <w:r>
              <w:rPr>
                <w:b/>
                <w:bCs/>
                <w:sz w:val="20"/>
                <w:szCs w:val="20"/>
              </w:rPr>
              <w:t>Raskind (2000)</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USA</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Industry</w:t>
            </w:r>
          </w:p>
        </w:tc>
        <w:tc>
          <w:tcPr>
            <w:tcW w:w="30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lang w:val="it-IT"/>
              </w:rPr>
            </w:pPr>
            <w:r>
              <w:rPr>
                <w:sz w:val="20"/>
                <w:szCs w:val="20"/>
                <w:lang w:val="it-IT"/>
              </w:rPr>
              <w:t>placebo, galantomine (24, 32mg)</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Alzheimer's dementia</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right"/>
              <w:rPr>
                <w:sz w:val="20"/>
                <w:szCs w:val="20"/>
              </w:rPr>
            </w:pPr>
            <w:r>
              <w:rPr>
                <w:sz w:val="20"/>
                <w:szCs w:val="20"/>
              </w:rPr>
              <w:t>213</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423</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sz w:val="20"/>
                <w:szCs w:val="20"/>
              </w:rPr>
            </w:pPr>
            <w:r>
              <w:rPr>
                <w:sz w:val="20"/>
                <w:szCs w:val="20"/>
              </w:rPr>
              <w:t>5</w:t>
            </w:r>
          </w:p>
        </w:tc>
      </w:tr>
      <w:tr>
        <w:trPr>
          <w:cantSplit w:val="false"/>
        </w:trPr>
        <w:tc>
          <w:tcPr>
            <w:tcW w:w="14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bCs/>
                <w:sz w:val="20"/>
                <w:szCs w:val="20"/>
              </w:rPr>
            </w:pPr>
            <w:r>
              <w:rPr>
                <w:b/>
                <w:bCs/>
                <w:sz w:val="20"/>
                <w:szCs w:val="20"/>
              </w:rPr>
              <w:t>Tariot (2000)</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USA</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Industry</w:t>
            </w:r>
          </w:p>
        </w:tc>
        <w:tc>
          <w:tcPr>
            <w:tcW w:w="30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lang w:val="it-IT"/>
              </w:rPr>
            </w:pPr>
            <w:r>
              <w:rPr>
                <w:sz w:val="20"/>
                <w:szCs w:val="20"/>
                <w:lang w:val="it-IT"/>
              </w:rPr>
              <w:t>placebo, galantomine (16,24mg)</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Alzheimer's dementia</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right"/>
              <w:rPr>
                <w:sz w:val="20"/>
                <w:szCs w:val="20"/>
              </w:rPr>
            </w:pPr>
            <w:r>
              <w:rPr>
                <w:sz w:val="20"/>
                <w:szCs w:val="20"/>
              </w:rPr>
              <w:t>286</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552</w:t>
            </w:r>
          </w:p>
          <w:p>
            <w:pPr>
              <w:pStyle w:val="Normal"/>
              <w:jc w:val="center"/>
              <w:rPr>
                <w:sz w:val="20"/>
                <w:szCs w:val="20"/>
              </w:rPr>
            </w:pPr>
            <w:r>
              <w:rPr>
                <w:sz w:val="20"/>
                <w:szCs w:val="20"/>
              </w:rPr>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sz w:val="20"/>
                <w:szCs w:val="20"/>
              </w:rPr>
            </w:pPr>
            <w:r>
              <w:rPr>
                <w:sz w:val="20"/>
                <w:szCs w:val="20"/>
              </w:rPr>
              <w:t>5</w:t>
            </w:r>
          </w:p>
        </w:tc>
      </w:tr>
      <w:tr>
        <w:trPr>
          <w:cantSplit w:val="false"/>
        </w:trPr>
        <w:tc>
          <w:tcPr>
            <w:tcW w:w="14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bCs/>
                <w:sz w:val="20"/>
                <w:szCs w:val="20"/>
              </w:rPr>
            </w:pPr>
            <w:r>
              <w:rPr>
                <w:b/>
                <w:bCs/>
                <w:sz w:val="20"/>
                <w:szCs w:val="20"/>
              </w:rPr>
              <w:t>Wilcock (2000)</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Canada, Finland, France, Germany, Norway, Sweden, Netherlands, UK,</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Industry</w:t>
            </w:r>
          </w:p>
        </w:tc>
        <w:tc>
          <w:tcPr>
            <w:tcW w:w="30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lang w:val="it-IT"/>
              </w:rPr>
            </w:pPr>
            <w:r>
              <w:rPr>
                <w:sz w:val="20"/>
                <w:szCs w:val="20"/>
                <w:lang w:val="it-IT"/>
              </w:rPr>
              <w:t xml:space="preserve">placebo, galantomine, (24,32mg) </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Alzheimer's dementia</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right"/>
              <w:rPr>
                <w:sz w:val="20"/>
                <w:szCs w:val="20"/>
              </w:rPr>
            </w:pPr>
            <w:r>
              <w:rPr>
                <w:sz w:val="20"/>
                <w:szCs w:val="20"/>
              </w:rPr>
              <w:t>215</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438</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sz w:val="20"/>
                <w:szCs w:val="20"/>
              </w:rPr>
            </w:pPr>
            <w:r>
              <w:rPr>
                <w:sz w:val="20"/>
                <w:szCs w:val="20"/>
              </w:rPr>
              <w:t>5</w:t>
            </w:r>
          </w:p>
        </w:tc>
      </w:tr>
      <w:tr>
        <w:trPr>
          <w:cantSplit w:val="false"/>
        </w:trPr>
        <w:tc>
          <w:tcPr>
            <w:tcW w:w="14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bCs/>
                <w:sz w:val="20"/>
                <w:szCs w:val="20"/>
              </w:rPr>
            </w:pPr>
            <w:r>
              <w:rPr>
                <w:b/>
                <w:bCs/>
                <w:sz w:val="20"/>
                <w:szCs w:val="20"/>
              </w:rPr>
              <w:t>Feldman (2001)</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Canada, Australia, France</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Industry</w:t>
            </w:r>
          </w:p>
        </w:tc>
        <w:tc>
          <w:tcPr>
            <w:tcW w:w="30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placebo, donepezil (5-10mg)</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Alzheimer's dementia</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right"/>
              <w:rPr>
                <w:sz w:val="20"/>
                <w:szCs w:val="20"/>
              </w:rPr>
            </w:pPr>
            <w:r>
              <w:rPr>
                <w:sz w:val="20"/>
                <w:szCs w:val="20"/>
              </w:rPr>
              <w:t>146</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144</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sz w:val="20"/>
                <w:szCs w:val="20"/>
              </w:rPr>
            </w:pPr>
            <w:r>
              <w:rPr>
                <w:sz w:val="20"/>
                <w:szCs w:val="20"/>
              </w:rPr>
              <w:t>5</w:t>
            </w:r>
          </w:p>
        </w:tc>
      </w:tr>
      <w:tr>
        <w:trPr>
          <w:cantSplit w:val="false"/>
        </w:trPr>
        <w:tc>
          <w:tcPr>
            <w:tcW w:w="14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bCs/>
                <w:sz w:val="20"/>
                <w:szCs w:val="20"/>
              </w:rPr>
            </w:pPr>
            <w:r>
              <w:rPr>
                <w:b/>
                <w:bCs/>
                <w:sz w:val="20"/>
                <w:szCs w:val="20"/>
              </w:rPr>
              <w:t>Mohs (2001)</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USA</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Industry</w:t>
            </w:r>
          </w:p>
        </w:tc>
        <w:tc>
          <w:tcPr>
            <w:tcW w:w="30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placebo, donepezil (5-10mg)</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Alzheimer's dementia</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right"/>
              <w:rPr>
                <w:sz w:val="20"/>
                <w:szCs w:val="20"/>
              </w:rPr>
            </w:pPr>
            <w:r>
              <w:rPr>
                <w:sz w:val="20"/>
                <w:szCs w:val="20"/>
              </w:rPr>
              <w:t>217</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214</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sz w:val="20"/>
                <w:szCs w:val="20"/>
              </w:rPr>
            </w:pPr>
            <w:r>
              <w:rPr>
                <w:sz w:val="20"/>
                <w:szCs w:val="20"/>
              </w:rPr>
              <w:t>4</w:t>
            </w:r>
          </w:p>
        </w:tc>
      </w:tr>
      <w:tr>
        <w:trPr>
          <w:cantSplit w:val="false"/>
        </w:trPr>
        <w:tc>
          <w:tcPr>
            <w:tcW w:w="14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bCs/>
                <w:sz w:val="20"/>
                <w:szCs w:val="20"/>
              </w:rPr>
            </w:pPr>
            <w:r>
              <w:rPr>
                <w:b/>
                <w:bCs/>
                <w:sz w:val="20"/>
                <w:szCs w:val="20"/>
              </w:rPr>
              <w:t>Tariot (2001)</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USA</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Industry</w:t>
            </w:r>
          </w:p>
        </w:tc>
        <w:tc>
          <w:tcPr>
            <w:tcW w:w="30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placebo, donepezil (5-10mg)</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Alzheimer's dementia</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right"/>
              <w:rPr>
                <w:sz w:val="20"/>
                <w:szCs w:val="20"/>
              </w:rPr>
            </w:pPr>
            <w:r>
              <w:rPr>
                <w:sz w:val="20"/>
                <w:szCs w:val="20"/>
              </w:rPr>
              <w:t>105</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103</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sz w:val="20"/>
                <w:szCs w:val="20"/>
              </w:rPr>
            </w:pPr>
            <w:r>
              <w:rPr>
                <w:sz w:val="20"/>
                <w:szCs w:val="20"/>
              </w:rPr>
              <w:t>4</w:t>
            </w:r>
          </w:p>
        </w:tc>
      </w:tr>
      <w:tr>
        <w:trPr>
          <w:cantSplit w:val="false"/>
        </w:trPr>
        <w:tc>
          <w:tcPr>
            <w:tcW w:w="14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bCs/>
                <w:sz w:val="20"/>
                <w:szCs w:val="20"/>
              </w:rPr>
            </w:pPr>
            <w:r>
              <w:rPr>
                <w:b/>
                <w:bCs/>
                <w:sz w:val="20"/>
                <w:szCs w:val="20"/>
              </w:rPr>
              <w:t>Thomas (2001)</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Italy</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Not reported</w:t>
            </w:r>
          </w:p>
        </w:tc>
        <w:tc>
          <w:tcPr>
            <w:tcW w:w="30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lang w:val="fr-CA"/>
              </w:rPr>
            </w:pPr>
            <w:r>
              <w:rPr>
                <w:sz w:val="20"/>
                <w:szCs w:val="20"/>
                <w:lang w:val="fr-CA"/>
              </w:rPr>
              <w:t xml:space="preserve">Donepezil, vitamin E, </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Alzheimer's dementia</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 xml:space="preserve">            </w:t>
            </w:r>
            <w:r>
              <w:rPr>
                <w:sz w:val="20"/>
                <w:szCs w:val="20"/>
              </w:rPr>
              <w:t>20</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20</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sz w:val="20"/>
                <w:szCs w:val="20"/>
              </w:rPr>
            </w:pPr>
            <w:r>
              <w:rPr>
                <w:sz w:val="20"/>
                <w:szCs w:val="20"/>
              </w:rPr>
              <w:t>4</w:t>
            </w:r>
          </w:p>
        </w:tc>
      </w:tr>
      <w:tr>
        <w:trPr>
          <w:cantSplit w:val="false"/>
        </w:trPr>
        <w:tc>
          <w:tcPr>
            <w:tcW w:w="14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bCs/>
                <w:sz w:val="20"/>
                <w:szCs w:val="20"/>
              </w:rPr>
            </w:pPr>
            <w:r>
              <w:rPr>
                <w:b/>
                <w:bCs/>
                <w:sz w:val="20"/>
                <w:szCs w:val="20"/>
              </w:rPr>
              <w:t>Winblad (2001)</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Denmark, Finland, Norway, Sweden, Netherlands</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Industry</w:t>
            </w:r>
          </w:p>
        </w:tc>
        <w:tc>
          <w:tcPr>
            <w:tcW w:w="30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placebo, donepezil (5-10mg)</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Alzheimer's dementia</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right"/>
              <w:rPr>
                <w:sz w:val="20"/>
                <w:szCs w:val="20"/>
              </w:rPr>
            </w:pPr>
            <w:r>
              <w:rPr>
                <w:sz w:val="20"/>
                <w:szCs w:val="20"/>
              </w:rPr>
              <w:t>144</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142</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sz w:val="20"/>
                <w:szCs w:val="20"/>
              </w:rPr>
            </w:pPr>
            <w:r>
              <w:rPr>
                <w:sz w:val="20"/>
                <w:szCs w:val="20"/>
              </w:rPr>
              <w:t>5</w:t>
            </w:r>
          </w:p>
        </w:tc>
      </w:tr>
      <w:tr>
        <w:trPr>
          <w:cantSplit w:val="false"/>
        </w:trPr>
        <w:tc>
          <w:tcPr>
            <w:tcW w:w="14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bCs/>
                <w:sz w:val="20"/>
                <w:szCs w:val="20"/>
              </w:rPr>
            </w:pPr>
            <w:r>
              <w:rPr>
                <w:b/>
                <w:bCs/>
                <w:sz w:val="20"/>
                <w:szCs w:val="20"/>
              </w:rPr>
              <w:t>Rockwood (2001)</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USA, Canada, UK, South Africa, Australia, New Zealand</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Industry</w:t>
            </w:r>
          </w:p>
        </w:tc>
        <w:tc>
          <w:tcPr>
            <w:tcW w:w="30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placebo, galantamine (24-32mg)</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Alzheimer's dementia</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right"/>
              <w:rPr>
                <w:sz w:val="20"/>
                <w:szCs w:val="20"/>
              </w:rPr>
            </w:pPr>
            <w:r>
              <w:rPr>
                <w:sz w:val="20"/>
                <w:szCs w:val="20"/>
              </w:rPr>
              <w:t>125</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261</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sz w:val="20"/>
                <w:szCs w:val="20"/>
              </w:rPr>
            </w:pPr>
            <w:r>
              <w:rPr>
                <w:sz w:val="20"/>
                <w:szCs w:val="20"/>
              </w:rPr>
              <w:t>5</w:t>
            </w:r>
          </w:p>
        </w:tc>
      </w:tr>
      <w:tr>
        <w:trPr>
          <w:cantSplit w:val="false"/>
        </w:trPr>
        <w:tc>
          <w:tcPr>
            <w:tcW w:w="14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bCs/>
                <w:sz w:val="20"/>
                <w:szCs w:val="20"/>
              </w:rPr>
            </w:pPr>
            <w:r>
              <w:rPr>
                <w:b/>
                <w:bCs/>
                <w:sz w:val="20"/>
                <w:szCs w:val="20"/>
              </w:rPr>
              <w:t>Wilkinson (2001)</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UK</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Industry</w:t>
            </w:r>
          </w:p>
        </w:tc>
        <w:tc>
          <w:tcPr>
            <w:tcW w:w="30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lang w:val="it-IT"/>
              </w:rPr>
            </w:pPr>
            <w:r>
              <w:rPr>
                <w:sz w:val="20"/>
                <w:szCs w:val="20"/>
                <w:lang w:val="it-IT"/>
              </w:rPr>
              <w:t xml:space="preserve">placebo, galantamine (18, 24, 36mg) </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Alzheimer's dementia</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right"/>
              <w:rPr>
                <w:sz w:val="20"/>
                <w:szCs w:val="20"/>
              </w:rPr>
            </w:pPr>
            <w:r>
              <w:rPr>
                <w:sz w:val="20"/>
                <w:szCs w:val="20"/>
              </w:rPr>
              <w:t>87</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198</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sz w:val="20"/>
                <w:szCs w:val="20"/>
              </w:rPr>
            </w:pPr>
            <w:r>
              <w:rPr>
                <w:sz w:val="20"/>
                <w:szCs w:val="20"/>
              </w:rPr>
              <w:t>5</w:t>
            </w:r>
          </w:p>
        </w:tc>
      </w:tr>
      <w:tr>
        <w:trPr>
          <w:cantSplit w:val="false"/>
        </w:trPr>
        <w:tc>
          <w:tcPr>
            <w:tcW w:w="14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bCs/>
                <w:sz w:val="20"/>
                <w:szCs w:val="20"/>
                <w:lang w:val="en-GB"/>
              </w:rPr>
            </w:pPr>
            <w:r>
              <w:rPr>
                <w:b/>
                <w:bCs/>
                <w:sz w:val="20"/>
                <w:szCs w:val="20"/>
                <w:lang w:val="en-GB"/>
              </w:rPr>
              <w:t>Duraiswamy (2002)</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lang w:val="en-GB"/>
              </w:rPr>
            </w:pPr>
            <w:r>
              <w:rPr>
                <w:sz w:val="20"/>
                <w:szCs w:val="20"/>
                <w:lang w:val="en-GB"/>
              </w:rPr>
              <w:t>USA</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Industry</w:t>
            </w:r>
          </w:p>
        </w:tc>
        <w:tc>
          <w:tcPr>
            <w:tcW w:w="30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 xml:space="preserve">placebo, rivastigmine (1-4, 6-12mg) </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Alzheimer's dementia</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rPr>
                <w:sz w:val="20"/>
                <w:szCs w:val="20"/>
              </w:rPr>
            </w:pPr>
            <w:r>
              <w:rPr>
                <w:sz w:val="20"/>
                <w:szCs w:val="20"/>
              </w:rPr>
              <w:t> </w:t>
            </w:r>
            <w:r>
              <w:rPr>
                <w:sz w:val="20"/>
                <w:szCs w:val="20"/>
              </w:rPr>
              <w:t>Not reported</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20"/>
                <w:szCs w:val="20"/>
              </w:rPr>
            </w:pPr>
            <w:r>
              <w:rPr>
                <w:sz w:val="20"/>
                <w:szCs w:val="20"/>
              </w:rPr>
              <w:t> </w:t>
            </w:r>
            <w:r>
              <w:rPr>
                <w:sz w:val="20"/>
                <w:szCs w:val="20"/>
              </w:rPr>
              <w:t>Not reported</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sz w:val="20"/>
                <w:szCs w:val="20"/>
              </w:rPr>
            </w:pPr>
            <w:r>
              <w:rPr>
                <w:sz w:val="20"/>
                <w:szCs w:val="20"/>
              </w:rPr>
              <w:t>3</w:t>
            </w:r>
          </w:p>
        </w:tc>
      </w:tr>
      <w:tr>
        <w:trPr>
          <w:cantSplit w:val="false"/>
        </w:trPr>
        <w:tc>
          <w:tcPr>
            <w:tcW w:w="14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bCs/>
                <w:sz w:val="20"/>
                <w:szCs w:val="20"/>
                <w:lang w:val="en-GB"/>
              </w:rPr>
            </w:pPr>
            <w:r>
              <w:rPr>
                <w:b/>
                <w:bCs/>
                <w:sz w:val="20"/>
                <w:szCs w:val="20"/>
                <w:lang w:val="en-GB"/>
              </w:rPr>
              <w:t>Pratt (2002)</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lang w:val="fr-CA"/>
              </w:rPr>
            </w:pPr>
            <w:r>
              <w:rPr>
                <w:sz w:val="20"/>
                <w:szCs w:val="20"/>
                <w:lang w:val="fr-CA"/>
              </w:rPr>
              <w:t>USA, Europe, Canada, Australia</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Industry (authors employed)</w:t>
            </w:r>
          </w:p>
        </w:tc>
        <w:tc>
          <w:tcPr>
            <w:tcW w:w="30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placebo, donepezil (5, 10mg)</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Vascular dementia</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right"/>
              <w:rPr>
                <w:sz w:val="20"/>
                <w:szCs w:val="20"/>
              </w:rPr>
            </w:pPr>
            <w:r>
              <w:rPr>
                <w:sz w:val="20"/>
                <w:szCs w:val="20"/>
              </w:rPr>
              <w:t>290</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603</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sz w:val="20"/>
                <w:szCs w:val="20"/>
              </w:rPr>
            </w:pPr>
            <w:r>
              <w:rPr>
                <w:sz w:val="20"/>
                <w:szCs w:val="20"/>
              </w:rPr>
              <w:t>5</w:t>
            </w:r>
          </w:p>
        </w:tc>
      </w:tr>
      <w:tr>
        <w:trPr>
          <w:cantSplit w:val="false"/>
        </w:trPr>
        <w:tc>
          <w:tcPr>
            <w:tcW w:w="14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bCs/>
                <w:sz w:val="20"/>
                <w:szCs w:val="20"/>
              </w:rPr>
            </w:pPr>
            <w:r>
              <w:rPr>
                <w:b/>
                <w:bCs/>
                <w:sz w:val="20"/>
                <w:szCs w:val="20"/>
              </w:rPr>
              <w:t>Erkinjuntti (2002)</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Canada, Denmark, Finland, France, Germany, Ireland, Israel, Netherlands, Poland, UK</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Industry</w:t>
            </w:r>
          </w:p>
        </w:tc>
        <w:tc>
          <w:tcPr>
            <w:tcW w:w="30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 xml:space="preserve">placebo, 24mg galantamine </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Mixed dementia,</w:t>
            </w:r>
          </w:p>
          <w:p>
            <w:pPr>
              <w:pStyle w:val="Normal"/>
              <w:jc w:val="center"/>
              <w:rPr>
                <w:sz w:val="20"/>
                <w:szCs w:val="20"/>
              </w:rPr>
            </w:pPr>
            <w:r>
              <w:rPr>
                <w:sz w:val="20"/>
                <w:szCs w:val="20"/>
              </w:rPr>
              <w:t>Vascular dementia</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right"/>
              <w:rPr>
                <w:sz w:val="20"/>
                <w:szCs w:val="20"/>
              </w:rPr>
            </w:pPr>
            <w:r>
              <w:rPr>
                <w:sz w:val="20"/>
                <w:szCs w:val="20"/>
              </w:rPr>
              <w:t>196</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396</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sz w:val="20"/>
                <w:szCs w:val="20"/>
              </w:rPr>
            </w:pPr>
            <w:r>
              <w:rPr>
                <w:sz w:val="20"/>
                <w:szCs w:val="20"/>
              </w:rPr>
              <w:t>4</w:t>
            </w:r>
          </w:p>
        </w:tc>
      </w:tr>
      <w:tr>
        <w:trPr>
          <w:cantSplit w:val="false"/>
        </w:trPr>
        <w:tc>
          <w:tcPr>
            <w:tcW w:w="14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bCs/>
                <w:sz w:val="20"/>
                <w:szCs w:val="20"/>
              </w:rPr>
            </w:pPr>
            <w:r>
              <w:rPr>
                <w:b/>
                <w:bCs/>
                <w:sz w:val="20"/>
                <w:szCs w:val="20"/>
              </w:rPr>
              <w:t>Orgogozo (2002)</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France, Belgium, Switzerland</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Industry</w:t>
            </w:r>
          </w:p>
        </w:tc>
        <w:tc>
          <w:tcPr>
            <w:tcW w:w="30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placebo, memantine (20mg)</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Vascular dementia</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right"/>
              <w:rPr>
                <w:sz w:val="20"/>
                <w:szCs w:val="20"/>
              </w:rPr>
            </w:pPr>
            <w:r>
              <w:rPr>
                <w:sz w:val="20"/>
                <w:szCs w:val="20"/>
              </w:rPr>
              <w:t>141</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147</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sz w:val="20"/>
                <w:szCs w:val="20"/>
              </w:rPr>
            </w:pPr>
            <w:r>
              <w:rPr>
                <w:sz w:val="20"/>
                <w:szCs w:val="20"/>
              </w:rPr>
              <w:t>3</w:t>
            </w:r>
          </w:p>
        </w:tc>
      </w:tr>
      <w:tr>
        <w:trPr>
          <w:cantSplit w:val="false"/>
        </w:trPr>
        <w:tc>
          <w:tcPr>
            <w:tcW w:w="14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bCs/>
                <w:sz w:val="20"/>
                <w:szCs w:val="20"/>
              </w:rPr>
            </w:pPr>
            <w:r>
              <w:rPr>
                <w:b/>
                <w:bCs/>
                <w:sz w:val="20"/>
                <w:szCs w:val="20"/>
              </w:rPr>
              <w:t>Wilcock (2002)</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UK</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Industry (authors employed)</w:t>
            </w:r>
          </w:p>
        </w:tc>
        <w:tc>
          <w:tcPr>
            <w:tcW w:w="30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placebo, memantine (20mg)</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Vascular dementia</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right"/>
              <w:rPr>
                <w:sz w:val="20"/>
                <w:szCs w:val="20"/>
              </w:rPr>
            </w:pPr>
            <w:r>
              <w:rPr>
                <w:sz w:val="20"/>
                <w:szCs w:val="20"/>
              </w:rPr>
              <w:t>271</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277</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sz w:val="20"/>
                <w:szCs w:val="20"/>
              </w:rPr>
            </w:pPr>
            <w:r>
              <w:rPr>
                <w:sz w:val="20"/>
                <w:szCs w:val="20"/>
              </w:rPr>
              <w:t>4</w:t>
            </w:r>
          </w:p>
        </w:tc>
      </w:tr>
      <w:tr>
        <w:trPr>
          <w:cantSplit w:val="false"/>
        </w:trPr>
        <w:tc>
          <w:tcPr>
            <w:tcW w:w="14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bCs/>
                <w:sz w:val="20"/>
                <w:szCs w:val="20"/>
              </w:rPr>
            </w:pPr>
            <w:r>
              <w:rPr>
                <w:b/>
                <w:bCs/>
                <w:sz w:val="20"/>
                <w:szCs w:val="20"/>
              </w:rPr>
              <w:t>Krishnan (2003)</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USA</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Industry</w:t>
            </w:r>
          </w:p>
        </w:tc>
        <w:tc>
          <w:tcPr>
            <w:tcW w:w="30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placebo, donepezil (10mg)</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lang w:val="fr-CA"/>
              </w:rPr>
            </w:pPr>
            <w:r>
              <w:rPr>
                <w:sz w:val="20"/>
                <w:szCs w:val="20"/>
                <w:lang w:val="fr-CA"/>
              </w:rPr>
              <w:t>Alzheimer's dementia</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right"/>
              <w:rPr>
                <w:sz w:val="20"/>
                <w:szCs w:val="20"/>
                <w:lang w:val="fr-CA"/>
              </w:rPr>
            </w:pPr>
            <w:r>
              <w:rPr>
                <w:sz w:val="20"/>
                <w:szCs w:val="20"/>
                <w:lang w:val="fr-CA"/>
              </w:rPr>
              <w:t>33</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lang w:val="fr-CA"/>
              </w:rPr>
            </w:pPr>
            <w:r>
              <w:rPr>
                <w:sz w:val="20"/>
                <w:szCs w:val="20"/>
                <w:lang w:val="fr-CA"/>
              </w:rPr>
              <w:t>34</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sz w:val="20"/>
                <w:szCs w:val="20"/>
                <w:lang w:val="fr-CA"/>
              </w:rPr>
            </w:pPr>
            <w:r>
              <w:rPr>
                <w:sz w:val="20"/>
                <w:szCs w:val="20"/>
                <w:lang w:val="fr-CA"/>
              </w:rPr>
              <w:t>5</w:t>
            </w:r>
          </w:p>
        </w:tc>
      </w:tr>
      <w:tr>
        <w:trPr>
          <w:cantSplit w:val="false"/>
        </w:trPr>
        <w:tc>
          <w:tcPr>
            <w:tcW w:w="14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lang w:val="fr-CA"/>
              </w:rPr>
            </w:pPr>
            <w:r>
              <w:rPr>
                <w:b/>
                <w:bCs/>
                <w:sz w:val="20"/>
                <w:szCs w:val="20"/>
                <w:lang w:val="fr-CA"/>
              </w:rPr>
              <w:t>Tune (2003</w:t>
            </w:r>
            <w:r>
              <w:rPr>
                <w:sz w:val="20"/>
                <w:szCs w:val="20"/>
                <w:lang w:val="fr-CA"/>
              </w:rPr>
              <w:t>)</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lang w:val="fr-CA"/>
              </w:rPr>
            </w:pPr>
            <w:r>
              <w:rPr>
                <w:sz w:val="20"/>
                <w:szCs w:val="20"/>
                <w:lang w:val="fr-CA"/>
              </w:rPr>
              <w:t>USA</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Industry</w:t>
            </w:r>
          </w:p>
        </w:tc>
        <w:tc>
          <w:tcPr>
            <w:tcW w:w="30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placebo, donepezil (10mg)</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Alzheimer's dementia</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right"/>
              <w:rPr>
                <w:sz w:val="20"/>
                <w:szCs w:val="20"/>
              </w:rPr>
            </w:pPr>
            <w:r>
              <w:rPr>
                <w:sz w:val="20"/>
                <w:szCs w:val="20"/>
              </w:rPr>
              <w:t>14</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14</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sz w:val="20"/>
                <w:szCs w:val="20"/>
              </w:rPr>
            </w:pPr>
            <w:r>
              <w:rPr>
                <w:sz w:val="20"/>
                <w:szCs w:val="20"/>
              </w:rPr>
              <w:t>3</w:t>
            </w:r>
          </w:p>
        </w:tc>
      </w:tr>
      <w:tr>
        <w:trPr>
          <w:cantSplit w:val="false"/>
        </w:trPr>
        <w:tc>
          <w:tcPr>
            <w:tcW w:w="14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bCs/>
                <w:sz w:val="20"/>
                <w:szCs w:val="20"/>
              </w:rPr>
            </w:pPr>
            <w:r>
              <w:rPr>
                <w:b/>
                <w:bCs/>
                <w:sz w:val="20"/>
                <w:szCs w:val="20"/>
              </w:rPr>
              <w:t>Reisberg (2003)</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USA</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Industry, Public</w:t>
            </w:r>
          </w:p>
        </w:tc>
        <w:tc>
          <w:tcPr>
            <w:tcW w:w="30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placebo, memantine (20mg)</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Alzheimer's dementia</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right"/>
              <w:rPr>
                <w:sz w:val="20"/>
                <w:szCs w:val="20"/>
              </w:rPr>
            </w:pPr>
            <w:r>
              <w:rPr>
                <w:sz w:val="20"/>
                <w:szCs w:val="20"/>
              </w:rPr>
              <w:t>126</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126</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sz w:val="20"/>
                <w:szCs w:val="20"/>
              </w:rPr>
            </w:pPr>
            <w:r>
              <w:rPr>
                <w:sz w:val="20"/>
                <w:szCs w:val="20"/>
              </w:rPr>
              <w:t>5</w:t>
            </w:r>
          </w:p>
        </w:tc>
      </w:tr>
      <w:tr>
        <w:trPr>
          <w:cantSplit w:val="false"/>
        </w:trPr>
        <w:tc>
          <w:tcPr>
            <w:tcW w:w="14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bCs/>
                <w:sz w:val="20"/>
                <w:szCs w:val="20"/>
              </w:rPr>
            </w:pPr>
            <w:r>
              <w:rPr>
                <w:b/>
                <w:bCs/>
                <w:sz w:val="20"/>
                <w:szCs w:val="20"/>
              </w:rPr>
              <w:t>Black (2003)</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lang w:val="it-IT"/>
              </w:rPr>
            </w:pPr>
            <w:r>
              <w:rPr>
                <w:sz w:val="20"/>
                <w:szCs w:val="20"/>
                <w:lang w:val="it-IT"/>
              </w:rPr>
              <w:t>USA, UK, Australia, Canada, Germany</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Industry</w:t>
            </w:r>
          </w:p>
        </w:tc>
        <w:tc>
          <w:tcPr>
            <w:tcW w:w="30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Placebo, donepezil (5, 10mg)</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Vascular dementia</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right"/>
              <w:rPr>
                <w:sz w:val="20"/>
                <w:szCs w:val="20"/>
              </w:rPr>
            </w:pPr>
            <w:r>
              <w:rPr>
                <w:sz w:val="20"/>
                <w:szCs w:val="20"/>
              </w:rPr>
              <w:t>199</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404</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sz w:val="20"/>
                <w:szCs w:val="20"/>
              </w:rPr>
            </w:pPr>
            <w:r>
              <w:rPr>
                <w:sz w:val="20"/>
                <w:szCs w:val="20"/>
              </w:rPr>
              <w:t>5</w:t>
            </w:r>
          </w:p>
        </w:tc>
      </w:tr>
      <w:tr>
        <w:trPr>
          <w:cantSplit w:val="false"/>
        </w:trPr>
        <w:tc>
          <w:tcPr>
            <w:tcW w:w="14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bCs/>
                <w:sz w:val="20"/>
                <w:szCs w:val="20"/>
              </w:rPr>
            </w:pPr>
            <w:r>
              <w:rPr>
                <w:b/>
                <w:bCs/>
                <w:sz w:val="20"/>
                <w:szCs w:val="20"/>
              </w:rPr>
              <w:t>Wilkinson (2003)</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lang w:val="fr-CA"/>
              </w:rPr>
            </w:pPr>
            <w:r>
              <w:rPr>
                <w:sz w:val="20"/>
                <w:szCs w:val="20"/>
                <w:lang w:val="fr-CA"/>
              </w:rPr>
              <w:t>USA, Canada, Australia, Europe</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Industry</w:t>
            </w:r>
          </w:p>
        </w:tc>
        <w:tc>
          <w:tcPr>
            <w:tcW w:w="30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Placebo, donepezil (5, 10mg)</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Vascular dementia</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right"/>
              <w:rPr>
                <w:sz w:val="20"/>
                <w:szCs w:val="20"/>
              </w:rPr>
            </w:pPr>
            <w:r>
              <w:rPr>
                <w:sz w:val="20"/>
                <w:szCs w:val="20"/>
              </w:rPr>
              <w:t>193</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423</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sz w:val="20"/>
                <w:szCs w:val="20"/>
              </w:rPr>
            </w:pPr>
            <w:r>
              <w:rPr>
                <w:sz w:val="20"/>
                <w:szCs w:val="20"/>
              </w:rPr>
              <w:t>5</w:t>
            </w:r>
          </w:p>
        </w:tc>
      </w:tr>
      <w:tr>
        <w:trPr>
          <w:cantSplit w:val="false"/>
        </w:trPr>
        <w:tc>
          <w:tcPr>
            <w:tcW w:w="14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bCs/>
                <w:sz w:val="20"/>
                <w:szCs w:val="20"/>
              </w:rPr>
            </w:pPr>
            <w:r>
              <w:rPr>
                <w:b/>
                <w:bCs/>
                <w:sz w:val="20"/>
                <w:szCs w:val="20"/>
              </w:rPr>
              <w:t>AD 2000 Collaborative Group (2004)</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UK</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Public</w:t>
            </w:r>
          </w:p>
        </w:tc>
        <w:tc>
          <w:tcPr>
            <w:tcW w:w="30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Placebo, donepezil (5-10mg)</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Alzheimer's dementia</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rPr>
                <w:sz w:val="20"/>
                <w:szCs w:val="20"/>
              </w:rPr>
            </w:pPr>
            <w:r>
              <w:rPr>
                <w:sz w:val="20"/>
                <w:szCs w:val="20"/>
              </w:rPr>
              <w:t xml:space="preserve">         </w:t>
            </w:r>
            <w:r>
              <w:rPr>
                <w:sz w:val="20"/>
                <w:szCs w:val="20"/>
              </w:rPr>
              <w:t>244</w:t>
            </w:r>
          </w:p>
          <w:p>
            <w:pPr>
              <w:pStyle w:val="Normal"/>
              <w:rPr>
                <w:sz w:val="20"/>
                <w:szCs w:val="20"/>
              </w:rPr>
            </w:pPr>
            <w:r>
              <w:rPr>
                <w:sz w:val="20"/>
                <w:szCs w:val="20"/>
              </w:rPr>
              <w:t xml:space="preserve">   </w:t>
            </w:r>
            <w:r>
              <w:rPr>
                <w:sz w:val="20"/>
                <w:szCs w:val="20"/>
              </w:rPr>
              <w:t xml:space="preserve">Phase 1 </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20"/>
                <w:szCs w:val="20"/>
              </w:rPr>
            </w:pPr>
            <w:r>
              <w:rPr>
                <w:sz w:val="20"/>
                <w:szCs w:val="20"/>
              </w:rPr>
              <w:t xml:space="preserve"> </w:t>
            </w:r>
            <w:r>
              <w:rPr>
                <w:sz w:val="20"/>
                <w:szCs w:val="20"/>
              </w:rPr>
              <w:t>242 </w:t>
            </w:r>
          </w:p>
          <w:p>
            <w:pPr>
              <w:pStyle w:val="Normal"/>
              <w:jc w:val="center"/>
              <w:rPr>
                <w:sz w:val="20"/>
                <w:szCs w:val="20"/>
              </w:rPr>
            </w:pPr>
            <w:r>
              <w:rPr>
                <w:sz w:val="20"/>
                <w:szCs w:val="20"/>
              </w:rPr>
              <w:t>Phase 1</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sz w:val="20"/>
                <w:szCs w:val="20"/>
              </w:rPr>
            </w:pPr>
            <w:r>
              <w:rPr>
                <w:sz w:val="20"/>
                <w:szCs w:val="20"/>
              </w:rPr>
              <w:t>4</w:t>
            </w:r>
          </w:p>
        </w:tc>
      </w:tr>
      <w:tr>
        <w:trPr>
          <w:cantSplit w:val="false"/>
        </w:trPr>
        <w:tc>
          <w:tcPr>
            <w:tcW w:w="14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bCs/>
                <w:sz w:val="20"/>
                <w:szCs w:val="20"/>
              </w:rPr>
            </w:pPr>
            <w:r>
              <w:rPr>
                <w:b/>
                <w:bCs/>
                <w:sz w:val="20"/>
                <w:szCs w:val="20"/>
              </w:rPr>
              <w:t>Holmes (2004)</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UK</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Industry</w:t>
            </w:r>
          </w:p>
        </w:tc>
        <w:tc>
          <w:tcPr>
            <w:tcW w:w="30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Placebo, donepezil (10mg)</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Alzheimer's dementia</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right"/>
              <w:rPr>
                <w:sz w:val="20"/>
                <w:szCs w:val="20"/>
              </w:rPr>
            </w:pPr>
            <w:r>
              <w:rPr>
                <w:sz w:val="20"/>
                <w:szCs w:val="20"/>
              </w:rPr>
              <w:t>55</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41</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sz w:val="20"/>
                <w:szCs w:val="20"/>
              </w:rPr>
            </w:pPr>
            <w:r>
              <w:rPr>
                <w:sz w:val="20"/>
                <w:szCs w:val="20"/>
              </w:rPr>
              <w:t>5</w:t>
            </w:r>
          </w:p>
        </w:tc>
      </w:tr>
      <w:tr>
        <w:trPr>
          <w:cantSplit w:val="false"/>
        </w:trPr>
        <w:tc>
          <w:tcPr>
            <w:tcW w:w="14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bCs/>
                <w:sz w:val="20"/>
                <w:szCs w:val="20"/>
              </w:rPr>
            </w:pPr>
            <w:r>
              <w:rPr>
                <w:b/>
                <w:bCs/>
                <w:sz w:val="20"/>
                <w:szCs w:val="20"/>
              </w:rPr>
              <w:t>Seltzer (2004)</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USA</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Industry</w:t>
            </w:r>
          </w:p>
        </w:tc>
        <w:tc>
          <w:tcPr>
            <w:tcW w:w="30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Placebo, donepezil (10mg)</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Alzheimer's dementia</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right"/>
              <w:rPr>
                <w:sz w:val="20"/>
                <w:szCs w:val="20"/>
              </w:rPr>
            </w:pPr>
            <w:r>
              <w:rPr>
                <w:sz w:val="20"/>
                <w:szCs w:val="20"/>
              </w:rPr>
              <w:t>57</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96</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sz w:val="20"/>
                <w:szCs w:val="20"/>
              </w:rPr>
            </w:pPr>
            <w:r>
              <w:rPr>
                <w:sz w:val="20"/>
                <w:szCs w:val="20"/>
              </w:rPr>
              <w:t>4</w:t>
            </w:r>
          </w:p>
        </w:tc>
      </w:tr>
      <w:tr>
        <w:trPr>
          <w:cantSplit w:val="false"/>
        </w:trPr>
        <w:tc>
          <w:tcPr>
            <w:tcW w:w="14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bCs/>
                <w:sz w:val="20"/>
                <w:szCs w:val="20"/>
              </w:rPr>
            </w:pPr>
            <w:r>
              <w:rPr>
                <w:b/>
                <w:bCs/>
                <w:sz w:val="20"/>
                <w:szCs w:val="20"/>
              </w:rPr>
              <w:t>Tariot (2004)</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USA</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Industry</w:t>
            </w:r>
          </w:p>
        </w:tc>
        <w:tc>
          <w:tcPr>
            <w:tcW w:w="30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placebo, memantine (20mg)</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Alzheimer's dementia already on donepezil</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right"/>
              <w:rPr>
                <w:sz w:val="20"/>
                <w:szCs w:val="20"/>
              </w:rPr>
            </w:pPr>
            <w:r>
              <w:rPr>
                <w:sz w:val="20"/>
                <w:szCs w:val="20"/>
              </w:rPr>
              <w:t>201</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202</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sz w:val="20"/>
                <w:szCs w:val="20"/>
              </w:rPr>
            </w:pPr>
            <w:r>
              <w:rPr>
                <w:sz w:val="20"/>
                <w:szCs w:val="20"/>
              </w:rPr>
              <w:t>5</w:t>
            </w:r>
          </w:p>
        </w:tc>
      </w:tr>
      <w:tr>
        <w:trPr>
          <w:cantSplit w:val="false"/>
        </w:trPr>
        <w:tc>
          <w:tcPr>
            <w:tcW w:w="14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bCs/>
                <w:sz w:val="20"/>
                <w:szCs w:val="20"/>
              </w:rPr>
            </w:pPr>
            <w:r>
              <w:rPr>
                <w:b/>
                <w:bCs/>
                <w:sz w:val="20"/>
                <w:szCs w:val="20"/>
              </w:rPr>
              <w:t>Bullock (2004)</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Canada, Denmark, Finland, France, Germany, Israel, Netherlands, Poland, UK</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Industry (authors employed)</w:t>
            </w:r>
          </w:p>
        </w:tc>
        <w:tc>
          <w:tcPr>
            <w:tcW w:w="30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Placebo, galantamine (24mg)</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Mixed dementia</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right"/>
              <w:rPr>
                <w:sz w:val="20"/>
                <w:szCs w:val="20"/>
              </w:rPr>
            </w:pPr>
            <w:r>
              <w:rPr>
                <w:sz w:val="20"/>
                <w:szCs w:val="20"/>
              </w:rPr>
              <w:t>97</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188</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sz w:val="20"/>
                <w:szCs w:val="20"/>
              </w:rPr>
            </w:pPr>
            <w:r>
              <w:rPr>
                <w:sz w:val="20"/>
                <w:szCs w:val="20"/>
              </w:rPr>
              <w:t>4</w:t>
            </w:r>
          </w:p>
        </w:tc>
      </w:tr>
      <w:tr>
        <w:trPr>
          <w:cantSplit w:val="false"/>
        </w:trPr>
        <w:tc>
          <w:tcPr>
            <w:tcW w:w="14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bCs/>
                <w:sz w:val="20"/>
                <w:szCs w:val="20"/>
              </w:rPr>
            </w:pPr>
            <w:r>
              <w:rPr>
                <w:b/>
                <w:bCs/>
                <w:sz w:val="20"/>
                <w:szCs w:val="20"/>
              </w:rPr>
              <w:t>Salloway (2004)</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USA</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Industry</w:t>
            </w:r>
          </w:p>
        </w:tc>
        <w:tc>
          <w:tcPr>
            <w:tcW w:w="30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Placebo, donepezil (10mg)</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Mild cognitive impairment</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right"/>
              <w:rPr>
                <w:sz w:val="20"/>
                <w:szCs w:val="20"/>
              </w:rPr>
            </w:pPr>
            <w:r>
              <w:rPr>
                <w:sz w:val="20"/>
                <w:szCs w:val="20"/>
              </w:rPr>
              <w:t>137</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133</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sz w:val="20"/>
                <w:szCs w:val="20"/>
              </w:rPr>
            </w:pPr>
            <w:r>
              <w:rPr>
                <w:sz w:val="20"/>
                <w:szCs w:val="20"/>
              </w:rPr>
              <w:t>4</w:t>
            </w:r>
          </w:p>
        </w:tc>
      </w:tr>
      <w:tr>
        <w:trPr>
          <w:cantSplit w:val="false"/>
        </w:trPr>
        <w:tc>
          <w:tcPr>
            <w:tcW w:w="14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bCs/>
                <w:sz w:val="20"/>
                <w:szCs w:val="20"/>
              </w:rPr>
            </w:pPr>
            <w:r>
              <w:rPr>
                <w:b/>
                <w:bCs/>
                <w:sz w:val="20"/>
                <w:szCs w:val="20"/>
              </w:rPr>
              <w:t>Karaman (2005)</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Turkey</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Not reported</w:t>
            </w:r>
          </w:p>
        </w:tc>
        <w:tc>
          <w:tcPr>
            <w:tcW w:w="30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placebo,</w:t>
            </w:r>
          </w:p>
          <w:p>
            <w:pPr>
              <w:pStyle w:val="Normal"/>
              <w:rPr>
                <w:sz w:val="20"/>
                <w:szCs w:val="20"/>
              </w:rPr>
            </w:pPr>
            <w:r>
              <w:rPr>
                <w:sz w:val="20"/>
                <w:szCs w:val="20"/>
              </w:rPr>
              <w:t>rivastigmine (6-12mg)</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Alzheimer's dementia</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right"/>
              <w:rPr>
                <w:sz w:val="20"/>
                <w:szCs w:val="20"/>
              </w:rPr>
            </w:pPr>
            <w:r>
              <w:rPr>
                <w:sz w:val="20"/>
                <w:szCs w:val="20"/>
              </w:rPr>
              <w:t>20</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24</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sz w:val="20"/>
                <w:szCs w:val="20"/>
              </w:rPr>
            </w:pPr>
            <w:r>
              <w:rPr>
                <w:sz w:val="20"/>
                <w:szCs w:val="20"/>
              </w:rPr>
              <w:t>4</w:t>
            </w:r>
          </w:p>
        </w:tc>
      </w:tr>
      <w:tr>
        <w:trPr>
          <w:cantSplit w:val="false"/>
        </w:trPr>
        <w:tc>
          <w:tcPr>
            <w:tcW w:w="14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bCs/>
                <w:sz w:val="20"/>
                <w:szCs w:val="20"/>
              </w:rPr>
            </w:pPr>
            <w:r>
              <w:rPr>
                <w:b/>
                <w:bCs/>
                <w:sz w:val="20"/>
                <w:szCs w:val="20"/>
              </w:rPr>
              <w:t>Bullock (2005)</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Australia, Canada, France, Germany, Italy, Spain, UK</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Industry</w:t>
            </w:r>
          </w:p>
        </w:tc>
        <w:tc>
          <w:tcPr>
            <w:tcW w:w="30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 xml:space="preserve">3-12mg of rivastigmine, 5-10mg donepezil </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lang w:val="fr-CA"/>
              </w:rPr>
            </w:pPr>
            <w:r>
              <w:rPr>
                <w:sz w:val="20"/>
                <w:szCs w:val="20"/>
                <w:lang w:val="fr-CA"/>
              </w:rPr>
              <w:t>Alzheimer’s dementia </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right"/>
              <w:rPr>
                <w:sz w:val="20"/>
                <w:szCs w:val="20"/>
                <w:lang w:val="fr-CA"/>
              </w:rPr>
            </w:pPr>
            <w:r>
              <w:rPr>
                <w:sz w:val="20"/>
                <w:szCs w:val="20"/>
                <w:lang w:val="fr-CA"/>
              </w:rPr>
              <w:t>499</w:t>
            </w:r>
          </w:p>
          <w:p>
            <w:pPr>
              <w:pStyle w:val="Normal"/>
              <w:rPr>
                <w:sz w:val="20"/>
                <w:szCs w:val="20"/>
                <w:lang w:val="fr-CA"/>
              </w:rPr>
            </w:pPr>
            <w:r>
              <w:rPr>
                <w:sz w:val="20"/>
                <w:szCs w:val="20"/>
                <w:lang w:val="fr-CA"/>
              </w:rPr>
              <w:t>donepezil</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495</w:t>
            </w:r>
          </w:p>
          <w:p>
            <w:pPr>
              <w:pStyle w:val="Normal"/>
              <w:rPr>
                <w:sz w:val="20"/>
                <w:szCs w:val="20"/>
              </w:rPr>
            </w:pPr>
            <w:r>
              <w:rPr>
                <w:sz w:val="20"/>
                <w:szCs w:val="20"/>
              </w:rPr>
              <w:t>rivastigmine</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sz w:val="20"/>
                <w:szCs w:val="20"/>
              </w:rPr>
            </w:pPr>
            <w:r>
              <w:rPr>
                <w:sz w:val="20"/>
                <w:szCs w:val="20"/>
              </w:rPr>
              <w:t>5</w:t>
            </w:r>
          </w:p>
        </w:tc>
      </w:tr>
      <w:tr>
        <w:trPr>
          <w:cantSplit w:val="false"/>
        </w:trPr>
        <w:tc>
          <w:tcPr>
            <w:tcW w:w="14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bCs/>
                <w:sz w:val="20"/>
                <w:szCs w:val="20"/>
              </w:rPr>
            </w:pPr>
            <w:r>
              <w:rPr>
                <w:b/>
                <w:bCs/>
                <w:sz w:val="20"/>
                <w:szCs w:val="20"/>
              </w:rPr>
              <w:t>Broduty (2005)</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USA, Australia, Canada, South Africa, New Zealand</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Industry (authors employed)</w:t>
            </w:r>
          </w:p>
        </w:tc>
        <w:tc>
          <w:tcPr>
            <w:tcW w:w="30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placebo, immediate release galantamine (16-24mg), prolonged release galantamine (16-24mg)</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Alzheimer's dementia</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right"/>
              <w:rPr>
                <w:sz w:val="20"/>
                <w:szCs w:val="20"/>
              </w:rPr>
            </w:pPr>
            <w:r>
              <w:rPr>
                <w:sz w:val="20"/>
                <w:szCs w:val="20"/>
              </w:rPr>
              <w:t>324</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647</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sz w:val="20"/>
                <w:szCs w:val="20"/>
              </w:rPr>
            </w:pPr>
            <w:r>
              <w:rPr>
                <w:sz w:val="20"/>
                <w:szCs w:val="20"/>
              </w:rPr>
              <w:t>5</w:t>
            </w:r>
          </w:p>
        </w:tc>
      </w:tr>
      <w:tr>
        <w:trPr>
          <w:cantSplit w:val="false"/>
        </w:trPr>
        <w:tc>
          <w:tcPr>
            <w:tcW w:w="14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bCs/>
                <w:sz w:val="20"/>
                <w:szCs w:val="20"/>
              </w:rPr>
            </w:pPr>
            <w:r>
              <w:rPr>
                <w:b/>
                <w:bCs/>
                <w:sz w:val="20"/>
                <w:szCs w:val="20"/>
              </w:rPr>
              <w:t>Peterson (2005)</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USA, Canada</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Industry,</w:t>
            </w:r>
          </w:p>
          <w:p>
            <w:pPr>
              <w:pStyle w:val="Normal"/>
              <w:jc w:val="center"/>
              <w:rPr>
                <w:sz w:val="20"/>
                <w:szCs w:val="20"/>
              </w:rPr>
            </w:pPr>
            <w:r>
              <w:rPr>
                <w:sz w:val="20"/>
                <w:szCs w:val="20"/>
              </w:rPr>
              <w:t>Public</w:t>
            </w:r>
          </w:p>
        </w:tc>
        <w:tc>
          <w:tcPr>
            <w:tcW w:w="30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placebo, donepezil (10mg)</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Mild cognitive impairment</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right"/>
              <w:rPr>
                <w:sz w:val="20"/>
                <w:szCs w:val="20"/>
              </w:rPr>
            </w:pPr>
            <w:r>
              <w:rPr>
                <w:sz w:val="20"/>
                <w:szCs w:val="20"/>
              </w:rPr>
              <w:t>259</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253</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sz w:val="20"/>
                <w:szCs w:val="20"/>
              </w:rPr>
            </w:pPr>
            <w:r>
              <w:rPr>
                <w:sz w:val="20"/>
                <w:szCs w:val="20"/>
              </w:rPr>
              <w:t>4</w:t>
            </w:r>
          </w:p>
        </w:tc>
      </w:tr>
      <w:tr>
        <w:trPr>
          <w:cantSplit w:val="false"/>
        </w:trPr>
        <w:tc>
          <w:tcPr>
            <w:tcW w:w="14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bCs/>
                <w:sz w:val="20"/>
                <w:szCs w:val="20"/>
              </w:rPr>
            </w:pPr>
            <w:r>
              <w:rPr>
                <w:b/>
                <w:bCs/>
                <w:sz w:val="20"/>
                <w:szCs w:val="20"/>
              </w:rPr>
              <w:t>Koontz (2005)</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USA</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Industry</w:t>
            </w:r>
          </w:p>
        </w:tc>
        <w:tc>
          <w:tcPr>
            <w:tcW w:w="30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placebo, galantamine (24mg)</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Mild cognitive impairment</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right"/>
              <w:rPr>
                <w:sz w:val="20"/>
                <w:szCs w:val="20"/>
                <w:lang w:val="fr-CA"/>
              </w:rPr>
            </w:pPr>
            <w:r>
              <w:rPr>
                <w:sz w:val="20"/>
                <w:szCs w:val="20"/>
                <w:lang w:val="fr-CA"/>
              </w:rPr>
              <w:t>11</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lang w:val="fr-CA"/>
              </w:rPr>
            </w:pPr>
            <w:r>
              <w:rPr>
                <w:sz w:val="20"/>
                <w:szCs w:val="20"/>
                <w:lang w:val="fr-CA"/>
              </w:rPr>
              <w:t>8</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sz w:val="20"/>
                <w:szCs w:val="20"/>
                <w:lang w:val="fr-CA"/>
              </w:rPr>
            </w:pPr>
            <w:r>
              <w:rPr>
                <w:sz w:val="20"/>
                <w:szCs w:val="20"/>
                <w:lang w:val="fr-CA"/>
              </w:rPr>
              <w:t>4</w:t>
            </w:r>
          </w:p>
        </w:tc>
      </w:tr>
      <w:tr>
        <w:trPr>
          <w:cantSplit w:val="false"/>
        </w:trPr>
        <w:tc>
          <w:tcPr>
            <w:tcW w:w="14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bCs/>
                <w:sz w:val="20"/>
                <w:szCs w:val="20"/>
                <w:lang w:val="fr-CA"/>
              </w:rPr>
            </w:pPr>
            <w:r>
              <w:rPr>
                <w:b/>
                <w:bCs/>
                <w:sz w:val="20"/>
                <w:szCs w:val="20"/>
                <w:lang w:val="fr-CA"/>
              </w:rPr>
              <w:t>Dos Santos Moraes (2006)</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lang w:val="fr-CA"/>
              </w:rPr>
            </w:pPr>
            <w:r>
              <w:rPr>
                <w:sz w:val="20"/>
                <w:szCs w:val="20"/>
                <w:lang w:val="fr-CA"/>
              </w:rPr>
              <w:t>Brazil</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Public</w:t>
            </w:r>
          </w:p>
        </w:tc>
        <w:tc>
          <w:tcPr>
            <w:tcW w:w="30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Placebo, donepezil (10mg)</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Alzheimer's dementia</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right"/>
              <w:rPr>
                <w:sz w:val="20"/>
                <w:szCs w:val="20"/>
              </w:rPr>
            </w:pPr>
            <w:r>
              <w:rPr>
                <w:sz w:val="20"/>
                <w:szCs w:val="20"/>
              </w:rPr>
              <w:t>18</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17</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sz w:val="20"/>
                <w:szCs w:val="20"/>
              </w:rPr>
            </w:pPr>
            <w:r>
              <w:rPr>
                <w:sz w:val="20"/>
                <w:szCs w:val="20"/>
              </w:rPr>
              <w:t>4</w:t>
            </w:r>
          </w:p>
        </w:tc>
      </w:tr>
      <w:tr>
        <w:trPr>
          <w:cantSplit w:val="false"/>
        </w:trPr>
        <w:tc>
          <w:tcPr>
            <w:tcW w:w="14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bCs/>
                <w:sz w:val="20"/>
                <w:szCs w:val="20"/>
              </w:rPr>
            </w:pPr>
            <w:r>
              <w:rPr>
                <w:b/>
                <w:bCs/>
                <w:sz w:val="20"/>
                <w:szCs w:val="20"/>
              </w:rPr>
              <w:t>Johannsen (2006)</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Belgium, Denmark, Germany, Greece, Hungary, Iceland, Netherlands, Poland, USA</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Industry</w:t>
            </w:r>
          </w:p>
        </w:tc>
        <w:tc>
          <w:tcPr>
            <w:tcW w:w="30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Placebo, donepezil (10mg)</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Alzheimer's dementia</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right"/>
              <w:rPr>
                <w:sz w:val="20"/>
                <w:szCs w:val="20"/>
              </w:rPr>
            </w:pPr>
            <w:r>
              <w:rPr>
                <w:sz w:val="20"/>
                <w:szCs w:val="20"/>
              </w:rPr>
              <w:t>103</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99</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sz w:val="20"/>
                <w:szCs w:val="20"/>
              </w:rPr>
            </w:pPr>
            <w:r>
              <w:rPr>
                <w:sz w:val="20"/>
                <w:szCs w:val="20"/>
              </w:rPr>
              <w:t>4</w:t>
            </w:r>
          </w:p>
        </w:tc>
      </w:tr>
      <w:tr>
        <w:trPr>
          <w:cantSplit w:val="false"/>
        </w:trPr>
        <w:tc>
          <w:tcPr>
            <w:tcW w:w="14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bCs/>
                <w:sz w:val="20"/>
                <w:szCs w:val="20"/>
              </w:rPr>
            </w:pPr>
            <w:r>
              <w:rPr>
                <w:b/>
                <w:bCs/>
                <w:sz w:val="20"/>
                <w:szCs w:val="20"/>
              </w:rPr>
              <w:t>Winblad (2006)</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Sweden</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Industry</w:t>
            </w:r>
          </w:p>
        </w:tc>
        <w:tc>
          <w:tcPr>
            <w:tcW w:w="30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Placebo, donepezil (5-10mg)</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Alzheimer's dementia</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right"/>
              <w:rPr>
                <w:sz w:val="20"/>
                <w:szCs w:val="20"/>
              </w:rPr>
            </w:pPr>
            <w:r>
              <w:rPr>
                <w:sz w:val="20"/>
                <w:szCs w:val="20"/>
              </w:rPr>
              <w:t>120</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128</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sz w:val="20"/>
                <w:szCs w:val="20"/>
              </w:rPr>
            </w:pPr>
            <w:r>
              <w:rPr>
                <w:sz w:val="20"/>
                <w:szCs w:val="20"/>
              </w:rPr>
              <w:t>5</w:t>
            </w:r>
          </w:p>
        </w:tc>
      </w:tr>
      <w:tr>
        <w:trPr>
          <w:cantSplit w:val="false"/>
        </w:trPr>
        <w:tc>
          <w:tcPr>
            <w:tcW w:w="14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bCs/>
                <w:sz w:val="20"/>
                <w:szCs w:val="20"/>
              </w:rPr>
            </w:pPr>
            <w:r>
              <w:rPr>
                <w:b/>
                <w:bCs/>
                <w:sz w:val="20"/>
                <w:szCs w:val="20"/>
              </w:rPr>
              <w:t>Rockwood (2006)</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Canada</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Industry,</w:t>
            </w:r>
          </w:p>
          <w:p>
            <w:pPr>
              <w:pStyle w:val="Normal"/>
              <w:jc w:val="center"/>
              <w:rPr>
                <w:sz w:val="20"/>
                <w:szCs w:val="20"/>
              </w:rPr>
            </w:pPr>
            <w:r>
              <w:rPr>
                <w:sz w:val="20"/>
                <w:szCs w:val="20"/>
              </w:rPr>
              <w:t>Public</w:t>
            </w:r>
          </w:p>
        </w:tc>
        <w:tc>
          <w:tcPr>
            <w:tcW w:w="30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Placebo, galantamine</w:t>
            </w:r>
          </w:p>
          <w:p>
            <w:pPr>
              <w:pStyle w:val="Normal"/>
              <w:rPr>
                <w:sz w:val="20"/>
                <w:szCs w:val="20"/>
              </w:rPr>
            </w:pPr>
            <w:r>
              <w:rPr>
                <w:sz w:val="20"/>
                <w:szCs w:val="20"/>
              </w:rPr>
              <w:t>(16-24mg)</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Alzheimer's dementia</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right"/>
              <w:rPr>
                <w:sz w:val="20"/>
                <w:szCs w:val="20"/>
              </w:rPr>
            </w:pPr>
            <w:r>
              <w:rPr>
                <w:sz w:val="20"/>
                <w:szCs w:val="20"/>
              </w:rPr>
              <w:t>66</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64</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sz w:val="20"/>
                <w:szCs w:val="20"/>
              </w:rPr>
            </w:pPr>
            <w:r>
              <w:rPr>
                <w:sz w:val="20"/>
                <w:szCs w:val="20"/>
              </w:rPr>
              <w:t>5</w:t>
            </w:r>
          </w:p>
        </w:tc>
      </w:tr>
      <w:tr>
        <w:trPr>
          <w:cantSplit w:val="false"/>
        </w:trPr>
        <w:tc>
          <w:tcPr>
            <w:tcW w:w="14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bCs/>
                <w:sz w:val="20"/>
                <w:szCs w:val="20"/>
              </w:rPr>
            </w:pPr>
            <w:r>
              <w:rPr>
                <w:b/>
                <w:bCs/>
                <w:sz w:val="20"/>
                <w:szCs w:val="20"/>
              </w:rPr>
              <w:t>Mazza</w:t>
            </w:r>
          </w:p>
          <w:p>
            <w:pPr>
              <w:pStyle w:val="Normal"/>
              <w:jc w:val="center"/>
              <w:rPr>
                <w:b/>
                <w:bCs/>
                <w:sz w:val="20"/>
                <w:szCs w:val="20"/>
              </w:rPr>
            </w:pPr>
            <w:r>
              <w:rPr>
                <w:b/>
                <w:bCs/>
                <w:sz w:val="20"/>
                <w:szCs w:val="20"/>
              </w:rPr>
              <w:t>(2006)</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Not reported (likely Italy)</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Not reported</w:t>
            </w:r>
          </w:p>
        </w:tc>
        <w:tc>
          <w:tcPr>
            <w:tcW w:w="30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Placebo, donepezil (5mg), Ginkgo</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Alzheimer's dementia</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right"/>
              <w:rPr>
                <w:sz w:val="20"/>
                <w:szCs w:val="20"/>
              </w:rPr>
            </w:pPr>
            <w:r>
              <w:rPr>
                <w:sz w:val="20"/>
                <w:szCs w:val="20"/>
              </w:rPr>
              <w:t>26</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25</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sz w:val="20"/>
                <w:szCs w:val="20"/>
              </w:rPr>
            </w:pPr>
            <w:r>
              <w:rPr>
                <w:sz w:val="20"/>
                <w:szCs w:val="20"/>
              </w:rPr>
              <w:t>5</w:t>
            </w:r>
          </w:p>
        </w:tc>
      </w:tr>
      <w:tr>
        <w:trPr>
          <w:cantSplit w:val="false"/>
        </w:trPr>
        <w:tc>
          <w:tcPr>
            <w:tcW w:w="14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bCs/>
                <w:sz w:val="20"/>
                <w:szCs w:val="20"/>
              </w:rPr>
            </w:pPr>
            <w:r>
              <w:rPr>
                <w:b/>
                <w:bCs/>
                <w:sz w:val="20"/>
                <w:szCs w:val="20"/>
              </w:rPr>
              <w:t>Peskind</w:t>
            </w:r>
          </w:p>
          <w:p>
            <w:pPr>
              <w:pStyle w:val="Normal"/>
              <w:jc w:val="center"/>
              <w:rPr>
                <w:b/>
                <w:bCs/>
                <w:sz w:val="20"/>
                <w:szCs w:val="20"/>
              </w:rPr>
            </w:pPr>
            <w:r>
              <w:rPr>
                <w:b/>
                <w:bCs/>
                <w:sz w:val="20"/>
                <w:szCs w:val="20"/>
              </w:rPr>
              <w:t>(2006)</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USA</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Industry</w:t>
            </w:r>
          </w:p>
        </w:tc>
        <w:tc>
          <w:tcPr>
            <w:tcW w:w="30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Placebo, memantine (20mg)</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Alzheimer's dementia</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right"/>
              <w:rPr>
                <w:sz w:val="20"/>
                <w:szCs w:val="20"/>
              </w:rPr>
            </w:pPr>
            <w:r>
              <w:rPr>
                <w:sz w:val="20"/>
                <w:szCs w:val="20"/>
              </w:rPr>
              <w:t>202</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201</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sz w:val="20"/>
                <w:szCs w:val="20"/>
              </w:rPr>
            </w:pPr>
            <w:r>
              <w:rPr>
                <w:sz w:val="20"/>
                <w:szCs w:val="20"/>
              </w:rPr>
              <w:t>5</w:t>
            </w:r>
          </w:p>
        </w:tc>
      </w:tr>
      <w:tr>
        <w:trPr>
          <w:cantSplit w:val="false"/>
        </w:trPr>
        <w:tc>
          <w:tcPr>
            <w:tcW w:w="14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bCs/>
                <w:sz w:val="20"/>
                <w:szCs w:val="20"/>
              </w:rPr>
            </w:pPr>
            <w:r>
              <w:rPr>
                <w:b/>
                <w:bCs/>
                <w:sz w:val="20"/>
                <w:szCs w:val="20"/>
              </w:rPr>
              <w:t>Auchus</w:t>
            </w:r>
          </w:p>
          <w:p>
            <w:pPr>
              <w:pStyle w:val="Normal"/>
              <w:jc w:val="center"/>
              <w:rPr>
                <w:b/>
                <w:bCs/>
                <w:sz w:val="20"/>
                <w:szCs w:val="20"/>
              </w:rPr>
            </w:pPr>
            <w:r>
              <w:rPr>
                <w:b/>
                <w:bCs/>
                <w:sz w:val="20"/>
                <w:szCs w:val="20"/>
              </w:rPr>
              <w:t>(2007)</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21 countries (Europe, North America, Israel, Asia, Australia)</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Industry</w:t>
            </w:r>
          </w:p>
          <w:p>
            <w:pPr>
              <w:pStyle w:val="Normal"/>
              <w:jc w:val="center"/>
              <w:rPr>
                <w:sz w:val="20"/>
                <w:szCs w:val="20"/>
              </w:rPr>
            </w:pPr>
            <w:r>
              <w:rPr>
                <w:sz w:val="20"/>
                <w:szCs w:val="20"/>
              </w:rPr>
              <w:t>(authors employed)</w:t>
            </w:r>
          </w:p>
        </w:tc>
        <w:tc>
          <w:tcPr>
            <w:tcW w:w="30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lang w:val="fr-CA"/>
              </w:rPr>
            </w:pPr>
            <w:r>
              <w:rPr>
                <w:sz w:val="20"/>
                <w:szCs w:val="20"/>
                <w:lang w:val="fr-CA"/>
              </w:rPr>
              <w:t>Placebo, galantamine (flexible dose)</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Vascular dementia</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right"/>
              <w:rPr>
                <w:sz w:val="20"/>
                <w:szCs w:val="20"/>
                <w:lang w:val="en-GB"/>
              </w:rPr>
            </w:pPr>
            <w:r>
              <w:rPr>
                <w:sz w:val="20"/>
                <w:szCs w:val="20"/>
                <w:lang w:val="en-GB"/>
              </w:rPr>
              <w:t>391</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lang w:val="en-GB"/>
              </w:rPr>
            </w:pPr>
            <w:r>
              <w:rPr>
                <w:sz w:val="20"/>
                <w:szCs w:val="20"/>
                <w:lang w:val="en-GB"/>
              </w:rPr>
              <w:t>397</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sz w:val="20"/>
                <w:szCs w:val="20"/>
                <w:lang w:val="en-GB"/>
              </w:rPr>
            </w:pPr>
            <w:r>
              <w:rPr>
                <w:sz w:val="20"/>
                <w:szCs w:val="20"/>
                <w:lang w:val="en-GB"/>
              </w:rPr>
              <w:t>4</w:t>
            </w:r>
          </w:p>
        </w:tc>
      </w:tr>
      <w:tr>
        <w:trPr>
          <w:cantSplit w:val="false"/>
        </w:trPr>
        <w:tc>
          <w:tcPr>
            <w:tcW w:w="14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bCs/>
                <w:sz w:val="20"/>
                <w:szCs w:val="20"/>
                <w:lang w:val="en-GB"/>
              </w:rPr>
            </w:pPr>
            <w:r>
              <w:rPr>
                <w:b/>
                <w:bCs/>
                <w:sz w:val="20"/>
                <w:szCs w:val="20"/>
                <w:lang w:val="en-GB"/>
              </w:rPr>
              <w:t>Bakchine</w:t>
            </w:r>
          </w:p>
          <w:p>
            <w:pPr>
              <w:pStyle w:val="Normal"/>
              <w:jc w:val="center"/>
              <w:rPr>
                <w:b/>
                <w:bCs/>
                <w:sz w:val="20"/>
                <w:szCs w:val="20"/>
                <w:lang w:val="en-GB"/>
              </w:rPr>
            </w:pPr>
            <w:r>
              <w:rPr>
                <w:b/>
                <w:bCs/>
                <w:sz w:val="20"/>
                <w:szCs w:val="20"/>
                <w:lang w:val="en-GB"/>
              </w:rPr>
              <w:t>(2007)</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lang w:val="en-GB"/>
              </w:rPr>
            </w:pPr>
            <w:r>
              <w:rPr>
                <w:sz w:val="20"/>
                <w:szCs w:val="20"/>
                <w:lang w:val="en-GB"/>
              </w:rPr>
              <w:t>Austria, Belgium, Denmark, Finland, France, Greece, Lithuania, The Netherlands, Poland, Spain, Sweden, UK</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lang w:val="en-GB"/>
              </w:rPr>
            </w:pPr>
            <w:r>
              <w:rPr>
                <w:sz w:val="20"/>
                <w:szCs w:val="20"/>
                <w:lang w:val="en-GB"/>
              </w:rPr>
              <w:t>Industry</w:t>
            </w:r>
          </w:p>
        </w:tc>
        <w:tc>
          <w:tcPr>
            <w:tcW w:w="30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Placebo, memantine (20mg)</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Alzheimer's dementia</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right"/>
              <w:rPr>
                <w:sz w:val="20"/>
                <w:szCs w:val="20"/>
                <w:lang w:val="en-GB"/>
              </w:rPr>
            </w:pPr>
            <w:r>
              <w:rPr>
                <w:sz w:val="20"/>
                <w:szCs w:val="20"/>
                <w:lang w:val="en-GB"/>
              </w:rPr>
              <w:t>152</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lang w:val="en-GB"/>
              </w:rPr>
            </w:pPr>
            <w:r>
              <w:rPr>
                <w:sz w:val="20"/>
                <w:szCs w:val="20"/>
                <w:lang w:val="en-GB"/>
              </w:rPr>
              <w:t>318</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sz w:val="20"/>
                <w:szCs w:val="20"/>
                <w:lang w:val="en-GB"/>
              </w:rPr>
            </w:pPr>
            <w:r>
              <w:rPr>
                <w:sz w:val="20"/>
                <w:szCs w:val="20"/>
                <w:lang w:val="en-GB"/>
              </w:rPr>
              <w:t>4</w:t>
            </w:r>
          </w:p>
        </w:tc>
      </w:tr>
      <w:tr>
        <w:trPr>
          <w:cantSplit w:val="false"/>
        </w:trPr>
        <w:tc>
          <w:tcPr>
            <w:tcW w:w="14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bCs/>
                <w:sz w:val="20"/>
                <w:szCs w:val="20"/>
                <w:lang w:val="en-GB"/>
              </w:rPr>
            </w:pPr>
            <w:r>
              <w:rPr>
                <w:b/>
                <w:bCs/>
                <w:sz w:val="20"/>
                <w:szCs w:val="20"/>
                <w:lang w:val="en-GB"/>
              </w:rPr>
              <w:t>Black</w:t>
            </w:r>
          </w:p>
          <w:p>
            <w:pPr>
              <w:pStyle w:val="Normal"/>
              <w:jc w:val="center"/>
              <w:rPr>
                <w:b/>
                <w:bCs/>
                <w:sz w:val="20"/>
                <w:szCs w:val="20"/>
                <w:lang w:val="en-GB"/>
              </w:rPr>
            </w:pPr>
            <w:r>
              <w:rPr>
                <w:b/>
                <w:bCs/>
                <w:sz w:val="20"/>
                <w:szCs w:val="20"/>
                <w:lang w:val="en-GB"/>
              </w:rPr>
              <w:t>(2007)</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lang w:val="en-GB"/>
              </w:rPr>
            </w:pPr>
            <w:r>
              <w:rPr>
                <w:sz w:val="20"/>
                <w:szCs w:val="20"/>
                <w:lang w:val="en-GB"/>
              </w:rPr>
              <w:t>USA, Canada, France, UK, Australia</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lang w:val="en-GB"/>
              </w:rPr>
            </w:pPr>
            <w:r>
              <w:rPr>
                <w:sz w:val="20"/>
                <w:szCs w:val="20"/>
                <w:lang w:val="en-GB"/>
              </w:rPr>
              <w:t>Industry</w:t>
            </w:r>
          </w:p>
        </w:tc>
        <w:tc>
          <w:tcPr>
            <w:tcW w:w="30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lang w:val="en-GB"/>
              </w:rPr>
            </w:pPr>
            <w:r>
              <w:rPr>
                <w:sz w:val="20"/>
                <w:szCs w:val="20"/>
                <w:lang w:val="en-GB"/>
              </w:rPr>
              <w:t>Placebo, donepezil (10mg)</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Alzheimer's dementia</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right"/>
              <w:rPr>
                <w:sz w:val="20"/>
                <w:szCs w:val="20"/>
                <w:lang w:val="en-GB"/>
              </w:rPr>
            </w:pPr>
            <w:r>
              <w:rPr>
                <w:sz w:val="20"/>
                <w:szCs w:val="20"/>
                <w:lang w:val="en-GB"/>
              </w:rPr>
              <w:t>167</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lang w:val="en-GB"/>
              </w:rPr>
            </w:pPr>
            <w:r>
              <w:rPr>
                <w:sz w:val="20"/>
                <w:szCs w:val="20"/>
                <w:lang w:val="en-GB"/>
              </w:rPr>
              <w:t>176</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sz w:val="20"/>
                <w:szCs w:val="20"/>
                <w:lang w:val="en-GB"/>
              </w:rPr>
            </w:pPr>
            <w:r>
              <w:rPr>
                <w:sz w:val="20"/>
                <w:szCs w:val="20"/>
                <w:lang w:val="en-GB"/>
              </w:rPr>
              <w:t>5</w:t>
            </w:r>
          </w:p>
        </w:tc>
      </w:tr>
      <w:tr>
        <w:trPr>
          <w:cantSplit w:val="false"/>
        </w:trPr>
        <w:tc>
          <w:tcPr>
            <w:tcW w:w="14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bCs/>
                <w:sz w:val="20"/>
                <w:szCs w:val="20"/>
                <w:lang w:val="en-GB"/>
              </w:rPr>
            </w:pPr>
            <w:r>
              <w:rPr>
                <w:b/>
                <w:bCs/>
                <w:sz w:val="20"/>
                <w:szCs w:val="20"/>
                <w:lang w:val="en-GB"/>
              </w:rPr>
              <w:t>Feldman (Lancet Neurol 2007)</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lang w:val="en-GB"/>
              </w:rPr>
            </w:pPr>
            <w:r>
              <w:rPr>
                <w:sz w:val="20"/>
                <w:szCs w:val="20"/>
                <w:lang w:val="en-GB"/>
              </w:rPr>
              <w:t>14 countries</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lang w:val="en-GB"/>
              </w:rPr>
            </w:pPr>
            <w:r>
              <w:rPr>
                <w:sz w:val="20"/>
                <w:szCs w:val="20"/>
                <w:lang w:val="en-GB"/>
              </w:rPr>
              <w:t>Industry</w:t>
            </w:r>
          </w:p>
        </w:tc>
        <w:tc>
          <w:tcPr>
            <w:tcW w:w="30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lang w:val="en-GB"/>
              </w:rPr>
            </w:pPr>
            <w:r>
              <w:rPr>
                <w:sz w:val="20"/>
                <w:szCs w:val="20"/>
                <w:lang w:val="en-GB"/>
              </w:rPr>
              <w:t>Placebo, rivastigmine (3 – 12mg)</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Mild cognitive impairment</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right"/>
              <w:rPr>
                <w:sz w:val="20"/>
                <w:szCs w:val="20"/>
                <w:lang w:val="fr-CA"/>
              </w:rPr>
            </w:pPr>
            <w:r>
              <w:rPr>
                <w:sz w:val="20"/>
                <w:szCs w:val="20"/>
                <w:lang w:val="fr-CA"/>
              </w:rPr>
              <w:t>509</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lang w:val="fr-CA"/>
              </w:rPr>
            </w:pPr>
            <w:r>
              <w:rPr>
                <w:sz w:val="20"/>
                <w:szCs w:val="20"/>
                <w:lang w:val="fr-CA"/>
              </w:rPr>
              <w:t>508</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sz w:val="20"/>
                <w:szCs w:val="20"/>
                <w:lang w:val="fr-CA"/>
              </w:rPr>
            </w:pPr>
            <w:r>
              <w:rPr>
                <w:sz w:val="20"/>
                <w:szCs w:val="20"/>
                <w:lang w:val="fr-CA"/>
              </w:rPr>
              <w:t>5</w:t>
            </w:r>
          </w:p>
        </w:tc>
      </w:tr>
      <w:tr>
        <w:trPr>
          <w:cantSplit w:val="false"/>
        </w:trPr>
        <w:tc>
          <w:tcPr>
            <w:tcW w:w="14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bCs/>
                <w:sz w:val="20"/>
                <w:szCs w:val="20"/>
                <w:lang w:val="fr-CA"/>
              </w:rPr>
            </w:pPr>
            <w:r>
              <w:rPr>
                <w:b/>
                <w:bCs/>
                <w:sz w:val="20"/>
                <w:szCs w:val="20"/>
                <w:lang w:val="fr-CA"/>
              </w:rPr>
              <w:t xml:space="preserve">Feldman </w:t>
            </w:r>
          </w:p>
          <w:p>
            <w:pPr>
              <w:pStyle w:val="Normal"/>
              <w:jc w:val="center"/>
              <w:rPr>
                <w:b/>
                <w:bCs/>
                <w:sz w:val="20"/>
                <w:szCs w:val="20"/>
                <w:lang w:val="fr-CA"/>
              </w:rPr>
            </w:pPr>
            <w:r>
              <w:rPr>
                <w:b/>
                <w:bCs/>
                <w:sz w:val="20"/>
                <w:szCs w:val="20"/>
                <w:lang w:val="fr-CA"/>
              </w:rPr>
              <w:t>(J Neurol Neurosurg Psychiatry 2007)</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lang w:val="en-GB"/>
              </w:rPr>
            </w:pPr>
            <w:r>
              <w:rPr>
                <w:sz w:val="20"/>
                <w:szCs w:val="20"/>
                <w:lang w:val="en-GB"/>
              </w:rPr>
              <w:t>Australia, Canada, Ireland, Italy, South Africa, UK</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lang w:val="en-GB"/>
              </w:rPr>
            </w:pPr>
            <w:r>
              <w:rPr>
                <w:sz w:val="20"/>
                <w:szCs w:val="20"/>
                <w:lang w:val="en-GB"/>
              </w:rPr>
              <w:t>Industry</w:t>
            </w:r>
          </w:p>
        </w:tc>
        <w:tc>
          <w:tcPr>
            <w:tcW w:w="30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lang w:val="en-GB"/>
              </w:rPr>
            </w:pPr>
            <w:r>
              <w:rPr>
                <w:sz w:val="20"/>
                <w:szCs w:val="20"/>
                <w:lang w:val="en-GB"/>
              </w:rPr>
              <w:t>Placebo, rivastigmine 2 – 12 mg BID vs. TID dosing</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Alzheimer's dementia</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right"/>
              <w:rPr>
                <w:sz w:val="20"/>
                <w:szCs w:val="20"/>
                <w:lang w:val="en-GB"/>
              </w:rPr>
            </w:pPr>
            <w:r>
              <w:rPr>
                <w:sz w:val="20"/>
                <w:szCs w:val="20"/>
                <w:lang w:val="en-GB"/>
              </w:rPr>
              <w:t>222</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lang w:val="en-GB"/>
              </w:rPr>
            </w:pPr>
            <w:r>
              <w:rPr>
                <w:sz w:val="20"/>
                <w:szCs w:val="20"/>
                <w:lang w:val="en-GB"/>
              </w:rPr>
              <w:t>229 BID group</w:t>
            </w:r>
          </w:p>
          <w:p>
            <w:pPr>
              <w:pStyle w:val="Normal"/>
              <w:jc w:val="center"/>
              <w:rPr>
                <w:sz w:val="20"/>
                <w:szCs w:val="20"/>
                <w:lang w:val="en-GB"/>
              </w:rPr>
            </w:pPr>
            <w:r>
              <w:rPr>
                <w:sz w:val="20"/>
                <w:szCs w:val="20"/>
                <w:lang w:val="en-GB"/>
              </w:rPr>
            </w:r>
          </w:p>
          <w:p>
            <w:pPr>
              <w:pStyle w:val="Normal"/>
              <w:jc w:val="center"/>
              <w:rPr>
                <w:sz w:val="20"/>
                <w:szCs w:val="20"/>
                <w:lang w:val="en-GB"/>
              </w:rPr>
            </w:pPr>
            <w:r>
              <w:rPr>
                <w:sz w:val="20"/>
                <w:szCs w:val="20"/>
                <w:lang w:val="en-GB"/>
              </w:rPr>
              <w:t>227 TID group</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sz w:val="20"/>
                <w:szCs w:val="20"/>
                <w:lang w:val="en-GB"/>
              </w:rPr>
            </w:pPr>
            <w:r>
              <w:rPr>
                <w:sz w:val="20"/>
                <w:szCs w:val="20"/>
                <w:lang w:val="en-GB"/>
              </w:rPr>
              <w:t>5</w:t>
            </w:r>
          </w:p>
        </w:tc>
      </w:tr>
      <w:tr>
        <w:trPr>
          <w:cantSplit w:val="false"/>
        </w:trPr>
        <w:tc>
          <w:tcPr>
            <w:tcW w:w="14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bCs/>
                <w:sz w:val="20"/>
                <w:szCs w:val="20"/>
                <w:lang w:val="en-GB"/>
              </w:rPr>
            </w:pPr>
            <w:r>
              <w:rPr>
                <w:b/>
                <w:bCs/>
                <w:sz w:val="20"/>
                <w:szCs w:val="20"/>
                <w:lang w:val="en-GB"/>
              </w:rPr>
              <w:t>Mowla</w:t>
            </w:r>
          </w:p>
          <w:p>
            <w:pPr>
              <w:pStyle w:val="Normal"/>
              <w:jc w:val="center"/>
              <w:rPr>
                <w:b/>
                <w:bCs/>
                <w:sz w:val="20"/>
                <w:szCs w:val="20"/>
                <w:lang w:val="en-GB"/>
              </w:rPr>
            </w:pPr>
            <w:r>
              <w:rPr>
                <w:b/>
                <w:bCs/>
                <w:sz w:val="20"/>
                <w:szCs w:val="20"/>
                <w:lang w:val="en-GB"/>
              </w:rPr>
              <w:t>(2007)</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lang w:val="en-GB"/>
              </w:rPr>
            </w:pPr>
            <w:r>
              <w:rPr>
                <w:sz w:val="20"/>
                <w:szCs w:val="20"/>
                <w:lang w:val="en-GB"/>
              </w:rPr>
              <w:t>Not reported (likely Iran)</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lang w:val="en-GB"/>
              </w:rPr>
            </w:pPr>
            <w:r>
              <w:rPr>
                <w:sz w:val="20"/>
                <w:szCs w:val="20"/>
                <w:lang w:val="en-GB"/>
              </w:rPr>
              <w:t>Public</w:t>
            </w:r>
          </w:p>
        </w:tc>
        <w:tc>
          <w:tcPr>
            <w:tcW w:w="30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lang w:val="en-GB"/>
              </w:rPr>
            </w:pPr>
            <w:r>
              <w:rPr>
                <w:sz w:val="20"/>
                <w:szCs w:val="20"/>
                <w:lang w:val="en-GB"/>
              </w:rPr>
              <w:t>Placebo, rivastigmine 6 – 12mg, rivastigmine 6 – 12mg + fluoxetine</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Alzheimer's dementia</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right"/>
              <w:rPr>
                <w:sz w:val="20"/>
                <w:szCs w:val="20"/>
                <w:lang w:val="en-GB"/>
              </w:rPr>
            </w:pPr>
            <w:r>
              <w:rPr>
                <w:sz w:val="20"/>
                <w:szCs w:val="20"/>
                <w:lang w:val="en-GB"/>
              </w:rPr>
              <w:t>40</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lang w:val="en-GB"/>
              </w:rPr>
            </w:pPr>
            <w:r>
              <w:rPr>
                <w:sz w:val="20"/>
                <w:szCs w:val="20"/>
                <w:lang w:val="en-GB"/>
              </w:rPr>
              <w:t>41 rivastigmine alone</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sz w:val="20"/>
                <w:szCs w:val="20"/>
                <w:lang w:val="en-GB"/>
              </w:rPr>
            </w:pPr>
            <w:r>
              <w:rPr>
                <w:sz w:val="20"/>
                <w:szCs w:val="20"/>
                <w:lang w:val="en-GB"/>
              </w:rPr>
              <w:t>4</w:t>
            </w:r>
          </w:p>
        </w:tc>
      </w:tr>
      <w:tr>
        <w:trPr>
          <w:cantSplit w:val="false"/>
        </w:trPr>
        <w:tc>
          <w:tcPr>
            <w:tcW w:w="14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bCs/>
                <w:sz w:val="20"/>
                <w:szCs w:val="20"/>
                <w:lang w:val="en-GB"/>
              </w:rPr>
            </w:pPr>
            <w:r>
              <w:rPr>
                <w:b/>
                <w:bCs/>
                <w:sz w:val="20"/>
                <w:szCs w:val="20"/>
                <w:lang w:val="en-GB"/>
              </w:rPr>
              <w:t>Van Dyck</w:t>
            </w:r>
          </w:p>
          <w:p>
            <w:pPr>
              <w:pStyle w:val="Normal"/>
              <w:jc w:val="center"/>
              <w:rPr>
                <w:b/>
                <w:bCs/>
                <w:sz w:val="20"/>
                <w:szCs w:val="20"/>
                <w:lang w:val="en-GB"/>
              </w:rPr>
            </w:pPr>
            <w:r>
              <w:rPr>
                <w:b/>
                <w:bCs/>
                <w:sz w:val="20"/>
                <w:szCs w:val="20"/>
                <w:lang w:val="en-GB"/>
              </w:rPr>
              <w:t>(2007)</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lang w:val="en-GB"/>
              </w:rPr>
            </w:pPr>
            <w:r>
              <w:rPr>
                <w:sz w:val="20"/>
                <w:szCs w:val="20"/>
                <w:lang w:val="en-GB"/>
              </w:rPr>
              <w:t>USA</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lang w:val="en-GB"/>
              </w:rPr>
            </w:pPr>
            <w:r>
              <w:rPr>
                <w:sz w:val="20"/>
                <w:szCs w:val="20"/>
                <w:lang w:val="en-GB"/>
              </w:rPr>
              <w:t>Industry</w:t>
            </w:r>
          </w:p>
        </w:tc>
        <w:tc>
          <w:tcPr>
            <w:tcW w:w="30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Placebo, memantine (20mg)</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Alzheimer's dementia</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right"/>
              <w:rPr>
                <w:sz w:val="20"/>
                <w:szCs w:val="20"/>
                <w:lang w:val="en-GB"/>
              </w:rPr>
            </w:pPr>
            <w:r>
              <w:rPr>
                <w:sz w:val="20"/>
                <w:szCs w:val="20"/>
                <w:lang w:val="en-GB"/>
              </w:rPr>
              <w:t>172</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lang w:val="en-GB"/>
              </w:rPr>
            </w:pPr>
            <w:r>
              <w:rPr>
                <w:sz w:val="20"/>
                <w:szCs w:val="20"/>
                <w:lang w:val="en-GB"/>
              </w:rPr>
              <w:t>178</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sz w:val="20"/>
                <w:szCs w:val="20"/>
                <w:lang w:val="en-GB"/>
              </w:rPr>
            </w:pPr>
            <w:r>
              <w:rPr>
                <w:sz w:val="20"/>
                <w:szCs w:val="20"/>
                <w:lang w:val="en-GB"/>
              </w:rPr>
              <w:t xml:space="preserve">5 </w:t>
            </w:r>
          </w:p>
        </w:tc>
      </w:tr>
      <w:tr>
        <w:trPr>
          <w:cantSplit w:val="false"/>
        </w:trPr>
        <w:tc>
          <w:tcPr>
            <w:tcW w:w="14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bCs/>
                <w:sz w:val="20"/>
                <w:szCs w:val="20"/>
                <w:lang w:val="en-GB"/>
              </w:rPr>
            </w:pPr>
            <w:r>
              <w:rPr>
                <w:b/>
                <w:bCs/>
                <w:sz w:val="20"/>
                <w:szCs w:val="20"/>
                <w:lang w:val="en-GB"/>
              </w:rPr>
              <w:t>Winblad</w:t>
            </w:r>
          </w:p>
          <w:p>
            <w:pPr>
              <w:pStyle w:val="Normal"/>
              <w:jc w:val="center"/>
              <w:rPr>
                <w:b/>
                <w:bCs/>
                <w:sz w:val="20"/>
                <w:szCs w:val="20"/>
                <w:lang w:val="en-GB"/>
              </w:rPr>
            </w:pPr>
            <w:r>
              <w:rPr>
                <w:b/>
                <w:bCs/>
                <w:sz w:val="20"/>
                <w:szCs w:val="20"/>
                <w:lang w:val="en-GB"/>
              </w:rPr>
              <w:t>(2007)</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lang w:val="en-GB"/>
              </w:rPr>
            </w:pPr>
            <w:r>
              <w:rPr>
                <w:sz w:val="20"/>
                <w:szCs w:val="20"/>
                <w:lang w:val="en-GB"/>
              </w:rPr>
              <w:t>21 countries</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lang w:val="en-GB"/>
              </w:rPr>
            </w:pPr>
            <w:r>
              <w:rPr>
                <w:sz w:val="20"/>
                <w:szCs w:val="20"/>
                <w:lang w:val="en-GB"/>
              </w:rPr>
              <w:t>Industry</w:t>
            </w:r>
          </w:p>
        </w:tc>
        <w:tc>
          <w:tcPr>
            <w:tcW w:w="30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lang w:val="en-GB"/>
              </w:rPr>
            </w:pPr>
            <w:r>
              <w:rPr>
                <w:sz w:val="20"/>
                <w:szCs w:val="20"/>
                <w:lang w:val="en-GB"/>
              </w:rPr>
              <w:t>Placebo, 10 cm</w:t>
            </w:r>
            <w:r>
              <w:rPr>
                <w:sz w:val="20"/>
                <w:szCs w:val="20"/>
                <w:vertAlign w:val="superscript"/>
                <w:lang w:val="en-GB"/>
              </w:rPr>
              <w:t>2</w:t>
            </w:r>
            <w:r>
              <w:rPr>
                <w:sz w:val="20"/>
                <w:szCs w:val="20"/>
                <w:lang w:val="en-GB"/>
              </w:rPr>
              <w:t xml:space="preserve"> rivastigmine patch, 20 cm</w:t>
            </w:r>
            <w:r>
              <w:rPr>
                <w:sz w:val="20"/>
                <w:szCs w:val="20"/>
                <w:vertAlign w:val="superscript"/>
                <w:lang w:val="en-GB"/>
              </w:rPr>
              <w:t>2</w:t>
            </w:r>
            <w:r>
              <w:rPr>
                <w:sz w:val="20"/>
                <w:szCs w:val="20"/>
                <w:lang w:val="en-GB"/>
              </w:rPr>
              <w:t xml:space="preserve"> rivastigmine patch, 12mg rivastigmine tablet</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Alzheimer's dementia</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right"/>
              <w:rPr>
                <w:sz w:val="20"/>
                <w:szCs w:val="20"/>
                <w:lang w:val="en-GB"/>
              </w:rPr>
            </w:pPr>
            <w:r>
              <w:rPr>
                <w:sz w:val="20"/>
                <w:szCs w:val="20"/>
                <w:lang w:val="en-GB"/>
              </w:rPr>
              <w:t>302</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lang w:val="en-GB"/>
              </w:rPr>
            </w:pPr>
            <w:r>
              <w:rPr>
                <w:sz w:val="20"/>
                <w:szCs w:val="20"/>
                <w:lang w:val="en-GB"/>
              </w:rPr>
              <w:t>293 (10 cm</w:t>
            </w:r>
            <w:r>
              <w:rPr>
                <w:sz w:val="20"/>
                <w:szCs w:val="20"/>
                <w:vertAlign w:val="superscript"/>
                <w:lang w:val="en-GB"/>
              </w:rPr>
              <w:t>2</w:t>
            </w:r>
            <w:r>
              <w:rPr>
                <w:sz w:val="20"/>
                <w:szCs w:val="20"/>
                <w:lang w:val="en-GB"/>
              </w:rPr>
              <w:t xml:space="preserve"> patch)</w:t>
            </w:r>
          </w:p>
          <w:p>
            <w:pPr>
              <w:pStyle w:val="Normal"/>
              <w:rPr>
                <w:sz w:val="20"/>
                <w:szCs w:val="20"/>
                <w:lang w:val="en-GB"/>
              </w:rPr>
            </w:pPr>
            <w:r>
              <w:rPr>
                <w:sz w:val="20"/>
                <w:szCs w:val="20"/>
                <w:lang w:val="en-GB"/>
              </w:rPr>
              <w:t>303 (20 cm</w:t>
            </w:r>
            <w:r>
              <w:rPr>
                <w:sz w:val="20"/>
                <w:szCs w:val="20"/>
                <w:vertAlign w:val="superscript"/>
                <w:lang w:val="en-GB"/>
              </w:rPr>
              <w:t>2</w:t>
            </w:r>
            <w:r>
              <w:rPr>
                <w:sz w:val="20"/>
                <w:szCs w:val="20"/>
                <w:lang w:val="en-GB"/>
              </w:rPr>
              <w:t xml:space="preserve"> patch)</w:t>
            </w:r>
          </w:p>
          <w:p>
            <w:pPr>
              <w:pStyle w:val="CommentText"/>
              <w:rPr>
                <w:lang w:val="en-GB"/>
              </w:rPr>
            </w:pPr>
            <w:r>
              <w:rPr>
                <w:lang w:val="en-GB"/>
              </w:rPr>
              <w:t>297 (12mg tablet)</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sz w:val="20"/>
                <w:szCs w:val="20"/>
                <w:lang w:val="en-GB"/>
              </w:rPr>
            </w:pPr>
            <w:r>
              <w:rPr>
                <w:sz w:val="20"/>
                <w:szCs w:val="20"/>
                <w:lang w:val="en-GB"/>
              </w:rPr>
              <w:t>5</w:t>
            </w:r>
          </w:p>
        </w:tc>
      </w:tr>
    </w:tbl>
    <w:p>
      <w:pPr>
        <w:pStyle w:val="Heading1"/>
        <w:numPr>
          <w:ilvl w:val="0"/>
          <w:numId w:val="1"/>
        </w:numPr>
        <w:spacing w:lineRule="auto" w:line="480"/>
        <w:rPr/>
      </w:pPr>
      <w:r>
        <w:rPr/>
        <w:t xml:space="preserve">Table 2: Types of ITT and non-ITT analyses employed and number of contraindications to Last Observation Carried Forward (LOCF) </w:t>
      </w:r>
    </w:p>
    <w:p>
      <w:pPr>
        <w:pStyle w:val="Normal"/>
        <w:rPr/>
      </w:pPr>
      <w:r>
        <w:rPr/>
      </w:r>
    </w:p>
    <w:tbl>
      <w:tblPr>
        <w:jc w:val="left"/>
        <w:tblInd w:w="-77"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472"/>
        <w:gridCol w:w="1076"/>
        <w:gridCol w:w="1068"/>
        <w:gridCol w:w="1049"/>
        <w:gridCol w:w="1345"/>
        <w:gridCol w:w="2430"/>
        <w:gridCol w:w="2180"/>
        <w:gridCol w:w="1800"/>
        <w:gridCol w:w="1810"/>
      </w:tblGrid>
      <w:tr>
        <w:trPr>
          <w:trHeight w:val="422" w:hRule="atLeast"/>
          <w:cantSplit w:val="false"/>
        </w:trPr>
        <w:tc>
          <w:tcPr>
            <w:tcW w:w="1472" w:type="dxa"/>
            <w:vMerge w:val="restart"/>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b/>
                <w:sz w:val="16"/>
              </w:rPr>
            </w:pPr>
            <w:r>
              <w:rPr>
                <w:b/>
                <w:sz w:val="16"/>
              </w:rPr>
              <w:t>Study</w:t>
            </w:r>
          </w:p>
          <w:p>
            <w:pPr>
              <w:pStyle w:val="Normal"/>
              <w:jc w:val="center"/>
              <w:rPr>
                <w:b/>
                <w:sz w:val="16"/>
              </w:rPr>
            </w:pPr>
            <w:r>
              <w:rPr>
                <w:b/>
                <w:sz w:val="16"/>
              </w:rPr>
              <w:t>(Author, Journal)</w:t>
            </w:r>
          </w:p>
        </w:tc>
        <w:tc>
          <w:tcPr>
            <w:tcW w:w="4538" w:type="dxa"/>
            <w:gridSpan w:val="4"/>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b/>
                <w:bCs/>
                <w:sz w:val="16"/>
              </w:rPr>
            </w:pPr>
            <w:r>
              <w:rPr>
                <w:b/>
                <w:bCs/>
                <w:sz w:val="16"/>
              </w:rPr>
              <w:t>Number of contraindications to the use of LOCF</w:t>
            </w:r>
          </w:p>
        </w:tc>
        <w:tc>
          <w:tcPr>
            <w:tcW w:w="243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vAlign w:val="center"/>
          </w:tcPr>
          <w:p>
            <w:pPr>
              <w:pStyle w:val="Normal"/>
              <w:jc w:val="center"/>
              <w:rPr>
                <w:b/>
                <w:sz w:val="16"/>
              </w:rPr>
            </w:pPr>
            <w:r>
              <w:rPr>
                <w:b/>
                <w:sz w:val="16"/>
              </w:rPr>
              <w:t>Type of ITT analysis performed</w:t>
            </w:r>
          </w:p>
        </w:tc>
        <w:tc>
          <w:tcPr>
            <w:tcW w:w="218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vAlign w:val="center"/>
          </w:tcPr>
          <w:p>
            <w:pPr>
              <w:pStyle w:val="BodyText2"/>
              <w:jc w:val="center"/>
              <w:rPr>
                <w:bCs w:val="false"/>
                <w:sz w:val="16"/>
              </w:rPr>
            </w:pPr>
            <w:r>
              <w:rPr>
                <w:bCs w:val="false"/>
                <w:sz w:val="16"/>
              </w:rPr>
              <w:t>Non-ITT analyses indicated</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BodyText2"/>
              <w:jc w:val="center"/>
              <w:rPr>
                <w:sz w:val="16"/>
              </w:rPr>
            </w:pPr>
            <w:r>
              <w:rPr>
                <w:sz w:val="16"/>
              </w:rPr>
              <w:t xml:space="preserve">Only performed </w:t>
            </w:r>
          </w:p>
          <w:p>
            <w:pPr>
              <w:pStyle w:val="BodyText2"/>
              <w:jc w:val="center"/>
              <w:rPr>
                <w:sz w:val="16"/>
              </w:rPr>
            </w:pPr>
            <w:r>
              <w:rPr>
                <w:sz w:val="16"/>
                <w:u w:val="single"/>
              </w:rPr>
              <w:t>non-ITT</w:t>
            </w:r>
            <w:r>
              <w:rPr>
                <w:sz w:val="16"/>
              </w:rPr>
              <w:t xml:space="preserve"> analysis</w:t>
            </w:r>
          </w:p>
          <w:p>
            <w:pPr>
              <w:pStyle w:val="BodyText2"/>
              <w:jc w:val="center"/>
              <w:rPr>
                <w:sz w:val="16"/>
              </w:rPr>
            </w:pPr>
            <w:r>
              <w:rPr>
                <w:sz w:val="16"/>
              </w:rPr>
              <w:t>OR</w:t>
            </w:r>
          </w:p>
          <w:p>
            <w:pPr>
              <w:pStyle w:val="BodyText2"/>
              <w:jc w:val="center"/>
              <w:rPr>
                <w:sz w:val="16"/>
              </w:rPr>
            </w:pPr>
            <w:r>
              <w:rPr>
                <w:sz w:val="16"/>
              </w:rPr>
              <w:t xml:space="preserve"> </w:t>
            </w:r>
            <w:r>
              <w:rPr>
                <w:sz w:val="16"/>
              </w:rPr>
              <w:t>Type of ITT analysis not specified</w:t>
            </w:r>
          </w:p>
        </w:tc>
        <w:tc>
          <w:tcPr>
            <w:tcW w:w="181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CCCCC" w:val="clear"/>
            <w:tcMar>
              <w:left w:w="103" w:type="dxa"/>
            </w:tcMar>
          </w:tcPr>
          <w:p>
            <w:pPr>
              <w:pStyle w:val="BodyText2"/>
              <w:jc w:val="center"/>
              <w:rPr>
                <w:sz w:val="16"/>
              </w:rPr>
            </w:pPr>
            <w:r>
              <w:rPr>
                <w:sz w:val="16"/>
              </w:rPr>
              <w:t xml:space="preserve">LOCF is only form of ITT analysis </w:t>
            </w:r>
          </w:p>
          <w:p>
            <w:pPr>
              <w:pStyle w:val="BodyText2"/>
              <w:jc w:val="center"/>
              <w:rPr>
                <w:sz w:val="16"/>
              </w:rPr>
            </w:pPr>
            <w:r>
              <w:rPr>
                <w:sz w:val="16"/>
              </w:rPr>
              <w:t>+</w:t>
            </w:r>
          </w:p>
          <w:p>
            <w:pPr>
              <w:pStyle w:val="BodyText2"/>
              <w:jc w:val="center"/>
              <w:rPr>
                <w:sz w:val="16"/>
              </w:rPr>
            </w:pPr>
            <w:r>
              <w:rPr>
                <w:sz w:val="16"/>
              </w:rPr>
              <w:t>Explicitly demonstrates factors that can introduce bias in favor of the study drug in LOCF analysis</w:t>
            </w:r>
          </w:p>
        </w:tc>
      </w:tr>
      <w:tr>
        <w:trPr>
          <w:cantSplit w:val="false"/>
        </w:trPr>
        <w:tc>
          <w:tcPr>
            <w:tcW w:w="1472" w:type="dxa"/>
            <w:vMerge w:val="continue"/>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snapToGrid w:val="false"/>
              <w:rPr>
                <w:sz w:val="16"/>
              </w:rPr>
            </w:pPr>
            <w:r>
              <w:rPr>
                <w:sz w:val="16"/>
              </w:rPr>
            </w:r>
          </w:p>
        </w:tc>
        <w:tc>
          <w:tcPr>
            <w:tcW w:w="1076"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b/>
                <w:sz w:val="16"/>
              </w:rPr>
            </w:pPr>
            <w:r>
              <w:rPr>
                <w:b/>
                <w:sz w:val="16"/>
              </w:rPr>
              <w:t>Greater dropout rate in treatment group?</w:t>
            </w:r>
          </w:p>
          <w:p>
            <w:pPr>
              <w:pStyle w:val="Normal"/>
              <w:jc w:val="center"/>
              <w:rPr>
                <w:b/>
                <w:sz w:val="16"/>
              </w:rPr>
            </w:pPr>
            <w:r>
              <w:rPr>
                <w:b/>
                <w:sz w:val="16"/>
              </w:rPr>
              <w:t xml:space="preserve">(if yes, </w:t>
            </w:r>
          </w:p>
          <w:p>
            <w:pPr>
              <w:pStyle w:val="Normal"/>
              <w:jc w:val="center"/>
              <w:rPr>
                <w:b/>
                <w:sz w:val="16"/>
              </w:rPr>
            </w:pPr>
            <w:r>
              <w:rPr>
                <w:b/>
                <w:sz w:val="16"/>
              </w:rPr>
              <w:t>dropout rates provided)</w:t>
            </w:r>
          </w:p>
        </w:tc>
        <w:tc>
          <w:tcPr>
            <w:tcW w:w="1068"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b/>
                <w:sz w:val="16"/>
              </w:rPr>
            </w:pPr>
            <w:r>
              <w:rPr>
                <w:b/>
                <w:sz w:val="16"/>
              </w:rPr>
              <w:t>Earlier dropouts in treatment group?</w:t>
            </w:r>
          </w:p>
        </w:tc>
        <w:tc>
          <w:tcPr>
            <w:tcW w:w="1049"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b/>
                <w:sz w:val="16"/>
              </w:rPr>
            </w:pPr>
            <w:r>
              <w:rPr>
                <w:b/>
                <w:sz w:val="16"/>
              </w:rPr>
              <w:t>More rapid progressors in treatment dropout group?</w:t>
            </w:r>
          </w:p>
        </w:tc>
        <w:tc>
          <w:tcPr>
            <w:tcW w:w="134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b/>
                <w:sz w:val="16"/>
              </w:rPr>
            </w:pPr>
            <w:r>
              <w:rPr>
                <w:b/>
                <w:bCs/>
                <w:sz w:val="16"/>
              </w:rPr>
              <w:t xml:space="preserve">TOTAL </w:t>
            </w:r>
            <w:r>
              <w:rPr>
                <w:b/>
                <w:sz w:val="16"/>
              </w:rPr>
              <w:t>number of contraindication to the use of LOCF</w:t>
            </w:r>
          </w:p>
        </w:tc>
        <w:tc>
          <w:tcPr>
            <w:tcW w:w="243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snapToGrid w:val="false"/>
              <w:jc w:val="center"/>
              <w:rPr>
                <w:sz w:val="16"/>
              </w:rPr>
            </w:pPr>
            <w:r>
              <w:rPr>
                <w:sz w:val="16"/>
              </w:rPr>
            </w:r>
          </w:p>
        </w:tc>
        <w:tc>
          <w:tcPr>
            <w:tcW w:w="218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BodyText2"/>
              <w:snapToGrid w:val="false"/>
              <w:jc w:val="center"/>
              <w:rPr>
                <w:b w:val="false"/>
                <w:bCs w:val="false"/>
                <w:sz w:val="16"/>
              </w:rPr>
            </w:pPr>
            <w:r>
              <w:rPr>
                <w:b w:val="false"/>
                <w:bCs w:val="false"/>
                <w:sz w:val="16"/>
              </w:rPr>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BodyText2"/>
              <w:snapToGrid w:val="false"/>
              <w:jc w:val="center"/>
              <w:rPr>
                <w:b w:val="false"/>
                <w:bCs w:val="false"/>
                <w:sz w:val="16"/>
              </w:rPr>
            </w:pPr>
            <w:r>
              <w:rPr>
                <w:b w:val="false"/>
                <w:bCs w:val="false"/>
                <w:sz w:val="16"/>
              </w:rPr>
            </w:r>
          </w:p>
        </w:tc>
        <w:tc>
          <w:tcPr>
            <w:tcW w:w="181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CCCCC" w:val="clear"/>
            <w:tcMar>
              <w:left w:w="103" w:type="dxa"/>
            </w:tcMar>
          </w:tcPr>
          <w:p>
            <w:pPr>
              <w:pStyle w:val="BodyText2"/>
              <w:snapToGrid w:val="false"/>
              <w:jc w:val="center"/>
              <w:rPr>
                <w:b w:val="false"/>
                <w:bCs w:val="false"/>
                <w:sz w:val="16"/>
              </w:rPr>
            </w:pPr>
            <w:r>
              <w:rPr>
                <w:b w:val="false"/>
                <w:bCs w:val="false"/>
                <w:sz w:val="16"/>
              </w:rPr>
            </w:r>
          </w:p>
        </w:tc>
      </w:tr>
      <w:tr>
        <w:trPr>
          <w:trHeight w:val="305" w:hRule="atLeast"/>
          <w:cantSplit w:val="false"/>
        </w:trPr>
        <w:tc>
          <w:tcPr>
            <w:tcW w:w="14230" w:type="dxa"/>
            <w:gridSpan w:val="9"/>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E0E0E0" w:val="clear"/>
            <w:tcMar>
              <w:left w:w="103" w:type="dxa"/>
            </w:tcMar>
          </w:tcPr>
          <w:p>
            <w:pPr>
              <w:pStyle w:val="Normal"/>
              <w:rPr>
                <w:b/>
                <w:sz w:val="16"/>
                <w:lang w:val="en-GB"/>
              </w:rPr>
            </w:pPr>
            <w:r>
              <w:rPr>
                <w:b/>
                <w:sz w:val="16"/>
                <w:lang w:val="en-GB"/>
              </w:rPr>
              <w:t>Donepezil in Alzheimer’s Dementia</w:t>
            </w:r>
          </w:p>
        </w:tc>
      </w:tr>
      <w:tr>
        <w:trPr>
          <w:cantSplit w:val="false"/>
        </w:trPr>
        <w:tc>
          <w:tcPr>
            <w:tcW w:w="1472"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rStyle w:val="CommentReference"/>
                <w:vanish w:val="false"/>
              </w:rPr>
              <w:commentReference w:id="4"/>
            </w:r>
            <w:r>
              <w:rPr>
                <w:sz w:val="16"/>
                <w:lang w:val="en-GB"/>
              </w:rPr>
              <w:t>Rogers 1996</w:t>
            </w:r>
          </w:p>
        </w:tc>
        <w:tc>
          <w:tcPr>
            <w:tcW w:w="1076"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w:t>
            </w:r>
          </w:p>
          <w:p>
            <w:pPr>
              <w:pStyle w:val="Normal"/>
              <w:jc w:val="center"/>
              <w:rPr>
                <w:sz w:val="16"/>
                <w:lang w:val="en-GB"/>
              </w:rPr>
            </w:pPr>
            <w:r>
              <w:rPr>
                <w:sz w:val="16"/>
                <w:lang w:val="en-GB"/>
              </w:rPr>
            </w:r>
          </w:p>
        </w:tc>
        <w:tc>
          <w:tcPr>
            <w:tcW w:w="1068"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049"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34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0 - 2</w:t>
            </w:r>
          </w:p>
          <w:p>
            <w:pPr>
              <w:pStyle w:val="Normal"/>
              <w:jc w:val="center"/>
              <w:rPr>
                <w:sz w:val="16"/>
                <w:lang w:val="en-GB"/>
              </w:rPr>
            </w:pPr>
            <w:r>
              <w:rPr>
                <w:sz w:val="16"/>
                <w:lang w:val="en-GB"/>
              </w:rPr>
            </w:r>
          </w:p>
        </w:tc>
        <w:tc>
          <w:tcPr>
            <w:tcW w:w="243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LOCF described although the term ‘LOCF’ not explicitly used</w:t>
            </w:r>
          </w:p>
        </w:tc>
        <w:tc>
          <w:tcPr>
            <w:tcW w:w="218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None</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snapToGrid w:val="false"/>
              <w:jc w:val="center"/>
              <w:rPr>
                <w:sz w:val="16"/>
                <w:lang w:val="en-GB"/>
              </w:rPr>
            </w:pPr>
            <w:r>
              <w:rPr>
                <w:sz w:val="16"/>
                <w:lang w:val="en-GB"/>
              </w:rPr>
            </w:r>
          </w:p>
        </w:tc>
        <w:tc>
          <w:tcPr>
            <w:tcW w:w="181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0C0C0" w:val="clear"/>
            <w:tcMar>
              <w:left w:w="103" w:type="dxa"/>
            </w:tcMar>
          </w:tcPr>
          <w:p>
            <w:pPr>
              <w:pStyle w:val="Normal"/>
              <w:snapToGrid w:val="false"/>
              <w:jc w:val="center"/>
              <w:rPr>
                <w:sz w:val="16"/>
                <w:lang w:val="en-GB"/>
              </w:rPr>
            </w:pPr>
            <w:r>
              <w:rPr>
                <w:sz w:val="16"/>
                <w:lang w:val="en-GB"/>
              </w:rPr>
            </w:r>
          </w:p>
        </w:tc>
      </w:tr>
      <w:tr>
        <w:trPr>
          <w:cantSplit w:val="false"/>
        </w:trPr>
        <w:tc>
          <w:tcPr>
            <w:tcW w:w="1472"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Rogers</w:t>
            </w:r>
          </w:p>
          <w:p>
            <w:pPr>
              <w:pStyle w:val="Normal"/>
              <w:jc w:val="center"/>
              <w:rPr>
                <w:sz w:val="16"/>
                <w:lang w:val="en-GB"/>
              </w:rPr>
            </w:pPr>
            <w:r>
              <w:rPr>
                <w:sz w:val="16"/>
                <w:lang w:val="en-GB"/>
              </w:rPr>
              <w:t>Arch Intern Med 1998</w:t>
            </w:r>
          </w:p>
        </w:tc>
        <w:tc>
          <w:tcPr>
            <w:tcW w:w="1076"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Heading4"/>
              <w:numPr>
                <w:ilvl w:val="3"/>
                <w:numId w:val="1"/>
              </w:numPr>
              <w:spacing w:lineRule="auto" w:line="240"/>
              <w:jc w:val="center"/>
              <w:rPr/>
            </w:pPr>
            <w:r>
              <w:rPr/>
              <w:t>Yes</w:t>
            </w:r>
          </w:p>
          <w:p>
            <w:pPr>
              <w:pStyle w:val="Normal"/>
              <w:jc w:val="center"/>
              <w:rPr>
                <w:sz w:val="16"/>
                <w:lang w:val="en-GB"/>
              </w:rPr>
            </w:pPr>
            <w:r>
              <w:rPr>
                <w:sz w:val="16"/>
                <w:lang w:val="en-GB"/>
              </w:rPr>
              <w:t>Placebo   7%</w:t>
            </w:r>
          </w:p>
          <w:p>
            <w:pPr>
              <w:pStyle w:val="Normal"/>
              <w:jc w:val="center"/>
              <w:rPr>
                <w:sz w:val="16"/>
                <w:lang w:val="en-GB"/>
              </w:rPr>
            </w:pPr>
            <w:r>
              <w:rPr>
                <w:sz w:val="16"/>
                <w:lang w:val="en-GB"/>
              </w:rPr>
              <w:t>5mg      10% 10mg    18%</w:t>
            </w:r>
          </w:p>
        </w:tc>
        <w:tc>
          <w:tcPr>
            <w:tcW w:w="1068"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049"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34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1 - 3</w:t>
            </w:r>
          </w:p>
          <w:p>
            <w:pPr>
              <w:pStyle w:val="Normal"/>
              <w:jc w:val="center"/>
              <w:rPr>
                <w:sz w:val="16"/>
                <w:lang w:val="en-GB"/>
              </w:rPr>
            </w:pPr>
            <w:r>
              <w:rPr>
                <w:sz w:val="16"/>
                <w:lang w:val="en-GB"/>
              </w:rPr>
            </w:r>
          </w:p>
        </w:tc>
        <w:tc>
          <w:tcPr>
            <w:tcW w:w="243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LOCF</w:t>
            </w:r>
          </w:p>
        </w:tc>
        <w:tc>
          <w:tcPr>
            <w:tcW w:w="218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FEP</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snapToGrid w:val="false"/>
              <w:jc w:val="center"/>
              <w:rPr>
                <w:sz w:val="16"/>
                <w:lang w:val="en-GB"/>
              </w:rPr>
            </w:pPr>
            <w:r>
              <w:rPr>
                <w:sz w:val="16"/>
                <w:lang w:val="en-GB"/>
              </w:rPr>
            </w:r>
          </w:p>
          <w:p>
            <w:pPr>
              <w:pStyle w:val="Normal"/>
              <w:jc w:val="center"/>
              <w:rPr>
                <w:b/>
                <w:bCs/>
                <w:sz w:val="40"/>
                <w:lang w:val="en-GB"/>
              </w:rPr>
            </w:pPr>
            <w:r>
              <w:rPr>
                <w:b/>
                <w:bCs/>
                <w:sz w:val="40"/>
                <w:lang w:val="en-GB"/>
              </w:rPr>
            </w:r>
          </w:p>
        </w:tc>
        <w:tc>
          <w:tcPr>
            <w:tcW w:w="181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0C0C0" w:val="clear"/>
            <w:tcMar>
              <w:left w:w="103" w:type="dxa"/>
            </w:tcMar>
          </w:tcPr>
          <w:p>
            <w:pPr>
              <w:pStyle w:val="Normal"/>
              <w:snapToGrid w:val="false"/>
              <w:jc w:val="center"/>
              <w:rPr>
                <w:sz w:val="16"/>
                <w:lang w:val="en-GB"/>
              </w:rPr>
            </w:pPr>
            <w:r>
              <w:rPr>
                <w:sz w:val="16"/>
                <w:lang w:val="en-GB"/>
              </w:rPr>
            </w:r>
          </w:p>
          <w:p>
            <w:pPr>
              <w:pStyle w:val="Normal"/>
              <w:jc w:val="center"/>
              <w:rPr>
                <w:b/>
                <w:bCs/>
                <w:sz w:val="40"/>
                <w:lang w:val="en-GB"/>
              </w:rPr>
            </w:pPr>
            <w:r>
              <w:rPr>
                <w:b/>
                <w:bCs/>
                <w:sz w:val="40"/>
                <w:lang w:val="en-GB"/>
              </w:rPr>
              <w:t>+</w:t>
            </w:r>
          </w:p>
        </w:tc>
      </w:tr>
      <w:tr>
        <w:trPr>
          <w:cantSplit w:val="false"/>
        </w:trPr>
        <w:tc>
          <w:tcPr>
            <w:tcW w:w="1472"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Rogers</w:t>
            </w:r>
          </w:p>
          <w:p>
            <w:pPr>
              <w:pStyle w:val="Normal"/>
              <w:jc w:val="center"/>
              <w:rPr>
                <w:sz w:val="16"/>
                <w:lang w:val="en-GB"/>
              </w:rPr>
            </w:pPr>
            <w:r>
              <w:rPr>
                <w:sz w:val="16"/>
                <w:lang w:val="en-GB"/>
              </w:rPr>
              <w:t>Neurology 1998</w:t>
            </w:r>
          </w:p>
        </w:tc>
        <w:tc>
          <w:tcPr>
            <w:tcW w:w="1076"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b/>
                <w:bCs/>
                <w:sz w:val="16"/>
                <w:lang w:val="en-GB"/>
              </w:rPr>
            </w:pPr>
            <w:r>
              <w:rPr>
                <w:b/>
                <w:bCs/>
                <w:sz w:val="16"/>
                <w:lang w:val="en-GB"/>
              </w:rPr>
              <w:t>Yes</w:t>
            </w:r>
          </w:p>
          <w:p>
            <w:pPr>
              <w:pStyle w:val="BodyText3"/>
              <w:spacing w:lineRule="auto" w:line="240"/>
              <w:jc w:val="center"/>
              <w:rPr>
                <w:b w:val="false"/>
                <w:bCs w:val="false"/>
                <w:lang w:val="en-GB"/>
              </w:rPr>
            </w:pPr>
            <w:r>
              <w:rPr>
                <w:b w:val="false"/>
                <w:bCs w:val="false"/>
                <w:lang w:val="en-GB"/>
              </w:rPr>
              <w:t>Placebo 20%</w:t>
            </w:r>
          </w:p>
          <w:p>
            <w:pPr>
              <w:pStyle w:val="Normal"/>
              <w:jc w:val="center"/>
              <w:rPr>
                <w:sz w:val="16"/>
                <w:lang w:val="en-GB"/>
              </w:rPr>
            </w:pPr>
            <w:r>
              <w:rPr>
                <w:sz w:val="16"/>
                <w:lang w:val="en-GB"/>
              </w:rPr>
              <w:t>5mg      15%</w:t>
            </w:r>
          </w:p>
          <w:p>
            <w:pPr>
              <w:pStyle w:val="Normal"/>
              <w:jc w:val="center"/>
              <w:rPr>
                <w:sz w:val="16"/>
                <w:lang w:val="en-GB"/>
              </w:rPr>
            </w:pPr>
            <w:r>
              <w:rPr>
                <w:sz w:val="16"/>
                <w:lang w:val="en-GB"/>
              </w:rPr>
              <w:t>10mg    32%</w:t>
            </w:r>
          </w:p>
        </w:tc>
        <w:tc>
          <w:tcPr>
            <w:tcW w:w="1068"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049"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34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1 - 3</w:t>
            </w:r>
          </w:p>
        </w:tc>
        <w:tc>
          <w:tcPr>
            <w:tcW w:w="243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LOCF</w:t>
            </w:r>
          </w:p>
        </w:tc>
        <w:tc>
          <w:tcPr>
            <w:tcW w:w="218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FEP</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snapToGrid w:val="false"/>
              <w:jc w:val="center"/>
              <w:rPr>
                <w:sz w:val="16"/>
                <w:lang w:val="en-GB"/>
              </w:rPr>
            </w:pPr>
            <w:r>
              <w:rPr>
                <w:sz w:val="16"/>
                <w:lang w:val="en-GB"/>
              </w:rPr>
            </w:r>
          </w:p>
          <w:p>
            <w:pPr>
              <w:pStyle w:val="Normal"/>
              <w:jc w:val="center"/>
              <w:rPr>
                <w:sz w:val="16"/>
                <w:lang w:val="en-GB"/>
              </w:rPr>
            </w:pPr>
            <w:r>
              <w:rPr>
                <w:sz w:val="16"/>
                <w:lang w:val="en-GB"/>
              </w:rPr>
            </w:r>
          </w:p>
        </w:tc>
        <w:tc>
          <w:tcPr>
            <w:tcW w:w="181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0C0C0" w:val="clear"/>
            <w:tcMar>
              <w:left w:w="103" w:type="dxa"/>
            </w:tcMar>
          </w:tcPr>
          <w:p>
            <w:pPr>
              <w:pStyle w:val="Normal"/>
              <w:snapToGrid w:val="false"/>
              <w:jc w:val="center"/>
              <w:rPr>
                <w:sz w:val="16"/>
                <w:lang w:val="en-GB"/>
              </w:rPr>
            </w:pPr>
            <w:r>
              <w:rPr>
                <w:sz w:val="16"/>
                <w:lang w:val="en-GB"/>
              </w:rPr>
            </w:r>
          </w:p>
          <w:p>
            <w:pPr>
              <w:pStyle w:val="Normal"/>
              <w:jc w:val="center"/>
              <w:rPr>
                <w:b/>
                <w:bCs/>
                <w:sz w:val="40"/>
                <w:lang w:val="en-GB"/>
              </w:rPr>
            </w:pPr>
            <w:r>
              <w:rPr>
                <w:b/>
                <w:bCs/>
                <w:sz w:val="40"/>
                <w:lang w:val="en-GB"/>
              </w:rPr>
              <w:t>+</w:t>
            </w:r>
          </w:p>
        </w:tc>
      </w:tr>
      <w:tr>
        <w:trPr>
          <w:cantSplit w:val="false"/>
        </w:trPr>
        <w:tc>
          <w:tcPr>
            <w:tcW w:w="1472"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Burns 1999</w:t>
            </w:r>
          </w:p>
        </w:tc>
        <w:tc>
          <w:tcPr>
            <w:tcW w:w="1076"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b/>
                <w:bCs/>
                <w:sz w:val="16"/>
                <w:lang w:val="en-GB"/>
              </w:rPr>
            </w:pPr>
            <w:r>
              <w:rPr>
                <w:b/>
                <w:bCs/>
                <w:sz w:val="16"/>
                <w:lang w:val="en-GB"/>
              </w:rPr>
              <w:t>Yes</w:t>
            </w:r>
          </w:p>
          <w:p>
            <w:pPr>
              <w:pStyle w:val="Normal"/>
              <w:jc w:val="center"/>
              <w:rPr>
                <w:sz w:val="16"/>
                <w:lang w:val="en-GB"/>
              </w:rPr>
            </w:pPr>
            <w:r>
              <w:rPr>
                <w:sz w:val="16"/>
                <w:lang w:val="en-GB"/>
              </w:rPr>
              <w:t>Placebo 20%</w:t>
            </w:r>
          </w:p>
          <w:p>
            <w:pPr>
              <w:pStyle w:val="Normal"/>
              <w:jc w:val="center"/>
              <w:rPr>
                <w:sz w:val="16"/>
                <w:lang w:val="en-GB"/>
              </w:rPr>
            </w:pPr>
            <w:r>
              <w:rPr>
                <w:sz w:val="16"/>
                <w:lang w:val="en-GB"/>
              </w:rPr>
              <w:t>5mg      22%</w:t>
            </w:r>
            <w:r>
              <w:rPr>
                <w:b/>
                <w:bCs/>
                <w:sz w:val="16"/>
                <w:lang w:val="en-GB"/>
              </w:rPr>
              <w:t xml:space="preserve"> </w:t>
            </w:r>
            <w:r>
              <w:rPr>
                <w:sz w:val="16"/>
                <w:lang w:val="en-GB"/>
              </w:rPr>
              <w:t>10mg    26%</w:t>
            </w:r>
          </w:p>
        </w:tc>
        <w:tc>
          <w:tcPr>
            <w:tcW w:w="1068"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p>
            <w:pPr>
              <w:pStyle w:val="Normal"/>
              <w:jc w:val="center"/>
              <w:rPr>
                <w:sz w:val="16"/>
                <w:lang w:val="en-GB"/>
              </w:rPr>
            </w:pPr>
            <w:r>
              <w:rPr>
                <w:sz w:val="16"/>
                <w:lang w:val="en-GB"/>
              </w:rPr>
            </w:r>
          </w:p>
        </w:tc>
        <w:tc>
          <w:tcPr>
            <w:tcW w:w="1049"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34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1 - 3</w:t>
            </w:r>
          </w:p>
          <w:p>
            <w:pPr>
              <w:pStyle w:val="Normal"/>
              <w:jc w:val="center"/>
              <w:rPr>
                <w:sz w:val="16"/>
                <w:lang w:val="en-GB"/>
              </w:rPr>
            </w:pPr>
            <w:r>
              <w:rPr>
                <w:sz w:val="16"/>
                <w:lang w:val="en-GB"/>
              </w:rPr>
            </w:r>
          </w:p>
        </w:tc>
        <w:tc>
          <w:tcPr>
            <w:tcW w:w="243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LOCF</w:t>
            </w:r>
          </w:p>
        </w:tc>
        <w:tc>
          <w:tcPr>
            <w:tcW w:w="218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FEP,</w:t>
            </w:r>
          </w:p>
          <w:p>
            <w:pPr>
              <w:pStyle w:val="Normal"/>
              <w:jc w:val="center"/>
              <w:rPr>
                <w:sz w:val="16"/>
                <w:lang w:val="en-GB"/>
              </w:rPr>
            </w:pPr>
            <w:r>
              <w:rPr>
                <w:sz w:val="16"/>
                <w:lang w:val="en-GB"/>
              </w:rPr>
              <w:t>OCA,</w:t>
            </w:r>
          </w:p>
          <w:p>
            <w:pPr>
              <w:pStyle w:val="Normal"/>
              <w:jc w:val="center"/>
              <w:rPr>
                <w:sz w:val="16"/>
                <w:lang w:val="en-GB"/>
              </w:rPr>
            </w:pPr>
            <w:r>
              <w:rPr>
                <w:sz w:val="16"/>
                <w:lang w:val="en-GB"/>
              </w:rPr>
              <w:t>Retrieved Dropout</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snapToGrid w:val="false"/>
              <w:jc w:val="center"/>
              <w:rPr>
                <w:sz w:val="16"/>
                <w:lang w:val="en-GB"/>
              </w:rPr>
            </w:pPr>
            <w:r>
              <w:rPr>
                <w:sz w:val="16"/>
                <w:lang w:val="en-GB"/>
              </w:rPr>
            </w:r>
          </w:p>
          <w:p>
            <w:pPr>
              <w:pStyle w:val="Normal"/>
              <w:jc w:val="center"/>
              <w:rPr>
                <w:sz w:val="16"/>
                <w:lang w:val="en-GB"/>
              </w:rPr>
            </w:pPr>
            <w:r>
              <w:rPr>
                <w:sz w:val="16"/>
                <w:lang w:val="en-GB"/>
              </w:rPr>
            </w:r>
          </w:p>
        </w:tc>
        <w:tc>
          <w:tcPr>
            <w:tcW w:w="181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0C0C0" w:val="clear"/>
            <w:tcMar>
              <w:left w:w="103" w:type="dxa"/>
            </w:tcMar>
          </w:tcPr>
          <w:p>
            <w:pPr>
              <w:pStyle w:val="Normal"/>
              <w:snapToGrid w:val="false"/>
              <w:jc w:val="center"/>
              <w:rPr>
                <w:sz w:val="16"/>
                <w:lang w:val="en-GB"/>
              </w:rPr>
            </w:pPr>
            <w:r>
              <w:rPr>
                <w:sz w:val="16"/>
                <w:lang w:val="en-GB"/>
              </w:rPr>
            </w:r>
          </w:p>
          <w:p>
            <w:pPr>
              <w:pStyle w:val="Normal"/>
              <w:jc w:val="center"/>
              <w:rPr>
                <w:b/>
                <w:bCs/>
                <w:sz w:val="40"/>
                <w:lang w:val="en-GB"/>
              </w:rPr>
            </w:pPr>
            <w:r>
              <w:rPr>
                <w:b/>
                <w:bCs/>
                <w:sz w:val="40"/>
                <w:lang w:val="en-GB"/>
              </w:rPr>
              <w:t>+</w:t>
            </w:r>
          </w:p>
        </w:tc>
      </w:tr>
      <w:tr>
        <w:trPr>
          <w:cantSplit w:val="false"/>
        </w:trPr>
        <w:tc>
          <w:tcPr>
            <w:tcW w:w="1472"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Greenberg 2000</w:t>
            </w:r>
          </w:p>
        </w:tc>
        <w:tc>
          <w:tcPr>
            <w:tcW w:w="1076"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Heading4"/>
              <w:numPr>
                <w:ilvl w:val="3"/>
                <w:numId w:val="1"/>
              </w:numPr>
              <w:spacing w:lineRule="auto" w:line="240"/>
              <w:jc w:val="center"/>
              <w:rPr/>
            </w:pPr>
            <w:r>
              <w:rPr/>
              <w:t>Yes</w:t>
            </w:r>
          </w:p>
          <w:p>
            <w:pPr>
              <w:pStyle w:val="Normal"/>
              <w:shd w:fill="FFFFFF" w:val="clear"/>
              <w:jc w:val="center"/>
              <w:rPr>
                <w:sz w:val="16"/>
                <w:lang w:val="en-GB"/>
              </w:rPr>
            </w:pPr>
            <w:r>
              <w:rPr>
                <w:sz w:val="16"/>
                <w:lang w:val="en-GB"/>
              </w:rPr>
              <w:t>Placebo   5%</w:t>
            </w:r>
          </w:p>
          <w:p>
            <w:pPr>
              <w:pStyle w:val="Normal"/>
              <w:jc w:val="center"/>
              <w:rPr>
                <w:sz w:val="16"/>
                <w:lang w:val="en-GB"/>
              </w:rPr>
            </w:pPr>
            <w:r>
              <w:rPr>
                <w:sz w:val="16"/>
                <w:lang w:val="en-GB"/>
              </w:rPr>
              <w:t>5mg       10%</w:t>
            </w:r>
          </w:p>
        </w:tc>
        <w:tc>
          <w:tcPr>
            <w:tcW w:w="1068"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049"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34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1 - 3</w:t>
            </w:r>
          </w:p>
        </w:tc>
        <w:tc>
          <w:tcPr>
            <w:tcW w:w="243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Type of  ITT analysis not specified</w:t>
            </w:r>
          </w:p>
        </w:tc>
        <w:tc>
          <w:tcPr>
            <w:tcW w:w="218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Heading4"/>
              <w:numPr>
                <w:ilvl w:val="3"/>
                <w:numId w:val="1"/>
              </w:numPr>
              <w:spacing w:lineRule="auto" w:line="240"/>
              <w:jc w:val="center"/>
              <w:rPr>
                <w:b w:val="false"/>
                <w:bCs w:val="false"/>
              </w:rPr>
            </w:pPr>
            <w:r>
              <w:rPr>
                <w:b w:val="false"/>
                <w:bCs w:val="false"/>
              </w:rPr>
              <w:t>Type of analysis not specified</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Heading4"/>
              <w:numPr>
                <w:ilvl w:val="3"/>
                <w:numId w:val="1"/>
              </w:numPr>
              <w:snapToGrid w:val="false"/>
              <w:spacing w:lineRule="auto" w:line="240"/>
              <w:jc w:val="center"/>
              <w:rPr>
                <w:b w:val="false"/>
                <w:bCs w:val="false"/>
              </w:rPr>
            </w:pPr>
            <w:r>
              <w:rPr>
                <w:b w:val="false"/>
                <w:bCs w:val="false"/>
              </w:rPr>
            </w:r>
          </w:p>
          <w:p>
            <w:pPr>
              <w:pStyle w:val="Normal"/>
              <w:jc w:val="center"/>
              <w:rPr>
                <w:b/>
                <w:bCs/>
                <w:sz w:val="40"/>
                <w:lang w:val="en-GB"/>
              </w:rPr>
            </w:pPr>
            <w:r>
              <w:rPr>
                <w:b/>
                <w:bCs/>
                <w:sz w:val="40"/>
                <w:lang w:val="en-GB"/>
              </w:rPr>
              <w:t>+</w:t>
            </w:r>
          </w:p>
          <w:p>
            <w:pPr>
              <w:pStyle w:val="Normal"/>
              <w:rPr>
                <w:lang w:val="en-GB"/>
              </w:rPr>
            </w:pPr>
            <w:r>
              <w:rPr>
                <w:lang w:val="en-GB"/>
              </w:rPr>
            </w:r>
          </w:p>
        </w:tc>
        <w:tc>
          <w:tcPr>
            <w:tcW w:w="181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0C0C0" w:val="clear"/>
            <w:tcMar>
              <w:left w:w="103" w:type="dxa"/>
            </w:tcMar>
          </w:tcPr>
          <w:p>
            <w:pPr>
              <w:pStyle w:val="Heading4"/>
              <w:numPr>
                <w:ilvl w:val="3"/>
                <w:numId w:val="1"/>
              </w:numPr>
              <w:snapToGrid w:val="false"/>
              <w:spacing w:lineRule="auto" w:line="240"/>
              <w:jc w:val="center"/>
              <w:rPr>
                <w:b w:val="false"/>
                <w:bCs w:val="false"/>
              </w:rPr>
            </w:pPr>
            <w:r>
              <w:rPr>
                <w:b w:val="false"/>
                <w:bCs w:val="false"/>
              </w:rPr>
            </w:r>
          </w:p>
        </w:tc>
      </w:tr>
      <w:tr>
        <w:trPr>
          <w:cantSplit w:val="false"/>
        </w:trPr>
        <w:tc>
          <w:tcPr>
            <w:tcW w:w="1472"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Homma 2000</w:t>
            </w:r>
          </w:p>
        </w:tc>
        <w:tc>
          <w:tcPr>
            <w:tcW w:w="1076"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w:t>
            </w:r>
          </w:p>
        </w:tc>
        <w:tc>
          <w:tcPr>
            <w:tcW w:w="1068"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049"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34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rPr>
            </w:pPr>
            <w:r>
              <w:rPr>
                <w:sz w:val="16"/>
              </w:rPr>
              <w:t>0 - 2</w:t>
            </w:r>
          </w:p>
          <w:p>
            <w:pPr>
              <w:pStyle w:val="Normal"/>
              <w:jc w:val="center"/>
              <w:rPr>
                <w:sz w:val="16"/>
                <w:lang w:val="en-GB"/>
              </w:rPr>
            </w:pPr>
            <w:r>
              <w:rPr>
                <w:sz w:val="16"/>
                <w:lang w:val="en-GB"/>
              </w:rPr>
            </w:r>
          </w:p>
        </w:tc>
        <w:tc>
          <w:tcPr>
            <w:tcW w:w="243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Type of  ITT analysis not specified</w:t>
            </w:r>
          </w:p>
        </w:tc>
        <w:tc>
          <w:tcPr>
            <w:tcW w:w="218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TPP</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snapToGrid w:val="false"/>
              <w:jc w:val="center"/>
              <w:rPr>
                <w:sz w:val="16"/>
                <w:lang w:val="en-GB"/>
              </w:rPr>
            </w:pPr>
            <w:r>
              <w:rPr>
                <w:sz w:val="16"/>
                <w:lang w:val="en-GB"/>
              </w:rPr>
            </w:r>
          </w:p>
          <w:p>
            <w:pPr>
              <w:pStyle w:val="Normal"/>
              <w:jc w:val="center"/>
              <w:rPr>
                <w:b/>
                <w:bCs/>
                <w:sz w:val="40"/>
                <w:lang w:val="en-GB"/>
              </w:rPr>
            </w:pPr>
            <w:r>
              <w:rPr>
                <w:b/>
                <w:bCs/>
                <w:sz w:val="40"/>
                <w:lang w:val="en-GB"/>
              </w:rPr>
              <w:t>+</w:t>
            </w:r>
          </w:p>
        </w:tc>
        <w:tc>
          <w:tcPr>
            <w:tcW w:w="181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0C0C0" w:val="clear"/>
            <w:tcMar>
              <w:left w:w="103" w:type="dxa"/>
            </w:tcMar>
          </w:tcPr>
          <w:p>
            <w:pPr>
              <w:pStyle w:val="Normal"/>
              <w:snapToGrid w:val="false"/>
              <w:jc w:val="center"/>
              <w:rPr>
                <w:sz w:val="16"/>
                <w:lang w:val="en-GB"/>
              </w:rPr>
            </w:pPr>
            <w:r>
              <w:rPr>
                <w:sz w:val="16"/>
                <w:lang w:val="en-GB"/>
              </w:rPr>
            </w:r>
          </w:p>
        </w:tc>
      </w:tr>
      <w:tr>
        <w:trPr>
          <w:cantSplit w:val="false"/>
        </w:trPr>
        <w:tc>
          <w:tcPr>
            <w:tcW w:w="1472"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Feldman 2001</w:t>
            </w:r>
          </w:p>
        </w:tc>
        <w:tc>
          <w:tcPr>
            <w:tcW w:w="1076"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w:t>
            </w:r>
          </w:p>
        </w:tc>
        <w:tc>
          <w:tcPr>
            <w:tcW w:w="1068"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w:t>
            </w:r>
          </w:p>
        </w:tc>
        <w:tc>
          <w:tcPr>
            <w:tcW w:w="1049"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34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0 - 1</w:t>
            </w:r>
          </w:p>
        </w:tc>
        <w:tc>
          <w:tcPr>
            <w:tcW w:w="243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LOCF</w:t>
            </w:r>
          </w:p>
        </w:tc>
        <w:tc>
          <w:tcPr>
            <w:tcW w:w="218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OCA</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snapToGrid w:val="false"/>
              <w:jc w:val="center"/>
              <w:rPr>
                <w:sz w:val="16"/>
                <w:lang w:val="en-GB"/>
              </w:rPr>
            </w:pPr>
            <w:r>
              <w:rPr>
                <w:sz w:val="16"/>
                <w:lang w:val="en-GB"/>
              </w:rPr>
            </w:r>
          </w:p>
        </w:tc>
        <w:tc>
          <w:tcPr>
            <w:tcW w:w="181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0C0C0" w:val="clear"/>
            <w:tcMar>
              <w:left w:w="103" w:type="dxa"/>
            </w:tcMar>
          </w:tcPr>
          <w:p>
            <w:pPr>
              <w:pStyle w:val="Normal"/>
              <w:snapToGrid w:val="false"/>
              <w:jc w:val="center"/>
              <w:rPr>
                <w:sz w:val="16"/>
                <w:lang w:val="en-GB"/>
              </w:rPr>
            </w:pPr>
            <w:r>
              <w:rPr>
                <w:sz w:val="16"/>
                <w:lang w:val="en-GB"/>
              </w:rPr>
            </w:r>
          </w:p>
        </w:tc>
      </w:tr>
      <w:tr>
        <w:trPr>
          <w:cantSplit w:val="false"/>
        </w:trPr>
        <w:tc>
          <w:tcPr>
            <w:tcW w:w="1472"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tabs>
                <w:tab w:val="left" w:pos="195" w:leader="none"/>
                <w:tab w:val="center" w:pos="683" w:leader="none"/>
              </w:tabs>
              <w:rPr>
                <w:sz w:val="16"/>
                <w:lang w:val="en-GB"/>
              </w:rPr>
            </w:pPr>
            <w:r>
              <w:rPr>
                <w:sz w:val="16"/>
                <w:lang w:val="en-GB"/>
              </w:rPr>
              <w:tab/>
              <w:tab/>
              <w:t>Mohs  2001</w:t>
            </w:r>
          </w:p>
        </w:tc>
        <w:tc>
          <w:tcPr>
            <w:tcW w:w="1076"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w:t>
            </w:r>
          </w:p>
        </w:tc>
        <w:tc>
          <w:tcPr>
            <w:tcW w:w="1068"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049"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34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rPr>
            </w:pPr>
            <w:r>
              <w:rPr>
                <w:sz w:val="16"/>
              </w:rPr>
              <w:t>0 - 2</w:t>
            </w:r>
          </w:p>
        </w:tc>
        <w:tc>
          <w:tcPr>
            <w:tcW w:w="243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LOCF</w:t>
            </w:r>
          </w:p>
        </w:tc>
        <w:tc>
          <w:tcPr>
            <w:tcW w:w="218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OCA</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snapToGrid w:val="false"/>
              <w:jc w:val="center"/>
              <w:rPr>
                <w:sz w:val="16"/>
                <w:lang w:val="en-GB"/>
              </w:rPr>
            </w:pPr>
            <w:r>
              <w:rPr>
                <w:sz w:val="16"/>
                <w:lang w:val="en-GB"/>
              </w:rPr>
            </w:r>
          </w:p>
        </w:tc>
        <w:tc>
          <w:tcPr>
            <w:tcW w:w="181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0C0C0" w:val="clear"/>
            <w:tcMar>
              <w:left w:w="103" w:type="dxa"/>
            </w:tcMar>
          </w:tcPr>
          <w:p>
            <w:pPr>
              <w:pStyle w:val="Normal"/>
              <w:snapToGrid w:val="false"/>
              <w:jc w:val="center"/>
              <w:rPr>
                <w:sz w:val="16"/>
                <w:lang w:val="en-GB"/>
              </w:rPr>
            </w:pPr>
            <w:r>
              <w:rPr>
                <w:sz w:val="16"/>
                <w:lang w:val="en-GB"/>
              </w:rPr>
            </w:r>
          </w:p>
        </w:tc>
      </w:tr>
      <w:tr>
        <w:trPr>
          <w:cantSplit w:val="false"/>
        </w:trPr>
        <w:tc>
          <w:tcPr>
            <w:tcW w:w="1472"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tabs>
                <w:tab w:val="center" w:pos="683" w:leader="none"/>
              </w:tabs>
              <w:rPr>
                <w:sz w:val="16"/>
                <w:lang w:val="en-GB"/>
              </w:rPr>
            </w:pPr>
            <w:r>
              <w:rPr>
                <w:sz w:val="16"/>
                <w:lang w:val="en-GB"/>
              </w:rPr>
              <w:tab/>
              <w:t>Tariot 2001</w:t>
            </w:r>
          </w:p>
        </w:tc>
        <w:tc>
          <w:tcPr>
            <w:tcW w:w="1076"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w:t>
            </w:r>
          </w:p>
        </w:tc>
        <w:tc>
          <w:tcPr>
            <w:tcW w:w="1068"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049"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34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0 - 2</w:t>
            </w:r>
          </w:p>
        </w:tc>
        <w:tc>
          <w:tcPr>
            <w:tcW w:w="243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LOCF</w:t>
            </w:r>
          </w:p>
        </w:tc>
        <w:tc>
          <w:tcPr>
            <w:tcW w:w="218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OCA</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snapToGrid w:val="false"/>
              <w:jc w:val="center"/>
              <w:rPr>
                <w:sz w:val="16"/>
                <w:lang w:val="en-GB"/>
              </w:rPr>
            </w:pPr>
            <w:r>
              <w:rPr>
                <w:sz w:val="16"/>
                <w:lang w:val="en-GB"/>
              </w:rPr>
            </w:r>
          </w:p>
        </w:tc>
        <w:tc>
          <w:tcPr>
            <w:tcW w:w="181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0C0C0" w:val="clear"/>
            <w:tcMar>
              <w:left w:w="103" w:type="dxa"/>
            </w:tcMar>
          </w:tcPr>
          <w:p>
            <w:pPr>
              <w:pStyle w:val="Normal"/>
              <w:snapToGrid w:val="false"/>
              <w:jc w:val="center"/>
              <w:rPr>
                <w:sz w:val="16"/>
                <w:lang w:val="en-GB"/>
              </w:rPr>
            </w:pPr>
            <w:r>
              <w:rPr>
                <w:sz w:val="16"/>
                <w:lang w:val="en-GB"/>
              </w:rPr>
            </w:r>
          </w:p>
        </w:tc>
      </w:tr>
      <w:tr>
        <w:trPr>
          <w:cantSplit w:val="false"/>
        </w:trPr>
        <w:tc>
          <w:tcPr>
            <w:tcW w:w="1472"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Thomas 2001</w:t>
            </w:r>
          </w:p>
        </w:tc>
        <w:tc>
          <w:tcPr>
            <w:tcW w:w="1076"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w:t>
            </w:r>
          </w:p>
        </w:tc>
        <w:tc>
          <w:tcPr>
            <w:tcW w:w="1068"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w:t>
            </w:r>
          </w:p>
        </w:tc>
        <w:tc>
          <w:tcPr>
            <w:tcW w:w="1049"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w:t>
            </w:r>
          </w:p>
        </w:tc>
        <w:tc>
          <w:tcPr>
            <w:tcW w:w="134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0</w:t>
            </w:r>
          </w:p>
        </w:tc>
        <w:tc>
          <w:tcPr>
            <w:tcW w:w="243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 ITT analysis performed</w:t>
            </w:r>
          </w:p>
        </w:tc>
        <w:tc>
          <w:tcPr>
            <w:tcW w:w="218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CA</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b/>
                <w:bCs/>
                <w:sz w:val="40"/>
                <w:lang w:val="en-GB"/>
              </w:rPr>
            </w:pPr>
            <w:r>
              <w:rPr>
                <w:b/>
                <w:bCs/>
                <w:sz w:val="40"/>
                <w:lang w:val="en-GB"/>
              </w:rPr>
              <w:t>+</w:t>
            </w:r>
          </w:p>
        </w:tc>
        <w:tc>
          <w:tcPr>
            <w:tcW w:w="181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0C0C0" w:val="clear"/>
            <w:tcMar>
              <w:left w:w="103" w:type="dxa"/>
            </w:tcMar>
          </w:tcPr>
          <w:p>
            <w:pPr>
              <w:pStyle w:val="Normal"/>
              <w:snapToGrid w:val="false"/>
              <w:jc w:val="center"/>
              <w:rPr>
                <w:sz w:val="16"/>
                <w:lang w:val="en-GB"/>
              </w:rPr>
            </w:pPr>
            <w:r>
              <w:rPr>
                <w:sz w:val="16"/>
                <w:lang w:val="en-GB"/>
              </w:rPr>
            </w:r>
          </w:p>
        </w:tc>
      </w:tr>
      <w:tr>
        <w:trPr>
          <w:cantSplit w:val="false"/>
        </w:trPr>
        <w:tc>
          <w:tcPr>
            <w:tcW w:w="1472"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Winblad 2001</w:t>
            </w:r>
          </w:p>
        </w:tc>
        <w:tc>
          <w:tcPr>
            <w:tcW w:w="1076"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w:t>
            </w:r>
          </w:p>
        </w:tc>
        <w:tc>
          <w:tcPr>
            <w:tcW w:w="1068"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w:t>
            </w:r>
          </w:p>
        </w:tc>
        <w:tc>
          <w:tcPr>
            <w:tcW w:w="1049"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34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0 - 1</w:t>
            </w:r>
          </w:p>
        </w:tc>
        <w:tc>
          <w:tcPr>
            <w:tcW w:w="243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LOCF</w:t>
            </w:r>
          </w:p>
        </w:tc>
        <w:tc>
          <w:tcPr>
            <w:tcW w:w="218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OCA</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snapToGrid w:val="false"/>
              <w:jc w:val="center"/>
              <w:rPr>
                <w:sz w:val="16"/>
                <w:lang w:val="en-GB"/>
              </w:rPr>
            </w:pPr>
            <w:r>
              <w:rPr>
                <w:sz w:val="16"/>
                <w:lang w:val="en-GB"/>
              </w:rPr>
            </w:r>
          </w:p>
        </w:tc>
        <w:tc>
          <w:tcPr>
            <w:tcW w:w="181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0C0C0" w:val="clear"/>
            <w:tcMar>
              <w:left w:w="103" w:type="dxa"/>
            </w:tcMar>
          </w:tcPr>
          <w:p>
            <w:pPr>
              <w:pStyle w:val="Normal"/>
              <w:snapToGrid w:val="false"/>
              <w:jc w:val="center"/>
              <w:rPr>
                <w:sz w:val="16"/>
                <w:lang w:val="en-GB"/>
              </w:rPr>
            </w:pPr>
            <w:r>
              <w:rPr>
                <w:sz w:val="16"/>
                <w:lang w:val="en-GB"/>
              </w:rPr>
            </w:r>
          </w:p>
        </w:tc>
      </w:tr>
      <w:tr>
        <w:trPr>
          <w:cantSplit w:val="false"/>
        </w:trPr>
        <w:tc>
          <w:tcPr>
            <w:tcW w:w="1472"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Krishnan 2003</w:t>
            </w:r>
          </w:p>
        </w:tc>
        <w:tc>
          <w:tcPr>
            <w:tcW w:w="1076"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w:t>
            </w:r>
          </w:p>
        </w:tc>
        <w:tc>
          <w:tcPr>
            <w:tcW w:w="1068"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049"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34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fr-CA"/>
              </w:rPr>
            </w:pPr>
            <w:r>
              <w:rPr>
                <w:sz w:val="16"/>
                <w:lang w:val="fr-CA"/>
              </w:rPr>
              <w:t>0 - 2</w:t>
            </w:r>
          </w:p>
        </w:tc>
        <w:tc>
          <w:tcPr>
            <w:tcW w:w="243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fr-CA"/>
              </w:rPr>
            </w:pPr>
            <w:r>
              <w:rPr>
                <w:sz w:val="16"/>
                <w:lang w:val="fr-CA"/>
              </w:rPr>
              <w:t>LOCF</w:t>
            </w:r>
          </w:p>
        </w:tc>
        <w:tc>
          <w:tcPr>
            <w:tcW w:w="218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fr-CA"/>
              </w:rPr>
            </w:pPr>
            <w:r>
              <w:rPr>
                <w:sz w:val="16"/>
                <w:lang w:val="fr-CA"/>
              </w:rPr>
              <w:t>OCA</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snapToGrid w:val="false"/>
              <w:jc w:val="center"/>
              <w:rPr>
                <w:sz w:val="16"/>
                <w:lang w:val="fr-CA"/>
              </w:rPr>
            </w:pPr>
            <w:r>
              <w:rPr>
                <w:sz w:val="16"/>
                <w:lang w:val="fr-CA"/>
              </w:rPr>
            </w:r>
          </w:p>
        </w:tc>
        <w:tc>
          <w:tcPr>
            <w:tcW w:w="181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0C0C0" w:val="clear"/>
            <w:tcMar>
              <w:left w:w="103" w:type="dxa"/>
            </w:tcMar>
          </w:tcPr>
          <w:p>
            <w:pPr>
              <w:pStyle w:val="Normal"/>
              <w:snapToGrid w:val="false"/>
              <w:jc w:val="center"/>
              <w:rPr>
                <w:sz w:val="16"/>
                <w:lang w:val="fr-CA"/>
              </w:rPr>
            </w:pPr>
            <w:r>
              <w:rPr>
                <w:sz w:val="16"/>
                <w:lang w:val="fr-CA"/>
              </w:rPr>
            </w:r>
          </w:p>
        </w:tc>
      </w:tr>
      <w:tr>
        <w:trPr>
          <w:cantSplit w:val="false"/>
        </w:trPr>
        <w:tc>
          <w:tcPr>
            <w:tcW w:w="1472"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fr-CA"/>
              </w:rPr>
            </w:pPr>
            <w:r>
              <w:rPr>
                <w:sz w:val="16"/>
                <w:lang w:val="fr-CA"/>
              </w:rPr>
              <w:t>Tune 2003</w:t>
            </w:r>
          </w:p>
        </w:tc>
        <w:tc>
          <w:tcPr>
            <w:tcW w:w="1076"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w:t>
            </w:r>
          </w:p>
        </w:tc>
        <w:tc>
          <w:tcPr>
            <w:tcW w:w="1068"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049"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34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0 - 2</w:t>
            </w:r>
          </w:p>
        </w:tc>
        <w:tc>
          <w:tcPr>
            <w:tcW w:w="243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Type of  ITT analysis not specified</w:t>
            </w:r>
          </w:p>
        </w:tc>
        <w:tc>
          <w:tcPr>
            <w:tcW w:w="218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Type of analysis not specified</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snapToGrid w:val="false"/>
              <w:jc w:val="center"/>
              <w:rPr>
                <w:sz w:val="16"/>
                <w:lang w:val="en-GB"/>
              </w:rPr>
            </w:pPr>
            <w:r>
              <w:rPr>
                <w:sz w:val="16"/>
                <w:lang w:val="en-GB"/>
              </w:rPr>
            </w:r>
          </w:p>
          <w:p>
            <w:pPr>
              <w:pStyle w:val="Normal"/>
              <w:jc w:val="center"/>
              <w:rPr>
                <w:b/>
                <w:bCs/>
                <w:sz w:val="40"/>
                <w:lang w:val="en-GB"/>
              </w:rPr>
            </w:pPr>
            <w:r>
              <w:rPr>
                <w:b/>
                <w:bCs/>
                <w:sz w:val="40"/>
                <w:lang w:val="en-GB"/>
              </w:rPr>
              <w:t>+</w:t>
            </w:r>
          </w:p>
        </w:tc>
        <w:tc>
          <w:tcPr>
            <w:tcW w:w="181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0C0C0" w:val="clear"/>
            <w:tcMar>
              <w:left w:w="103" w:type="dxa"/>
            </w:tcMar>
          </w:tcPr>
          <w:p>
            <w:pPr>
              <w:pStyle w:val="Normal"/>
              <w:snapToGrid w:val="false"/>
              <w:jc w:val="center"/>
              <w:rPr>
                <w:sz w:val="16"/>
                <w:lang w:val="en-GB"/>
              </w:rPr>
            </w:pPr>
            <w:r>
              <w:rPr>
                <w:sz w:val="16"/>
                <w:lang w:val="en-GB"/>
              </w:rPr>
            </w:r>
          </w:p>
        </w:tc>
      </w:tr>
      <w:tr>
        <w:trPr>
          <w:cantSplit w:val="false"/>
        </w:trPr>
        <w:tc>
          <w:tcPr>
            <w:tcW w:w="1472"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b/>
                <w:bCs/>
                <w:i/>
                <w:iCs/>
                <w:sz w:val="16"/>
                <w:lang w:val="en-GB"/>
              </w:rPr>
            </w:pPr>
            <w:r>
              <w:rPr>
                <w:sz w:val="16"/>
                <w:lang w:val="en-GB"/>
              </w:rPr>
              <w:t xml:space="preserve">AD2000 Collaborative Group,  2004; </w:t>
            </w:r>
            <w:r>
              <w:rPr>
                <w:b/>
                <w:bCs/>
                <w:i/>
                <w:iCs/>
                <w:sz w:val="16"/>
                <w:lang w:val="en-GB"/>
              </w:rPr>
              <w:t xml:space="preserve"> (Alzheimer’s and </w:t>
            </w:r>
            <w:r>
              <w:rPr>
                <w:b/>
                <w:bCs/>
                <w:i/>
                <w:iCs/>
                <w:sz w:val="16"/>
                <w:u w:val="single"/>
                <w:lang w:val="en-GB"/>
              </w:rPr>
              <w:t>Mixed dementia</w:t>
            </w:r>
            <w:r>
              <w:rPr>
                <w:b/>
                <w:bCs/>
                <w:i/>
                <w:iCs/>
                <w:sz w:val="16"/>
                <w:lang w:val="en-GB"/>
              </w:rPr>
              <w:t>)</w:t>
            </w:r>
          </w:p>
          <w:p>
            <w:pPr>
              <w:pStyle w:val="Normal"/>
              <w:jc w:val="center"/>
              <w:rPr>
                <w:b/>
                <w:bCs/>
                <w:i/>
                <w:iCs/>
                <w:sz w:val="16"/>
                <w:lang w:val="en-GB"/>
              </w:rPr>
            </w:pPr>
            <w:r>
              <w:rPr>
                <w:b/>
                <w:bCs/>
                <w:i/>
                <w:iCs/>
                <w:sz w:val="16"/>
                <w:lang w:val="en-GB"/>
              </w:rPr>
            </w:r>
          </w:p>
          <w:p>
            <w:pPr>
              <w:pStyle w:val="Normal"/>
              <w:jc w:val="center"/>
              <w:rPr>
                <w:b/>
                <w:bCs/>
                <w:i/>
                <w:iCs/>
                <w:sz w:val="16"/>
                <w:lang w:val="en-GB"/>
              </w:rPr>
            </w:pPr>
            <w:r>
              <w:rPr>
                <w:b/>
                <w:bCs/>
                <w:i/>
                <w:iCs/>
                <w:sz w:val="16"/>
                <w:lang w:val="en-GB"/>
              </w:rPr>
            </w:r>
          </w:p>
        </w:tc>
        <w:tc>
          <w:tcPr>
            <w:tcW w:w="1076"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w:t>
            </w:r>
          </w:p>
          <w:p>
            <w:pPr>
              <w:pStyle w:val="Normal"/>
              <w:jc w:val="center"/>
              <w:rPr>
                <w:sz w:val="16"/>
                <w:lang w:val="en-GB"/>
              </w:rPr>
            </w:pPr>
            <w:r>
              <w:rPr>
                <w:sz w:val="16"/>
                <w:lang w:val="en-GB"/>
              </w:rPr>
            </w:r>
          </w:p>
        </w:tc>
        <w:tc>
          <w:tcPr>
            <w:tcW w:w="1068"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049"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Heading4"/>
              <w:numPr>
                <w:ilvl w:val="3"/>
                <w:numId w:val="1"/>
              </w:numPr>
              <w:spacing w:lineRule="auto" w:line="240"/>
              <w:jc w:val="center"/>
              <w:rPr/>
            </w:pPr>
            <w:r>
              <w:rPr/>
              <w:t>Yes</w:t>
            </w:r>
          </w:p>
        </w:tc>
        <w:tc>
          <w:tcPr>
            <w:tcW w:w="134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1 - 2</w:t>
            </w:r>
          </w:p>
          <w:p>
            <w:pPr>
              <w:pStyle w:val="Normal"/>
              <w:jc w:val="center"/>
              <w:rPr>
                <w:sz w:val="16"/>
                <w:lang w:val="en-GB"/>
              </w:rPr>
            </w:pPr>
            <w:r>
              <w:rPr>
                <w:sz w:val="16"/>
                <w:lang w:val="en-GB"/>
              </w:rPr>
            </w:r>
          </w:p>
        </w:tc>
        <w:tc>
          <w:tcPr>
            <w:tcW w:w="243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Most recent previous score was used (similar to LOCF), if one existed; if not, then the next subsequent valid score was substituted</w:t>
            </w:r>
          </w:p>
        </w:tc>
        <w:tc>
          <w:tcPr>
            <w:tcW w:w="218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None</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snapToGrid w:val="false"/>
              <w:jc w:val="center"/>
              <w:rPr>
                <w:sz w:val="16"/>
                <w:lang w:val="en-GB"/>
              </w:rPr>
            </w:pPr>
            <w:r>
              <w:rPr>
                <w:sz w:val="16"/>
                <w:lang w:val="en-GB"/>
              </w:rPr>
            </w:r>
          </w:p>
        </w:tc>
        <w:tc>
          <w:tcPr>
            <w:tcW w:w="181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0C0C0" w:val="clear"/>
            <w:tcMar>
              <w:left w:w="103" w:type="dxa"/>
            </w:tcMar>
          </w:tcPr>
          <w:p>
            <w:pPr>
              <w:pStyle w:val="Normal"/>
              <w:snapToGrid w:val="false"/>
              <w:jc w:val="center"/>
              <w:rPr>
                <w:sz w:val="16"/>
                <w:lang w:val="en-GB"/>
              </w:rPr>
            </w:pPr>
            <w:r>
              <w:rPr>
                <w:sz w:val="16"/>
                <w:lang w:val="en-GB"/>
              </w:rPr>
            </w:r>
          </w:p>
          <w:p>
            <w:pPr>
              <w:pStyle w:val="Normal"/>
              <w:jc w:val="center"/>
              <w:rPr>
                <w:b/>
                <w:bCs/>
                <w:sz w:val="40"/>
                <w:lang w:val="en-GB"/>
              </w:rPr>
            </w:pPr>
            <w:r>
              <w:rPr>
                <w:b/>
                <w:bCs/>
                <w:sz w:val="40"/>
                <w:lang w:val="en-GB"/>
              </w:rPr>
              <w:t>+</w:t>
            </w:r>
          </w:p>
        </w:tc>
      </w:tr>
      <w:tr>
        <w:trPr>
          <w:cantSplit w:val="false"/>
        </w:trPr>
        <w:tc>
          <w:tcPr>
            <w:tcW w:w="1472"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Holmes 2004</w:t>
            </w:r>
          </w:p>
        </w:tc>
        <w:tc>
          <w:tcPr>
            <w:tcW w:w="1076"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w:t>
            </w:r>
          </w:p>
        </w:tc>
        <w:tc>
          <w:tcPr>
            <w:tcW w:w="1068"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049"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Heading4"/>
              <w:numPr>
                <w:ilvl w:val="3"/>
                <w:numId w:val="1"/>
              </w:numPr>
              <w:spacing w:lineRule="auto" w:line="240"/>
              <w:jc w:val="center"/>
              <w:rPr/>
            </w:pPr>
            <w:r>
              <w:rPr/>
              <w:t>Yes</w:t>
            </w:r>
          </w:p>
        </w:tc>
        <w:tc>
          <w:tcPr>
            <w:tcW w:w="134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1 - 2</w:t>
            </w:r>
          </w:p>
        </w:tc>
        <w:tc>
          <w:tcPr>
            <w:tcW w:w="243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LOCF</w:t>
            </w:r>
          </w:p>
        </w:tc>
        <w:tc>
          <w:tcPr>
            <w:tcW w:w="218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OCA</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snapToGrid w:val="false"/>
              <w:jc w:val="center"/>
              <w:rPr>
                <w:sz w:val="16"/>
                <w:lang w:val="en-GB"/>
              </w:rPr>
            </w:pPr>
            <w:r>
              <w:rPr>
                <w:sz w:val="16"/>
                <w:lang w:val="en-GB"/>
              </w:rPr>
            </w:r>
          </w:p>
        </w:tc>
        <w:tc>
          <w:tcPr>
            <w:tcW w:w="181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0C0C0" w:val="clear"/>
            <w:tcMar>
              <w:left w:w="103" w:type="dxa"/>
            </w:tcMar>
          </w:tcPr>
          <w:p>
            <w:pPr>
              <w:pStyle w:val="Normal"/>
              <w:snapToGrid w:val="false"/>
              <w:jc w:val="center"/>
              <w:rPr>
                <w:sz w:val="16"/>
                <w:lang w:val="en-GB"/>
              </w:rPr>
            </w:pPr>
            <w:r>
              <w:rPr>
                <w:sz w:val="16"/>
                <w:lang w:val="en-GB"/>
              </w:rPr>
            </w:r>
          </w:p>
          <w:p>
            <w:pPr>
              <w:pStyle w:val="Normal"/>
              <w:jc w:val="center"/>
              <w:rPr>
                <w:b/>
                <w:bCs/>
                <w:sz w:val="40"/>
                <w:lang w:val="fr-CA"/>
              </w:rPr>
            </w:pPr>
            <w:r>
              <w:rPr>
                <w:b/>
                <w:bCs/>
                <w:sz w:val="40"/>
                <w:lang w:val="fr-CA"/>
              </w:rPr>
              <w:t>+</w:t>
            </w:r>
          </w:p>
        </w:tc>
      </w:tr>
      <w:tr>
        <w:trPr>
          <w:cantSplit w:val="false"/>
        </w:trPr>
        <w:tc>
          <w:tcPr>
            <w:tcW w:w="1472"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fr-CA"/>
              </w:rPr>
            </w:pPr>
            <w:r>
              <w:rPr>
                <w:sz w:val="16"/>
                <w:lang w:val="fr-CA"/>
              </w:rPr>
              <w:t>dos Santos Moraes 2006</w:t>
            </w:r>
          </w:p>
        </w:tc>
        <w:tc>
          <w:tcPr>
            <w:tcW w:w="1076"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w:t>
            </w:r>
          </w:p>
        </w:tc>
        <w:tc>
          <w:tcPr>
            <w:tcW w:w="1068"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w:t>
            </w:r>
          </w:p>
        </w:tc>
        <w:tc>
          <w:tcPr>
            <w:tcW w:w="1049"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w:t>
            </w:r>
          </w:p>
        </w:tc>
        <w:tc>
          <w:tcPr>
            <w:tcW w:w="134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0</w:t>
            </w:r>
          </w:p>
          <w:p>
            <w:pPr>
              <w:pStyle w:val="Normal"/>
              <w:jc w:val="center"/>
              <w:rPr>
                <w:sz w:val="16"/>
                <w:lang w:val="en-GB"/>
              </w:rPr>
            </w:pPr>
            <w:r>
              <w:rPr>
                <w:sz w:val="16"/>
                <w:lang w:val="en-GB"/>
              </w:rPr>
            </w:r>
          </w:p>
        </w:tc>
        <w:tc>
          <w:tcPr>
            <w:tcW w:w="243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Type of  ITT analysis not specified</w:t>
            </w:r>
          </w:p>
        </w:tc>
        <w:tc>
          <w:tcPr>
            <w:tcW w:w="218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Type of analysis not specified</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snapToGrid w:val="false"/>
              <w:jc w:val="center"/>
              <w:rPr>
                <w:sz w:val="16"/>
                <w:lang w:val="en-GB"/>
              </w:rPr>
            </w:pPr>
            <w:r>
              <w:rPr>
                <w:sz w:val="16"/>
                <w:lang w:val="en-GB"/>
              </w:rPr>
            </w:r>
          </w:p>
          <w:p>
            <w:pPr>
              <w:pStyle w:val="Normal"/>
              <w:jc w:val="center"/>
              <w:rPr>
                <w:b/>
                <w:bCs/>
                <w:sz w:val="40"/>
                <w:lang w:val="en-GB"/>
              </w:rPr>
            </w:pPr>
            <w:r>
              <w:rPr>
                <w:b/>
                <w:bCs/>
                <w:sz w:val="40"/>
                <w:lang w:val="en-GB"/>
              </w:rPr>
              <w:t>+</w:t>
            </w:r>
          </w:p>
        </w:tc>
        <w:tc>
          <w:tcPr>
            <w:tcW w:w="181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0C0C0" w:val="clear"/>
            <w:tcMar>
              <w:left w:w="103" w:type="dxa"/>
            </w:tcMar>
          </w:tcPr>
          <w:p>
            <w:pPr>
              <w:pStyle w:val="Normal"/>
              <w:snapToGrid w:val="false"/>
              <w:jc w:val="center"/>
              <w:rPr>
                <w:sz w:val="16"/>
                <w:lang w:val="en-GB"/>
              </w:rPr>
            </w:pPr>
            <w:r>
              <w:rPr>
                <w:sz w:val="16"/>
                <w:lang w:val="en-GB"/>
              </w:rPr>
            </w:r>
          </w:p>
        </w:tc>
      </w:tr>
      <w:tr>
        <w:trPr>
          <w:cantSplit w:val="false"/>
        </w:trPr>
        <w:tc>
          <w:tcPr>
            <w:tcW w:w="1472"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 xml:space="preserve">  </w:t>
            </w:r>
            <w:r>
              <w:rPr>
                <w:sz w:val="16"/>
                <w:lang w:val="en-GB"/>
              </w:rPr>
              <w:t>Seltzer 2004</w:t>
            </w:r>
          </w:p>
        </w:tc>
        <w:tc>
          <w:tcPr>
            <w:tcW w:w="1076"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Heading4"/>
              <w:numPr>
                <w:ilvl w:val="3"/>
                <w:numId w:val="1"/>
              </w:numPr>
              <w:spacing w:lineRule="auto" w:line="240"/>
              <w:jc w:val="center"/>
              <w:rPr/>
            </w:pPr>
            <w:r>
              <w:rPr/>
              <w:t>Yes</w:t>
            </w:r>
          </w:p>
          <w:p>
            <w:pPr>
              <w:pStyle w:val="Normal"/>
              <w:jc w:val="center"/>
              <w:rPr>
                <w:sz w:val="16"/>
                <w:lang w:val="en-GB"/>
              </w:rPr>
            </w:pPr>
            <w:r>
              <w:rPr>
                <w:sz w:val="16"/>
                <w:lang w:val="en-GB"/>
              </w:rPr>
              <w:t>Placebo 19% 10mg     27%</w:t>
            </w:r>
          </w:p>
        </w:tc>
        <w:tc>
          <w:tcPr>
            <w:tcW w:w="1068"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049"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34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1 - 3</w:t>
            </w:r>
          </w:p>
        </w:tc>
        <w:tc>
          <w:tcPr>
            <w:tcW w:w="243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LOCF</w:t>
            </w:r>
          </w:p>
        </w:tc>
        <w:tc>
          <w:tcPr>
            <w:tcW w:w="218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FEP</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snapToGrid w:val="false"/>
              <w:jc w:val="center"/>
              <w:rPr>
                <w:sz w:val="16"/>
                <w:lang w:val="en-GB"/>
              </w:rPr>
            </w:pPr>
            <w:r>
              <w:rPr>
                <w:sz w:val="16"/>
                <w:lang w:val="en-GB"/>
              </w:rPr>
            </w:r>
          </w:p>
        </w:tc>
        <w:tc>
          <w:tcPr>
            <w:tcW w:w="181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0C0C0" w:val="clear"/>
            <w:tcMar>
              <w:left w:w="103" w:type="dxa"/>
            </w:tcMar>
          </w:tcPr>
          <w:p>
            <w:pPr>
              <w:pStyle w:val="Normal"/>
              <w:snapToGrid w:val="false"/>
              <w:jc w:val="center"/>
              <w:rPr>
                <w:sz w:val="16"/>
                <w:lang w:val="en-GB"/>
              </w:rPr>
            </w:pPr>
            <w:r>
              <w:rPr>
                <w:sz w:val="16"/>
                <w:lang w:val="en-GB"/>
              </w:rPr>
            </w:r>
          </w:p>
          <w:p>
            <w:pPr>
              <w:pStyle w:val="Normal"/>
              <w:jc w:val="center"/>
              <w:rPr>
                <w:b/>
                <w:bCs/>
                <w:sz w:val="40"/>
                <w:lang w:val="en-GB"/>
              </w:rPr>
            </w:pPr>
            <w:r>
              <w:rPr>
                <w:b/>
                <w:bCs/>
                <w:sz w:val="40"/>
                <w:lang w:val="en-GB"/>
              </w:rPr>
              <w:t>+</w:t>
            </w:r>
          </w:p>
        </w:tc>
      </w:tr>
      <w:tr>
        <w:trPr>
          <w:cantSplit w:val="false"/>
        </w:trPr>
        <w:tc>
          <w:tcPr>
            <w:tcW w:w="1472"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Johannsen 2006</w:t>
            </w:r>
          </w:p>
        </w:tc>
        <w:tc>
          <w:tcPr>
            <w:tcW w:w="1076"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w:t>
            </w:r>
          </w:p>
        </w:tc>
        <w:tc>
          <w:tcPr>
            <w:tcW w:w="1068"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049"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34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0 - 2</w:t>
            </w:r>
          </w:p>
        </w:tc>
        <w:tc>
          <w:tcPr>
            <w:tcW w:w="243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LOCF</w:t>
            </w:r>
          </w:p>
        </w:tc>
        <w:tc>
          <w:tcPr>
            <w:tcW w:w="218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OCA</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snapToGrid w:val="false"/>
              <w:jc w:val="center"/>
              <w:rPr>
                <w:sz w:val="16"/>
                <w:lang w:val="en-GB"/>
              </w:rPr>
            </w:pPr>
            <w:r>
              <w:rPr>
                <w:sz w:val="16"/>
                <w:lang w:val="en-GB"/>
              </w:rPr>
            </w:r>
          </w:p>
        </w:tc>
        <w:tc>
          <w:tcPr>
            <w:tcW w:w="181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0C0C0" w:val="clear"/>
            <w:tcMar>
              <w:left w:w="103" w:type="dxa"/>
            </w:tcMar>
          </w:tcPr>
          <w:p>
            <w:pPr>
              <w:pStyle w:val="Normal"/>
              <w:snapToGrid w:val="false"/>
              <w:jc w:val="center"/>
              <w:rPr>
                <w:sz w:val="16"/>
                <w:lang w:val="en-GB"/>
              </w:rPr>
            </w:pPr>
            <w:r>
              <w:rPr>
                <w:sz w:val="16"/>
                <w:lang w:val="en-GB"/>
              </w:rPr>
            </w:r>
          </w:p>
        </w:tc>
      </w:tr>
      <w:tr>
        <w:trPr>
          <w:cantSplit w:val="false"/>
        </w:trPr>
        <w:tc>
          <w:tcPr>
            <w:tcW w:w="1472"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Winblad 2006</w:t>
            </w:r>
          </w:p>
        </w:tc>
        <w:tc>
          <w:tcPr>
            <w:tcW w:w="1076"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Heading4"/>
              <w:numPr>
                <w:ilvl w:val="3"/>
                <w:numId w:val="1"/>
              </w:numPr>
              <w:spacing w:lineRule="auto" w:line="240"/>
              <w:jc w:val="center"/>
              <w:rPr/>
            </w:pPr>
            <w:r>
              <w:rPr/>
              <w:t>Yes</w:t>
            </w:r>
          </w:p>
          <w:p>
            <w:pPr>
              <w:pStyle w:val="Normal"/>
              <w:jc w:val="center"/>
              <w:rPr>
                <w:sz w:val="16"/>
                <w:lang w:val="en-GB"/>
              </w:rPr>
            </w:pPr>
            <w:r>
              <w:rPr>
                <w:sz w:val="16"/>
                <w:lang w:val="en-GB"/>
              </w:rPr>
              <w:t>Placebo 18% 5/10mg 26%</w:t>
            </w:r>
          </w:p>
        </w:tc>
        <w:tc>
          <w:tcPr>
            <w:tcW w:w="1068"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049"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34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1 - 3</w:t>
            </w:r>
          </w:p>
          <w:p>
            <w:pPr>
              <w:pStyle w:val="Normal"/>
              <w:jc w:val="center"/>
              <w:rPr>
                <w:sz w:val="16"/>
                <w:lang w:val="en-GB"/>
              </w:rPr>
            </w:pPr>
            <w:r>
              <w:rPr>
                <w:sz w:val="16"/>
                <w:lang w:val="en-GB"/>
              </w:rPr>
            </w:r>
          </w:p>
        </w:tc>
        <w:tc>
          <w:tcPr>
            <w:tcW w:w="2430" w:type="dxa"/>
            <w:tcBorders>
              <w:top w:val="single" w:sz="4" w:space="0" w:color="000000"/>
              <w:left w:val="single" w:sz="4" w:space="0" w:color="000000"/>
              <w:bottom w:val="single" w:sz="4" w:space="0" w:color="000000"/>
              <w:insideH w:val="single" w:sz="4" w:space="0" w:color="000000"/>
              <w:right w:val="nil"/>
              <w:insideV w:val="nil"/>
            </w:tcBorders>
            <w:shd w:fill="B3B3B3" w:val="clear"/>
            <w:tcMar>
              <w:left w:w="103" w:type="dxa"/>
            </w:tcMar>
          </w:tcPr>
          <w:p>
            <w:pPr>
              <w:pStyle w:val="Normal"/>
              <w:jc w:val="center"/>
              <w:rPr>
                <w:b/>
                <w:bCs/>
                <w:sz w:val="16"/>
                <w:lang w:val="en-GB"/>
              </w:rPr>
            </w:pPr>
            <w:r>
              <w:rPr>
                <w:sz w:val="16"/>
                <w:lang w:val="en-GB"/>
              </w:rPr>
              <w:t xml:space="preserve">LOCF,  </w:t>
            </w:r>
            <w:r>
              <w:rPr>
                <w:b/>
                <w:bCs/>
                <w:sz w:val="16"/>
                <w:lang w:val="en-GB"/>
              </w:rPr>
              <w:t>Modelling - replaced missing data with the mean of the observed values for the change from baseline to month 6 in the placebo group</w:t>
            </w:r>
          </w:p>
          <w:p>
            <w:pPr>
              <w:pStyle w:val="Normal"/>
              <w:jc w:val="center"/>
              <w:rPr>
                <w:b/>
                <w:bCs/>
                <w:sz w:val="16"/>
                <w:lang w:val="en-GB"/>
              </w:rPr>
            </w:pPr>
            <w:r>
              <w:rPr>
                <w:b/>
                <w:bCs/>
                <w:sz w:val="16"/>
                <w:lang w:val="en-GB"/>
              </w:rPr>
              <w:t>(LOCF and Modelling provided similar point estimates in SIB, ADCS-ADL-severe, CGI-I, MMSE, NPI)</w:t>
            </w:r>
          </w:p>
        </w:tc>
        <w:tc>
          <w:tcPr>
            <w:tcW w:w="218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CA</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snapToGrid w:val="false"/>
              <w:jc w:val="center"/>
              <w:rPr>
                <w:sz w:val="16"/>
                <w:lang w:val="en-GB"/>
              </w:rPr>
            </w:pPr>
            <w:r>
              <w:rPr>
                <w:sz w:val="16"/>
                <w:lang w:val="en-GB"/>
              </w:rPr>
            </w:r>
          </w:p>
        </w:tc>
        <w:tc>
          <w:tcPr>
            <w:tcW w:w="181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0C0C0" w:val="clear"/>
            <w:tcMar>
              <w:left w:w="103" w:type="dxa"/>
            </w:tcMar>
          </w:tcPr>
          <w:p>
            <w:pPr>
              <w:pStyle w:val="Normal"/>
              <w:snapToGrid w:val="false"/>
              <w:jc w:val="center"/>
              <w:rPr>
                <w:sz w:val="16"/>
                <w:lang w:val="en-GB"/>
              </w:rPr>
            </w:pPr>
            <w:r>
              <w:rPr>
                <w:sz w:val="16"/>
                <w:lang w:val="en-GB"/>
              </w:rPr>
            </w:r>
          </w:p>
        </w:tc>
      </w:tr>
      <w:tr>
        <w:trPr>
          <w:cantSplit w:val="false"/>
        </w:trPr>
        <w:tc>
          <w:tcPr>
            <w:tcW w:w="1472"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Mazza 2006</w:t>
            </w:r>
          </w:p>
        </w:tc>
        <w:tc>
          <w:tcPr>
            <w:tcW w:w="1076"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w:t>
            </w:r>
          </w:p>
        </w:tc>
        <w:tc>
          <w:tcPr>
            <w:tcW w:w="1068"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049"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34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0 - 2</w:t>
            </w:r>
          </w:p>
        </w:tc>
        <w:tc>
          <w:tcPr>
            <w:tcW w:w="243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Type of  ITT analysis not specified</w:t>
            </w:r>
          </w:p>
        </w:tc>
        <w:tc>
          <w:tcPr>
            <w:tcW w:w="218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snapToGrid w:val="false"/>
              <w:jc w:val="center"/>
              <w:rPr>
                <w:sz w:val="16"/>
                <w:lang w:val="en-GB"/>
              </w:rPr>
            </w:pPr>
            <w:r>
              <w:rPr>
                <w:sz w:val="16"/>
                <w:lang w:val="en-GB"/>
              </w:rPr>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snapToGrid w:val="false"/>
              <w:jc w:val="center"/>
              <w:rPr>
                <w:sz w:val="16"/>
                <w:lang w:val="en-GB"/>
              </w:rPr>
            </w:pPr>
            <w:r>
              <w:rPr>
                <w:sz w:val="16"/>
                <w:lang w:val="en-GB"/>
              </w:rPr>
            </w:r>
          </w:p>
          <w:p>
            <w:pPr>
              <w:pStyle w:val="Normal"/>
              <w:jc w:val="center"/>
              <w:rPr>
                <w:b/>
                <w:bCs/>
                <w:sz w:val="40"/>
                <w:lang w:val="en-GB"/>
              </w:rPr>
            </w:pPr>
            <w:r>
              <w:rPr>
                <w:b/>
                <w:bCs/>
                <w:sz w:val="40"/>
                <w:lang w:val="en-GB"/>
              </w:rPr>
              <w:t>+</w:t>
            </w:r>
          </w:p>
        </w:tc>
        <w:tc>
          <w:tcPr>
            <w:tcW w:w="181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0C0C0" w:val="clear"/>
            <w:tcMar>
              <w:left w:w="103" w:type="dxa"/>
            </w:tcMar>
          </w:tcPr>
          <w:p>
            <w:pPr>
              <w:pStyle w:val="Normal"/>
              <w:snapToGrid w:val="false"/>
              <w:jc w:val="center"/>
              <w:rPr>
                <w:sz w:val="16"/>
                <w:lang w:val="en-GB"/>
              </w:rPr>
            </w:pPr>
            <w:r>
              <w:rPr>
                <w:sz w:val="16"/>
                <w:lang w:val="en-GB"/>
              </w:rPr>
            </w:r>
          </w:p>
        </w:tc>
      </w:tr>
      <w:tr>
        <w:trPr>
          <w:cantSplit w:val="false"/>
        </w:trPr>
        <w:tc>
          <w:tcPr>
            <w:tcW w:w="1472"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Black 2007</w:t>
            </w:r>
          </w:p>
        </w:tc>
        <w:tc>
          <w:tcPr>
            <w:tcW w:w="1076"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Heading4"/>
              <w:numPr>
                <w:ilvl w:val="3"/>
                <w:numId w:val="1"/>
              </w:numPr>
              <w:spacing w:lineRule="auto" w:line="240"/>
              <w:jc w:val="center"/>
              <w:rPr/>
            </w:pPr>
            <w:r>
              <w:rPr/>
              <w:t>Yes</w:t>
            </w:r>
          </w:p>
          <w:p>
            <w:pPr>
              <w:pStyle w:val="BalloonText"/>
              <w:rPr>
                <w:rFonts w:cs="Times New Roman" w:ascii="Times New Roman" w:hAnsi="Times New Roman"/>
                <w:szCs w:val="24"/>
                <w:lang w:val="en-GB"/>
              </w:rPr>
            </w:pPr>
            <w:r>
              <w:rPr>
                <w:rFonts w:cs="Times New Roman" w:ascii="Times New Roman" w:hAnsi="Times New Roman"/>
                <w:szCs w:val="24"/>
                <w:lang w:val="en-GB"/>
              </w:rPr>
              <w:t>Placebo 24%</w:t>
            </w:r>
          </w:p>
          <w:p>
            <w:pPr>
              <w:pStyle w:val="Normal"/>
              <w:rPr>
                <w:sz w:val="16"/>
                <w:lang w:val="en-GB"/>
              </w:rPr>
            </w:pPr>
            <w:r>
              <w:rPr>
                <w:sz w:val="16"/>
                <w:lang w:val="en-GB"/>
              </w:rPr>
              <w:t>10mg     34%</w:t>
            </w:r>
          </w:p>
        </w:tc>
        <w:tc>
          <w:tcPr>
            <w:tcW w:w="1068"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049"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34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1 - 3</w:t>
            </w:r>
          </w:p>
        </w:tc>
        <w:tc>
          <w:tcPr>
            <w:tcW w:w="243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LOCF</w:t>
            </w:r>
          </w:p>
        </w:tc>
        <w:tc>
          <w:tcPr>
            <w:tcW w:w="218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OCA</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snapToGrid w:val="false"/>
              <w:jc w:val="center"/>
              <w:rPr>
                <w:sz w:val="16"/>
                <w:lang w:val="en-GB"/>
              </w:rPr>
            </w:pPr>
            <w:r>
              <w:rPr>
                <w:sz w:val="16"/>
                <w:lang w:val="en-GB"/>
              </w:rPr>
            </w:r>
          </w:p>
        </w:tc>
        <w:tc>
          <w:tcPr>
            <w:tcW w:w="181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0C0C0" w:val="clear"/>
            <w:tcMar>
              <w:left w:w="103" w:type="dxa"/>
            </w:tcMar>
          </w:tcPr>
          <w:p>
            <w:pPr>
              <w:pStyle w:val="Normal"/>
              <w:snapToGrid w:val="false"/>
              <w:jc w:val="center"/>
              <w:rPr>
                <w:sz w:val="16"/>
                <w:lang w:val="en-GB"/>
              </w:rPr>
            </w:pPr>
            <w:r>
              <w:rPr>
                <w:sz w:val="16"/>
                <w:lang w:val="en-GB"/>
              </w:rPr>
            </w:r>
          </w:p>
          <w:p>
            <w:pPr>
              <w:pStyle w:val="Normal"/>
              <w:jc w:val="center"/>
              <w:rPr>
                <w:b/>
                <w:bCs/>
                <w:sz w:val="40"/>
                <w:lang w:val="en-GB"/>
              </w:rPr>
            </w:pPr>
            <w:r>
              <w:rPr>
                <w:b/>
                <w:bCs/>
                <w:sz w:val="40"/>
                <w:lang w:val="en-GB"/>
              </w:rPr>
              <w:t>+</w:t>
            </w:r>
          </w:p>
        </w:tc>
      </w:tr>
      <w:tr>
        <w:trPr>
          <w:trHeight w:val="152" w:hRule="atLeast"/>
          <w:cantSplit w:val="false"/>
        </w:trPr>
        <w:tc>
          <w:tcPr>
            <w:tcW w:w="14230" w:type="dxa"/>
            <w:gridSpan w:val="9"/>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E0E0E0" w:val="clear"/>
            <w:tcMar>
              <w:left w:w="103" w:type="dxa"/>
            </w:tcMar>
          </w:tcPr>
          <w:p>
            <w:pPr>
              <w:pStyle w:val="Normal"/>
              <w:rPr>
                <w:b/>
                <w:sz w:val="16"/>
                <w:lang w:val="en-GB"/>
              </w:rPr>
            </w:pPr>
            <w:r>
              <w:rPr>
                <w:b/>
                <w:sz w:val="16"/>
                <w:lang w:val="en-GB"/>
              </w:rPr>
              <w:t>Rivastigmine in Alzheimer’s dementia</w:t>
            </w:r>
          </w:p>
        </w:tc>
      </w:tr>
      <w:tr>
        <w:trPr>
          <w:cantSplit w:val="false"/>
        </w:trPr>
        <w:tc>
          <w:tcPr>
            <w:tcW w:w="1472"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Agid 1998</w:t>
            </w:r>
          </w:p>
        </w:tc>
        <w:tc>
          <w:tcPr>
            <w:tcW w:w="1076"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Heading4"/>
              <w:numPr>
                <w:ilvl w:val="3"/>
                <w:numId w:val="1"/>
              </w:numPr>
              <w:spacing w:lineRule="auto" w:line="240"/>
              <w:jc w:val="center"/>
              <w:rPr/>
            </w:pPr>
            <w:r>
              <w:rPr/>
              <w:t>Yes</w:t>
            </w:r>
          </w:p>
          <w:p>
            <w:pPr>
              <w:pStyle w:val="Normal"/>
              <w:jc w:val="center"/>
              <w:rPr>
                <w:sz w:val="16"/>
                <w:lang w:val="en-GB"/>
              </w:rPr>
            </w:pPr>
            <w:r>
              <w:rPr>
                <w:sz w:val="16"/>
                <w:lang w:val="en-GB"/>
              </w:rPr>
              <w:t>Placebo   6% 4mg      12% 6mg      15%</w:t>
            </w:r>
          </w:p>
        </w:tc>
        <w:tc>
          <w:tcPr>
            <w:tcW w:w="1068"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049"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34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1 - 3</w:t>
            </w:r>
          </w:p>
        </w:tc>
        <w:tc>
          <w:tcPr>
            <w:tcW w:w="243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 ITT analysis performed</w:t>
            </w:r>
          </w:p>
        </w:tc>
        <w:tc>
          <w:tcPr>
            <w:tcW w:w="218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OCA</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snapToGrid w:val="false"/>
              <w:jc w:val="center"/>
              <w:rPr>
                <w:sz w:val="16"/>
                <w:lang w:val="en-GB"/>
              </w:rPr>
            </w:pPr>
            <w:r>
              <w:rPr>
                <w:sz w:val="16"/>
                <w:lang w:val="en-GB"/>
              </w:rPr>
            </w:r>
          </w:p>
          <w:p>
            <w:pPr>
              <w:pStyle w:val="Normal"/>
              <w:jc w:val="center"/>
              <w:rPr>
                <w:b/>
                <w:bCs/>
                <w:sz w:val="40"/>
                <w:lang w:val="en-GB"/>
              </w:rPr>
            </w:pPr>
            <w:r>
              <w:rPr>
                <w:b/>
                <w:bCs/>
                <w:sz w:val="40"/>
                <w:lang w:val="en-GB"/>
              </w:rPr>
              <w:t>+</w:t>
            </w:r>
          </w:p>
        </w:tc>
        <w:tc>
          <w:tcPr>
            <w:tcW w:w="181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0C0C0" w:val="clear"/>
            <w:tcMar>
              <w:left w:w="103" w:type="dxa"/>
            </w:tcMar>
          </w:tcPr>
          <w:p>
            <w:pPr>
              <w:pStyle w:val="Normal"/>
              <w:snapToGrid w:val="false"/>
              <w:jc w:val="center"/>
              <w:rPr>
                <w:sz w:val="16"/>
                <w:lang w:val="en-GB"/>
              </w:rPr>
            </w:pPr>
            <w:r>
              <w:rPr>
                <w:sz w:val="16"/>
                <w:lang w:val="en-GB"/>
              </w:rPr>
            </w:r>
          </w:p>
        </w:tc>
      </w:tr>
      <w:tr>
        <w:trPr>
          <w:cantSplit w:val="false"/>
        </w:trPr>
        <w:tc>
          <w:tcPr>
            <w:tcW w:w="1472"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Corey-Bloom 1998</w:t>
            </w:r>
          </w:p>
        </w:tc>
        <w:tc>
          <w:tcPr>
            <w:tcW w:w="1076"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Heading4"/>
              <w:numPr>
                <w:ilvl w:val="3"/>
                <w:numId w:val="1"/>
              </w:numPr>
              <w:spacing w:lineRule="auto" w:line="240"/>
              <w:jc w:val="center"/>
              <w:rPr/>
            </w:pPr>
            <w:r>
              <w:rPr/>
              <w:t>Yes</w:t>
            </w:r>
          </w:p>
          <w:p>
            <w:pPr>
              <w:pStyle w:val="Normal"/>
              <w:jc w:val="center"/>
              <w:rPr>
                <w:sz w:val="16"/>
                <w:lang w:val="en-GB"/>
              </w:rPr>
            </w:pPr>
            <w:r>
              <w:rPr>
                <w:sz w:val="16"/>
                <w:lang w:val="en-GB"/>
              </w:rPr>
              <w:t>Placebo   7% 1-4mg   15% 6-12mg 35%</w:t>
            </w:r>
          </w:p>
        </w:tc>
        <w:tc>
          <w:tcPr>
            <w:tcW w:w="1068"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Heading4"/>
              <w:numPr>
                <w:ilvl w:val="3"/>
                <w:numId w:val="1"/>
              </w:numPr>
              <w:spacing w:lineRule="auto" w:line="240"/>
              <w:jc w:val="center"/>
              <w:rPr/>
            </w:pPr>
            <w:r>
              <w:rPr/>
              <w:t>Yes</w:t>
            </w:r>
          </w:p>
        </w:tc>
        <w:tc>
          <w:tcPr>
            <w:tcW w:w="1049"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34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2 - 3</w:t>
            </w:r>
          </w:p>
        </w:tc>
        <w:tc>
          <w:tcPr>
            <w:tcW w:w="243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LOCF</w:t>
            </w:r>
          </w:p>
        </w:tc>
        <w:tc>
          <w:tcPr>
            <w:tcW w:w="218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OCA</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snapToGrid w:val="false"/>
              <w:jc w:val="center"/>
              <w:rPr>
                <w:sz w:val="16"/>
                <w:lang w:val="en-GB"/>
              </w:rPr>
            </w:pPr>
            <w:r>
              <w:rPr>
                <w:sz w:val="16"/>
                <w:lang w:val="en-GB"/>
              </w:rPr>
            </w:r>
          </w:p>
        </w:tc>
        <w:tc>
          <w:tcPr>
            <w:tcW w:w="181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0C0C0" w:val="clear"/>
            <w:tcMar>
              <w:left w:w="103" w:type="dxa"/>
            </w:tcMar>
          </w:tcPr>
          <w:p>
            <w:pPr>
              <w:pStyle w:val="Normal"/>
              <w:snapToGrid w:val="false"/>
              <w:jc w:val="center"/>
              <w:rPr>
                <w:sz w:val="16"/>
                <w:lang w:val="en-GB"/>
              </w:rPr>
            </w:pPr>
            <w:r>
              <w:rPr>
                <w:sz w:val="16"/>
                <w:lang w:val="en-GB"/>
              </w:rPr>
            </w:r>
          </w:p>
          <w:p>
            <w:pPr>
              <w:pStyle w:val="Normal"/>
              <w:jc w:val="center"/>
              <w:rPr>
                <w:b/>
                <w:bCs/>
                <w:sz w:val="40"/>
                <w:lang w:val="en-GB"/>
              </w:rPr>
            </w:pPr>
            <w:r>
              <w:rPr>
                <w:b/>
                <w:bCs/>
                <w:sz w:val="40"/>
                <w:lang w:val="en-GB"/>
              </w:rPr>
              <w:t>+</w:t>
            </w:r>
          </w:p>
        </w:tc>
      </w:tr>
      <w:tr>
        <w:trPr>
          <w:cantSplit w:val="false"/>
        </w:trPr>
        <w:tc>
          <w:tcPr>
            <w:tcW w:w="1472"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Forette 1999</w:t>
            </w:r>
          </w:p>
        </w:tc>
        <w:tc>
          <w:tcPr>
            <w:tcW w:w="1076"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Heading4"/>
              <w:numPr>
                <w:ilvl w:val="3"/>
                <w:numId w:val="1"/>
              </w:numPr>
              <w:spacing w:lineRule="auto" w:line="240"/>
              <w:jc w:val="center"/>
              <w:rPr/>
            </w:pPr>
            <w:r>
              <w:rPr/>
              <w:t>Yes</w:t>
            </w:r>
          </w:p>
          <w:p>
            <w:pPr>
              <w:pStyle w:val="BodyText3"/>
              <w:spacing w:lineRule="auto" w:line="240"/>
              <w:jc w:val="center"/>
              <w:rPr>
                <w:b w:val="false"/>
                <w:bCs w:val="false"/>
                <w:lang w:val="en-GB"/>
              </w:rPr>
            </w:pPr>
            <w:r>
              <w:rPr>
                <w:b w:val="false"/>
                <w:bCs w:val="false"/>
                <w:lang w:val="en-GB"/>
              </w:rPr>
              <w:t>Placebo 21%</w:t>
            </w:r>
          </w:p>
          <w:p>
            <w:pPr>
              <w:pStyle w:val="BodyText3"/>
              <w:spacing w:lineRule="auto" w:line="240"/>
              <w:jc w:val="center"/>
              <w:rPr>
                <w:b w:val="false"/>
                <w:bCs w:val="false"/>
                <w:lang w:val="en-GB"/>
              </w:rPr>
            </w:pPr>
            <w:r>
              <w:rPr>
                <w:b w:val="false"/>
                <w:bCs w:val="false"/>
                <w:lang w:val="en-GB"/>
              </w:rPr>
            </w:r>
          </w:p>
          <w:p>
            <w:pPr>
              <w:pStyle w:val="BodyText3"/>
              <w:spacing w:lineRule="auto" w:line="240"/>
              <w:jc w:val="center"/>
              <w:rPr>
                <w:b w:val="false"/>
                <w:bCs w:val="false"/>
                <w:lang w:val="en-GB"/>
              </w:rPr>
            </w:pPr>
            <w:r>
              <w:rPr>
                <w:b w:val="false"/>
                <w:bCs w:val="false"/>
                <w:lang w:val="en-GB"/>
              </w:rPr>
              <w:t>6 – 9mg via bid dosing 50%</w:t>
            </w:r>
          </w:p>
          <w:p>
            <w:pPr>
              <w:pStyle w:val="BodyText3"/>
              <w:spacing w:lineRule="auto" w:line="240"/>
              <w:jc w:val="center"/>
              <w:rPr>
                <w:lang w:val="en-GB"/>
              </w:rPr>
            </w:pPr>
            <w:r>
              <w:rPr>
                <w:lang w:val="en-GB"/>
              </w:rPr>
            </w:r>
          </w:p>
          <w:p>
            <w:pPr>
              <w:pStyle w:val="Normal"/>
              <w:jc w:val="center"/>
              <w:rPr>
                <w:sz w:val="16"/>
                <w:lang w:val="en-GB"/>
              </w:rPr>
            </w:pPr>
            <w:r>
              <w:rPr>
                <w:sz w:val="16"/>
                <w:lang w:val="en-GB"/>
              </w:rPr>
              <w:t>6 – 9mg via  tid dosing</w:t>
            </w:r>
          </w:p>
          <w:p>
            <w:pPr>
              <w:pStyle w:val="Normal"/>
              <w:jc w:val="center"/>
              <w:rPr>
                <w:sz w:val="16"/>
                <w:lang w:val="en-GB"/>
              </w:rPr>
            </w:pPr>
            <w:r>
              <w:rPr>
                <w:sz w:val="16"/>
                <w:lang w:val="en-GB"/>
              </w:rPr>
              <w:t>38%</w:t>
            </w:r>
          </w:p>
        </w:tc>
        <w:tc>
          <w:tcPr>
            <w:tcW w:w="1068"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049"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34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1 - 3</w:t>
            </w:r>
          </w:p>
        </w:tc>
        <w:tc>
          <w:tcPr>
            <w:tcW w:w="243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 ITT analysis performed</w:t>
            </w:r>
          </w:p>
        </w:tc>
        <w:tc>
          <w:tcPr>
            <w:tcW w:w="218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FEP</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snapToGrid w:val="false"/>
              <w:jc w:val="center"/>
              <w:rPr>
                <w:sz w:val="16"/>
                <w:lang w:val="en-GB"/>
              </w:rPr>
            </w:pPr>
            <w:r>
              <w:rPr>
                <w:sz w:val="16"/>
                <w:lang w:val="en-GB"/>
              </w:rPr>
            </w:r>
          </w:p>
          <w:p>
            <w:pPr>
              <w:pStyle w:val="Normal"/>
              <w:jc w:val="center"/>
              <w:rPr>
                <w:sz w:val="16"/>
                <w:lang w:val="en-GB"/>
              </w:rPr>
            </w:pPr>
            <w:r>
              <w:rPr>
                <w:sz w:val="16"/>
                <w:lang w:val="en-GB"/>
              </w:rPr>
            </w:r>
          </w:p>
          <w:p>
            <w:pPr>
              <w:pStyle w:val="Normal"/>
              <w:jc w:val="center"/>
              <w:rPr>
                <w:b/>
                <w:bCs/>
                <w:sz w:val="40"/>
                <w:lang w:val="en-GB"/>
              </w:rPr>
            </w:pPr>
            <w:r>
              <w:rPr>
                <w:b/>
                <w:bCs/>
                <w:sz w:val="40"/>
                <w:lang w:val="en-GB"/>
              </w:rPr>
              <w:t>+</w:t>
            </w:r>
          </w:p>
        </w:tc>
        <w:tc>
          <w:tcPr>
            <w:tcW w:w="181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0C0C0" w:val="clear"/>
            <w:tcMar>
              <w:left w:w="103" w:type="dxa"/>
            </w:tcMar>
          </w:tcPr>
          <w:p>
            <w:pPr>
              <w:pStyle w:val="Normal"/>
              <w:snapToGrid w:val="false"/>
              <w:jc w:val="center"/>
              <w:rPr>
                <w:sz w:val="16"/>
                <w:lang w:val="en-GB"/>
              </w:rPr>
            </w:pPr>
            <w:r>
              <w:rPr>
                <w:sz w:val="16"/>
                <w:lang w:val="en-GB"/>
              </w:rPr>
            </w:r>
          </w:p>
        </w:tc>
      </w:tr>
      <w:tr>
        <w:trPr>
          <w:cantSplit w:val="false"/>
        </w:trPr>
        <w:tc>
          <w:tcPr>
            <w:tcW w:w="1472"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Rösler 1999</w:t>
            </w:r>
          </w:p>
        </w:tc>
        <w:tc>
          <w:tcPr>
            <w:tcW w:w="1076"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Heading4"/>
              <w:numPr>
                <w:ilvl w:val="3"/>
                <w:numId w:val="1"/>
              </w:numPr>
              <w:spacing w:lineRule="auto" w:line="240"/>
              <w:jc w:val="center"/>
              <w:rPr/>
            </w:pPr>
            <w:r>
              <w:rPr/>
              <w:t>Yes</w:t>
            </w:r>
          </w:p>
          <w:p>
            <w:pPr>
              <w:pStyle w:val="Normal"/>
              <w:jc w:val="center"/>
              <w:rPr>
                <w:sz w:val="16"/>
                <w:lang w:val="en-GB"/>
              </w:rPr>
            </w:pPr>
            <w:r>
              <w:rPr>
                <w:sz w:val="16"/>
                <w:lang w:val="en-GB"/>
              </w:rPr>
              <w:t>Placebo 13%</w:t>
            </w:r>
          </w:p>
          <w:p>
            <w:pPr>
              <w:pStyle w:val="Normal"/>
              <w:jc w:val="center"/>
              <w:rPr>
                <w:sz w:val="16"/>
                <w:lang w:val="en-GB"/>
              </w:rPr>
            </w:pPr>
            <w:r>
              <w:rPr>
                <w:sz w:val="16"/>
                <w:lang w:val="en-GB"/>
              </w:rPr>
              <w:t>1-4 mg 14% 6–12mg 32%</w:t>
            </w:r>
          </w:p>
        </w:tc>
        <w:tc>
          <w:tcPr>
            <w:tcW w:w="1068"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Heading4"/>
              <w:numPr>
                <w:ilvl w:val="3"/>
                <w:numId w:val="1"/>
              </w:numPr>
              <w:spacing w:lineRule="auto" w:line="240"/>
              <w:jc w:val="center"/>
              <w:rPr/>
            </w:pPr>
            <w:r>
              <w:rPr/>
              <w:t>Yes</w:t>
            </w:r>
          </w:p>
        </w:tc>
        <w:tc>
          <w:tcPr>
            <w:tcW w:w="1049"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34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2 - 3</w:t>
            </w:r>
          </w:p>
        </w:tc>
        <w:tc>
          <w:tcPr>
            <w:tcW w:w="243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LOCF</w:t>
            </w:r>
          </w:p>
        </w:tc>
        <w:tc>
          <w:tcPr>
            <w:tcW w:w="218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OCA</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snapToGrid w:val="false"/>
              <w:jc w:val="center"/>
              <w:rPr>
                <w:sz w:val="16"/>
                <w:lang w:val="en-GB"/>
              </w:rPr>
            </w:pPr>
            <w:r>
              <w:rPr>
                <w:sz w:val="16"/>
                <w:lang w:val="en-GB"/>
              </w:rPr>
            </w:r>
          </w:p>
        </w:tc>
        <w:tc>
          <w:tcPr>
            <w:tcW w:w="181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0C0C0" w:val="clear"/>
            <w:tcMar>
              <w:left w:w="103" w:type="dxa"/>
            </w:tcMar>
          </w:tcPr>
          <w:p>
            <w:pPr>
              <w:pStyle w:val="Normal"/>
              <w:snapToGrid w:val="false"/>
              <w:jc w:val="center"/>
              <w:rPr>
                <w:sz w:val="16"/>
                <w:lang w:val="en-GB"/>
              </w:rPr>
            </w:pPr>
            <w:r>
              <w:rPr>
                <w:sz w:val="16"/>
                <w:lang w:val="en-GB"/>
              </w:rPr>
            </w:r>
          </w:p>
          <w:p>
            <w:pPr>
              <w:pStyle w:val="Normal"/>
              <w:jc w:val="center"/>
              <w:rPr>
                <w:b/>
                <w:bCs/>
                <w:sz w:val="40"/>
                <w:lang w:val="en-GB"/>
              </w:rPr>
            </w:pPr>
            <w:r>
              <w:rPr>
                <w:b/>
                <w:bCs/>
                <w:sz w:val="40"/>
                <w:lang w:val="en-GB"/>
              </w:rPr>
              <w:t>+</w:t>
            </w:r>
          </w:p>
        </w:tc>
      </w:tr>
      <w:tr>
        <w:trPr>
          <w:cantSplit w:val="false"/>
        </w:trPr>
        <w:tc>
          <w:tcPr>
            <w:tcW w:w="1472"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Kumar 2000</w:t>
            </w:r>
          </w:p>
        </w:tc>
        <w:tc>
          <w:tcPr>
            <w:tcW w:w="1076"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Heading4"/>
              <w:numPr>
                <w:ilvl w:val="3"/>
                <w:numId w:val="1"/>
              </w:numPr>
              <w:spacing w:lineRule="auto" w:line="240"/>
              <w:jc w:val="center"/>
              <w:rPr/>
            </w:pPr>
            <w:r>
              <w:rPr/>
              <w:t>Yes</w:t>
            </w:r>
          </w:p>
          <w:p>
            <w:pPr>
              <w:pStyle w:val="Normal"/>
              <w:jc w:val="center"/>
              <w:rPr>
                <w:sz w:val="16"/>
                <w:lang w:val="en-GB"/>
              </w:rPr>
            </w:pPr>
            <w:r>
              <w:rPr>
                <w:sz w:val="16"/>
                <w:lang w:val="en-GB"/>
              </w:rPr>
              <w:t>Placebo 16% 1–4 mg 14% 6–12mg 33%</w:t>
            </w:r>
          </w:p>
        </w:tc>
        <w:tc>
          <w:tcPr>
            <w:tcW w:w="1068"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049"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34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1 - 3</w:t>
            </w:r>
          </w:p>
        </w:tc>
        <w:tc>
          <w:tcPr>
            <w:tcW w:w="243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 ITT analysis performed</w:t>
            </w:r>
          </w:p>
        </w:tc>
        <w:tc>
          <w:tcPr>
            <w:tcW w:w="218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OCA</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snapToGrid w:val="false"/>
              <w:jc w:val="center"/>
              <w:rPr>
                <w:sz w:val="16"/>
                <w:lang w:val="en-GB"/>
              </w:rPr>
            </w:pPr>
            <w:r>
              <w:rPr>
                <w:sz w:val="16"/>
                <w:lang w:val="en-GB"/>
              </w:rPr>
            </w:r>
          </w:p>
          <w:p>
            <w:pPr>
              <w:pStyle w:val="Normal"/>
              <w:jc w:val="center"/>
              <w:rPr>
                <w:b/>
                <w:bCs/>
                <w:sz w:val="40"/>
                <w:lang w:val="en-GB"/>
              </w:rPr>
            </w:pPr>
            <w:r>
              <w:rPr>
                <w:b/>
                <w:bCs/>
                <w:sz w:val="40"/>
                <w:lang w:val="en-GB"/>
              </w:rPr>
              <w:t>+</w:t>
            </w:r>
          </w:p>
        </w:tc>
        <w:tc>
          <w:tcPr>
            <w:tcW w:w="181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0C0C0" w:val="clear"/>
            <w:tcMar>
              <w:left w:w="103" w:type="dxa"/>
            </w:tcMar>
          </w:tcPr>
          <w:p>
            <w:pPr>
              <w:pStyle w:val="Normal"/>
              <w:snapToGrid w:val="false"/>
              <w:jc w:val="center"/>
              <w:rPr>
                <w:sz w:val="16"/>
                <w:lang w:val="en-GB"/>
              </w:rPr>
            </w:pPr>
            <w:r>
              <w:rPr>
                <w:sz w:val="16"/>
                <w:lang w:val="en-GB"/>
              </w:rPr>
            </w:r>
          </w:p>
        </w:tc>
      </w:tr>
      <w:tr>
        <w:trPr>
          <w:cantSplit w:val="false"/>
        </w:trPr>
        <w:tc>
          <w:tcPr>
            <w:tcW w:w="1472"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Doraiswamy 2002</w:t>
            </w:r>
          </w:p>
        </w:tc>
        <w:tc>
          <w:tcPr>
            <w:tcW w:w="1076"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068"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049"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34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0 - 3</w:t>
            </w:r>
          </w:p>
          <w:p>
            <w:pPr>
              <w:pStyle w:val="Normal"/>
              <w:jc w:val="center"/>
              <w:rPr>
                <w:sz w:val="16"/>
                <w:lang w:val="en-GB"/>
              </w:rPr>
            </w:pPr>
            <w:r>
              <w:rPr>
                <w:sz w:val="16"/>
                <w:lang w:val="en-GB"/>
              </w:rPr>
            </w:r>
          </w:p>
        </w:tc>
        <w:tc>
          <w:tcPr>
            <w:tcW w:w="243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LOCF</w:t>
            </w:r>
          </w:p>
        </w:tc>
        <w:tc>
          <w:tcPr>
            <w:tcW w:w="218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OCA</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snapToGrid w:val="false"/>
              <w:jc w:val="center"/>
              <w:rPr>
                <w:sz w:val="16"/>
                <w:lang w:val="en-GB"/>
              </w:rPr>
            </w:pPr>
            <w:r>
              <w:rPr>
                <w:sz w:val="16"/>
                <w:lang w:val="en-GB"/>
              </w:rPr>
            </w:r>
          </w:p>
        </w:tc>
        <w:tc>
          <w:tcPr>
            <w:tcW w:w="181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0C0C0" w:val="clear"/>
            <w:tcMar>
              <w:left w:w="103" w:type="dxa"/>
            </w:tcMar>
          </w:tcPr>
          <w:p>
            <w:pPr>
              <w:pStyle w:val="Normal"/>
              <w:snapToGrid w:val="false"/>
              <w:jc w:val="center"/>
              <w:rPr>
                <w:sz w:val="16"/>
                <w:lang w:val="en-GB"/>
              </w:rPr>
            </w:pPr>
            <w:r>
              <w:rPr>
                <w:sz w:val="16"/>
                <w:lang w:val="en-GB"/>
              </w:rPr>
            </w:r>
          </w:p>
        </w:tc>
      </w:tr>
      <w:tr>
        <w:trPr>
          <w:cantSplit w:val="false"/>
        </w:trPr>
        <w:tc>
          <w:tcPr>
            <w:tcW w:w="1472"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Karaman 2005</w:t>
            </w:r>
          </w:p>
        </w:tc>
        <w:tc>
          <w:tcPr>
            <w:tcW w:w="1076"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Heading4"/>
              <w:numPr>
                <w:ilvl w:val="3"/>
                <w:numId w:val="1"/>
              </w:numPr>
              <w:spacing w:lineRule="auto" w:line="240"/>
              <w:jc w:val="center"/>
              <w:rPr/>
            </w:pPr>
            <w:r>
              <w:rPr/>
              <w:t>Yes</w:t>
            </w:r>
          </w:p>
          <w:p>
            <w:pPr>
              <w:pStyle w:val="Normal"/>
              <w:jc w:val="center"/>
              <w:rPr>
                <w:sz w:val="16"/>
                <w:lang w:val="en-GB"/>
              </w:rPr>
            </w:pPr>
            <w:r>
              <w:rPr>
                <w:sz w:val="16"/>
                <w:lang w:val="en-GB"/>
              </w:rPr>
              <w:t>Placebo 0%</w:t>
            </w:r>
          </w:p>
          <w:p>
            <w:pPr>
              <w:pStyle w:val="Normal"/>
              <w:jc w:val="center"/>
              <w:rPr>
                <w:sz w:val="16"/>
                <w:lang w:val="en-GB"/>
              </w:rPr>
            </w:pPr>
            <w:r>
              <w:rPr>
                <w:sz w:val="16"/>
                <w:lang w:val="en-GB"/>
              </w:rPr>
              <w:t>6–12mg 13%</w:t>
            </w:r>
          </w:p>
        </w:tc>
        <w:tc>
          <w:tcPr>
            <w:tcW w:w="1068"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w:t>
            </w:r>
          </w:p>
        </w:tc>
        <w:tc>
          <w:tcPr>
            <w:tcW w:w="1049"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w:t>
            </w:r>
          </w:p>
        </w:tc>
        <w:tc>
          <w:tcPr>
            <w:tcW w:w="134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1</w:t>
            </w:r>
          </w:p>
        </w:tc>
        <w:tc>
          <w:tcPr>
            <w:tcW w:w="243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 ITT analysis performed</w:t>
            </w:r>
          </w:p>
        </w:tc>
        <w:tc>
          <w:tcPr>
            <w:tcW w:w="218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OCA</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snapToGrid w:val="false"/>
              <w:jc w:val="center"/>
              <w:rPr>
                <w:sz w:val="16"/>
                <w:lang w:val="en-GB"/>
              </w:rPr>
            </w:pPr>
            <w:r>
              <w:rPr>
                <w:sz w:val="16"/>
                <w:lang w:val="en-GB"/>
              </w:rPr>
            </w:r>
          </w:p>
          <w:p>
            <w:pPr>
              <w:pStyle w:val="Normal"/>
              <w:jc w:val="center"/>
              <w:rPr>
                <w:b/>
                <w:bCs/>
                <w:sz w:val="40"/>
                <w:lang w:val="en-GB"/>
              </w:rPr>
            </w:pPr>
            <w:r>
              <w:rPr>
                <w:b/>
                <w:bCs/>
                <w:sz w:val="40"/>
                <w:lang w:val="en-GB"/>
              </w:rPr>
              <w:t>+</w:t>
            </w:r>
          </w:p>
        </w:tc>
        <w:tc>
          <w:tcPr>
            <w:tcW w:w="181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0C0C0" w:val="clear"/>
            <w:tcMar>
              <w:left w:w="103" w:type="dxa"/>
            </w:tcMar>
          </w:tcPr>
          <w:p>
            <w:pPr>
              <w:pStyle w:val="Normal"/>
              <w:snapToGrid w:val="false"/>
              <w:jc w:val="center"/>
              <w:rPr>
                <w:sz w:val="16"/>
                <w:lang w:val="en-GB"/>
              </w:rPr>
            </w:pPr>
            <w:r>
              <w:rPr>
                <w:sz w:val="16"/>
                <w:lang w:val="en-GB"/>
              </w:rPr>
            </w:r>
          </w:p>
        </w:tc>
      </w:tr>
      <w:tr>
        <w:trPr>
          <w:cantSplit w:val="false"/>
        </w:trPr>
        <w:tc>
          <w:tcPr>
            <w:tcW w:w="1472"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b/>
                <w:bCs/>
                <w:i/>
                <w:iCs/>
                <w:sz w:val="16"/>
                <w:lang w:val="en-GB"/>
              </w:rPr>
            </w:pPr>
            <w:r>
              <w:rPr>
                <w:sz w:val="16"/>
                <w:lang w:val="en-GB"/>
              </w:rPr>
              <w:t xml:space="preserve">Bullock 2005 </w:t>
            </w:r>
            <w:r>
              <w:rPr>
                <w:b/>
                <w:bCs/>
                <w:i/>
                <w:iCs/>
                <w:sz w:val="16"/>
                <w:lang w:val="en-GB"/>
              </w:rPr>
              <w:t>(Rivastigmine vs. Donepezil)</w:t>
            </w:r>
          </w:p>
        </w:tc>
        <w:tc>
          <w:tcPr>
            <w:tcW w:w="1076"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Heading4"/>
              <w:numPr>
                <w:ilvl w:val="3"/>
                <w:numId w:val="1"/>
              </w:numPr>
              <w:spacing w:lineRule="auto" w:line="240"/>
              <w:jc w:val="center"/>
              <w:rPr/>
            </w:pPr>
            <w:r>
              <w:rPr/>
              <w:t>Yes</w:t>
            </w:r>
          </w:p>
          <w:p>
            <w:pPr>
              <w:pStyle w:val="Normal"/>
              <w:jc w:val="center"/>
              <w:rPr>
                <w:sz w:val="16"/>
                <w:lang w:val="en-GB"/>
              </w:rPr>
            </w:pPr>
            <w:r>
              <w:rPr>
                <w:sz w:val="16"/>
                <w:lang w:val="en-GB"/>
              </w:rPr>
              <w:t>Donepezil</w:t>
            </w:r>
          </w:p>
          <w:p>
            <w:pPr>
              <w:pStyle w:val="BodyText3"/>
              <w:spacing w:lineRule="auto" w:line="240"/>
              <w:jc w:val="center"/>
              <w:rPr>
                <w:b w:val="false"/>
                <w:bCs w:val="false"/>
                <w:lang w:val="en-GB"/>
              </w:rPr>
            </w:pPr>
            <w:r>
              <w:rPr>
                <w:b w:val="false"/>
                <w:bCs w:val="false"/>
                <w:lang w:val="en-GB"/>
              </w:rPr>
              <w:t>5–10mg 36%</w:t>
            </w:r>
          </w:p>
          <w:p>
            <w:pPr>
              <w:pStyle w:val="BodyText3"/>
              <w:spacing w:lineRule="auto" w:line="240"/>
              <w:jc w:val="center"/>
              <w:rPr>
                <w:lang w:val="en-GB"/>
              </w:rPr>
            </w:pPr>
            <w:r>
              <w:rPr>
                <w:lang w:val="en-GB"/>
              </w:rPr>
            </w:r>
          </w:p>
          <w:p>
            <w:pPr>
              <w:pStyle w:val="Normal"/>
              <w:jc w:val="center"/>
              <w:rPr>
                <w:sz w:val="16"/>
                <w:lang w:val="en-GB"/>
              </w:rPr>
            </w:pPr>
            <w:r>
              <w:rPr>
                <w:sz w:val="16"/>
                <w:lang w:val="en-GB"/>
              </w:rPr>
              <w:t>Rivastigmine 3–12mg 47%</w:t>
            </w:r>
          </w:p>
        </w:tc>
        <w:tc>
          <w:tcPr>
            <w:tcW w:w="1068"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Heading4"/>
              <w:numPr>
                <w:ilvl w:val="3"/>
                <w:numId w:val="1"/>
              </w:numPr>
              <w:spacing w:lineRule="auto" w:line="240"/>
              <w:jc w:val="center"/>
              <w:rPr/>
            </w:pPr>
            <w:r>
              <w:rPr/>
              <w:t>Yes</w:t>
            </w:r>
          </w:p>
        </w:tc>
        <w:tc>
          <w:tcPr>
            <w:tcW w:w="1049"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34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2 - 3</w:t>
            </w:r>
          </w:p>
          <w:p>
            <w:pPr>
              <w:pStyle w:val="Normal"/>
              <w:jc w:val="center"/>
              <w:rPr>
                <w:sz w:val="16"/>
                <w:lang w:val="en-GB"/>
              </w:rPr>
            </w:pPr>
            <w:r>
              <w:rPr>
                <w:sz w:val="16"/>
                <w:lang w:val="en-GB"/>
              </w:rPr>
            </w:r>
          </w:p>
        </w:tc>
        <w:tc>
          <w:tcPr>
            <w:tcW w:w="243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LOCF</w:t>
            </w:r>
          </w:p>
        </w:tc>
        <w:tc>
          <w:tcPr>
            <w:tcW w:w="218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rPr>
              <w:t>OCA,</w:t>
            </w:r>
            <w:r>
              <w:rPr/>
              <w:t xml:space="preserve"> </w:t>
            </w:r>
            <w:r>
              <w:rPr>
                <w:sz w:val="16"/>
                <w:lang w:val="en-GB"/>
              </w:rPr>
              <w:t>FEP</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snapToGrid w:val="false"/>
              <w:jc w:val="center"/>
              <w:rPr>
                <w:b/>
                <w:bCs/>
              </w:rPr>
            </w:pPr>
            <w:r>
              <w:rPr>
                <w:b/>
                <w:bCs/>
              </w:rPr>
            </w:r>
          </w:p>
        </w:tc>
        <w:tc>
          <w:tcPr>
            <w:tcW w:w="181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0C0C0" w:val="clear"/>
            <w:tcMar>
              <w:left w:w="103" w:type="dxa"/>
            </w:tcMar>
          </w:tcPr>
          <w:p>
            <w:pPr>
              <w:pStyle w:val="Normal"/>
              <w:snapToGrid w:val="false"/>
              <w:jc w:val="center"/>
              <w:rPr>
                <w:b/>
                <w:bCs/>
              </w:rPr>
            </w:pPr>
            <w:r>
              <w:rPr>
                <w:b/>
                <w:bCs/>
              </w:rPr>
            </w:r>
          </w:p>
          <w:p>
            <w:pPr>
              <w:pStyle w:val="Normal"/>
              <w:jc w:val="center"/>
              <w:rPr>
                <w:b/>
                <w:bCs/>
                <w:sz w:val="40"/>
                <w:lang w:val="en-GB"/>
              </w:rPr>
            </w:pPr>
            <w:r>
              <w:rPr>
                <w:b/>
                <w:bCs/>
                <w:sz w:val="40"/>
                <w:lang w:val="en-GB"/>
              </w:rPr>
              <w:t>+</w:t>
            </w:r>
          </w:p>
        </w:tc>
      </w:tr>
      <w:tr>
        <w:trPr>
          <w:cantSplit w:val="false"/>
        </w:trPr>
        <w:tc>
          <w:tcPr>
            <w:tcW w:w="1472"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Feldman 2007</w:t>
            </w:r>
          </w:p>
          <w:p>
            <w:pPr>
              <w:pStyle w:val="Normal"/>
              <w:jc w:val="center"/>
              <w:rPr>
                <w:sz w:val="16"/>
                <w:lang w:val="fr-CA"/>
              </w:rPr>
            </w:pPr>
            <w:r>
              <w:rPr>
                <w:sz w:val="16"/>
                <w:lang w:val="fr-CA"/>
              </w:rPr>
              <w:t>J Neurol Neurosurg Psychiatry</w:t>
            </w:r>
          </w:p>
        </w:tc>
        <w:tc>
          <w:tcPr>
            <w:tcW w:w="1076"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Heading4"/>
              <w:numPr>
                <w:ilvl w:val="3"/>
                <w:numId w:val="1"/>
              </w:numPr>
              <w:spacing w:lineRule="auto" w:line="240"/>
              <w:jc w:val="center"/>
              <w:rPr/>
            </w:pPr>
            <w:r>
              <w:rPr/>
              <w:t>Yes</w:t>
            </w:r>
          </w:p>
          <w:p>
            <w:pPr>
              <w:pStyle w:val="BalloonText"/>
              <w:rPr>
                <w:rFonts w:cs="Times New Roman" w:ascii="Times New Roman" w:hAnsi="Times New Roman"/>
                <w:szCs w:val="24"/>
                <w:lang w:val="en-GB"/>
              </w:rPr>
            </w:pPr>
            <w:r>
              <w:rPr>
                <w:rFonts w:cs="Times New Roman" w:ascii="Times New Roman" w:hAnsi="Times New Roman"/>
                <w:szCs w:val="24"/>
                <w:lang w:val="en-GB"/>
              </w:rPr>
              <w:t>Placebo 15%</w:t>
            </w:r>
          </w:p>
          <w:p>
            <w:pPr>
              <w:pStyle w:val="Normal"/>
              <w:rPr>
                <w:sz w:val="16"/>
                <w:lang w:val="en-GB"/>
              </w:rPr>
            </w:pPr>
            <w:r>
              <w:rPr>
                <w:sz w:val="16"/>
                <w:lang w:val="en-GB"/>
              </w:rPr>
              <w:t>Riv bid  24%</w:t>
            </w:r>
          </w:p>
          <w:p>
            <w:pPr>
              <w:pStyle w:val="Normal"/>
              <w:rPr>
                <w:sz w:val="16"/>
                <w:lang w:val="en-GB"/>
              </w:rPr>
            </w:pPr>
            <w:r>
              <w:rPr>
                <w:sz w:val="16"/>
                <w:lang w:val="en-GB"/>
              </w:rPr>
              <w:t>Riv tid 17%</w:t>
            </w:r>
          </w:p>
        </w:tc>
        <w:tc>
          <w:tcPr>
            <w:tcW w:w="1068"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Heading4"/>
              <w:numPr>
                <w:ilvl w:val="3"/>
                <w:numId w:val="1"/>
              </w:numPr>
              <w:spacing w:lineRule="auto" w:line="240"/>
              <w:jc w:val="center"/>
              <w:rPr>
                <w:b w:val="false"/>
                <w:bCs w:val="false"/>
              </w:rPr>
            </w:pPr>
            <w:r>
              <w:rPr>
                <w:b w:val="false"/>
                <w:bCs w:val="false"/>
              </w:rPr>
              <w:t>Not ruled out</w:t>
            </w:r>
          </w:p>
        </w:tc>
        <w:tc>
          <w:tcPr>
            <w:tcW w:w="1049"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34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1 - 3</w:t>
            </w:r>
          </w:p>
        </w:tc>
        <w:tc>
          <w:tcPr>
            <w:tcW w:w="243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LOCF</w:t>
            </w:r>
          </w:p>
        </w:tc>
        <w:tc>
          <w:tcPr>
            <w:tcW w:w="218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 xml:space="preserve">OCA. </w:t>
            </w:r>
          </w:p>
          <w:p>
            <w:pPr>
              <w:pStyle w:val="Normal"/>
              <w:jc w:val="center"/>
              <w:rPr>
                <w:sz w:val="16"/>
                <w:lang w:val="en-GB"/>
              </w:rPr>
            </w:pPr>
            <w:r>
              <w:rPr>
                <w:sz w:val="16"/>
                <w:lang w:val="en-GB"/>
              </w:rPr>
              <w:t>Retrieved dropout + LOCF</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snapToGrid w:val="false"/>
              <w:jc w:val="center"/>
              <w:rPr>
                <w:b/>
                <w:bCs/>
                <w:lang w:val="en-GB"/>
              </w:rPr>
            </w:pPr>
            <w:r>
              <w:rPr>
                <w:b/>
                <w:bCs/>
                <w:lang w:val="en-GB"/>
              </w:rPr>
            </w:r>
          </w:p>
        </w:tc>
        <w:tc>
          <w:tcPr>
            <w:tcW w:w="181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0C0C0" w:val="clear"/>
            <w:tcMar>
              <w:left w:w="103" w:type="dxa"/>
            </w:tcMar>
          </w:tcPr>
          <w:p>
            <w:pPr>
              <w:pStyle w:val="Normal"/>
              <w:snapToGrid w:val="false"/>
              <w:jc w:val="center"/>
              <w:rPr>
                <w:b/>
                <w:bCs/>
                <w:lang w:val="en-GB"/>
              </w:rPr>
            </w:pPr>
            <w:r>
              <w:rPr>
                <w:b/>
                <w:bCs/>
                <w:lang w:val="en-GB"/>
              </w:rPr>
            </w:r>
          </w:p>
          <w:p>
            <w:pPr>
              <w:pStyle w:val="Normal"/>
              <w:jc w:val="center"/>
              <w:rPr>
                <w:b/>
                <w:bCs/>
                <w:sz w:val="40"/>
                <w:lang w:val="en-GB"/>
              </w:rPr>
            </w:pPr>
            <w:r>
              <w:rPr>
                <w:b/>
                <w:bCs/>
                <w:sz w:val="40"/>
                <w:lang w:val="en-GB"/>
              </w:rPr>
              <w:t>+</w:t>
            </w:r>
          </w:p>
        </w:tc>
      </w:tr>
      <w:tr>
        <w:trPr>
          <w:cantSplit w:val="false"/>
        </w:trPr>
        <w:tc>
          <w:tcPr>
            <w:tcW w:w="1472"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Mowla 2007</w:t>
            </w:r>
          </w:p>
        </w:tc>
        <w:tc>
          <w:tcPr>
            <w:tcW w:w="1076"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Heading4"/>
              <w:numPr>
                <w:ilvl w:val="3"/>
                <w:numId w:val="1"/>
              </w:numPr>
              <w:spacing w:lineRule="auto" w:line="240"/>
              <w:jc w:val="center"/>
              <w:rPr>
                <w:b w:val="false"/>
                <w:bCs w:val="false"/>
              </w:rPr>
            </w:pPr>
            <w:r>
              <w:rPr>
                <w:b w:val="false"/>
                <w:bCs w:val="false"/>
              </w:rPr>
              <w:t>No</w:t>
            </w:r>
          </w:p>
        </w:tc>
        <w:tc>
          <w:tcPr>
            <w:tcW w:w="1068"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Heading4"/>
              <w:numPr>
                <w:ilvl w:val="3"/>
                <w:numId w:val="1"/>
              </w:numPr>
              <w:spacing w:lineRule="auto" w:line="240"/>
              <w:jc w:val="center"/>
              <w:rPr>
                <w:b w:val="false"/>
                <w:bCs w:val="false"/>
              </w:rPr>
            </w:pPr>
            <w:r>
              <w:rPr>
                <w:b w:val="false"/>
                <w:bCs w:val="false"/>
              </w:rPr>
              <w:t>Not ruled out</w:t>
            </w:r>
          </w:p>
        </w:tc>
        <w:tc>
          <w:tcPr>
            <w:tcW w:w="1049"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34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0 - 2</w:t>
            </w:r>
          </w:p>
        </w:tc>
        <w:tc>
          <w:tcPr>
            <w:tcW w:w="243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rPr>
            </w:pPr>
            <w:r>
              <w:rPr>
                <w:sz w:val="16"/>
              </w:rPr>
              <w:t>Type of analysis not specified</w:t>
            </w:r>
          </w:p>
        </w:tc>
        <w:tc>
          <w:tcPr>
            <w:tcW w:w="218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rPr>
            </w:pPr>
            <w:r>
              <w:rPr>
                <w:sz w:val="16"/>
              </w:rPr>
              <w:t>Type of analysis not specified</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snapToGrid w:val="false"/>
              <w:jc w:val="center"/>
              <w:rPr>
                <w:b/>
                <w:bCs/>
                <w:lang w:val="en-GB"/>
              </w:rPr>
            </w:pPr>
            <w:r>
              <w:rPr>
                <w:b/>
                <w:bCs/>
                <w:lang w:val="en-GB"/>
              </w:rPr>
            </w:r>
          </w:p>
          <w:p>
            <w:pPr>
              <w:pStyle w:val="Normal"/>
              <w:jc w:val="center"/>
              <w:rPr>
                <w:b/>
                <w:bCs/>
                <w:sz w:val="40"/>
                <w:lang w:val="en-GB"/>
              </w:rPr>
            </w:pPr>
            <w:r>
              <w:rPr>
                <w:b/>
                <w:bCs/>
                <w:sz w:val="40"/>
                <w:lang w:val="en-GB"/>
              </w:rPr>
              <w:t>+</w:t>
            </w:r>
          </w:p>
        </w:tc>
        <w:tc>
          <w:tcPr>
            <w:tcW w:w="181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0C0C0" w:val="clear"/>
            <w:tcMar>
              <w:left w:w="103" w:type="dxa"/>
            </w:tcMar>
          </w:tcPr>
          <w:p>
            <w:pPr>
              <w:pStyle w:val="Normal"/>
              <w:snapToGrid w:val="false"/>
              <w:jc w:val="center"/>
              <w:rPr>
                <w:b/>
                <w:bCs/>
                <w:lang w:val="en-GB"/>
              </w:rPr>
            </w:pPr>
            <w:r>
              <w:rPr>
                <w:b/>
                <w:bCs/>
                <w:lang w:val="en-GB"/>
              </w:rPr>
            </w:r>
          </w:p>
        </w:tc>
      </w:tr>
      <w:tr>
        <w:trPr>
          <w:cantSplit w:val="false"/>
        </w:trPr>
        <w:tc>
          <w:tcPr>
            <w:tcW w:w="1472"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Winblad 2007</w:t>
            </w:r>
          </w:p>
        </w:tc>
        <w:tc>
          <w:tcPr>
            <w:tcW w:w="1076"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Heading4"/>
              <w:numPr>
                <w:ilvl w:val="3"/>
                <w:numId w:val="1"/>
              </w:numPr>
              <w:spacing w:lineRule="auto" w:line="240"/>
              <w:jc w:val="center"/>
              <w:rPr/>
            </w:pPr>
            <w:r>
              <w:rPr/>
              <w:t>Yes</w:t>
            </w:r>
          </w:p>
          <w:p>
            <w:pPr>
              <w:pStyle w:val="BalloonText"/>
              <w:rPr>
                <w:rFonts w:cs="Times New Roman" w:ascii="Times New Roman" w:hAnsi="Times New Roman"/>
                <w:szCs w:val="24"/>
                <w:lang w:val="en-GB"/>
              </w:rPr>
            </w:pPr>
            <w:r>
              <w:rPr>
                <w:rFonts w:cs="Times New Roman" w:ascii="Times New Roman" w:hAnsi="Times New Roman"/>
                <w:szCs w:val="24"/>
                <w:lang w:val="en-GB"/>
              </w:rPr>
              <w:t>Placebo 12%</w:t>
            </w:r>
          </w:p>
          <w:p>
            <w:pPr>
              <w:pStyle w:val="Normal"/>
              <w:rPr>
                <w:sz w:val="16"/>
                <w:lang w:val="en-GB"/>
              </w:rPr>
            </w:pPr>
            <w:r>
              <w:rPr>
                <w:sz w:val="16"/>
                <w:lang w:val="en-GB"/>
              </w:rPr>
              <w:t>10cm</w:t>
            </w:r>
            <w:r>
              <w:rPr>
                <w:sz w:val="16"/>
                <w:vertAlign w:val="superscript"/>
                <w:lang w:val="en-GB"/>
              </w:rPr>
              <w:t>2</w:t>
            </w:r>
            <w:r>
              <w:rPr>
                <w:sz w:val="16"/>
                <w:lang w:val="en-GB"/>
              </w:rPr>
              <w:t xml:space="preserve">    22%</w:t>
            </w:r>
          </w:p>
          <w:p>
            <w:pPr>
              <w:pStyle w:val="Normal"/>
              <w:rPr>
                <w:sz w:val="16"/>
                <w:lang w:val="en-GB"/>
              </w:rPr>
            </w:pPr>
            <w:r>
              <w:rPr>
                <w:sz w:val="16"/>
                <w:lang w:val="en-GB"/>
              </w:rPr>
              <w:t>20cm</w:t>
            </w:r>
            <w:r>
              <w:rPr>
                <w:sz w:val="16"/>
                <w:vertAlign w:val="superscript"/>
                <w:lang w:val="en-GB"/>
              </w:rPr>
              <w:t>2</w:t>
            </w:r>
            <w:r>
              <w:rPr>
                <w:sz w:val="16"/>
                <w:lang w:val="en-GB"/>
              </w:rPr>
              <w:t xml:space="preserve">    21%</w:t>
            </w:r>
          </w:p>
          <w:p>
            <w:pPr>
              <w:pStyle w:val="Normal"/>
              <w:rPr>
                <w:sz w:val="16"/>
                <w:lang w:val="en-GB"/>
              </w:rPr>
            </w:pPr>
            <w:r>
              <w:rPr>
                <w:sz w:val="16"/>
                <w:lang w:val="en-GB"/>
              </w:rPr>
              <w:t>12mg    22%</w:t>
            </w:r>
          </w:p>
        </w:tc>
        <w:tc>
          <w:tcPr>
            <w:tcW w:w="1068"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Heading4"/>
              <w:numPr>
                <w:ilvl w:val="3"/>
                <w:numId w:val="1"/>
              </w:numPr>
              <w:spacing w:lineRule="auto" w:line="240"/>
              <w:jc w:val="center"/>
              <w:rPr>
                <w:b w:val="false"/>
                <w:bCs w:val="false"/>
              </w:rPr>
            </w:pPr>
            <w:r>
              <w:rPr>
                <w:b w:val="false"/>
                <w:bCs w:val="false"/>
              </w:rPr>
              <w:t>Not ruled out</w:t>
            </w:r>
          </w:p>
        </w:tc>
        <w:tc>
          <w:tcPr>
            <w:tcW w:w="1049"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34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1 - 3</w:t>
            </w:r>
          </w:p>
        </w:tc>
        <w:tc>
          <w:tcPr>
            <w:tcW w:w="243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LOCF</w:t>
            </w:r>
          </w:p>
        </w:tc>
        <w:tc>
          <w:tcPr>
            <w:tcW w:w="218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OCA</w:t>
            </w:r>
          </w:p>
          <w:p>
            <w:pPr>
              <w:pStyle w:val="Normal"/>
              <w:jc w:val="center"/>
              <w:rPr>
                <w:sz w:val="16"/>
                <w:lang w:val="en-GB"/>
              </w:rPr>
            </w:pPr>
            <w:r>
              <w:rPr>
                <w:sz w:val="16"/>
                <w:lang w:val="en-GB"/>
              </w:rPr>
              <w:t>Retrieved dropout</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snapToGrid w:val="false"/>
              <w:jc w:val="center"/>
              <w:rPr>
                <w:b/>
                <w:bCs/>
                <w:lang w:val="en-GB"/>
              </w:rPr>
            </w:pPr>
            <w:r>
              <w:rPr>
                <w:b/>
                <w:bCs/>
                <w:lang w:val="en-GB"/>
              </w:rPr>
            </w:r>
          </w:p>
        </w:tc>
        <w:tc>
          <w:tcPr>
            <w:tcW w:w="181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0C0C0" w:val="clear"/>
            <w:tcMar>
              <w:left w:w="103" w:type="dxa"/>
            </w:tcMar>
          </w:tcPr>
          <w:p>
            <w:pPr>
              <w:pStyle w:val="Normal"/>
              <w:snapToGrid w:val="false"/>
              <w:jc w:val="center"/>
              <w:rPr>
                <w:b/>
                <w:bCs/>
                <w:lang w:val="en-GB"/>
              </w:rPr>
            </w:pPr>
            <w:r>
              <w:rPr>
                <w:b/>
                <w:bCs/>
                <w:lang w:val="en-GB"/>
              </w:rPr>
            </w:r>
          </w:p>
          <w:p>
            <w:pPr>
              <w:pStyle w:val="Normal"/>
              <w:jc w:val="center"/>
              <w:rPr>
                <w:b/>
                <w:bCs/>
                <w:sz w:val="40"/>
                <w:lang w:val="en-GB"/>
              </w:rPr>
            </w:pPr>
            <w:r>
              <w:rPr>
                <w:b/>
                <w:bCs/>
                <w:sz w:val="40"/>
                <w:lang w:val="en-GB"/>
              </w:rPr>
              <w:t>+</w:t>
            </w:r>
          </w:p>
        </w:tc>
      </w:tr>
      <w:tr>
        <w:trPr>
          <w:trHeight w:val="215" w:hRule="atLeast"/>
          <w:cantSplit w:val="false"/>
        </w:trPr>
        <w:tc>
          <w:tcPr>
            <w:tcW w:w="14230" w:type="dxa"/>
            <w:gridSpan w:val="9"/>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E0E0E0" w:val="clear"/>
            <w:tcMar>
              <w:left w:w="103" w:type="dxa"/>
            </w:tcMar>
          </w:tcPr>
          <w:p>
            <w:pPr>
              <w:pStyle w:val="Normal"/>
              <w:rPr>
                <w:b/>
                <w:sz w:val="16"/>
                <w:lang w:val="en-GB"/>
              </w:rPr>
            </w:pPr>
            <w:r>
              <w:rPr>
                <w:b/>
                <w:sz w:val="16"/>
                <w:lang w:val="en-GB"/>
              </w:rPr>
              <w:t>Galantamine in Alzheimer’s Dementia</w:t>
            </w:r>
          </w:p>
        </w:tc>
      </w:tr>
      <w:tr>
        <w:trPr>
          <w:cantSplit w:val="false"/>
        </w:trPr>
        <w:tc>
          <w:tcPr>
            <w:tcW w:w="1472"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Raskind 2000</w:t>
            </w:r>
          </w:p>
        </w:tc>
        <w:tc>
          <w:tcPr>
            <w:tcW w:w="1076"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Heading4"/>
              <w:numPr>
                <w:ilvl w:val="3"/>
                <w:numId w:val="1"/>
              </w:numPr>
              <w:spacing w:lineRule="auto" w:line="240"/>
              <w:jc w:val="center"/>
              <w:rPr/>
            </w:pPr>
            <w:r>
              <w:rPr/>
              <w:t>Yes</w:t>
            </w:r>
          </w:p>
          <w:p>
            <w:pPr>
              <w:pStyle w:val="Normal"/>
              <w:jc w:val="center"/>
              <w:rPr>
                <w:sz w:val="16"/>
                <w:lang w:val="en-GB"/>
              </w:rPr>
            </w:pPr>
            <w:r>
              <w:rPr>
                <w:sz w:val="16"/>
                <w:lang w:val="en-GB"/>
              </w:rPr>
              <w:t>Placebo  9% 24 mg   32%</w:t>
            </w:r>
          </w:p>
          <w:p>
            <w:pPr>
              <w:pStyle w:val="Normal"/>
              <w:jc w:val="center"/>
              <w:rPr>
                <w:sz w:val="16"/>
                <w:lang w:val="en-GB"/>
              </w:rPr>
            </w:pPr>
            <w:r>
              <w:rPr>
                <w:sz w:val="16"/>
                <w:lang w:val="en-GB"/>
              </w:rPr>
              <w:t>32 mg   42%</w:t>
            </w:r>
          </w:p>
        </w:tc>
        <w:tc>
          <w:tcPr>
            <w:tcW w:w="1068"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049"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34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1 - 3</w:t>
            </w:r>
          </w:p>
        </w:tc>
        <w:tc>
          <w:tcPr>
            <w:tcW w:w="2430" w:type="dxa"/>
            <w:tcBorders>
              <w:top w:val="single" w:sz="4" w:space="0" w:color="000000"/>
              <w:left w:val="single" w:sz="4" w:space="0" w:color="000000"/>
              <w:bottom w:val="single" w:sz="4" w:space="0" w:color="000000"/>
              <w:insideH w:val="single" w:sz="4" w:space="0" w:color="000000"/>
              <w:right w:val="nil"/>
              <w:insideV w:val="nil"/>
            </w:tcBorders>
            <w:shd w:fill="B3B3B3" w:val="clear"/>
            <w:tcMar>
              <w:left w:w="103" w:type="dxa"/>
            </w:tcMar>
          </w:tcPr>
          <w:p>
            <w:pPr>
              <w:pStyle w:val="Normal"/>
              <w:jc w:val="center"/>
              <w:rPr>
                <w:b/>
                <w:bCs/>
                <w:sz w:val="16"/>
                <w:lang w:val="en-GB"/>
              </w:rPr>
            </w:pPr>
            <w:r>
              <w:rPr>
                <w:sz w:val="16"/>
                <w:lang w:val="en-GB"/>
              </w:rPr>
              <w:t>LOCF,</w:t>
            </w:r>
            <w:r>
              <w:rPr>
                <w:b/>
                <w:bCs/>
                <w:sz w:val="16"/>
                <w:lang w:val="en-GB"/>
              </w:rPr>
              <w:t xml:space="preserve"> The time response relationship for change in ADAScog/11 was analysed using generalized linear interactive modelling (results of modelling not provided)</w:t>
            </w:r>
          </w:p>
        </w:tc>
        <w:tc>
          <w:tcPr>
            <w:tcW w:w="218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OCA</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snapToGrid w:val="false"/>
              <w:jc w:val="center"/>
              <w:rPr>
                <w:sz w:val="16"/>
                <w:lang w:val="en-GB"/>
              </w:rPr>
            </w:pPr>
            <w:r>
              <w:rPr>
                <w:sz w:val="16"/>
                <w:lang w:val="en-GB"/>
              </w:rPr>
            </w:r>
          </w:p>
        </w:tc>
        <w:tc>
          <w:tcPr>
            <w:tcW w:w="181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0C0C0" w:val="clear"/>
            <w:tcMar>
              <w:left w:w="103" w:type="dxa"/>
            </w:tcMar>
          </w:tcPr>
          <w:p>
            <w:pPr>
              <w:pStyle w:val="Normal"/>
              <w:snapToGrid w:val="false"/>
              <w:jc w:val="center"/>
              <w:rPr>
                <w:sz w:val="16"/>
                <w:lang w:val="en-GB"/>
              </w:rPr>
            </w:pPr>
            <w:r>
              <w:rPr>
                <w:sz w:val="16"/>
                <w:lang w:val="en-GB"/>
              </w:rPr>
            </w:r>
          </w:p>
        </w:tc>
      </w:tr>
      <w:tr>
        <w:trPr>
          <w:cantSplit w:val="false"/>
        </w:trPr>
        <w:tc>
          <w:tcPr>
            <w:tcW w:w="1472"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Tariot 2000</w:t>
            </w:r>
          </w:p>
        </w:tc>
        <w:tc>
          <w:tcPr>
            <w:tcW w:w="1076"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Heading4"/>
              <w:numPr>
                <w:ilvl w:val="3"/>
                <w:numId w:val="1"/>
              </w:numPr>
              <w:spacing w:lineRule="auto" w:line="240"/>
              <w:jc w:val="center"/>
              <w:rPr/>
            </w:pPr>
            <w:r>
              <w:rPr/>
              <w:t>Yes</w:t>
            </w:r>
          </w:p>
          <w:p>
            <w:pPr>
              <w:pStyle w:val="Normal"/>
              <w:jc w:val="center"/>
              <w:rPr>
                <w:sz w:val="16"/>
                <w:lang w:val="en-GB"/>
              </w:rPr>
            </w:pPr>
            <w:r>
              <w:rPr>
                <w:sz w:val="16"/>
                <w:lang w:val="en-GB"/>
              </w:rPr>
              <w:t>Placebo 16% 8 mg      23%</w:t>
            </w:r>
          </w:p>
          <w:p>
            <w:pPr>
              <w:pStyle w:val="Normal"/>
              <w:jc w:val="center"/>
              <w:rPr>
                <w:sz w:val="16"/>
                <w:lang w:val="en-GB"/>
              </w:rPr>
            </w:pPr>
            <w:r>
              <w:rPr>
                <w:sz w:val="16"/>
                <w:lang w:val="en-GB"/>
              </w:rPr>
              <w:t>16mg     22%</w:t>
            </w:r>
          </w:p>
          <w:p>
            <w:pPr>
              <w:pStyle w:val="BodyText3"/>
              <w:spacing w:lineRule="auto" w:line="240"/>
              <w:jc w:val="center"/>
              <w:rPr>
                <w:b w:val="false"/>
                <w:bCs w:val="false"/>
                <w:lang w:val="en-GB"/>
              </w:rPr>
            </w:pPr>
            <w:r>
              <w:rPr>
                <w:b w:val="false"/>
                <w:bCs w:val="false"/>
                <w:lang w:val="en-GB"/>
              </w:rPr>
              <w:t>24 mg    22%</w:t>
            </w:r>
          </w:p>
        </w:tc>
        <w:tc>
          <w:tcPr>
            <w:tcW w:w="1068"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049"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34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1 - 3</w:t>
            </w:r>
          </w:p>
        </w:tc>
        <w:tc>
          <w:tcPr>
            <w:tcW w:w="243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LOCF</w:t>
            </w:r>
          </w:p>
        </w:tc>
        <w:tc>
          <w:tcPr>
            <w:tcW w:w="218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OCA</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snapToGrid w:val="false"/>
              <w:jc w:val="center"/>
              <w:rPr>
                <w:sz w:val="16"/>
                <w:lang w:val="en-GB"/>
              </w:rPr>
            </w:pPr>
            <w:r>
              <w:rPr>
                <w:sz w:val="16"/>
                <w:lang w:val="en-GB"/>
              </w:rPr>
            </w:r>
          </w:p>
        </w:tc>
        <w:tc>
          <w:tcPr>
            <w:tcW w:w="181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0C0C0" w:val="clear"/>
            <w:tcMar>
              <w:left w:w="103" w:type="dxa"/>
            </w:tcMar>
          </w:tcPr>
          <w:p>
            <w:pPr>
              <w:pStyle w:val="Normal"/>
              <w:snapToGrid w:val="false"/>
              <w:jc w:val="center"/>
              <w:rPr>
                <w:sz w:val="16"/>
                <w:lang w:val="en-GB"/>
              </w:rPr>
            </w:pPr>
            <w:r>
              <w:rPr>
                <w:sz w:val="16"/>
                <w:lang w:val="en-GB"/>
              </w:rPr>
            </w:r>
          </w:p>
          <w:p>
            <w:pPr>
              <w:pStyle w:val="Normal"/>
              <w:jc w:val="center"/>
              <w:rPr>
                <w:b/>
                <w:bCs/>
                <w:sz w:val="40"/>
                <w:lang w:val="en-GB"/>
              </w:rPr>
            </w:pPr>
            <w:r>
              <w:rPr>
                <w:b/>
                <w:bCs/>
                <w:sz w:val="40"/>
                <w:lang w:val="en-GB"/>
              </w:rPr>
              <w:t>+</w:t>
            </w:r>
          </w:p>
        </w:tc>
      </w:tr>
      <w:tr>
        <w:trPr>
          <w:cantSplit w:val="false"/>
        </w:trPr>
        <w:tc>
          <w:tcPr>
            <w:tcW w:w="1472"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Wilcock 2000</w:t>
            </w:r>
          </w:p>
        </w:tc>
        <w:tc>
          <w:tcPr>
            <w:tcW w:w="1076"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Heading4"/>
              <w:numPr>
                <w:ilvl w:val="3"/>
                <w:numId w:val="1"/>
              </w:numPr>
              <w:spacing w:lineRule="auto" w:line="240"/>
              <w:jc w:val="center"/>
              <w:rPr/>
            </w:pPr>
            <w:r>
              <w:rPr/>
              <w:t>Yes</w:t>
            </w:r>
          </w:p>
          <w:p>
            <w:pPr>
              <w:pStyle w:val="Normal"/>
              <w:jc w:val="center"/>
              <w:rPr>
                <w:sz w:val="16"/>
                <w:lang w:val="en-GB"/>
              </w:rPr>
            </w:pPr>
            <w:r>
              <w:rPr>
                <w:sz w:val="16"/>
                <w:lang w:val="en-GB"/>
              </w:rPr>
              <w:t>Placebo 13%</w:t>
            </w:r>
          </w:p>
          <w:p>
            <w:pPr>
              <w:pStyle w:val="Normal"/>
              <w:jc w:val="center"/>
              <w:rPr>
                <w:sz w:val="16"/>
                <w:lang w:val="en-GB"/>
              </w:rPr>
            </w:pPr>
            <w:r>
              <w:rPr>
                <w:sz w:val="16"/>
                <w:lang w:val="en-GB"/>
              </w:rPr>
              <w:t>24mg    20%</w:t>
            </w:r>
          </w:p>
          <w:p>
            <w:pPr>
              <w:pStyle w:val="Normal"/>
              <w:jc w:val="center"/>
              <w:rPr>
                <w:sz w:val="16"/>
                <w:lang w:val="en-GB"/>
              </w:rPr>
            </w:pPr>
            <w:r>
              <w:rPr>
                <w:sz w:val="16"/>
                <w:lang w:val="en-GB"/>
              </w:rPr>
              <w:t>32mg    25%</w:t>
            </w:r>
          </w:p>
          <w:p>
            <w:pPr>
              <w:pStyle w:val="Normal"/>
              <w:jc w:val="center"/>
              <w:rPr>
                <w:sz w:val="16"/>
                <w:lang w:val="en-GB"/>
              </w:rPr>
            </w:pPr>
            <w:r>
              <w:rPr>
                <w:sz w:val="16"/>
                <w:lang w:val="en-GB"/>
              </w:rPr>
            </w:r>
          </w:p>
        </w:tc>
        <w:tc>
          <w:tcPr>
            <w:tcW w:w="1068"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049"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34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1 - 3</w:t>
            </w:r>
          </w:p>
        </w:tc>
        <w:tc>
          <w:tcPr>
            <w:tcW w:w="2430" w:type="dxa"/>
            <w:tcBorders>
              <w:top w:val="single" w:sz="4" w:space="0" w:color="000000"/>
              <w:left w:val="single" w:sz="4" w:space="0" w:color="000000"/>
              <w:bottom w:val="single" w:sz="4" w:space="0" w:color="000000"/>
              <w:insideH w:val="single" w:sz="4" w:space="0" w:color="000000"/>
              <w:right w:val="nil"/>
              <w:insideV w:val="nil"/>
            </w:tcBorders>
            <w:shd w:fill="B3B3B3" w:val="clear"/>
            <w:tcMar>
              <w:left w:w="103" w:type="dxa"/>
            </w:tcMar>
          </w:tcPr>
          <w:p>
            <w:pPr>
              <w:pStyle w:val="Normal"/>
              <w:jc w:val="center"/>
              <w:rPr>
                <w:sz w:val="16"/>
                <w:lang w:val="en-GB"/>
              </w:rPr>
            </w:pPr>
            <w:r>
              <w:rPr>
                <w:sz w:val="16"/>
                <w:lang w:val="en-GB"/>
              </w:rPr>
              <w:t>Term LOCF not employed but technique described in paper,</w:t>
            </w:r>
          </w:p>
          <w:p>
            <w:pPr>
              <w:pStyle w:val="Normal"/>
              <w:jc w:val="center"/>
              <w:rPr>
                <w:b/>
                <w:bCs/>
                <w:sz w:val="16"/>
                <w:lang w:val="en-GB"/>
              </w:rPr>
            </w:pPr>
            <w:r>
              <w:rPr>
                <w:b/>
                <w:bCs/>
                <w:sz w:val="16"/>
                <w:lang w:val="en-GB"/>
              </w:rPr>
              <w:t>The time response relationship for change in ADAScog/11 was analysed using generalized linear  mixed modelling</w:t>
            </w:r>
          </w:p>
          <w:p>
            <w:pPr>
              <w:pStyle w:val="Normal"/>
              <w:jc w:val="center"/>
              <w:rPr>
                <w:b/>
                <w:bCs/>
                <w:sz w:val="16"/>
                <w:lang w:val="en-GB"/>
              </w:rPr>
            </w:pPr>
            <w:r>
              <w:rPr>
                <w:b/>
                <w:bCs/>
                <w:sz w:val="16"/>
                <w:lang w:val="en-GB"/>
              </w:rPr>
              <w:t>(results of modelling not provided)</w:t>
            </w:r>
          </w:p>
        </w:tc>
        <w:tc>
          <w:tcPr>
            <w:tcW w:w="218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OCA</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snapToGrid w:val="false"/>
              <w:jc w:val="center"/>
              <w:rPr>
                <w:sz w:val="16"/>
                <w:lang w:val="en-GB"/>
              </w:rPr>
            </w:pPr>
            <w:r>
              <w:rPr>
                <w:sz w:val="16"/>
                <w:lang w:val="en-GB"/>
              </w:rPr>
            </w:r>
          </w:p>
        </w:tc>
        <w:tc>
          <w:tcPr>
            <w:tcW w:w="181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0C0C0" w:val="clear"/>
            <w:tcMar>
              <w:left w:w="103" w:type="dxa"/>
            </w:tcMar>
          </w:tcPr>
          <w:p>
            <w:pPr>
              <w:pStyle w:val="Normal"/>
              <w:snapToGrid w:val="false"/>
              <w:jc w:val="center"/>
              <w:rPr>
                <w:sz w:val="16"/>
                <w:lang w:val="en-GB"/>
              </w:rPr>
            </w:pPr>
            <w:r>
              <w:rPr>
                <w:sz w:val="16"/>
                <w:lang w:val="en-GB"/>
              </w:rPr>
            </w:r>
          </w:p>
        </w:tc>
      </w:tr>
      <w:tr>
        <w:trPr>
          <w:cantSplit w:val="false"/>
        </w:trPr>
        <w:tc>
          <w:tcPr>
            <w:tcW w:w="1472"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Rockwood 2001</w:t>
            </w:r>
          </w:p>
        </w:tc>
        <w:tc>
          <w:tcPr>
            <w:tcW w:w="1076"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Heading4"/>
              <w:numPr>
                <w:ilvl w:val="3"/>
                <w:numId w:val="1"/>
              </w:numPr>
              <w:spacing w:lineRule="auto" w:line="240"/>
              <w:jc w:val="center"/>
              <w:rPr/>
            </w:pPr>
            <w:r>
              <w:rPr/>
              <w:t>Yes</w:t>
            </w:r>
          </w:p>
          <w:p>
            <w:pPr>
              <w:pStyle w:val="Normal"/>
              <w:jc w:val="center"/>
              <w:rPr>
                <w:sz w:val="16"/>
                <w:lang w:val="en-GB"/>
              </w:rPr>
            </w:pPr>
            <w:r>
              <w:rPr>
                <w:sz w:val="16"/>
                <w:lang w:val="en-GB"/>
              </w:rPr>
              <w:t>Placebo 11%</w:t>
            </w:r>
          </w:p>
          <w:p>
            <w:pPr>
              <w:pStyle w:val="Normal"/>
              <w:jc w:val="center"/>
              <w:rPr>
                <w:sz w:val="16"/>
                <w:lang w:val="en-GB"/>
              </w:rPr>
            </w:pPr>
            <w:r>
              <w:rPr>
                <w:sz w:val="16"/>
                <w:lang w:val="en-GB"/>
              </w:rPr>
            </w:r>
          </w:p>
          <w:p>
            <w:pPr>
              <w:pStyle w:val="Normal"/>
              <w:jc w:val="center"/>
              <w:rPr>
                <w:sz w:val="16"/>
                <w:lang w:val="en-GB"/>
              </w:rPr>
            </w:pPr>
            <w:r>
              <w:rPr>
                <w:sz w:val="16"/>
                <w:lang w:val="en-GB"/>
              </w:rPr>
              <w:t>24 or 32mg 33%</w:t>
            </w:r>
          </w:p>
        </w:tc>
        <w:tc>
          <w:tcPr>
            <w:tcW w:w="1068"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049"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34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1 - 3</w:t>
            </w:r>
          </w:p>
        </w:tc>
        <w:tc>
          <w:tcPr>
            <w:tcW w:w="243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LOCF</w:t>
            </w:r>
          </w:p>
        </w:tc>
        <w:tc>
          <w:tcPr>
            <w:tcW w:w="218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OCA</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snapToGrid w:val="false"/>
              <w:jc w:val="center"/>
              <w:rPr>
                <w:sz w:val="16"/>
                <w:lang w:val="en-GB"/>
              </w:rPr>
            </w:pPr>
            <w:r>
              <w:rPr>
                <w:sz w:val="16"/>
                <w:lang w:val="en-GB"/>
              </w:rPr>
            </w:r>
          </w:p>
        </w:tc>
        <w:tc>
          <w:tcPr>
            <w:tcW w:w="181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0C0C0" w:val="clear"/>
            <w:tcMar>
              <w:left w:w="103" w:type="dxa"/>
            </w:tcMar>
          </w:tcPr>
          <w:p>
            <w:pPr>
              <w:pStyle w:val="Normal"/>
              <w:snapToGrid w:val="false"/>
              <w:jc w:val="center"/>
              <w:rPr>
                <w:sz w:val="16"/>
                <w:lang w:val="en-GB"/>
              </w:rPr>
            </w:pPr>
            <w:r>
              <w:rPr>
                <w:sz w:val="16"/>
                <w:lang w:val="en-GB"/>
              </w:rPr>
            </w:r>
          </w:p>
          <w:p>
            <w:pPr>
              <w:pStyle w:val="Normal"/>
              <w:jc w:val="center"/>
              <w:rPr>
                <w:b/>
                <w:bCs/>
                <w:sz w:val="40"/>
                <w:lang w:val="en-GB"/>
              </w:rPr>
            </w:pPr>
            <w:r>
              <w:rPr>
                <w:b/>
                <w:bCs/>
                <w:sz w:val="40"/>
                <w:lang w:val="en-GB"/>
              </w:rPr>
              <w:t>+</w:t>
            </w:r>
          </w:p>
        </w:tc>
      </w:tr>
      <w:tr>
        <w:trPr>
          <w:cantSplit w:val="false"/>
        </w:trPr>
        <w:tc>
          <w:tcPr>
            <w:tcW w:w="1472"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Wilkinson 2001</w:t>
            </w:r>
          </w:p>
        </w:tc>
        <w:tc>
          <w:tcPr>
            <w:tcW w:w="1076"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Heading4"/>
              <w:numPr>
                <w:ilvl w:val="3"/>
                <w:numId w:val="1"/>
              </w:numPr>
              <w:spacing w:lineRule="auto" w:line="240"/>
              <w:jc w:val="center"/>
              <w:rPr/>
            </w:pPr>
            <w:r>
              <w:rPr/>
              <w:t>Yes</w:t>
            </w:r>
          </w:p>
          <w:p>
            <w:pPr>
              <w:pStyle w:val="Normal"/>
              <w:jc w:val="center"/>
              <w:rPr>
                <w:sz w:val="16"/>
                <w:lang w:val="en-GB"/>
              </w:rPr>
            </w:pPr>
            <w:r>
              <w:rPr>
                <w:sz w:val="16"/>
                <w:lang w:val="en-GB"/>
              </w:rPr>
              <w:t>Placebo 16%</w:t>
            </w:r>
          </w:p>
          <w:p>
            <w:pPr>
              <w:pStyle w:val="Normal"/>
              <w:jc w:val="center"/>
              <w:rPr>
                <w:sz w:val="16"/>
                <w:lang w:val="en-GB"/>
              </w:rPr>
            </w:pPr>
            <w:r>
              <w:rPr>
                <w:sz w:val="16"/>
                <w:lang w:val="en-GB"/>
              </w:rPr>
              <w:t>18 mg   28%</w:t>
            </w:r>
          </w:p>
          <w:p>
            <w:pPr>
              <w:pStyle w:val="Normal"/>
              <w:jc w:val="center"/>
              <w:rPr>
                <w:sz w:val="16"/>
                <w:lang w:val="en-GB"/>
              </w:rPr>
            </w:pPr>
            <w:r>
              <w:rPr>
                <w:sz w:val="16"/>
                <w:lang w:val="en-GB"/>
              </w:rPr>
              <w:t>24 mg   28%</w:t>
            </w:r>
          </w:p>
          <w:p>
            <w:pPr>
              <w:pStyle w:val="Normal"/>
              <w:jc w:val="center"/>
              <w:rPr>
                <w:sz w:val="16"/>
                <w:lang w:val="en-GB"/>
              </w:rPr>
            </w:pPr>
            <w:r>
              <w:rPr>
                <w:sz w:val="16"/>
                <w:lang w:val="en-GB"/>
              </w:rPr>
              <w:t>36 mg   48%</w:t>
            </w:r>
          </w:p>
        </w:tc>
        <w:tc>
          <w:tcPr>
            <w:tcW w:w="1068"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049"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34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1 - 3</w:t>
            </w:r>
          </w:p>
        </w:tc>
        <w:tc>
          <w:tcPr>
            <w:tcW w:w="243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LOCF</w:t>
            </w:r>
          </w:p>
        </w:tc>
        <w:tc>
          <w:tcPr>
            <w:tcW w:w="218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TPP</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snapToGrid w:val="false"/>
              <w:jc w:val="center"/>
              <w:rPr>
                <w:sz w:val="16"/>
                <w:lang w:val="en-GB"/>
              </w:rPr>
            </w:pPr>
            <w:r>
              <w:rPr>
                <w:sz w:val="16"/>
                <w:lang w:val="en-GB"/>
              </w:rPr>
            </w:r>
          </w:p>
        </w:tc>
        <w:tc>
          <w:tcPr>
            <w:tcW w:w="181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0C0C0" w:val="clear"/>
            <w:tcMar>
              <w:left w:w="103" w:type="dxa"/>
            </w:tcMar>
          </w:tcPr>
          <w:p>
            <w:pPr>
              <w:pStyle w:val="Normal"/>
              <w:snapToGrid w:val="false"/>
              <w:jc w:val="center"/>
              <w:rPr>
                <w:sz w:val="16"/>
                <w:lang w:val="en-GB"/>
              </w:rPr>
            </w:pPr>
            <w:r>
              <w:rPr>
                <w:sz w:val="16"/>
                <w:lang w:val="en-GB"/>
              </w:rPr>
            </w:r>
          </w:p>
          <w:p>
            <w:pPr>
              <w:pStyle w:val="Normal"/>
              <w:jc w:val="center"/>
              <w:rPr>
                <w:b/>
                <w:bCs/>
                <w:sz w:val="40"/>
                <w:lang w:val="en-GB"/>
              </w:rPr>
            </w:pPr>
            <w:r>
              <w:rPr>
                <w:b/>
                <w:bCs/>
                <w:sz w:val="40"/>
                <w:lang w:val="en-GB"/>
              </w:rPr>
              <w:t>+</w:t>
            </w:r>
          </w:p>
        </w:tc>
      </w:tr>
      <w:tr>
        <w:trPr>
          <w:cantSplit w:val="false"/>
        </w:trPr>
        <w:tc>
          <w:tcPr>
            <w:tcW w:w="1472"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Brodaty 2005</w:t>
            </w:r>
          </w:p>
        </w:tc>
        <w:tc>
          <w:tcPr>
            <w:tcW w:w="1076"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Heading4"/>
              <w:numPr>
                <w:ilvl w:val="3"/>
                <w:numId w:val="1"/>
              </w:numPr>
              <w:spacing w:lineRule="auto" w:line="240"/>
              <w:jc w:val="center"/>
              <w:rPr/>
            </w:pPr>
            <w:r>
              <w:rPr/>
              <w:t>Yes</w:t>
            </w:r>
          </w:p>
          <w:p>
            <w:pPr>
              <w:pStyle w:val="Normal"/>
              <w:jc w:val="center"/>
              <w:rPr>
                <w:sz w:val="16"/>
                <w:lang w:val="en-GB"/>
              </w:rPr>
            </w:pPr>
            <w:r>
              <w:rPr>
                <w:sz w:val="16"/>
                <w:lang w:val="en-GB"/>
              </w:rPr>
              <w:t>Placebo 23%</w:t>
            </w:r>
          </w:p>
          <w:p>
            <w:pPr>
              <w:pStyle w:val="Normal"/>
              <w:jc w:val="center"/>
              <w:rPr>
                <w:sz w:val="16"/>
                <w:lang w:val="en-GB"/>
              </w:rPr>
            </w:pPr>
            <w:r>
              <w:rPr>
                <w:sz w:val="16"/>
                <w:lang w:val="en-GB"/>
              </w:rPr>
            </w:r>
          </w:p>
          <w:p>
            <w:pPr>
              <w:pStyle w:val="Normal"/>
              <w:jc w:val="center"/>
              <w:rPr>
                <w:sz w:val="16"/>
                <w:lang w:val="en-GB"/>
              </w:rPr>
            </w:pPr>
            <w:r>
              <w:rPr>
                <w:sz w:val="16"/>
                <w:lang w:val="en-GB"/>
              </w:rPr>
              <w:t>Galantamine immediate release  31%</w:t>
            </w:r>
          </w:p>
          <w:p>
            <w:pPr>
              <w:pStyle w:val="Normal"/>
              <w:jc w:val="center"/>
              <w:rPr>
                <w:sz w:val="16"/>
                <w:lang w:val="en-GB"/>
              </w:rPr>
            </w:pPr>
            <w:r>
              <w:rPr>
                <w:sz w:val="16"/>
                <w:lang w:val="en-GB"/>
              </w:rPr>
            </w:r>
          </w:p>
          <w:p>
            <w:pPr>
              <w:pStyle w:val="BodyText3"/>
              <w:spacing w:lineRule="auto" w:line="240"/>
              <w:jc w:val="center"/>
              <w:rPr>
                <w:b w:val="false"/>
                <w:bCs w:val="false"/>
                <w:lang w:val="en-GB"/>
              </w:rPr>
            </w:pPr>
            <w:r>
              <w:rPr>
                <w:b w:val="false"/>
                <w:bCs w:val="false"/>
                <w:lang w:val="en-GB"/>
              </w:rPr>
              <w:t>Galantamine Prolonged Release 25%</w:t>
            </w:r>
          </w:p>
        </w:tc>
        <w:tc>
          <w:tcPr>
            <w:tcW w:w="1068"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049"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34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1 - 3</w:t>
            </w:r>
          </w:p>
        </w:tc>
        <w:tc>
          <w:tcPr>
            <w:tcW w:w="243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LOCF</w:t>
            </w:r>
          </w:p>
        </w:tc>
        <w:tc>
          <w:tcPr>
            <w:tcW w:w="218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OCA</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snapToGrid w:val="false"/>
              <w:jc w:val="center"/>
              <w:rPr>
                <w:sz w:val="16"/>
                <w:lang w:val="en-GB"/>
              </w:rPr>
            </w:pPr>
            <w:r>
              <w:rPr>
                <w:sz w:val="16"/>
                <w:lang w:val="en-GB"/>
              </w:rPr>
            </w:r>
          </w:p>
        </w:tc>
        <w:tc>
          <w:tcPr>
            <w:tcW w:w="181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0C0C0" w:val="clear"/>
            <w:tcMar>
              <w:left w:w="103" w:type="dxa"/>
            </w:tcMar>
          </w:tcPr>
          <w:p>
            <w:pPr>
              <w:pStyle w:val="Normal"/>
              <w:snapToGrid w:val="false"/>
              <w:jc w:val="center"/>
              <w:rPr>
                <w:sz w:val="16"/>
                <w:lang w:val="en-GB"/>
              </w:rPr>
            </w:pPr>
            <w:r>
              <w:rPr>
                <w:sz w:val="16"/>
                <w:lang w:val="en-GB"/>
              </w:rPr>
            </w:r>
          </w:p>
          <w:p>
            <w:pPr>
              <w:pStyle w:val="Normal"/>
              <w:jc w:val="center"/>
              <w:rPr>
                <w:sz w:val="16"/>
                <w:lang w:val="en-GB"/>
              </w:rPr>
            </w:pPr>
            <w:r>
              <w:rPr>
                <w:sz w:val="16"/>
                <w:lang w:val="en-GB"/>
              </w:rPr>
            </w:r>
          </w:p>
          <w:p>
            <w:pPr>
              <w:pStyle w:val="Normal"/>
              <w:jc w:val="center"/>
              <w:rPr>
                <w:sz w:val="16"/>
                <w:lang w:val="en-GB"/>
              </w:rPr>
            </w:pPr>
            <w:r>
              <w:rPr>
                <w:sz w:val="16"/>
                <w:lang w:val="en-GB"/>
              </w:rPr>
            </w:r>
          </w:p>
          <w:p>
            <w:pPr>
              <w:pStyle w:val="Normal"/>
              <w:jc w:val="center"/>
              <w:rPr>
                <w:b/>
                <w:bCs/>
                <w:sz w:val="40"/>
                <w:lang w:val="en-GB"/>
              </w:rPr>
            </w:pPr>
            <w:r>
              <w:rPr>
                <w:b/>
                <w:bCs/>
                <w:sz w:val="40"/>
                <w:lang w:val="en-GB"/>
              </w:rPr>
              <w:t>+</w:t>
            </w:r>
          </w:p>
        </w:tc>
      </w:tr>
      <w:tr>
        <w:trPr>
          <w:cantSplit w:val="false"/>
        </w:trPr>
        <w:tc>
          <w:tcPr>
            <w:tcW w:w="1472"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Rockwood 2006</w:t>
            </w:r>
          </w:p>
        </w:tc>
        <w:tc>
          <w:tcPr>
            <w:tcW w:w="1076"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w:t>
            </w:r>
          </w:p>
        </w:tc>
        <w:tc>
          <w:tcPr>
            <w:tcW w:w="1068"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049"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34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0 - 2</w:t>
            </w:r>
          </w:p>
        </w:tc>
        <w:tc>
          <w:tcPr>
            <w:tcW w:w="2430" w:type="dxa"/>
            <w:tcBorders>
              <w:top w:val="single" w:sz="4" w:space="0" w:color="000000"/>
              <w:left w:val="single" w:sz="4" w:space="0" w:color="000000"/>
              <w:bottom w:val="single" w:sz="4" w:space="0" w:color="000000"/>
              <w:insideH w:val="single" w:sz="4" w:space="0" w:color="000000"/>
              <w:right w:val="nil"/>
              <w:insideV w:val="nil"/>
            </w:tcBorders>
            <w:shd w:fill="B3B3B3" w:val="clear"/>
            <w:tcMar>
              <w:left w:w="103" w:type="dxa"/>
            </w:tcMar>
          </w:tcPr>
          <w:p>
            <w:pPr>
              <w:pStyle w:val="Normal"/>
              <w:jc w:val="center"/>
              <w:rPr>
                <w:b/>
                <w:bCs/>
                <w:sz w:val="16"/>
                <w:lang w:val="en-GB"/>
              </w:rPr>
            </w:pPr>
            <w:r>
              <w:rPr>
                <w:sz w:val="16"/>
                <w:lang w:val="en-GB"/>
              </w:rPr>
              <w:t xml:space="preserve">LOCF , </w:t>
            </w:r>
            <w:r>
              <w:rPr>
                <w:b/>
                <w:bCs/>
                <w:sz w:val="16"/>
                <w:lang w:val="en-GB"/>
              </w:rPr>
              <w:t>Mixed effects modelling</w:t>
            </w:r>
          </w:p>
          <w:p>
            <w:pPr>
              <w:pStyle w:val="Normal"/>
              <w:jc w:val="center"/>
              <w:rPr>
                <w:b/>
                <w:bCs/>
                <w:sz w:val="16"/>
                <w:lang w:val="en-GB"/>
              </w:rPr>
            </w:pPr>
            <w:r>
              <w:rPr>
                <w:b/>
                <w:bCs/>
                <w:sz w:val="16"/>
                <w:lang w:val="en-GB"/>
              </w:rPr>
              <w:t>(point estimates of outcomes based on modelling not provided)</w:t>
            </w:r>
          </w:p>
        </w:tc>
        <w:tc>
          <w:tcPr>
            <w:tcW w:w="218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OCA</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snapToGrid w:val="false"/>
              <w:jc w:val="center"/>
              <w:rPr>
                <w:sz w:val="16"/>
                <w:lang w:val="en-GB"/>
              </w:rPr>
            </w:pPr>
            <w:r>
              <w:rPr>
                <w:sz w:val="16"/>
                <w:lang w:val="en-GB"/>
              </w:rPr>
            </w:r>
          </w:p>
        </w:tc>
        <w:tc>
          <w:tcPr>
            <w:tcW w:w="181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0C0C0" w:val="clear"/>
            <w:tcMar>
              <w:left w:w="103" w:type="dxa"/>
            </w:tcMar>
          </w:tcPr>
          <w:p>
            <w:pPr>
              <w:pStyle w:val="Normal"/>
              <w:snapToGrid w:val="false"/>
              <w:jc w:val="center"/>
              <w:rPr>
                <w:sz w:val="16"/>
                <w:lang w:val="en-GB"/>
              </w:rPr>
            </w:pPr>
            <w:r>
              <w:rPr>
                <w:sz w:val="16"/>
                <w:lang w:val="en-GB"/>
              </w:rPr>
            </w:r>
          </w:p>
        </w:tc>
      </w:tr>
      <w:tr>
        <w:trPr>
          <w:cantSplit w:val="false"/>
        </w:trPr>
        <w:tc>
          <w:tcPr>
            <w:tcW w:w="14230" w:type="dxa"/>
            <w:gridSpan w:val="9"/>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E0E0E0" w:val="clear"/>
            <w:tcMar>
              <w:left w:w="103" w:type="dxa"/>
            </w:tcMar>
          </w:tcPr>
          <w:p>
            <w:pPr>
              <w:pStyle w:val="Normal"/>
              <w:rPr>
                <w:b/>
                <w:sz w:val="16"/>
                <w:lang w:val="en-GB"/>
              </w:rPr>
            </w:pPr>
            <w:r>
              <w:rPr>
                <w:b/>
                <w:sz w:val="16"/>
                <w:lang w:val="en-GB"/>
              </w:rPr>
              <w:t>Memantine In Alzheimer’s Dementia</w:t>
            </w:r>
          </w:p>
        </w:tc>
      </w:tr>
      <w:tr>
        <w:trPr>
          <w:cantSplit w:val="false"/>
        </w:trPr>
        <w:tc>
          <w:tcPr>
            <w:tcW w:w="1472"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b/>
                <w:bCs/>
                <w:i/>
                <w:iCs/>
                <w:sz w:val="16"/>
                <w:lang w:val="en-GB"/>
              </w:rPr>
            </w:pPr>
            <w:r>
              <w:rPr>
                <w:b/>
                <w:bCs/>
                <w:i/>
                <w:iCs/>
                <w:sz w:val="16"/>
                <w:lang w:val="en-GB"/>
              </w:rPr>
              <w:t>Winblad 1999</w:t>
            </w:r>
          </w:p>
          <w:p>
            <w:pPr>
              <w:pStyle w:val="Normal"/>
              <w:jc w:val="center"/>
              <w:rPr>
                <w:b/>
                <w:bCs/>
                <w:i/>
                <w:iCs/>
                <w:sz w:val="16"/>
                <w:lang w:val="en-GB"/>
              </w:rPr>
            </w:pPr>
            <w:r>
              <w:rPr>
                <w:b/>
                <w:bCs/>
                <w:i/>
                <w:iCs/>
                <w:sz w:val="16"/>
                <w:lang w:val="en-GB"/>
              </w:rPr>
              <w:t>(both Alzheimer’s and Vascular dementia studied)</w:t>
            </w:r>
          </w:p>
        </w:tc>
        <w:tc>
          <w:tcPr>
            <w:tcW w:w="1076"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w:t>
            </w:r>
          </w:p>
        </w:tc>
        <w:tc>
          <w:tcPr>
            <w:tcW w:w="1068"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049"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34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0 - 2</w:t>
            </w:r>
          </w:p>
        </w:tc>
        <w:tc>
          <w:tcPr>
            <w:tcW w:w="2430" w:type="dxa"/>
            <w:tcBorders>
              <w:top w:val="single" w:sz="4" w:space="0" w:color="000000"/>
              <w:left w:val="single" w:sz="4" w:space="0" w:color="000000"/>
              <w:bottom w:val="single" w:sz="4" w:space="0" w:color="000000"/>
              <w:insideH w:val="single" w:sz="4" w:space="0" w:color="000000"/>
              <w:right w:val="nil"/>
              <w:insideV w:val="nil"/>
            </w:tcBorders>
            <w:shd w:fill="B3B3B3" w:val="clear"/>
            <w:tcMar>
              <w:left w:w="103" w:type="dxa"/>
            </w:tcMar>
          </w:tcPr>
          <w:p>
            <w:pPr>
              <w:pStyle w:val="Normal"/>
              <w:jc w:val="center"/>
              <w:rPr>
                <w:b/>
                <w:bCs/>
                <w:sz w:val="16"/>
                <w:lang w:val="en-GB"/>
              </w:rPr>
            </w:pPr>
            <w:r>
              <w:rPr>
                <w:b/>
                <w:bCs/>
                <w:sz w:val="16"/>
                <w:lang w:val="en-GB"/>
              </w:rPr>
              <w:t>Missing endpoint data replaced by worst ranks</w:t>
            </w:r>
          </w:p>
        </w:tc>
        <w:tc>
          <w:tcPr>
            <w:tcW w:w="218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TPP</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snapToGrid w:val="false"/>
              <w:jc w:val="center"/>
              <w:rPr>
                <w:sz w:val="16"/>
                <w:lang w:val="en-GB"/>
              </w:rPr>
            </w:pPr>
            <w:r>
              <w:rPr>
                <w:sz w:val="16"/>
                <w:lang w:val="en-GB"/>
              </w:rPr>
            </w:r>
          </w:p>
        </w:tc>
        <w:tc>
          <w:tcPr>
            <w:tcW w:w="181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0C0C0" w:val="clear"/>
            <w:tcMar>
              <w:left w:w="103" w:type="dxa"/>
            </w:tcMar>
          </w:tcPr>
          <w:p>
            <w:pPr>
              <w:pStyle w:val="Normal"/>
              <w:snapToGrid w:val="false"/>
              <w:jc w:val="center"/>
              <w:rPr>
                <w:sz w:val="16"/>
                <w:lang w:val="en-GB"/>
              </w:rPr>
            </w:pPr>
            <w:r>
              <w:rPr>
                <w:sz w:val="16"/>
                <w:lang w:val="en-GB"/>
              </w:rPr>
            </w:r>
          </w:p>
        </w:tc>
      </w:tr>
      <w:tr>
        <w:trPr>
          <w:cantSplit w:val="false"/>
        </w:trPr>
        <w:tc>
          <w:tcPr>
            <w:tcW w:w="1472"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 xml:space="preserve"> </w:t>
            </w:r>
            <w:r>
              <w:rPr>
                <w:sz w:val="16"/>
                <w:lang w:val="en-GB"/>
              </w:rPr>
              <w:t>Reisberg 2003</w:t>
            </w:r>
          </w:p>
        </w:tc>
        <w:tc>
          <w:tcPr>
            <w:tcW w:w="1076"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w:t>
            </w:r>
          </w:p>
        </w:tc>
        <w:tc>
          <w:tcPr>
            <w:tcW w:w="1068"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049"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34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0 - 2</w:t>
            </w:r>
          </w:p>
        </w:tc>
        <w:tc>
          <w:tcPr>
            <w:tcW w:w="2430" w:type="dxa"/>
            <w:tcBorders>
              <w:top w:val="single" w:sz="4" w:space="0" w:color="000000"/>
              <w:left w:val="single" w:sz="4" w:space="0" w:color="000000"/>
              <w:bottom w:val="single" w:sz="4" w:space="0" w:color="000000"/>
              <w:insideH w:val="single" w:sz="4" w:space="0" w:color="000000"/>
              <w:right w:val="nil"/>
              <w:insideV w:val="nil"/>
            </w:tcBorders>
            <w:shd w:fill="B3B3B3" w:val="clear"/>
            <w:tcMar>
              <w:left w:w="103" w:type="dxa"/>
            </w:tcMar>
          </w:tcPr>
          <w:p>
            <w:pPr>
              <w:pStyle w:val="Normal"/>
              <w:jc w:val="center"/>
              <w:rPr>
                <w:b/>
                <w:bCs/>
                <w:sz w:val="16"/>
                <w:lang w:val="en-GB"/>
              </w:rPr>
            </w:pPr>
            <w:r>
              <w:rPr>
                <w:sz w:val="16"/>
                <w:lang w:val="en-GB"/>
              </w:rPr>
              <w:t xml:space="preserve">LOCF, </w:t>
            </w:r>
            <w:r>
              <w:rPr>
                <w:b/>
                <w:bCs/>
                <w:sz w:val="16"/>
                <w:lang w:val="en-GB"/>
              </w:rPr>
              <w:t>Replaced missing values with mean observed value for decline in placebo group</w:t>
            </w:r>
          </w:p>
          <w:p>
            <w:pPr>
              <w:pStyle w:val="Normal"/>
              <w:jc w:val="center"/>
              <w:rPr>
                <w:b/>
                <w:bCs/>
                <w:sz w:val="16"/>
                <w:lang w:val="en-GB"/>
              </w:rPr>
            </w:pPr>
            <w:r>
              <w:rPr>
                <w:b/>
                <w:bCs/>
                <w:sz w:val="16"/>
                <w:lang w:val="en-GB"/>
              </w:rPr>
              <w:t>(point estimates of outcomes based on modelling not provided)</w:t>
            </w:r>
          </w:p>
        </w:tc>
        <w:tc>
          <w:tcPr>
            <w:tcW w:w="218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OCA</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snapToGrid w:val="false"/>
              <w:jc w:val="center"/>
              <w:rPr>
                <w:sz w:val="16"/>
                <w:lang w:val="en-GB"/>
              </w:rPr>
            </w:pPr>
            <w:r>
              <w:rPr>
                <w:sz w:val="16"/>
                <w:lang w:val="en-GB"/>
              </w:rPr>
            </w:r>
          </w:p>
        </w:tc>
        <w:tc>
          <w:tcPr>
            <w:tcW w:w="181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0C0C0" w:val="clear"/>
            <w:tcMar>
              <w:left w:w="103" w:type="dxa"/>
            </w:tcMar>
          </w:tcPr>
          <w:p>
            <w:pPr>
              <w:pStyle w:val="Normal"/>
              <w:snapToGrid w:val="false"/>
              <w:jc w:val="center"/>
              <w:rPr>
                <w:sz w:val="16"/>
                <w:lang w:val="en-GB"/>
              </w:rPr>
            </w:pPr>
            <w:r>
              <w:rPr>
                <w:sz w:val="16"/>
                <w:lang w:val="en-GB"/>
              </w:rPr>
            </w:r>
          </w:p>
        </w:tc>
      </w:tr>
      <w:tr>
        <w:trPr>
          <w:cantSplit w:val="false"/>
        </w:trPr>
        <w:tc>
          <w:tcPr>
            <w:tcW w:w="1472"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 xml:space="preserve"> </w:t>
            </w:r>
            <w:r>
              <w:rPr>
                <w:sz w:val="16"/>
                <w:lang w:val="en-GB"/>
              </w:rPr>
              <w:t>Tariot 2004</w:t>
            </w:r>
          </w:p>
        </w:tc>
        <w:tc>
          <w:tcPr>
            <w:tcW w:w="1076"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w:t>
            </w:r>
          </w:p>
        </w:tc>
        <w:tc>
          <w:tcPr>
            <w:tcW w:w="1068"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049"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34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0 - 2</w:t>
            </w:r>
          </w:p>
        </w:tc>
        <w:tc>
          <w:tcPr>
            <w:tcW w:w="243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LOCF</w:t>
            </w:r>
          </w:p>
        </w:tc>
        <w:tc>
          <w:tcPr>
            <w:tcW w:w="218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OCA</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snapToGrid w:val="false"/>
              <w:jc w:val="center"/>
              <w:rPr>
                <w:sz w:val="16"/>
                <w:lang w:val="en-GB"/>
              </w:rPr>
            </w:pPr>
            <w:r>
              <w:rPr>
                <w:sz w:val="16"/>
                <w:lang w:val="en-GB"/>
              </w:rPr>
            </w:r>
          </w:p>
        </w:tc>
        <w:tc>
          <w:tcPr>
            <w:tcW w:w="181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0C0C0" w:val="clear"/>
            <w:tcMar>
              <w:left w:w="103" w:type="dxa"/>
            </w:tcMar>
          </w:tcPr>
          <w:p>
            <w:pPr>
              <w:pStyle w:val="Normal"/>
              <w:snapToGrid w:val="false"/>
              <w:jc w:val="center"/>
              <w:rPr>
                <w:sz w:val="16"/>
                <w:lang w:val="en-GB"/>
              </w:rPr>
            </w:pPr>
            <w:r>
              <w:rPr>
                <w:sz w:val="16"/>
                <w:lang w:val="en-GB"/>
              </w:rPr>
            </w:r>
          </w:p>
        </w:tc>
      </w:tr>
      <w:tr>
        <w:trPr>
          <w:cantSplit w:val="false"/>
        </w:trPr>
        <w:tc>
          <w:tcPr>
            <w:tcW w:w="1472"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Peskind 2006</w:t>
            </w:r>
          </w:p>
        </w:tc>
        <w:tc>
          <w:tcPr>
            <w:tcW w:w="1076"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 xml:space="preserve">No </w:t>
            </w:r>
          </w:p>
        </w:tc>
        <w:tc>
          <w:tcPr>
            <w:tcW w:w="1068"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049"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34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0 - 2</w:t>
            </w:r>
          </w:p>
        </w:tc>
        <w:tc>
          <w:tcPr>
            <w:tcW w:w="2430" w:type="dxa"/>
            <w:tcBorders>
              <w:top w:val="single" w:sz="4" w:space="0" w:color="000000"/>
              <w:left w:val="single" w:sz="4" w:space="0" w:color="000000"/>
              <w:bottom w:val="single" w:sz="4" w:space="0" w:color="000000"/>
              <w:insideH w:val="single" w:sz="4" w:space="0" w:color="000000"/>
              <w:right w:val="nil"/>
              <w:insideV w:val="nil"/>
            </w:tcBorders>
            <w:shd w:fill="B3B3B3" w:val="clear"/>
            <w:tcMar>
              <w:left w:w="103" w:type="dxa"/>
            </w:tcMar>
          </w:tcPr>
          <w:p>
            <w:pPr>
              <w:pStyle w:val="Normal"/>
              <w:jc w:val="center"/>
              <w:rPr>
                <w:sz w:val="16"/>
                <w:lang w:val="en-GB"/>
              </w:rPr>
            </w:pPr>
            <w:r>
              <w:rPr>
                <w:sz w:val="16"/>
                <w:lang w:val="en-GB"/>
              </w:rPr>
              <w:t>LOCF,</w:t>
            </w:r>
          </w:p>
          <w:p>
            <w:pPr>
              <w:pStyle w:val="Normal"/>
              <w:jc w:val="center"/>
              <w:rPr>
                <w:sz w:val="16"/>
                <w:lang w:val="en-GB"/>
              </w:rPr>
            </w:pPr>
            <w:r>
              <w:rPr>
                <w:sz w:val="16"/>
                <w:lang w:val="en-GB"/>
              </w:rPr>
              <w:t>Mixed models repeated measures (MMRM)</w:t>
            </w:r>
          </w:p>
          <w:p>
            <w:pPr>
              <w:pStyle w:val="Normal"/>
              <w:jc w:val="center"/>
              <w:rPr>
                <w:b/>
                <w:bCs/>
                <w:sz w:val="16"/>
                <w:lang w:val="en-GB"/>
              </w:rPr>
            </w:pPr>
            <w:r>
              <w:rPr>
                <w:b/>
                <w:bCs/>
                <w:sz w:val="16"/>
                <w:lang w:val="en-GB"/>
              </w:rPr>
              <w:t>(point estimates of outcomes based on modelling not provided)</w:t>
            </w:r>
          </w:p>
        </w:tc>
        <w:tc>
          <w:tcPr>
            <w:tcW w:w="218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OCA</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snapToGrid w:val="false"/>
              <w:jc w:val="center"/>
              <w:rPr>
                <w:sz w:val="16"/>
                <w:lang w:val="en-GB"/>
              </w:rPr>
            </w:pPr>
            <w:r>
              <w:rPr>
                <w:sz w:val="16"/>
                <w:lang w:val="en-GB"/>
              </w:rPr>
            </w:r>
          </w:p>
        </w:tc>
        <w:tc>
          <w:tcPr>
            <w:tcW w:w="181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0C0C0" w:val="clear"/>
            <w:tcMar>
              <w:left w:w="103" w:type="dxa"/>
            </w:tcMar>
          </w:tcPr>
          <w:p>
            <w:pPr>
              <w:pStyle w:val="Normal"/>
              <w:snapToGrid w:val="false"/>
              <w:jc w:val="center"/>
              <w:rPr>
                <w:sz w:val="16"/>
                <w:lang w:val="en-GB"/>
              </w:rPr>
            </w:pPr>
            <w:r>
              <w:rPr>
                <w:sz w:val="16"/>
                <w:lang w:val="en-GB"/>
              </w:rPr>
            </w:r>
          </w:p>
        </w:tc>
      </w:tr>
      <w:tr>
        <w:trPr>
          <w:cantSplit w:val="false"/>
        </w:trPr>
        <w:tc>
          <w:tcPr>
            <w:tcW w:w="1472"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Bakchine 2007</w:t>
            </w:r>
          </w:p>
        </w:tc>
        <w:tc>
          <w:tcPr>
            <w:tcW w:w="1076"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Yes</w:t>
            </w:r>
          </w:p>
          <w:p>
            <w:pPr>
              <w:pStyle w:val="BalloonText"/>
              <w:rPr>
                <w:rFonts w:cs="Times New Roman" w:ascii="Times New Roman" w:hAnsi="Times New Roman"/>
                <w:szCs w:val="24"/>
                <w:lang w:val="en-GB"/>
              </w:rPr>
            </w:pPr>
            <w:r>
              <w:rPr>
                <w:rFonts w:cs="Times New Roman" w:ascii="Times New Roman" w:hAnsi="Times New Roman"/>
                <w:szCs w:val="24"/>
                <w:lang w:val="en-GB"/>
              </w:rPr>
              <w:t>Placebo 11%</w:t>
            </w:r>
          </w:p>
          <w:p>
            <w:pPr>
              <w:pStyle w:val="Normal"/>
              <w:rPr>
                <w:sz w:val="16"/>
                <w:lang w:val="en-GB"/>
              </w:rPr>
            </w:pPr>
            <w:r>
              <w:rPr>
                <w:sz w:val="16"/>
                <w:lang w:val="en-GB"/>
              </w:rPr>
              <w:t>20mg     16%</w:t>
            </w:r>
          </w:p>
        </w:tc>
        <w:tc>
          <w:tcPr>
            <w:tcW w:w="1068"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049"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34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1 - 3</w:t>
            </w:r>
          </w:p>
        </w:tc>
        <w:tc>
          <w:tcPr>
            <w:tcW w:w="243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LOCF mentioned but results not provided</w:t>
            </w:r>
          </w:p>
        </w:tc>
        <w:tc>
          <w:tcPr>
            <w:tcW w:w="218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CA, OCA</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snapToGrid w:val="false"/>
              <w:jc w:val="center"/>
              <w:rPr>
                <w:sz w:val="16"/>
                <w:lang w:val="en-GB"/>
              </w:rPr>
            </w:pPr>
            <w:r>
              <w:rPr>
                <w:sz w:val="16"/>
                <w:lang w:val="en-GB"/>
              </w:rPr>
            </w:r>
          </w:p>
          <w:p>
            <w:pPr>
              <w:pStyle w:val="Normal"/>
              <w:jc w:val="center"/>
              <w:rPr>
                <w:b/>
                <w:bCs/>
                <w:sz w:val="40"/>
                <w:lang w:val="en-GB"/>
              </w:rPr>
            </w:pPr>
            <w:r>
              <w:rPr>
                <w:b/>
                <w:bCs/>
                <w:sz w:val="40"/>
                <w:lang w:val="en-GB"/>
              </w:rPr>
              <w:t>+</w:t>
            </w:r>
          </w:p>
        </w:tc>
        <w:tc>
          <w:tcPr>
            <w:tcW w:w="181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0C0C0" w:val="clear"/>
            <w:tcMar>
              <w:left w:w="103" w:type="dxa"/>
            </w:tcMar>
          </w:tcPr>
          <w:p>
            <w:pPr>
              <w:pStyle w:val="Normal"/>
              <w:snapToGrid w:val="false"/>
              <w:jc w:val="center"/>
              <w:rPr>
                <w:sz w:val="16"/>
                <w:lang w:val="en-GB"/>
              </w:rPr>
            </w:pPr>
            <w:r>
              <w:rPr>
                <w:sz w:val="16"/>
                <w:lang w:val="en-GB"/>
              </w:rPr>
            </w:r>
          </w:p>
        </w:tc>
      </w:tr>
      <w:tr>
        <w:trPr>
          <w:cantSplit w:val="false"/>
        </w:trPr>
        <w:tc>
          <w:tcPr>
            <w:tcW w:w="1472"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Van Dyck 2007</w:t>
            </w:r>
          </w:p>
        </w:tc>
        <w:tc>
          <w:tcPr>
            <w:tcW w:w="1076"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w:t>
            </w:r>
          </w:p>
        </w:tc>
        <w:tc>
          <w:tcPr>
            <w:tcW w:w="1068"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049"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34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0 - 2</w:t>
            </w:r>
          </w:p>
        </w:tc>
        <w:tc>
          <w:tcPr>
            <w:tcW w:w="2430" w:type="dxa"/>
            <w:tcBorders>
              <w:top w:val="single" w:sz="4" w:space="0" w:color="000000"/>
              <w:left w:val="single" w:sz="4" w:space="0" w:color="000000"/>
              <w:bottom w:val="single" w:sz="4" w:space="0" w:color="000000"/>
              <w:insideH w:val="single" w:sz="4" w:space="0" w:color="000000"/>
              <w:right w:val="nil"/>
              <w:insideV w:val="nil"/>
            </w:tcBorders>
            <w:shd w:fill="B3B3B3" w:val="clear"/>
            <w:tcMar>
              <w:left w:w="103" w:type="dxa"/>
            </w:tcMar>
          </w:tcPr>
          <w:p>
            <w:pPr>
              <w:pStyle w:val="Normal"/>
              <w:jc w:val="center"/>
              <w:rPr>
                <w:sz w:val="16"/>
                <w:lang w:val="en-GB"/>
              </w:rPr>
            </w:pPr>
            <w:r>
              <w:rPr>
                <w:sz w:val="16"/>
                <w:lang w:val="en-GB"/>
              </w:rPr>
              <w:t>LOCF,</w:t>
            </w:r>
          </w:p>
          <w:p>
            <w:pPr>
              <w:pStyle w:val="Normal"/>
              <w:jc w:val="center"/>
              <w:rPr>
                <w:sz w:val="16"/>
                <w:lang w:val="en-GB"/>
              </w:rPr>
            </w:pPr>
            <w:r>
              <w:rPr>
                <w:sz w:val="16"/>
                <w:lang w:val="en-GB"/>
              </w:rPr>
              <w:t>Mixed models repeated measures (MMRM)</w:t>
            </w:r>
          </w:p>
          <w:p>
            <w:pPr>
              <w:pStyle w:val="Normal"/>
              <w:jc w:val="center"/>
              <w:rPr>
                <w:b/>
                <w:bCs/>
                <w:sz w:val="16"/>
                <w:lang w:val="en-GB"/>
              </w:rPr>
            </w:pPr>
            <w:r>
              <w:rPr>
                <w:b/>
                <w:bCs/>
                <w:sz w:val="16"/>
                <w:lang w:val="en-GB"/>
              </w:rPr>
              <w:t>(point estimates of outcomes based on modelling not provided)</w:t>
            </w:r>
          </w:p>
        </w:tc>
        <w:tc>
          <w:tcPr>
            <w:tcW w:w="218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OCA</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snapToGrid w:val="false"/>
              <w:jc w:val="center"/>
              <w:rPr>
                <w:sz w:val="16"/>
                <w:lang w:val="en-GB"/>
              </w:rPr>
            </w:pPr>
            <w:r>
              <w:rPr>
                <w:sz w:val="16"/>
                <w:lang w:val="en-GB"/>
              </w:rPr>
            </w:r>
          </w:p>
        </w:tc>
        <w:tc>
          <w:tcPr>
            <w:tcW w:w="181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0C0C0" w:val="clear"/>
            <w:tcMar>
              <w:left w:w="103" w:type="dxa"/>
            </w:tcMar>
          </w:tcPr>
          <w:p>
            <w:pPr>
              <w:pStyle w:val="Normal"/>
              <w:snapToGrid w:val="false"/>
              <w:jc w:val="center"/>
              <w:rPr>
                <w:sz w:val="16"/>
                <w:lang w:val="en-GB"/>
              </w:rPr>
            </w:pPr>
            <w:r>
              <w:rPr>
                <w:sz w:val="16"/>
                <w:lang w:val="en-GB"/>
              </w:rPr>
            </w:r>
          </w:p>
        </w:tc>
      </w:tr>
      <w:tr>
        <w:trPr>
          <w:trHeight w:val="332" w:hRule="atLeast"/>
          <w:cantSplit w:val="false"/>
        </w:trPr>
        <w:tc>
          <w:tcPr>
            <w:tcW w:w="14230" w:type="dxa"/>
            <w:gridSpan w:val="9"/>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E0E0E0" w:val="clear"/>
            <w:tcMar>
              <w:left w:w="103" w:type="dxa"/>
            </w:tcMar>
            <w:vAlign w:val="center"/>
          </w:tcPr>
          <w:p>
            <w:pPr>
              <w:pStyle w:val="Normal"/>
              <w:rPr>
                <w:sz w:val="16"/>
                <w:u w:val="single"/>
                <w:lang w:val="en-GB"/>
              </w:rPr>
            </w:pPr>
            <w:r>
              <w:rPr>
                <w:b/>
                <w:sz w:val="16"/>
                <w:lang w:val="en-GB"/>
              </w:rPr>
              <w:t xml:space="preserve">Donepezil </w:t>
            </w:r>
            <w:r>
              <w:rPr>
                <w:sz w:val="16"/>
                <w:lang w:val="en-GB"/>
              </w:rPr>
              <w:t xml:space="preserve">in </w:t>
            </w:r>
            <w:r>
              <w:rPr>
                <w:sz w:val="16"/>
                <w:u w:val="single"/>
                <w:lang w:val="en-GB"/>
              </w:rPr>
              <w:t>Vascular Dementia</w:t>
            </w:r>
            <w:r>
              <w:rPr>
                <w:sz w:val="16"/>
                <w:lang w:val="en-GB"/>
              </w:rPr>
              <w:t xml:space="preserve"> and </w:t>
            </w:r>
            <w:r>
              <w:rPr>
                <w:sz w:val="16"/>
                <w:u w:val="single"/>
                <w:lang w:val="en-GB"/>
              </w:rPr>
              <w:t>Mixed Dementia</w:t>
            </w:r>
          </w:p>
        </w:tc>
      </w:tr>
      <w:tr>
        <w:trPr>
          <w:cantSplit w:val="false"/>
        </w:trPr>
        <w:tc>
          <w:tcPr>
            <w:tcW w:w="1472"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Pratt 2002</w:t>
            </w:r>
          </w:p>
        </w:tc>
        <w:tc>
          <w:tcPr>
            <w:tcW w:w="1076"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Heading4"/>
              <w:numPr>
                <w:ilvl w:val="3"/>
                <w:numId w:val="1"/>
              </w:numPr>
              <w:spacing w:lineRule="auto" w:line="240"/>
              <w:jc w:val="center"/>
              <w:rPr/>
            </w:pPr>
            <w:r>
              <w:rPr/>
              <w:t>Yes</w:t>
            </w:r>
          </w:p>
          <w:p>
            <w:pPr>
              <w:pStyle w:val="Normal"/>
              <w:jc w:val="center"/>
              <w:rPr>
                <w:sz w:val="16"/>
                <w:lang w:val="en-GB"/>
              </w:rPr>
            </w:pPr>
            <w:r>
              <w:rPr>
                <w:sz w:val="16"/>
                <w:lang w:val="en-GB"/>
              </w:rPr>
              <w:t>Placebo 15%</w:t>
            </w:r>
          </w:p>
          <w:p>
            <w:pPr>
              <w:pStyle w:val="Normal"/>
              <w:jc w:val="center"/>
              <w:rPr>
                <w:sz w:val="16"/>
                <w:lang w:val="en-GB"/>
              </w:rPr>
            </w:pPr>
            <w:r>
              <w:rPr>
                <w:sz w:val="16"/>
                <w:lang w:val="en-GB"/>
              </w:rPr>
              <w:t>5 mg      18%</w:t>
            </w:r>
          </w:p>
          <w:p>
            <w:pPr>
              <w:pStyle w:val="Normal"/>
              <w:jc w:val="center"/>
              <w:rPr>
                <w:sz w:val="16"/>
                <w:lang w:val="en-GB"/>
              </w:rPr>
            </w:pPr>
            <w:r>
              <w:rPr>
                <w:sz w:val="16"/>
                <w:lang w:val="en-GB"/>
              </w:rPr>
              <w:t>10 mg   29%</w:t>
            </w:r>
          </w:p>
        </w:tc>
        <w:tc>
          <w:tcPr>
            <w:tcW w:w="1068"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049"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34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1 - 3</w:t>
            </w:r>
          </w:p>
        </w:tc>
        <w:tc>
          <w:tcPr>
            <w:tcW w:w="243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LOCF</w:t>
            </w:r>
          </w:p>
        </w:tc>
        <w:tc>
          <w:tcPr>
            <w:tcW w:w="218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OCA</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snapToGrid w:val="false"/>
              <w:jc w:val="center"/>
              <w:rPr>
                <w:sz w:val="16"/>
                <w:lang w:val="en-GB"/>
              </w:rPr>
            </w:pPr>
            <w:r>
              <w:rPr>
                <w:sz w:val="16"/>
                <w:lang w:val="en-GB"/>
              </w:rPr>
            </w:r>
          </w:p>
        </w:tc>
        <w:tc>
          <w:tcPr>
            <w:tcW w:w="181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0C0C0" w:val="clear"/>
            <w:tcMar>
              <w:left w:w="103" w:type="dxa"/>
            </w:tcMar>
          </w:tcPr>
          <w:p>
            <w:pPr>
              <w:pStyle w:val="Normal"/>
              <w:snapToGrid w:val="false"/>
              <w:jc w:val="center"/>
              <w:rPr>
                <w:sz w:val="16"/>
                <w:lang w:val="en-GB"/>
              </w:rPr>
            </w:pPr>
            <w:r>
              <w:rPr>
                <w:sz w:val="16"/>
                <w:lang w:val="en-GB"/>
              </w:rPr>
            </w:r>
          </w:p>
          <w:p>
            <w:pPr>
              <w:pStyle w:val="Normal"/>
              <w:jc w:val="center"/>
              <w:rPr>
                <w:b/>
                <w:bCs/>
                <w:sz w:val="40"/>
                <w:lang w:val="en-GB"/>
              </w:rPr>
            </w:pPr>
            <w:r>
              <w:rPr>
                <w:b/>
                <w:bCs/>
                <w:sz w:val="40"/>
                <w:lang w:val="en-GB"/>
              </w:rPr>
              <w:t>+</w:t>
            </w:r>
          </w:p>
        </w:tc>
      </w:tr>
      <w:tr>
        <w:trPr>
          <w:cantSplit w:val="false"/>
        </w:trPr>
        <w:tc>
          <w:tcPr>
            <w:tcW w:w="1472"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Black 2003</w:t>
            </w:r>
          </w:p>
        </w:tc>
        <w:tc>
          <w:tcPr>
            <w:tcW w:w="1076"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Heading4"/>
              <w:numPr>
                <w:ilvl w:val="3"/>
                <w:numId w:val="1"/>
              </w:numPr>
              <w:spacing w:lineRule="auto" w:line="240"/>
              <w:jc w:val="center"/>
              <w:rPr/>
            </w:pPr>
            <w:r>
              <w:rPr/>
              <w:t>Yes</w:t>
            </w:r>
          </w:p>
          <w:p>
            <w:pPr>
              <w:pStyle w:val="Normal"/>
              <w:jc w:val="center"/>
              <w:rPr>
                <w:sz w:val="16"/>
                <w:lang w:val="en-GB"/>
              </w:rPr>
            </w:pPr>
            <w:r>
              <w:rPr>
                <w:sz w:val="16"/>
                <w:lang w:val="en-GB"/>
              </w:rPr>
              <w:t>Placebo 15%</w:t>
            </w:r>
          </w:p>
          <w:p>
            <w:pPr>
              <w:pStyle w:val="Normal"/>
              <w:jc w:val="center"/>
              <w:rPr>
                <w:sz w:val="16"/>
                <w:lang w:val="en-GB"/>
              </w:rPr>
            </w:pPr>
            <w:r>
              <w:rPr>
                <w:sz w:val="16"/>
                <w:lang w:val="en-GB"/>
              </w:rPr>
              <w:t>5 mg     19%</w:t>
            </w:r>
          </w:p>
          <w:p>
            <w:pPr>
              <w:pStyle w:val="Normal"/>
              <w:jc w:val="center"/>
              <w:rPr>
                <w:sz w:val="16"/>
                <w:lang w:val="en-GB"/>
              </w:rPr>
            </w:pPr>
            <w:r>
              <w:rPr>
                <w:sz w:val="16"/>
                <w:lang w:val="en-GB"/>
              </w:rPr>
              <w:t>10 mg   28%</w:t>
            </w:r>
          </w:p>
        </w:tc>
        <w:tc>
          <w:tcPr>
            <w:tcW w:w="1068"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049"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34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1 - 3</w:t>
            </w:r>
          </w:p>
        </w:tc>
        <w:tc>
          <w:tcPr>
            <w:tcW w:w="243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LOCF</w:t>
            </w:r>
          </w:p>
        </w:tc>
        <w:tc>
          <w:tcPr>
            <w:tcW w:w="218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OCA</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snapToGrid w:val="false"/>
              <w:jc w:val="center"/>
              <w:rPr>
                <w:sz w:val="16"/>
                <w:lang w:val="en-GB"/>
              </w:rPr>
            </w:pPr>
            <w:r>
              <w:rPr>
                <w:sz w:val="16"/>
                <w:lang w:val="en-GB"/>
              </w:rPr>
            </w:r>
          </w:p>
        </w:tc>
        <w:tc>
          <w:tcPr>
            <w:tcW w:w="181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0C0C0" w:val="clear"/>
            <w:tcMar>
              <w:left w:w="103" w:type="dxa"/>
            </w:tcMar>
          </w:tcPr>
          <w:p>
            <w:pPr>
              <w:pStyle w:val="Normal"/>
              <w:snapToGrid w:val="false"/>
              <w:jc w:val="center"/>
              <w:rPr>
                <w:sz w:val="16"/>
                <w:lang w:val="en-GB"/>
              </w:rPr>
            </w:pPr>
            <w:r>
              <w:rPr>
                <w:sz w:val="16"/>
                <w:lang w:val="en-GB"/>
              </w:rPr>
            </w:r>
          </w:p>
          <w:p>
            <w:pPr>
              <w:pStyle w:val="Normal"/>
              <w:jc w:val="center"/>
              <w:rPr>
                <w:b/>
                <w:bCs/>
                <w:sz w:val="40"/>
                <w:lang w:val="en-GB"/>
              </w:rPr>
            </w:pPr>
            <w:r>
              <w:rPr>
                <w:b/>
                <w:bCs/>
                <w:sz w:val="40"/>
                <w:lang w:val="en-GB"/>
              </w:rPr>
              <w:t>+</w:t>
            </w:r>
          </w:p>
        </w:tc>
      </w:tr>
      <w:tr>
        <w:trPr>
          <w:cantSplit w:val="false"/>
        </w:trPr>
        <w:tc>
          <w:tcPr>
            <w:tcW w:w="1472"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Wilkinson 2003</w:t>
            </w:r>
          </w:p>
        </w:tc>
        <w:tc>
          <w:tcPr>
            <w:tcW w:w="1076"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Heading4"/>
              <w:numPr>
                <w:ilvl w:val="3"/>
                <w:numId w:val="1"/>
              </w:numPr>
              <w:spacing w:lineRule="auto" w:line="240"/>
              <w:jc w:val="center"/>
              <w:rPr/>
            </w:pPr>
            <w:r>
              <w:rPr/>
              <w:t>Yes</w:t>
            </w:r>
          </w:p>
          <w:p>
            <w:pPr>
              <w:pStyle w:val="Normal"/>
              <w:jc w:val="center"/>
              <w:rPr>
                <w:sz w:val="16"/>
                <w:lang w:val="en-GB"/>
              </w:rPr>
            </w:pPr>
            <w:r>
              <w:rPr>
                <w:sz w:val="16"/>
                <w:lang w:val="en-GB"/>
              </w:rPr>
              <w:t>Placebo 17%</w:t>
            </w:r>
          </w:p>
          <w:p>
            <w:pPr>
              <w:pStyle w:val="Normal"/>
              <w:jc w:val="center"/>
              <w:rPr>
                <w:sz w:val="16"/>
                <w:lang w:val="en-GB"/>
              </w:rPr>
            </w:pPr>
            <w:r>
              <w:rPr>
                <w:sz w:val="16"/>
                <w:lang w:val="en-GB"/>
              </w:rPr>
              <w:t>5 mg     19%</w:t>
            </w:r>
          </w:p>
          <w:p>
            <w:pPr>
              <w:pStyle w:val="Normal"/>
              <w:jc w:val="center"/>
              <w:rPr>
                <w:sz w:val="16"/>
                <w:lang w:val="en-GB"/>
              </w:rPr>
            </w:pPr>
            <w:r>
              <w:rPr>
                <w:sz w:val="16"/>
                <w:lang w:val="en-GB"/>
              </w:rPr>
              <w:t>10 mg   25%</w:t>
            </w:r>
          </w:p>
        </w:tc>
        <w:tc>
          <w:tcPr>
            <w:tcW w:w="1068"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Heading4"/>
              <w:numPr>
                <w:ilvl w:val="3"/>
                <w:numId w:val="1"/>
              </w:numPr>
              <w:spacing w:lineRule="auto" w:line="240"/>
              <w:jc w:val="center"/>
              <w:rPr/>
            </w:pPr>
            <w:r>
              <w:rPr/>
              <w:t>Yes</w:t>
            </w:r>
          </w:p>
        </w:tc>
        <w:tc>
          <w:tcPr>
            <w:tcW w:w="1049"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34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2 - 3</w:t>
            </w:r>
          </w:p>
        </w:tc>
        <w:tc>
          <w:tcPr>
            <w:tcW w:w="243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LOCF</w:t>
            </w:r>
          </w:p>
        </w:tc>
        <w:tc>
          <w:tcPr>
            <w:tcW w:w="218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OCA</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snapToGrid w:val="false"/>
              <w:jc w:val="center"/>
              <w:rPr>
                <w:sz w:val="16"/>
                <w:lang w:val="en-GB"/>
              </w:rPr>
            </w:pPr>
            <w:r>
              <w:rPr>
                <w:sz w:val="16"/>
                <w:lang w:val="en-GB"/>
              </w:rPr>
            </w:r>
          </w:p>
        </w:tc>
        <w:tc>
          <w:tcPr>
            <w:tcW w:w="181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0C0C0" w:val="clear"/>
            <w:tcMar>
              <w:left w:w="103" w:type="dxa"/>
            </w:tcMar>
          </w:tcPr>
          <w:p>
            <w:pPr>
              <w:pStyle w:val="Normal"/>
              <w:snapToGrid w:val="false"/>
              <w:jc w:val="center"/>
              <w:rPr>
                <w:sz w:val="16"/>
                <w:lang w:val="en-GB"/>
              </w:rPr>
            </w:pPr>
            <w:r>
              <w:rPr>
                <w:sz w:val="16"/>
                <w:lang w:val="en-GB"/>
              </w:rPr>
            </w:r>
          </w:p>
          <w:p>
            <w:pPr>
              <w:pStyle w:val="Normal"/>
              <w:jc w:val="center"/>
              <w:rPr>
                <w:b/>
                <w:bCs/>
                <w:sz w:val="40"/>
                <w:lang w:val="en-GB"/>
              </w:rPr>
            </w:pPr>
            <w:r>
              <w:rPr>
                <w:b/>
                <w:bCs/>
                <w:sz w:val="40"/>
                <w:lang w:val="en-GB"/>
              </w:rPr>
              <w:t>+</w:t>
            </w:r>
          </w:p>
        </w:tc>
      </w:tr>
      <w:tr>
        <w:trPr>
          <w:cantSplit w:val="false"/>
        </w:trPr>
        <w:tc>
          <w:tcPr>
            <w:tcW w:w="14230" w:type="dxa"/>
            <w:gridSpan w:val="9"/>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E0E0E0" w:val="clear"/>
            <w:tcMar>
              <w:left w:w="103" w:type="dxa"/>
            </w:tcMar>
          </w:tcPr>
          <w:p>
            <w:pPr>
              <w:pStyle w:val="Normal"/>
              <w:rPr>
                <w:sz w:val="16"/>
                <w:u w:val="single"/>
                <w:lang w:val="en-GB"/>
              </w:rPr>
            </w:pPr>
            <w:r>
              <w:rPr>
                <w:b/>
                <w:bCs/>
                <w:sz w:val="16"/>
                <w:lang w:val="en-GB"/>
              </w:rPr>
              <w:t>Galantamine</w:t>
            </w:r>
            <w:r>
              <w:rPr>
                <w:sz w:val="16"/>
                <w:lang w:val="en-GB"/>
              </w:rPr>
              <w:t xml:space="preserve"> in </w:t>
            </w:r>
            <w:r>
              <w:rPr>
                <w:sz w:val="16"/>
                <w:u w:val="single"/>
                <w:lang w:val="en-GB"/>
              </w:rPr>
              <w:t>Vascular Dementia</w:t>
            </w:r>
            <w:r>
              <w:rPr>
                <w:sz w:val="16"/>
                <w:lang w:val="en-GB"/>
              </w:rPr>
              <w:t xml:space="preserve"> and </w:t>
            </w:r>
            <w:r>
              <w:rPr>
                <w:sz w:val="16"/>
                <w:u w:val="single"/>
                <w:lang w:val="en-GB"/>
              </w:rPr>
              <w:t>Mixed Dementia</w:t>
            </w:r>
          </w:p>
        </w:tc>
      </w:tr>
      <w:tr>
        <w:trPr>
          <w:cantSplit w:val="false"/>
        </w:trPr>
        <w:tc>
          <w:tcPr>
            <w:tcW w:w="1472"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Erkinjuntti 2002</w:t>
            </w:r>
          </w:p>
        </w:tc>
        <w:tc>
          <w:tcPr>
            <w:tcW w:w="1076"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Heading4"/>
              <w:numPr>
                <w:ilvl w:val="3"/>
                <w:numId w:val="1"/>
              </w:numPr>
              <w:spacing w:lineRule="auto" w:line="240"/>
              <w:jc w:val="center"/>
              <w:rPr/>
            </w:pPr>
            <w:r>
              <w:rPr/>
              <w:t>Yes</w:t>
            </w:r>
          </w:p>
          <w:p>
            <w:pPr>
              <w:pStyle w:val="Normal"/>
              <w:jc w:val="center"/>
              <w:rPr>
                <w:sz w:val="16"/>
                <w:lang w:val="en-GB"/>
              </w:rPr>
            </w:pPr>
            <w:r>
              <w:rPr>
                <w:sz w:val="16"/>
                <w:lang w:val="en-GB"/>
              </w:rPr>
              <w:t>Placebo 15%</w:t>
            </w:r>
          </w:p>
          <w:p>
            <w:pPr>
              <w:pStyle w:val="Normal"/>
              <w:jc w:val="center"/>
              <w:rPr>
                <w:sz w:val="16"/>
                <w:lang w:val="en-GB"/>
              </w:rPr>
            </w:pPr>
            <w:r>
              <w:rPr>
                <w:sz w:val="16"/>
                <w:lang w:val="en-GB"/>
              </w:rPr>
              <w:t>24 mg    26%</w:t>
            </w:r>
          </w:p>
        </w:tc>
        <w:tc>
          <w:tcPr>
            <w:tcW w:w="1068"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Heading4"/>
              <w:numPr>
                <w:ilvl w:val="3"/>
                <w:numId w:val="1"/>
              </w:numPr>
              <w:spacing w:lineRule="auto" w:line="240"/>
              <w:jc w:val="center"/>
              <w:rPr/>
            </w:pPr>
            <w:r>
              <w:rPr/>
              <w:t>Yes</w:t>
            </w:r>
          </w:p>
        </w:tc>
        <w:tc>
          <w:tcPr>
            <w:tcW w:w="1049"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34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2 - 3</w:t>
            </w:r>
          </w:p>
        </w:tc>
        <w:tc>
          <w:tcPr>
            <w:tcW w:w="2430" w:type="dxa"/>
            <w:tcBorders>
              <w:top w:val="single" w:sz="4" w:space="0" w:color="000000"/>
              <w:left w:val="single" w:sz="4" w:space="0" w:color="000000"/>
              <w:bottom w:val="single" w:sz="4" w:space="0" w:color="000000"/>
              <w:insideH w:val="single" w:sz="4" w:space="0" w:color="000000"/>
              <w:right w:val="nil"/>
              <w:insideV w:val="nil"/>
            </w:tcBorders>
            <w:shd w:fill="B3B3B3" w:val="clear"/>
            <w:tcMar>
              <w:left w:w="103" w:type="dxa"/>
            </w:tcMar>
          </w:tcPr>
          <w:p>
            <w:pPr>
              <w:pStyle w:val="Normal"/>
              <w:jc w:val="center"/>
              <w:rPr>
                <w:sz w:val="16"/>
                <w:lang w:val="en-GB"/>
              </w:rPr>
            </w:pPr>
            <w:r>
              <w:rPr>
                <w:sz w:val="16"/>
                <w:lang w:val="en-GB"/>
              </w:rPr>
              <w:t xml:space="preserve">LOCF, </w:t>
            </w:r>
          </w:p>
          <w:p>
            <w:pPr>
              <w:pStyle w:val="Normal"/>
              <w:jc w:val="center"/>
              <w:rPr>
                <w:b/>
                <w:bCs/>
                <w:sz w:val="16"/>
                <w:lang w:val="en-GB"/>
              </w:rPr>
            </w:pPr>
            <w:r>
              <w:rPr>
                <w:sz w:val="16"/>
                <w:lang w:val="en-GB"/>
              </w:rPr>
              <w:t xml:space="preserve">Mixed Effects model  </w:t>
            </w:r>
            <w:r>
              <w:rPr>
                <w:b/>
                <w:bCs/>
                <w:sz w:val="16"/>
                <w:lang w:val="en-GB"/>
              </w:rPr>
              <w:t>(results of modelling not provided)</w:t>
            </w:r>
          </w:p>
        </w:tc>
        <w:tc>
          <w:tcPr>
            <w:tcW w:w="218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OCA</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snapToGrid w:val="false"/>
              <w:jc w:val="center"/>
              <w:rPr>
                <w:sz w:val="16"/>
                <w:lang w:val="en-GB"/>
              </w:rPr>
            </w:pPr>
            <w:r>
              <w:rPr>
                <w:sz w:val="16"/>
                <w:lang w:val="en-GB"/>
              </w:rPr>
            </w:r>
          </w:p>
        </w:tc>
        <w:tc>
          <w:tcPr>
            <w:tcW w:w="181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0C0C0" w:val="clear"/>
            <w:tcMar>
              <w:left w:w="103" w:type="dxa"/>
            </w:tcMar>
          </w:tcPr>
          <w:p>
            <w:pPr>
              <w:pStyle w:val="Normal"/>
              <w:snapToGrid w:val="false"/>
              <w:jc w:val="center"/>
              <w:rPr>
                <w:sz w:val="16"/>
                <w:lang w:val="en-GB"/>
              </w:rPr>
            </w:pPr>
            <w:r>
              <w:rPr>
                <w:sz w:val="16"/>
                <w:lang w:val="en-GB"/>
              </w:rPr>
            </w:r>
          </w:p>
          <w:p>
            <w:pPr>
              <w:pStyle w:val="Normal"/>
              <w:jc w:val="center"/>
              <w:rPr>
                <w:b/>
                <w:bCs/>
                <w:sz w:val="40"/>
                <w:lang w:val="en-GB"/>
              </w:rPr>
            </w:pPr>
            <w:r>
              <w:rPr>
                <w:b/>
                <w:bCs/>
                <w:sz w:val="40"/>
                <w:lang w:val="en-GB"/>
              </w:rPr>
              <w:t>+</w:t>
            </w:r>
          </w:p>
        </w:tc>
      </w:tr>
      <w:tr>
        <w:trPr>
          <w:cantSplit w:val="false"/>
        </w:trPr>
        <w:tc>
          <w:tcPr>
            <w:tcW w:w="1472"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Bullock 2004</w:t>
            </w:r>
          </w:p>
        </w:tc>
        <w:tc>
          <w:tcPr>
            <w:tcW w:w="1076"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Heading4"/>
              <w:numPr>
                <w:ilvl w:val="3"/>
                <w:numId w:val="1"/>
              </w:numPr>
              <w:spacing w:lineRule="auto" w:line="240"/>
              <w:jc w:val="center"/>
              <w:rPr/>
            </w:pPr>
            <w:r>
              <w:rPr/>
              <w:t>Yes</w:t>
            </w:r>
          </w:p>
          <w:p>
            <w:pPr>
              <w:pStyle w:val="Normal"/>
              <w:jc w:val="center"/>
              <w:rPr>
                <w:sz w:val="16"/>
                <w:lang w:val="en-GB"/>
              </w:rPr>
            </w:pPr>
            <w:r>
              <w:rPr>
                <w:sz w:val="16"/>
                <w:lang w:val="en-GB"/>
              </w:rPr>
              <w:t>Placebo 14%</w:t>
            </w:r>
          </w:p>
          <w:p>
            <w:pPr>
              <w:pStyle w:val="Normal"/>
              <w:jc w:val="center"/>
              <w:rPr>
                <w:sz w:val="16"/>
                <w:lang w:val="en-GB"/>
              </w:rPr>
            </w:pPr>
            <w:r>
              <w:rPr>
                <w:sz w:val="16"/>
                <w:lang w:val="en-GB"/>
              </w:rPr>
              <w:t>24 mg    22%</w:t>
            </w:r>
          </w:p>
        </w:tc>
        <w:tc>
          <w:tcPr>
            <w:tcW w:w="1068"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049"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34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1 - 3</w:t>
            </w:r>
          </w:p>
        </w:tc>
        <w:tc>
          <w:tcPr>
            <w:tcW w:w="243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Used term ‘Observed Case analysis’ but describe LOCF</w:t>
            </w:r>
          </w:p>
        </w:tc>
        <w:tc>
          <w:tcPr>
            <w:tcW w:w="218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None</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snapToGrid w:val="false"/>
              <w:jc w:val="center"/>
              <w:rPr>
                <w:sz w:val="16"/>
                <w:lang w:val="en-GB"/>
              </w:rPr>
            </w:pPr>
            <w:r>
              <w:rPr>
                <w:sz w:val="16"/>
                <w:lang w:val="en-GB"/>
              </w:rPr>
            </w:r>
          </w:p>
        </w:tc>
        <w:tc>
          <w:tcPr>
            <w:tcW w:w="181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0C0C0" w:val="clear"/>
            <w:tcMar>
              <w:left w:w="103" w:type="dxa"/>
            </w:tcMar>
          </w:tcPr>
          <w:p>
            <w:pPr>
              <w:pStyle w:val="Normal"/>
              <w:snapToGrid w:val="false"/>
              <w:jc w:val="center"/>
              <w:rPr>
                <w:sz w:val="16"/>
                <w:lang w:val="en-GB"/>
              </w:rPr>
            </w:pPr>
            <w:r>
              <w:rPr>
                <w:sz w:val="16"/>
                <w:lang w:val="en-GB"/>
              </w:rPr>
            </w:r>
          </w:p>
          <w:p>
            <w:pPr>
              <w:pStyle w:val="Normal"/>
              <w:jc w:val="center"/>
              <w:rPr>
                <w:b/>
                <w:bCs/>
                <w:sz w:val="40"/>
                <w:lang w:val="en-GB"/>
              </w:rPr>
            </w:pPr>
            <w:r>
              <w:rPr>
                <w:b/>
                <w:bCs/>
                <w:sz w:val="40"/>
                <w:lang w:val="en-GB"/>
              </w:rPr>
              <w:t>+</w:t>
            </w:r>
          </w:p>
        </w:tc>
      </w:tr>
      <w:tr>
        <w:trPr>
          <w:cantSplit w:val="false"/>
        </w:trPr>
        <w:tc>
          <w:tcPr>
            <w:tcW w:w="1472"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Auchus 2007</w:t>
            </w:r>
          </w:p>
        </w:tc>
        <w:tc>
          <w:tcPr>
            <w:tcW w:w="1076"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Heading4"/>
              <w:numPr>
                <w:ilvl w:val="3"/>
                <w:numId w:val="1"/>
              </w:numPr>
              <w:spacing w:lineRule="auto" w:line="240"/>
              <w:jc w:val="center"/>
              <w:rPr/>
            </w:pPr>
            <w:r>
              <w:rPr/>
              <w:t>Yes</w:t>
            </w:r>
          </w:p>
          <w:p>
            <w:pPr>
              <w:pStyle w:val="BalloonText"/>
              <w:rPr>
                <w:rFonts w:cs="Times New Roman" w:ascii="Times New Roman" w:hAnsi="Times New Roman"/>
                <w:szCs w:val="24"/>
                <w:lang w:val="en-GB"/>
              </w:rPr>
            </w:pPr>
            <w:r>
              <w:rPr>
                <w:rFonts w:cs="Times New Roman" w:ascii="Times New Roman" w:hAnsi="Times New Roman"/>
                <w:szCs w:val="24"/>
                <w:lang w:val="en-GB"/>
              </w:rPr>
              <w:t>Placebo 15%</w:t>
            </w:r>
          </w:p>
          <w:p>
            <w:pPr>
              <w:pStyle w:val="Normal"/>
              <w:rPr>
                <w:sz w:val="16"/>
                <w:lang w:val="en-GB"/>
              </w:rPr>
            </w:pPr>
            <w:r>
              <w:rPr>
                <w:sz w:val="16"/>
                <w:lang w:val="en-GB"/>
              </w:rPr>
              <w:t>8-24mg 24%</w:t>
            </w:r>
          </w:p>
        </w:tc>
        <w:tc>
          <w:tcPr>
            <w:tcW w:w="1068"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049"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34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1 - 3</w:t>
            </w:r>
          </w:p>
        </w:tc>
        <w:tc>
          <w:tcPr>
            <w:tcW w:w="243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LOCF</w:t>
            </w:r>
          </w:p>
        </w:tc>
        <w:tc>
          <w:tcPr>
            <w:tcW w:w="218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OCA</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snapToGrid w:val="false"/>
              <w:jc w:val="center"/>
              <w:rPr>
                <w:sz w:val="16"/>
                <w:lang w:val="en-GB"/>
              </w:rPr>
            </w:pPr>
            <w:r>
              <w:rPr>
                <w:sz w:val="16"/>
                <w:lang w:val="en-GB"/>
              </w:rPr>
            </w:r>
          </w:p>
        </w:tc>
        <w:tc>
          <w:tcPr>
            <w:tcW w:w="181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0C0C0" w:val="clear"/>
            <w:tcMar>
              <w:left w:w="103" w:type="dxa"/>
            </w:tcMar>
          </w:tcPr>
          <w:p>
            <w:pPr>
              <w:pStyle w:val="Normal"/>
              <w:snapToGrid w:val="false"/>
              <w:jc w:val="center"/>
              <w:rPr>
                <w:sz w:val="16"/>
                <w:lang w:val="en-GB"/>
              </w:rPr>
            </w:pPr>
            <w:r>
              <w:rPr>
                <w:sz w:val="16"/>
                <w:lang w:val="en-GB"/>
              </w:rPr>
            </w:r>
          </w:p>
          <w:p>
            <w:pPr>
              <w:pStyle w:val="Normal"/>
              <w:jc w:val="center"/>
              <w:rPr>
                <w:b/>
                <w:bCs/>
                <w:sz w:val="40"/>
                <w:lang w:val="en-GB"/>
              </w:rPr>
            </w:pPr>
            <w:r>
              <w:rPr>
                <w:b/>
                <w:bCs/>
                <w:sz w:val="40"/>
                <w:lang w:val="en-GB"/>
              </w:rPr>
              <w:t>+</w:t>
            </w:r>
          </w:p>
        </w:tc>
      </w:tr>
      <w:tr>
        <w:trPr>
          <w:trHeight w:val="305" w:hRule="atLeast"/>
          <w:cantSplit w:val="false"/>
        </w:trPr>
        <w:tc>
          <w:tcPr>
            <w:tcW w:w="14230" w:type="dxa"/>
            <w:gridSpan w:val="9"/>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E0E0E0" w:val="clear"/>
            <w:tcMar>
              <w:left w:w="103" w:type="dxa"/>
            </w:tcMar>
            <w:vAlign w:val="center"/>
          </w:tcPr>
          <w:p>
            <w:pPr>
              <w:pStyle w:val="Normal"/>
              <w:rPr>
                <w:sz w:val="16"/>
                <w:u w:val="single"/>
                <w:lang w:val="en-GB"/>
              </w:rPr>
            </w:pPr>
            <w:r>
              <w:rPr>
                <w:b/>
                <w:sz w:val="16"/>
                <w:lang w:val="en-GB"/>
              </w:rPr>
              <w:t>Memantine</w:t>
            </w:r>
            <w:r>
              <w:rPr>
                <w:sz w:val="16"/>
                <w:lang w:val="en-GB"/>
              </w:rPr>
              <w:t xml:space="preserve"> in </w:t>
            </w:r>
            <w:r>
              <w:rPr>
                <w:sz w:val="16"/>
                <w:u w:val="single"/>
                <w:lang w:val="en-GB"/>
              </w:rPr>
              <w:t>Vascular Dementia</w:t>
            </w:r>
            <w:r>
              <w:rPr>
                <w:sz w:val="16"/>
                <w:lang w:val="en-GB"/>
              </w:rPr>
              <w:t xml:space="preserve"> and </w:t>
            </w:r>
            <w:r>
              <w:rPr>
                <w:sz w:val="16"/>
                <w:u w:val="single"/>
                <w:lang w:val="en-GB"/>
              </w:rPr>
              <w:t>Mixed Dementia</w:t>
            </w:r>
          </w:p>
        </w:tc>
      </w:tr>
      <w:tr>
        <w:trPr>
          <w:cantSplit w:val="false"/>
        </w:trPr>
        <w:tc>
          <w:tcPr>
            <w:tcW w:w="1472"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Orgogozo 2002</w:t>
            </w:r>
          </w:p>
        </w:tc>
        <w:tc>
          <w:tcPr>
            <w:tcW w:w="1076"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Heading4"/>
              <w:numPr>
                <w:ilvl w:val="3"/>
                <w:numId w:val="1"/>
              </w:numPr>
              <w:spacing w:lineRule="auto" w:line="240"/>
              <w:jc w:val="center"/>
              <w:rPr/>
            </w:pPr>
            <w:r>
              <w:rPr/>
              <w:t>Yes</w:t>
            </w:r>
          </w:p>
          <w:p>
            <w:pPr>
              <w:pStyle w:val="Normal"/>
              <w:jc w:val="center"/>
              <w:rPr>
                <w:sz w:val="16"/>
                <w:lang w:val="en-GB"/>
              </w:rPr>
            </w:pPr>
            <w:r>
              <w:rPr>
                <w:sz w:val="16"/>
                <w:lang w:val="en-GB"/>
              </w:rPr>
              <w:t>Placebo 16%</w:t>
            </w:r>
          </w:p>
          <w:p>
            <w:pPr>
              <w:pStyle w:val="Normal"/>
              <w:jc w:val="center"/>
              <w:rPr>
                <w:sz w:val="16"/>
                <w:lang w:val="en-GB"/>
              </w:rPr>
            </w:pPr>
            <w:r>
              <w:rPr>
                <w:sz w:val="16"/>
                <w:lang w:val="en-GB"/>
              </w:rPr>
              <w:t>20 mg    21%</w:t>
            </w:r>
          </w:p>
        </w:tc>
        <w:tc>
          <w:tcPr>
            <w:tcW w:w="1068"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049"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34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1 - 3</w:t>
            </w:r>
          </w:p>
        </w:tc>
        <w:tc>
          <w:tcPr>
            <w:tcW w:w="243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LOCF</w:t>
            </w:r>
          </w:p>
        </w:tc>
        <w:tc>
          <w:tcPr>
            <w:tcW w:w="218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OCA, TPP</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snapToGrid w:val="false"/>
              <w:jc w:val="center"/>
              <w:rPr>
                <w:sz w:val="16"/>
                <w:lang w:val="en-GB"/>
              </w:rPr>
            </w:pPr>
            <w:r>
              <w:rPr>
                <w:sz w:val="16"/>
                <w:lang w:val="en-GB"/>
              </w:rPr>
            </w:r>
          </w:p>
        </w:tc>
        <w:tc>
          <w:tcPr>
            <w:tcW w:w="181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0C0C0" w:val="clear"/>
            <w:tcMar>
              <w:left w:w="103" w:type="dxa"/>
            </w:tcMar>
          </w:tcPr>
          <w:p>
            <w:pPr>
              <w:pStyle w:val="Normal"/>
              <w:snapToGrid w:val="false"/>
              <w:jc w:val="center"/>
              <w:rPr>
                <w:sz w:val="16"/>
                <w:lang w:val="en-GB"/>
              </w:rPr>
            </w:pPr>
            <w:r>
              <w:rPr>
                <w:sz w:val="16"/>
                <w:lang w:val="en-GB"/>
              </w:rPr>
            </w:r>
          </w:p>
          <w:p>
            <w:pPr>
              <w:pStyle w:val="Normal"/>
              <w:jc w:val="center"/>
              <w:rPr>
                <w:b/>
                <w:bCs/>
                <w:sz w:val="40"/>
                <w:lang w:val="en-GB"/>
              </w:rPr>
            </w:pPr>
            <w:r>
              <w:rPr>
                <w:b/>
                <w:bCs/>
                <w:sz w:val="40"/>
                <w:lang w:val="en-GB"/>
              </w:rPr>
              <w:t>+</w:t>
            </w:r>
          </w:p>
        </w:tc>
      </w:tr>
      <w:tr>
        <w:trPr>
          <w:cantSplit w:val="false"/>
        </w:trPr>
        <w:tc>
          <w:tcPr>
            <w:tcW w:w="1472"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Wilcock 2002</w:t>
            </w:r>
          </w:p>
        </w:tc>
        <w:tc>
          <w:tcPr>
            <w:tcW w:w="1076"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w:t>
            </w:r>
          </w:p>
        </w:tc>
        <w:tc>
          <w:tcPr>
            <w:tcW w:w="1068"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049"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34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0 - 2</w:t>
            </w:r>
          </w:p>
        </w:tc>
        <w:tc>
          <w:tcPr>
            <w:tcW w:w="243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LOCF</w:t>
            </w:r>
          </w:p>
        </w:tc>
        <w:tc>
          <w:tcPr>
            <w:tcW w:w="218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TPP</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snapToGrid w:val="false"/>
              <w:jc w:val="center"/>
              <w:rPr>
                <w:sz w:val="16"/>
                <w:lang w:val="en-GB"/>
              </w:rPr>
            </w:pPr>
            <w:r>
              <w:rPr>
                <w:sz w:val="16"/>
                <w:lang w:val="en-GB"/>
              </w:rPr>
            </w:r>
          </w:p>
        </w:tc>
        <w:tc>
          <w:tcPr>
            <w:tcW w:w="181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0C0C0" w:val="clear"/>
            <w:tcMar>
              <w:left w:w="103" w:type="dxa"/>
            </w:tcMar>
          </w:tcPr>
          <w:p>
            <w:pPr>
              <w:pStyle w:val="Normal"/>
              <w:snapToGrid w:val="false"/>
              <w:jc w:val="center"/>
              <w:rPr>
                <w:sz w:val="16"/>
                <w:lang w:val="en-GB"/>
              </w:rPr>
            </w:pPr>
            <w:r>
              <w:rPr>
                <w:sz w:val="16"/>
                <w:lang w:val="en-GB"/>
              </w:rPr>
            </w:r>
          </w:p>
        </w:tc>
      </w:tr>
      <w:tr>
        <w:trPr>
          <w:trHeight w:val="323" w:hRule="atLeast"/>
          <w:cantSplit w:val="false"/>
        </w:trPr>
        <w:tc>
          <w:tcPr>
            <w:tcW w:w="14230" w:type="dxa"/>
            <w:gridSpan w:val="9"/>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E0E0E0" w:val="clear"/>
            <w:tcMar>
              <w:left w:w="103" w:type="dxa"/>
            </w:tcMar>
            <w:vAlign w:val="center"/>
          </w:tcPr>
          <w:p>
            <w:pPr>
              <w:pStyle w:val="Normal"/>
              <w:rPr>
                <w:sz w:val="16"/>
                <w:u w:val="single"/>
                <w:lang w:val="en-GB"/>
              </w:rPr>
            </w:pPr>
            <w:r>
              <w:rPr>
                <w:b/>
                <w:sz w:val="16"/>
                <w:lang w:val="en-GB"/>
              </w:rPr>
              <w:t>Donepezil</w:t>
            </w:r>
            <w:r>
              <w:rPr>
                <w:sz w:val="16"/>
                <w:lang w:val="en-GB"/>
              </w:rPr>
              <w:t xml:space="preserve"> in </w:t>
            </w:r>
            <w:r>
              <w:rPr>
                <w:sz w:val="16"/>
                <w:u w:val="single"/>
                <w:lang w:val="en-GB"/>
              </w:rPr>
              <w:t>Mild Cognitive Impairment (MCI)</w:t>
            </w:r>
          </w:p>
        </w:tc>
      </w:tr>
      <w:tr>
        <w:trPr>
          <w:cantSplit w:val="false"/>
        </w:trPr>
        <w:tc>
          <w:tcPr>
            <w:tcW w:w="1472"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Salloway 2004</w:t>
            </w:r>
          </w:p>
        </w:tc>
        <w:tc>
          <w:tcPr>
            <w:tcW w:w="1076"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Heading4"/>
              <w:numPr>
                <w:ilvl w:val="3"/>
                <w:numId w:val="1"/>
              </w:numPr>
              <w:spacing w:lineRule="auto" w:line="240"/>
              <w:jc w:val="center"/>
              <w:rPr/>
            </w:pPr>
            <w:r>
              <w:rPr/>
              <w:t>Yes</w:t>
            </w:r>
          </w:p>
          <w:p>
            <w:pPr>
              <w:pStyle w:val="Normal"/>
              <w:jc w:val="center"/>
              <w:rPr>
                <w:sz w:val="16"/>
                <w:lang w:val="en-GB"/>
              </w:rPr>
            </w:pPr>
            <w:r>
              <w:rPr>
                <w:sz w:val="16"/>
                <w:lang w:val="en-GB"/>
              </w:rPr>
              <w:t>Placebo 17%</w:t>
            </w:r>
          </w:p>
          <w:p>
            <w:pPr>
              <w:pStyle w:val="Normal"/>
              <w:jc w:val="center"/>
              <w:rPr>
                <w:sz w:val="16"/>
                <w:lang w:val="en-GB"/>
              </w:rPr>
            </w:pPr>
            <w:r>
              <w:rPr>
                <w:sz w:val="16"/>
                <w:lang w:val="en-GB"/>
              </w:rPr>
              <w:t>10 mg    32%</w:t>
            </w:r>
          </w:p>
        </w:tc>
        <w:tc>
          <w:tcPr>
            <w:tcW w:w="1068"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049"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34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1 - 3</w:t>
            </w:r>
          </w:p>
        </w:tc>
        <w:tc>
          <w:tcPr>
            <w:tcW w:w="243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LOCF</w:t>
            </w:r>
          </w:p>
        </w:tc>
        <w:tc>
          <w:tcPr>
            <w:tcW w:w="218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OCA, FEP</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snapToGrid w:val="false"/>
              <w:jc w:val="center"/>
              <w:rPr>
                <w:sz w:val="16"/>
                <w:lang w:val="en-GB"/>
              </w:rPr>
            </w:pPr>
            <w:r>
              <w:rPr>
                <w:sz w:val="16"/>
                <w:lang w:val="en-GB"/>
              </w:rPr>
            </w:r>
          </w:p>
        </w:tc>
        <w:tc>
          <w:tcPr>
            <w:tcW w:w="181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0C0C0" w:val="clear"/>
            <w:tcMar>
              <w:left w:w="103" w:type="dxa"/>
            </w:tcMar>
          </w:tcPr>
          <w:p>
            <w:pPr>
              <w:pStyle w:val="Normal"/>
              <w:snapToGrid w:val="false"/>
              <w:jc w:val="center"/>
              <w:rPr>
                <w:sz w:val="16"/>
                <w:lang w:val="en-GB"/>
              </w:rPr>
            </w:pPr>
            <w:r>
              <w:rPr>
                <w:sz w:val="16"/>
                <w:lang w:val="en-GB"/>
              </w:rPr>
            </w:r>
          </w:p>
          <w:p>
            <w:pPr>
              <w:pStyle w:val="Normal"/>
              <w:jc w:val="center"/>
              <w:rPr>
                <w:b/>
                <w:bCs/>
                <w:sz w:val="40"/>
                <w:lang w:val="en-GB"/>
              </w:rPr>
            </w:pPr>
            <w:r>
              <w:rPr>
                <w:b/>
                <w:bCs/>
                <w:sz w:val="40"/>
                <w:lang w:val="en-GB"/>
              </w:rPr>
              <w:t>+</w:t>
            </w:r>
          </w:p>
        </w:tc>
      </w:tr>
      <w:tr>
        <w:trPr>
          <w:cantSplit w:val="false"/>
        </w:trPr>
        <w:tc>
          <w:tcPr>
            <w:tcW w:w="1472"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Petersen 2005</w:t>
            </w:r>
          </w:p>
        </w:tc>
        <w:tc>
          <w:tcPr>
            <w:tcW w:w="1076"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Heading4"/>
              <w:numPr>
                <w:ilvl w:val="3"/>
                <w:numId w:val="1"/>
              </w:numPr>
              <w:spacing w:lineRule="auto" w:line="240"/>
              <w:jc w:val="center"/>
              <w:rPr/>
            </w:pPr>
            <w:r>
              <w:rPr/>
              <w:t>Yes</w:t>
            </w:r>
          </w:p>
          <w:p>
            <w:pPr>
              <w:pStyle w:val="Normal"/>
              <w:jc w:val="center"/>
              <w:rPr>
                <w:sz w:val="16"/>
                <w:lang w:val="en-GB"/>
              </w:rPr>
            </w:pPr>
            <w:r>
              <w:rPr>
                <w:sz w:val="16"/>
                <w:lang w:val="en-GB"/>
              </w:rPr>
              <w:t>Placebo 25%</w:t>
            </w:r>
          </w:p>
          <w:p>
            <w:pPr>
              <w:pStyle w:val="Normal"/>
              <w:jc w:val="center"/>
              <w:rPr>
                <w:sz w:val="16"/>
                <w:lang w:val="en-GB"/>
              </w:rPr>
            </w:pPr>
            <w:r>
              <w:rPr>
                <w:sz w:val="16"/>
                <w:lang w:val="en-GB"/>
              </w:rPr>
              <w:t>10 mg   36%</w:t>
            </w:r>
          </w:p>
        </w:tc>
        <w:tc>
          <w:tcPr>
            <w:tcW w:w="1068"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Heading4"/>
              <w:numPr>
                <w:ilvl w:val="3"/>
                <w:numId w:val="1"/>
              </w:numPr>
              <w:spacing w:lineRule="auto" w:line="240"/>
              <w:jc w:val="center"/>
              <w:rPr/>
            </w:pPr>
            <w:r>
              <w:rPr/>
              <w:t>Yes</w:t>
            </w:r>
          </w:p>
        </w:tc>
        <w:tc>
          <w:tcPr>
            <w:tcW w:w="1049"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Heading4"/>
              <w:numPr>
                <w:ilvl w:val="3"/>
                <w:numId w:val="1"/>
              </w:numPr>
              <w:spacing w:lineRule="auto" w:line="240"/>
              <w:jc w:val="center"/>
              <w:rPr/>
            </w:pPr>
            <w:r>
              <w:rPr/>
              <w:t>Yes</w:t>
            </w:r>
          </w:p>
        </w:tc>
        <w:tc>
          <w:tcPr>
            <w:tcW w:w="134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3</w:t>
            </w:r>
          </w:p>
        </w:tc>
        <w:tc>
          <w:tcPr>
            <w:tcW w:w="2430" w:type="dxa"/>
            <w:tcBorders>
              <w:top w:val="single" w:sz="4" w:space="0" w:color="000000"/>
              <w:left w:val="single" w:sz="4" w:space="0" w:color="000000"/>
              <w:bottom w:val="single" w:sz="4" w:space="0" w:color="000000"/>
              <w:insideH w:val="single" w:sz="4" w:space="0" w:color="000000"/>
              <w:right w:val="nil"/>
              <w:insideV w:val="nil"/>
            </w:tcBorders>
            <w:shd w:fill="B3B3B3" w:val="clear"/>
            <w:tcMar>
              <w:left w:w="103" w:type="dxa"/>
            </w:tcMar>
          </w:tcPr>
          <w:p>
            <w:pPr>
              <w:pStyle w:val="Normal"/>
              <w:jc w:val="center"/>
              <w:rPr>
                <w:b/>
                <w:bCs/>
                <w:sz w:val="16"/>
                <w:lang w:val="en-GB"/>
              </w:rPr>
            </w:pPr>
            <w:r>
              <w:rPr>
                <w:b/>
                <w:bCs/>
                <w:sz w:val="16"/>
                <w:lang w:val="en-GB"/>
              </w:rPr>
              <w:t>Employed a sensitivity analysis consisting of a number of simulations (modelling)</w:t>
            </w:r>
          </w:p>
        </w:tc>
        <w:tc>
          <w:tcPr>
            <w:tcW w:w="2180" w:type="dxa"/>
            <w:tcBorders>
              <w:top w:val="single" w:sz="4" w:space="0" w:color="000000"/>
              <w:left w:val="single" w:sz="4" w:space="0" w:color="000000"/>
              <w:bottom w:val="single" w:sz="4" w:space="0" w:color="000000"/>
              <w:insideH w:val="single" w:sz="4" w:space="0" w:color="000000"/>
              <w:right w:val="nil"/>
              <w:insideV w:val="nil"/>
            </w:tcBorders>
            <w:shd w:fill="B3B3B3" w:val="clear"/>
            <w:tcMar>
              <w:left w:w="103" w:type="dxa"/>
            </w:tcMar>
          </w:tcPr>
          <w:p>
            <w:pPr>
              <w:pStyle w:val="Normal"/>
              <w:jc w:val="center"/>
              <w:rPr>
                <w:b/>
                <w:bCs/>
                <w:sz w:val="16"/>
                <w:lang w:val="en-GB"/>
              </w:rPr>
            </w:pPr>
            <w:r>
              <w:rPr>
                <w:b/>
                <w:bCs/>
                <w:sz w:val="16"/>
                <w:lang w:val="en-GB"/>
              </w:rPr>
              <w:t>For secondary outcomes “missing values were imputed with the use of a projection method appropriate for assessing responses among subjects with neurodegenerative diseases.”</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snapToGrid w:val="false"/>
              <w:jc w:val="center"/>
              <w:rPr>
                <w:b/>
                <w:bCs/>
                <w:sz w:val="16"/>
                <w:lang w:val="en-GB"/>
              </w:rPr>
            </w:pPr>
            <w:r>
              <w:rPr>
                <w:b/>
                <w:bCs/>
                <w:sz w:val="16"/>
                <w:lang w:val="en-GB"/>
              </w:rPr>
            </w:r>
          </w:p>
        </w:tc>
        <w:tc>
          <w:tcPr>
            <w:tcW w:w="181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0C0C0" w:val="clear"/>
            <w:tcMar>
              <w:left w:w="103" w:type="dxa"/>
            </w:tcMar>
          </w:tcPr>
          <w:p>
            <w:pPr>
              <w:pStyle w:val="Normal"/>
              <w:snapToGrid w:val="false"/>
              <w:jc w:val="center"/>
              <w:rPr>
                <w:b/>
                <w:bCs/>
                <w:sz w:val="16"/>
                <w:lang w:val="en-GB"/>
              </w:rPr>
            </w:pPr>
            <w:r>
              <w:rPr>
                <w:b/>
                <w:bCs/>
                <w:sz w:val="16"/>
                <w:lang w:val="en-GB"/>
              </w:rPr>
            </w:r>
          </w:p>
        </w:tc>
      </w:tr>
      <w:tr>
        <w:trPr>
          <w:trHeight w:val="458" w:hRule="atLeast"/>
          <w:cantSplit w:val="false"/>
        </w:trPr>
        <w:tc>
          <w:tcPr>
            <w:tcW w:w="14230" w:type="dxa"/>
            <w:gridSpan w:val="9"/>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E0E0E0" w:val="clear"/>
            <w:tcMar>
              <w:left w:w="103" w:type="dxa"/>
            </w:tcMar>
            <w:vAlign w:val="center"/>
          </w:tcPr>
          <w:p>
            <w:pPr>
              <w:pStyle w:val="Normal"/>
              <w:rPr>
                <w:sz w:val="16"/>
                <w:u w:val="single"/>
                <w:lang w:val="en-GB"/>
              </w:rPr>
            </w:pPr>
            <w:r>
              <w:rPr>
                <w:b/>
                <w:sz w:val="16"/>
                <w:lang w:val="en-GB"/>
              </w:rPr>
              <w:t>Galantamine</w:t>
            </w:r>
            <w:r>
              <w:rPr>
                <w:sz w:val="16"/>
                <w:lang w:val="en-GB"/>
              </w:rPr>
              <w:t xml:space="preserve"> in </w:t>
            </w:r>
            <w:r>
              <w:rPr>
                <w:sz w:val="16"/>
                <w:u w:val="single"/>
                <w:lang w:val="en-GB"/>
              </w:rPr>
              <w:t>Mild Cognitive Impairment (MCI)</w:t>
            </w:r>
          </w:p>
        </w:tc>
      </w:tr>
      <w:tr>
        <w:trPr>
          <w:cantSplit w:val="false"/>
        </w:trPr>
        <w:tc>
          <w:tcPr>
            <w:tcW w:w="1472"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Koontz 2005</w:t>
            </w:r>
          </w:p>
        </w:tc>
        <w:tc>
          <w:tcPr>
            <w:tcW w:w="1076"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Heading4"/>
              <w:numPr>
                <w:ilvl w:val="3"/>
                <w:numId w:val="1"/>
              </w:numPr>
              <w:spacing w:lineRule="auto" w:line="240"/>
              <w:jc w:val="center"/>
              <w:rPr/>
            </w:pPr>
            <w:r>
              <w:rPr/>
              <w:t>Yes</w:t>
            </w:r>
          </w:p>
          <w:p>
            <w:pPr>
              <w:pStyle w:val="Normal"/>
              <w:jc w:val="center"/>
              <w:rPr>
                <w:sz w:val="16"/>
                <w:lang w:val="en-GB"/>
              </w:rPr>
            </w:pPr>
            <w:r>
              <w:rPr>
                <w:sz w:val="16"/>
                <w:lang w:val="en-GB"/>
              </w:rPr>
              <w:t>Placebo 36%</w:t>
            </w:r>
          </w:p>
          <w:p>
            <w:pPr>
              <w:pStyle w:val="Normal"/>
              <w:jc w:val="center"/>
              <w:rPr>
                <w:sz w:val="16"/>
                <w:lang w:val="en-GB"/>
              </w:rPr>
            </w:pPr>
            <w:r>
              <w:rPr>
                <w:sz w:val="16"/>
                <w:lang w:val="en-GB"/>
              </w:rPr>
              <w:t>24 mg   50%</w:t>
            </w:r>
          </w:p>
        </w:tc>
        <w:tc>
          <w:tcPr>
            <w:tcW w:w="1068"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049"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34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1 - 3</w:t>
            </w:r>
          </w:p>
        </w:tc>
        <w:tc>
          <w:tcPr>
            <w:tcW w:w="243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Type of analysis not specified</w:t>
            </w:r>
          </w:p>
        </w:tc>
        <w:tc>
          <w:tcPr>
            <w:tcW w:w="218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Description suggests OCA</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snapToGrid w:val="false"/>
              <w:jc w:val="center"/>
              <w:rPr>
                <w:sz w:val="16"/>
                <w:lang w:val="en-GB"/>
              </w:rPr>
            </w:pPr>
            <w:r>
              <w:rPr>
                <w:sz w:val="16"/>
                <w:lang w:val="en-GB"/>
              </w:rPr>
            </w:r>
          </w:p>
          <w:p>
            <w:pPr>
              <w:pStyle w:val="Normal"/>
              <w:jc w:val="center"/>
              <w:rPr>
                <w:b/>
                <w:bCs/>
                <w:sz w:val="40"/>
                <w:lang w:val="en-GB"/>
              </w:rPr>
            </w:pPr>
            <w:r>
              <w:rPr>
                <w:b/>
                <w:bCs/>
                <w:sz w:val="40"/>
                <w:lang w:val="en-GB"/>
              </w:rPr>
              <w:t>+</w:t>
            </w:r>
          </w:p>
        </w:tc>
        <w:tc>
          <w:tcPr>
            <w:tcW w:w="181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0C0C0" w:val="clear"/>
            <w:tcMar>
              <w:left w:w="103" w:type="dxa"/>
            </w:tcMar>
          </w:tcPr>
          <w:p>
            <w:pPr>
              <w:pStyle w:val="Normal"/>
              <w:snapToGrid w:val="false"/>
              <w:jc w:val="center"/>
              <w:rPr>
                <w:sz w:val="16"/>
                <w:lang w:val="en-GB"/>
              </w:rPr>
            </w:pPr>
            <w:r>
              <w:rPr>
                <w:sz w:val="16"/>
                <w:lang w:val="en-GB"/>
              </w:rPr>
            </w:r>
          </w:p>
        </w:tc>
      </w:tr>
      <w:tr>
        <w:trPr>
          <w:cantSplit w:val="false"/>
        </w:trPr>
        <w:tc>
          <w:tcPr>
            <w:tcW w:w="14230" w:type="dxa"/>
            <w:gridSpan w:val="9"/>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D9D9D9" w:val="clear"/>
            <w:tcMar>
              <w:left w:w="103" w:type="dxa"/>
            </w:tcMar>
          </w:tcPr>
          <w:p>
            <w:pPr>
              <w:pStyle w:val="BalloonText"/>
              <w:rPr>
                <w:rFonts w:cs="Times New Roman" w:ascii="Times New Roman" w:hAnsi="Times New Roman"/>
                <w:u w:val="single"/>
                <w:lang w:val="en-GB"/>
              </w:rPr>
            </w:pPr>
            <w:r>
              <w:rPr>
                <w:rFonts w:cs="Times New Roman" w:ascii="Times New Roman" w:hAnsi="Times New Roman"/>
                <w:b/>
                <w:bCs/>
                <w:szCs w:val="24"/>
                <w:lang w:val="en-GB"/>
              </w:rPr>
              <w:t>Rivastigmine</w:t>
            </w:r>
            <w:r>
              <w:rPr>
                <w:rFonts w:cs="Times New Roman" w:ascii="Times New Roman" w:hAnsi="Times New Roman"/>
                <w:szCs w:val="24"/>
                <w:lang w:val="en-GB"/>
              </w:rPr>
              <w:t xml:space="preserve"> in </w:t>
            </w:r>
            <w:r>
              <w:rPr>
                <w:rFonts w:cs="Times New Roman" w:ascii="Times New Roman" w:hAnsi="Times New Roman"/>
                <w:u w:val="single"/>
                <w:lang w:val="en-GB"/>
              </w:rPr>
              <w:t>Mild Cognitive Impairment (MCI)</w:t>
            </w:r>
          </w:p>
        </w:tc>
      </w:tr>
      <w:tr>
        <w:trPr>
          <w:cantSplit w:val="false"/>
        </w:trPr>
        <w:tc>
          <w:tcPr>
            <w:tcW w:w="1472"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Feldman 2007</w:t>
            </w:r>
          </w:p>
          <w:p>
            <w:pPr>
              <w:pStyle w:val="Normal"/>
              <w:jc w:val="center"/>
              <w:rPr>
                <w:sz w:val="16"/>
                <w:lang w:val="en-GB"/>
              </w:rPr>
            </w:pPr>
            <w:r>
              <w:rPr>
                <w:sz w:val="16"/>
                <w:lang w:val="en-GB"/>
              </w:rPr>
              <w:t>Lancet Neurology</w:t>
            </w:r>
          </w:p>
        </w:tc>
        <w:tc>
          <w:tcPr>
            <w:tcW w:w="1076"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Heading4"/>
              <w:numPr>
                <w:ilvl w:val="3"/>
                <w:numId w:val="1"/>
              </w:numPr>
              <w:spacing w:lineRule="auto" w:line="240"/>
              <w:jc w:val="center"/>
              <w:rPr>
                <w:b w:val="false"/>
                <w:bCs w:val="false"/>
              </w:rPr>
            </w:pPr>
            <w:r>
              <w:rPr>
                <w:b w:val="false"/>
                <w:bCs w:val="false"/>
              </w:rPr>
              <w:t>No</w:t>
            </w:r>
          </w:p>
        </w:tc>
        <w:tc>
          <w:tcPr>
            <w:tcW w:w="1068"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049"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Not ruled out</w:t>
            </w:r>
          </w:p>
        </w:tc>
        <w:tc>
          <w:tcPr>
            <w:tcW w:w="134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0 - 3</w:t>
            </w:r>
          </w:p>
        </w:tc>
        <w:tc>
          <w:tcPr>
            <w:tcW w:w="243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LOCF described although the term ‘LOCF’ not explicitly used</w:t>
            </w:r>
          </w:p>
        </w:tc>
        <w:tc>
          <w:tcPr>
            <w:tcW w:w="218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jc w:val="center"/>
              <w:rPr>
                <w:sz w:val="16"/>
                <w:lang w:val="en-GB"/>
              </w:rPr>
            </w:pPr>
            <w:r>
              <w:rPr>
                <w:sz w:val="16"/>
                <w:lang w:val="en-GB"/>
              </w:rPr>
              <w:t>OCA</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103" w:type="dxa"/>
            </w:tcMar>
          </w:tcPr>
          <w:p>
            <w:pPr>
              <w:pStyle w:val="Normal"/>
              <w:snapToGrid w:val="false"/>
              <w:jc w:val="center"/>
              <w:rPr>
                <w:sz w:val="16"/>
                <w:lang w:val="en-GB"/>
              </w:rPr>
            </w:pPr>
            <w:r>
              <w:rPr>
                <w:sz w:val="16"/>
                <w:lang w:val="en-GB"/>
              </w:rPr>
            </w:r>
          </w:p>
        </w:tc>
        <w:tc>
          <w:tcPr>
            <w:tcW w:w="181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0C0C0" w:val="clear"/>
            <w:tcMar>
              <w:left w:w="103" w:type="dxa"/>
            </w:tcMar>
          </w:tcPr>
          <w:p>
            <w:pPr>
              <w:pStyle w:val="Normal"/>
              <w:snapToGrid w:val="false"/>
              <w:jc w:val="center"/>
              <w:rPr>
                <w:sz w:val="16"/>
                <w:lang w:val="en-GB"/>
              </w:rPr>
            </w:pPr>
            <w:r>
              <w:rPr>
                <w:sz w:val="16"/>
                <w:lang w:val="en-GB"/>
              </w:rPr>
            </w:r>
          </w:p>
        </w:tc>
      </w:tr>
    </w:tbl>
    <w:p>
      <w:pPr>
        <w:pStyle w:val="Normal"/>
        <w:rPr>
          <w:b/>
          <w:bCs/>
          <w:sz w:val="16"/>
          <w:lang w:val="en-GB"/>
        </w:rPr>
      </w:pPr>
      <w:r>
        <w:rPr>
          <w:b/>
          <w:bCs/>
          <w:sz w:val="16"/>
          <w:lang w:val="en-GB"/>
        </w:rPr>
      </w:r>
    </w:p>
    <w:p>
      <w:pPr>
        <w:pStyle w:val="Normal"/>
        <w:rPr>
          <w:b/>
          <w:bCs/>
          <w:sz w:val="16"/>
          <w:lang w:val="en-GB"/>
        </w:rPr>
      </w:pPr>
      <w:r>
        <w:rPr>
          <w:b/>
          <w:bCs/>
          <w:sz w:val="16"/>
          <w:lang w:val="en-GB"/>
        </w:rPr>
        <w:t>Abbreviations: LOCF = Last Observation Carried Forward; FEP = Fully Evaluable Population analysis; CA = Completer Analysis; TPP = Treatment Per Protocol analysis; ATA = As Treated Analysis; OCA = Observed Case Analysis; SIB = Severe Impairment Battery; ADCS-ADL-severe = the Modified Alzheimer’s Disease Cooperative Study activities of daily living inventory for severe Alzheimer’s disease; CGI-I = Clinical Global Impression of Improvement; MMSE = Mini-mental State Examination; NPI = Neuropsychiatric Inventory.</w:t>
      </w:r>
    </w:p>
    <w:p>
      <w:pPr>
        <w:sectPr>
          <w:footerReference w:type="default" r:id="rId11"/>
          <w:type w:val="nextPage"/>
          <w:pgSz w:orient="landscape" w:w="15840" w:h="12240"/>
          <w:pgMar w:left="1440" w:right="1440" w:header="0" w:top="1800" w:footer="706" w:bottom="1800" w:gutter="0"/>
          <w:pgNumType w:fmt="decimal"/>
          <w:formProt w:val="false"/>
          <w:textDirection w:val="lrTb"/>
          <w:docGrid w:type="default" w:linePitch="360" w:charSpace="0"/>
        </w:sectPr>
        <w:pStyle w:val="Normal"/>
        <w:spacing w:lineRule="auto" w:line="480"/>
        <w:rPr>
          <w:sz w:val="16"/>
          <w:lang w:val="en-GB"/>
        </w:rPr>
      </w:pPr>
      <w:r>
        <w:rPr>
          <w:sz w:val="16"/>
          <w:lang w:val="en-GB"/>
        </w:rPr>
      </w:r>
    </w:p>
    <w:p>
      <w:pPr>
        <w:pStyle w:val="Normal"/>
        <w:rPr>
          <w:b/>
        </w:rPr>
      </w:pPr>
      <w:r>
        <w:rPr>
          <w:b/>
        </w:rPr>
        <w:t>Table 3: Type of Efficacy Analysis Used/Described</w:t>
      </w:r>
    </w:p>
    <w:tbl>
      <w:tblPr>
        <w:jc w:val="left"/>
        <w:tblInd w:w="-5"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4219"/>
        <w:gridCol w:w="3696"/>
      </w:tblGrid>
      <w:tr>
        <w:trPr>
          <w:cantSplit w:val="false"/>
        </w:trPr>
        <w:tc>
          <w:tcPr>
            <w:tcW w:w="421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sz w:val="20"/>
                <w:szCs w:val="20"/>
              </w:rPr>
            </w:pPr>
            <w:r>
              <w:rPr>
                <w:b/>
                <w:sz w:val="20"/>
                <w:szCs w:val="20"/>
              </w:rPr>
              <w:t>Characteristic</w:t>
            </w:r>
          </w:p>
        </w:tc>
        <w:tc>
          <w:tcPr>
            <w:tcW w:w="3696"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b/>
                <w:sz w:val="20"/>
                <w:szCs w:val="20"/>
              </w:rPr>
            </w:pPr>
            <w:r>
              <w:rPr>
                <w:b/>
                <w:sz w:val="20"/>
                <w:szCs w:val="20"/>
              </w:rPr>
              <w:t>Frequency (% of total)</w:t>
            </w:r>
          </w:p>
          <w:p>
            <w:pPr>
              <w:pStyle w:val="Normal"/>
              <w:jc w:val="center"/>
              <w:rPr>
                <w:b/>
                <w:sz w:val="20"/>
                <w:szCs w:val="20"/>
              </w:rPr>
            </w:pPr>
            <w:r>
              <w:rPr>
                <w:b/>
                <w:sz w:val="20"/>
                <w:szCs w:val="20"/>
              </w:rPr>
              <w:t>Some studies employed &gt; one technique in each category</w:t>
            </w:r>
          </w:p>
        </w:tc>
      </w:tr>
      <w:tr>
        <w:trPr>
          <w:cantSplit w:val="false"/>
        </w:trPr>
        <w:tc>
          <w:tcPr>
            <w:tcW w:w="421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sz w:val="20"/>
                <w:szCs w:val="20"/>
              </w:rPr>
            </w:pPr>
            <w:r>
              <w:rPr>
                <w:b/>
                <w:sz w:val="20"/>
                <w:szCs w:val="20"/>
              </w:rPr>
              <w:t>Use of ITT principle</w:t>
            </w:r>
          </w:p>
          <w:p>
            <w:pPr>
              <w:pStyle w:val="Normal"/>
              <w:jc w:val="right"/>
              <w:rPr>
                <w:b/>
                <w:i/>
                <w:sz w:val="20"/>
                <w:szCs w:val="20"/>
              </w:rPr>
            </w:pPr>
            <w:r>
              <w:rPr>
                <w:b/>
                <w:i/>
                <w:sz w:val="20"/>
                <w:szCs w:val="20"/>
              </w:rPr>
            </w:r>
          </w:p>
          <w:p>
            <w:pPr>
              <w:pStyle w:val="Normal"/>
              <w:jc w:val="right"/>
              <w:rPr>
                <w:b/>
                <w:i/>
                <w:sz w:val="20"/>
                <w:szCs w:val="20"/>
              </w:rPr>
            </w:pPr>
            <w:r>
              <w:rPr>
                <w:b/>
                <w:i/>
                <w:sz w:val="20"/>
                <w:szCs w:val="20"/>
              </w:rPr>
              <w:t># that indicated use of an ITT analysis</w:t>
            </w:r>
          </w:p>
          <w:p>
            <w:pPr>
              <w:pStyle w:val="Normal"/>
              <w:jc w:val="right"/>
              <w:rPr>
                <w:b/>
                <w:i/>
                <w:sz w:val="20"/>
                <w:szCs w:val="20"/>
              </w:rPr>
            </w:pPr>
            <w:r>
              <w:rPr>
                <w:b/>
                <w:i/>
                <w:sz w:val="20"/>
                <w:szCs w:val="20"/>
              </w:rPr>
            </w:r>
          </w:p>
          <w:p>
            <w:pPr>
              <w:pStyle w:val="Normal"/>
              <w:jc w:val="right"/>
              <w:rPr>
                <w:b/>
                <w:i/>
                <w:sz w:val="20"/>
                <w:szCs w:val="20"/>
              </w:rPr>
            </w:pPr>
            <w:r>
              <w:rPr>
                <w:sz w:val="20"/>
                <w:szCs w:val="20"/>
              </w:rPr>
              <w:t xml:space="preserve">                          </w:t>
            </w:r>
            <w:r>
              <w:rPr>
                <w:b/>
                <w:i/>
                <w:sz w:val="20"/>
                <w:szCs w:val="20"/>
              </w:rPr>
              <w:t xml:space="preserve">     </w:t>
            </w:r>
            <w:r>
              <w:rPr>
                <w:b/>
                <w:i/>
                <w:sz w:val="20"/>
                <w:szCs w:val="20"/>
              </w:rPr>
              <w:t>Last Observation Carried Forward ( LOCF)</w:t>
            </w:r>
          </w:p>
          <w:p>
            <w:pPr>
              <w:pStyle w:val="Normal"/>
              <w:rPr>
                <w:b/>
                <w:i/>
                <w:sz w:val="20"/>
                <w:szCs w:val="20"/>
              </w:rPr>
            </w:pPr>
            <w:r>
              <w:rPr>
                <w:b/>
                <w:i/>
                <w:sz w:val="20"/>
                <w:szCs w:val="20"/>
              </w:rPr>
            </w:r>
          </w:p>
          <w:p>
            <w:pPr>
              <w:pStyle w:val="Normal"/>
              <w:rPr>
                <w:b/>
                <w:i/>
                <w:sz w:val="20"/>
                <w:szCs w:val="20"/>
              </w:rPr>
            </w:pPr>
            <w:r>
              <w:rPr>
                <w:b/>
                <w:i/>
                <w:sz w:val="20"/>
                <w:szCs w:val="20"/>
              </w:rPr>
              <w:t xml:space="preserve">                                </w:t>
            </w:r>
            <w:r>
              <w:rPr>
                <w:b/>
                <w:i/>
                <w:sz w:val="20"/>
                <w:szCs w:val="20"/>
              </w:rPr>
              <w:t>Modeling (results provided)</w:t>
            </w:r>
          </w:p>
          <w:p>
            <w:pPr>
              <w:pStyle w:val="Normal"/>
              <w:jc w:val="right"/>
              <w:rPr>
                <w:sz w:val="20"/>
                <w:szCs w:val="20"/>
              </w:rPr>
            </w:pPr>
            <w:r>
              <w:rPr>
                <w:sz w:val="20"/>
                <w:szCs w:val="20"/>
              </w:rPr>
            </w:r>
          </w:p>
          <w:p>
            <w:pPr>
              <w:pStyle w:val="Normal"/>
              <w:jc w:val="right"/>
              <w:rPr>
                <w:sz w:val="20"/>
                <w:szCs w:val="20"/>
              </w:rPr>
            </w:pPr>
            <w:r>
              <w:rPr>
                <w:sz w:val="20"/>
                <w:szCs w:val="20"/>
              </w:rPr>
            </w:r>
          </w:p>
        </w:tc>
        <w:tc>
          <w:tcPr>
            <w:tcW w:w="3696"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sz w:val="20"/>
                <w:szCs w:val="20"/>
              </w:rPr>
            </w:pPr>
            <w:r>
              <w:rPr>
                <w:sz w:val="20"/>
                <w:szCs w:val="20"/>
              </w:rPr>
            </w:r>
          </w:p>
          <w:p>
            <w:pPr>
              <w:pStyle w:val="Normal"/>
              <w:jc w:val="center"/>
              <w:rPr>
                <w:sz w:val="20"/>
                <w:szCs w:val="20"/>
              </w:rPr>
            </w:pPr>
            <w:r>
              <w:rPr>
                <w:sz w:val="20"/>
                <w:szCs w:val="20"/>
              </w:rPr>
            </w:r>
          </w:p>
          <w:p>
            <w:pPr>
              <w:pStyle w:val="Normal"/>
              <w:jc w:val="center"/>
              <w:rPr>
                <w:sz w:val="20"/>
                <w:szCs w:val="20"/>
              </w:rPr>
            </w:pPr>
            <w:r>
              <w:rPr>
                <w:sz w:val="20"/>
                <w:szCs w:val="20"/>
              </w:rPr>
              <w:t>45/57 (79 %)</w:t>
            </w:r>
          </w:p>
          <w:p>
            <w:pPr>
              <w:pStyle w:val="Normal"/>
              <w:jc w:val="center"/>
              <w:rPr>
                <w:sz w:val="20"/>
                <w:szCs w:val="20"/>
              </w:rPr>
            </w:pPr>
            <w:r>
              <w:rPr>
                <w:sz w:val="20"/>
                <w:szCs w:val="20"/>
              </w:rPr>
            </w:r>
          </w:p>
          <w:p>
            <w:pPr>
              <w:pStyle w:val="Normal"/>
              <w:jc w:val="center"/>
              <w:rPr>
                <w:sz w:val="20"/>
                <w:szCs w:val="20"/>
              </w:rPr>
            </w:pPr>
            <w:r>
              <w:rPr>
                <w:sz w:val="20"/>
                <w:szCs w:val="20"/>
              </w:rPr>
              <w:t>42/57 (74 %)</w:t>
            </w:r>
          </w:p>
          <w:p>
            <w:pPr>
              <w:pStyle w:val="Normal"/>
              <w:jc w:val="center"/>
              <w:rPr>
                <w:sz w:val="20"/>
                <w:szCs w:val="20"/>
              </w:rPr>
            </w:pPr>
            <w:r>
              <w:rPr>
                <w:sz w:val="20"/>
                <w:szCs w:val="20"/>
              </w:rPr>
            </w:r>
          </w:p>
          <w:p>
            <w:pPr>
              <w:pStyle w:val="Normal"/>
              <w:jc w:val="center"/>
              <w:rPr>
                <w:b/>
                <w:bCs/>
                <w:sz w:val="20"/>
                <w:szCs w:val="20"/>
              </w:rPr>
            </w:pPr>
            <w:r>
              <w:rPr>
                <w:b/>
                <w:bCs/>
                <w:sz w:val="20"/>
                <w:szCs w:val="20"/>
              </w:rPr>
            </w:r>
          </w:p>
          <w:p>
            <w:pPr>
              <w:pStyle w:val="Normal"/>
              <w:jc w:val="center"/>
              <w:rPr>
                <w:b/>
                <w:bCs/>
                <w:sz w:val="20"/>
                <w:szCs w:val="20"/>
              </w:rPr>
            </w:pPr>
            <w:r>
              <w:rPr>
                <w:b/>
                <w:bCs/>
                <w:sz w:val="20"/>
                <w:szCs w:val="20"/>
              </w:rPr>
              <w:t>9/57 (16 %)</w:t>
            </w:r>
          </w:p>
          <w:p>
            <w:pPr>
              <w:pStyle w:val="Normal"/>
              <w:jc w:val="center"/>
              <w:rPr>
                <w:sz w:val="20"/>
                <w:szCs w:val="20"/>
              </w:rPr>
            </w:pPr>
            <w:r>
              <w:rPr>
                <w:sz w:val="20"/>
                <w:szCs w:val="20"/>
              </w:rPr>
            </w:r>
          </w:p>
          <w:p>
            <w:pPr>
              <w:pStyle w:val="Normal"/>
              <w:jc w:val="center"/>
              <w:rPr>
                <w:sz w:val="20"/>
                <w:szCs w:val="20"/>
              </w:rPr>
            </w:pPr>
            <w:r>
              <w:rPr>
                <w:sz w:val="20"/>
                <w:szCs w:val="20"/>
              </w:rPr>
            </w:r>
          </w:p>
        </w:tc>
      </w:tr>
      <w:tr>
        <w:trPr>
          <w:cantSplit w:val="false"/>
        </w:trPr>
        <w:tc>
          <w:tcPr>
            <w:tcW w:w="421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sz w:val="20"/>
                <w:szCs w:val="20"/>
              </w:rPr>
            </w:pPr>
            <w:r>
              <w:rPr>
                <w:b/>
                <w:sz w:val="20"/>
                <w:szCs w:val="20"/>
              </w:rPr>
              <w:t>Use of non-ITT techniques**</w:t>
            </w:r>
          </w:p>
          <w:p>
            <w:pPr>
              <w:pStyle w:val="Normal"/>
              <w:rPr>
                <w:b/>
                <w:sz w:val="20"/>
                <w:szCs w:val="20"/>
              </w:rPr>
            </w:pPr>
            <w:r>
              <w:rPr>
                <w:b/>
                <w:sz w:val="20"/>
                <w:szCs w:val="20"/>
              </w:rPr>
            </w:r>
          </w:p>
          <w:p>
            <w:pPr>
              <w:pStyle w:val="Normal"/>
              <w:jc w:val="right"/>
              <w:rPr>
                <w:sz w:val="20"/>
                <w:szCs w:val="20"/>
              </w:rPr>
            </w:pPr>
            <w:r>
              <w:rPr>
                <w:sz w:val="20"/>
                <w:szCs w:val="20"/>
              </w:rPr>
              <w:t>Observed Case Analysis (OCA)</w:t>
            </w:r>
          </w:p>
          <w:p>
            <w:pPr>
              <w:pStyle w:val="Normal"/>
              <w:jc w:val="right"/>
              <w:rPr>
                <w:sz w:val="20"/>
                <w:szCs w:val="20"/>
              </w:rPr>
            </w:pPr>
            <w:r>
              <w:rPr>
                <w:sz w:val="20"/>
                <w:szCs w:val="20"/>
              </w:rPr>
              <w:t>Fully Evaluable Population analysis (FEP)</w:t>
            </w:r>
          </w:p>
          <w:p>
            <w:pPr>
              <w:pStyle w:val="Normal"/>
              <w:jc w:val="right"/>
              <w:rPr>
                <w:sz w:val="20"/>
                <w:szCs w:val="20"/>
              </w:rPr>
            </w:pPr>
            <w:r>
              <w:rPr>
                <w:sz w:val="20"/>
                <w:szCs w:val="20"/>
              </w:rPr>
              <w:t>Treatment Per Protocol analysis (TPP)</w:t>
            </w:r>
          </w:p>
          <w:p>
            <w:pPr>
              <w:pStyle w:val="Normal"/>
              <w:jc w:val="right"/>
              <w:rPr>
                <w:sz w:val="20"/>
                <w:szCs w:val="20"/>
              </w:rPr>
            </w:pPr>
            <w:r>
              <w:rPr>
                <w:sz w:val="20"/>
                <w:szCs w:val="20"/>
              </w:rPr>
              <w:t>Completer Analysis (CA)</w:t>
            </w:r>
          </w:p>
          <w:p>
            <w:pPr>
              <w:pStyle w:val="Normal"/>
              <w:jc w:val="right"/>
              <w:rPr>
                <w:sz w:val="20"/>
                <w:szCs w:val="20"/>
              </w:rPr>
            </w:pPr>
            <w:r>
              <w:rPr>
                <w:sz w:val="20"/>
                <w:szCs w:val="20"/>
              </w:rPr>
            </w:r>
          </w:p>
        </w:tc>
        <w:tc>
          <w:tcPr>
            <w:tcW w:w="3696"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sz w:val="20"/>
                <w:szCs w:val="20"/>
              </w:rPr>
            </w:pPr>
            <w:r>
              <w:rPr>
                <w:sz w:val="20"/>
                <w:szCs w:val="20"/>
              </w:rPr>
              <w:t>44/57 (77 %)</w:t>
            </w:r>
          </w:p>
          <w:p>
            <w:pPr>
              <w:pStyle w:val="Normal"/>
              <w:jc w:val="center"/>
              <w:rPr>
                <w:sz w:val="20"/>
                <w:szCs w:val="20"/>
              </w:rPr>
            </w:pPr>
            <w:r>
              <w:rPr>
                <w:sz w:val="20"/>
                <w:szCs w:val="20"/>
              </w:rPr>
            </w:r>
          </w:p>
          <w:p>
            <w:pPr>
              <w:pStyle w:val="Normal"/>
              <w:jc w:val="center"/>
              <w:rPr>
                <w:sz w:val="20"/>
                <w:szCs w:val="20"/>
              </w:rPr>
            </w:pPr>
            <w:r>
              <w:rPr>
                <w:sz w:val="20"/>
                <w:szCs w:val="20"/>
              </w:rPr>
              <w:t>35/57 (61 %)</w:t>
            </w:r>
          </w:p>
          <w:p>
            <w:pPr>
              <w:pStyle w:val="Normal"/>
              <w:jc w:val="center"/>
              <w:rPr>
                <w:sz w:val="20"/>
                <w:szCs w:val="20"/>
              </w:rPr>
            </w:pPr>
            <w:r>
              <w:rPr>
                <w:sz w:val="20"/>
                <w:szCs w:val="20"/>
              </w:rPr>
              <w:t>5/57 (9 %)</w:t>
            </w:r>
          </w:p>
          <w:p>
            <w:pPr>
              <w:pStyle w:val="Normal"/>
              <w:jc w:val="center"/>
              <w:rPr>
                <w:sz w:val="20"/>
                <w:szCs w:val="20"/>
              </w:rPr>
            </w:pPr>
            <w:r>
              <w:rPr>
                <w:sz w:val="20"/>
                <w:szCs w:val="20"/>
              </w:rPr>
              <w:t>5/57 (9 %)</w:t>
            </w:r>
          </w:p>
          <w:p>
            <w:pPr>
              <w:pStyle w:val="Normal"/>
              <w:jc w:val="center"/>
              <w:rPr>
                <w:sz w:val="20"/>
                <w:szCs w:val="20"/>
              </w:rPr>
            </w:pPr>
            <w:r>
              <w:rPr>
                <w:sz w:val="20"/>
                <w:szCs w:val="20"/>
              </w:rPr>
              <w:t>3/57 (5 %)</w:t>
            </w:r>
          </w:p>
          <w:p>
            <w:pPr>
              <w:pStyle w:val="Normal"/>
              <w:jc w:val="center"/>
              <w:rPr>
                <w:sz w:val="20"/>
                <w:szCs w:val="20"/>
              </w:rPr>
            </w:pPr>
            <w:r>
              <w:rPr>
                <w:sz w:val="20"/>
                <w:szCs w:val="20"/>
              </w:rPr>
            </w:r>
          </w:p>
        </w:tc>
      </w:tr>
      <w:tr>
        <w:trPr>
          <w:cantSplit w:val="false"/>
        </w:trPr>
        <w:tc>
          <w:tcPr>
            <w:tcW w:w="421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sz w:val="20"/>
                <w:szCs w:val="20"/>
              </w:rPr>
            </w:pPr>
            <w:r>
              <w:rPr>
                <w:b/>
                <w:sz w:val="20"/>
                <w:szCs w:val="20"/>
              </w:rPr>
              <w:t>Discussion of data analysis issues</w:t>
            </w:r>
          </w:p>
          <w:p>
            <w:pPr>
              <w:pStyle w:val="Normal"/>
              <w:rPr>
                <w:b/>
                <w:sz w:val="20"/>
                <w:szCs w:val="20"/>
              </w:rPr>
            </w:pPr>
            <w:r>
              <w:rPr>
                <w:b/>
                <w:sz w:val="20"/>
                <w:szCs w:val="20"/>
              </w:rPr>
            </w:r>
          </w:p>
          <w:p>
            <w:pPr>
              <w:pStyle w:val="Normal"/>
              <w:jc w:val="right"/>
              <w:rPr>
                <w:sz w:val="20"/>
                <w:szCs w:val="20"/>
              </w:rPr>
            </w:pPr>
            <w:r>
              <w:rPr>
                <w:sz w:val="20"/>
                <w:szCs w:val="20"/>
              </w:rPr>
              <w:t># mentioning importance of missing data</w:t>
            </w:r>
          </w:p>
          <w:p>
            <w:pPr>
              <w:pStyle w:val="Normal"/>
              <w:jc w:val="right"/>
              <w:rPr>
                <w:sz w:val="20"/>
                <w:szCs w:val="20"/>
              </w:rPr>
            </w:pPr>
            <w:r>
              <w:rPr>
                <w:sz w:val="20"/>
                <w:szCs w:val="20"/>
              </w:rPr>
            </w:r>
          </w:p>
          <w:p>
            <w:pPr>
              <w:pStyle w:val="Normal"/>
              <w:jc w:val="right"/>
              <w:rPr>
                <w:sz w:val="20"/>
                <w:szCs w:val="20"/>
              </w:rPr>
            </w:pPr>
            <w:r>
              <w:rPr>
                <w:sz w:val="20"/>
                <w:szCs w:val="20"/>
              </w:rPr>
              <w:t># discussing limits of LOCF or  non-ITT analysis</w:t>
            </w:r>
          </w:p>
        </w:tc>
        <w:tc>
          <w:tcPr>
            <w:tcW w:w="3696"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jc w:val="center"/>
              <w:rPr>
                <w:sz w:val="20"/>
                <w:szCs w:val="20"/>
              </w:rPr>
            </w:pPr>
            <w:r>
              <w:rPr>
                <w:sz w:val="20"/>
                <w:szCs w:val="20"/>
              </w:rPr>
            </w:r>
          </w:p>
          <w:p>
            <w:pPr>
              <w:pStyle w:val="Normal"/>
              <w:jc w:val="center"/>
              <w:rPr>
                <w:sz w:val="20"/>
                <w:szCs w:val="20"/>
              </w:rPr>
            </w:pPr>
            <w:r>
              <w:rPr>
                <w:sz w:val="20"/>
                <w:szCs w:val="20"/>
              </w:rPr>
            </w:r>
          </w:p>
          <w:p>
            <w:pPr>
              <w:pStyle w:val="Normal"/>
              <w:jc w:val="center"/>
              <w:rPr>
                <w:sz w:val="20"/>
                <w:szCs w:val="20"/>
              </w:rPr>
            </w:pPr>
            <w:r>
              <w:rPr>
                <w:sz w:val="20"/>
                <w:szCs w:val="20"/>
              </w:rPr>
              <w:t>10/57 (18 %)</w:t>
            </w:r>
          </w:p>
          <w:p>
            <w:pPr>
              <w:pStyle w:val="Normal"/>
              <w:jc w:val="center"/>
              <w:rPr>
                <w:sz w:val="20"/>
                <w:szCs w:val="20"/>
              </w:rPr>
            </w:pPr>
            <w:r>
              <w:rPr>
                <w:sz w:val="20"/>
                <w:szCs w:val="20"/>
              </w:rPr>
            </w:r>
          </w:p>
          <w:p>
            <w:pPr>
              <w:pStyle w:val="Normal"/>
              <w:jc w:val="center"/>
              <w:rPr>
                <w:sz w:val="20"/>
                <w:szCs w:val="20"/>
              </w:rPr>
            </w:pPr>
            <w:r>
              <w:rPr>
                <w:sz w:val="20"/>
                <w:szCs w:val="20"/>
              </w:rPr>
              <w:t>7/57 (12 %)</w:t>
            </w:r>
          </w:p>
          <w:p>
            <w:pPr>
              <w:pStyle w:val="Normal"/>
              <w:jc w:val="center"/>
              <w:rPr>
                <w:sz w:val="20"/>
                <w:szCs w:val="20"/>
              </w:rPr>
            </w:pPr>
            <w:r>
              <w:rPr>
                <w:sz w:val="20"/>
                <w:szCs w:val="20"/>
              </w:rPr>
            </w:r>
          </w:p>
        </w:tc>
      </w:tr>
    </w:tbl>
    <w:p>
      <w:pPr>
        <w:pStyle w:val="Normal"/>
        <w:rPr>
          <w:sz w:val="22"/>
          <w:szCs w:val="22"/>
        </w:rPr>
      </w:pPr>
      <w:r>
        <w:rPr>
          <w:sz w:val="22"/>
          <w:szCs w:val="22"/>
        </w:rPr>
        <w:t>*note that studies may have used more than one approach</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rPr>
      </w:pPr>
      <w:r>
        <w:rPr>
          <w:b/>
        </w:rPr>
        <w:t>Table 4: Account of Dropouts by Drug Class</w:t>
      </w:r>
    </w:p>
    <w:p>
      <w:pPr>
        <w:pStyle w:val="Normal"/>
        <w:rPr>
          <w:b/>
        </w:rPr>
      </w:pPr>
      <w:r>
        <w:rPr>
          <w:b/>
        </w:rPr>
        <w:tab/>
        <w:tab/>
      </w:r>
    </w:p>
    <w:tbl>
      <w:tblPr>
        <w:jc w:val="left"/>
        <w:tblInd w:w="-5"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4020"/>
        <w:gridCol w:w="1870"/>
        <w:gridCol w:w="2188"/>
        <w:gridCol w:w="2347"/>
        <w:gridCol w:w="1393"/>
      </w:tblGrid>
      <w:tr>
        <w:trPr>
          <w:cantSplit w:val="false"/>
        </w:trPr>
        <w:tc>
          <w:tcPr>
            <w:tcW w:w="4020" w:type="dxa"/>
            <w:vMerge w:val="restart"/>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b/>
                <w:sz w:val="20"/>
                <w:szCs w:val="20"/>
              </w:rPr>
            </w:pPr>
            <w:r>
              <w:rPr>
                <w:b/>
                <w:sz w:val="20"/>
                <w:szCs w:val="20"/>
              </w:rPr>
            </w:r>
          </w:p>
        </w:tc>
        <w:tc>
          <w:tcPr>
            <w:tcW w:w="4058"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sz w:val="20"/>
                <w:szCs w:val="20"/>
              </w:rPr>
            </w:pPr>
            <w:r>
              <w:rPr>
                <w:b/>
                <w:sz w:val="20"/>
                <w:szCs w:val="20"/>
              </w:rPr>
              <w:t xml:space="preserve">Cholinesterase Inhibitors </w:t>
            </w:r>
          </w:p>
          <w:p>
            <w:pPr>
              <w:pStyle w:val="Normal"/>
              <w:jc w:val="center"/>
              <w:rPr>
                <w:b/>
                <w:sz w:val="20"/>
                <w:szCs w:val="20"/>
              </w:rPr>
            </w:pPr>
            <w:r>
              <w:rPr>
                <w:b/>
                <w:sz w:val="20"/>
                <w:szCs w:val="20"/>
              </w:rPr>
              <w:t>(n=49 studies)</w:t>
            </w:r>
          </w:p>
        </w:tc>
        <w:tc>
          <w:tcPr>
            <w:tcW w:w="3740" w:type="dxa"/>
            <w:gridSpan w:val="2"/>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b/>
                <w:sz w:val="20"/>
                <w:szCs w:val="20"/>
              </w:rPr>
            </w:pPr>
            <w:r>
              <w:rPr>
                <w:b/>
                <w:sz w:val="20"/>
                <w:szCs w:val="20"/>
              </w:rPr>
              <w:t xml:space="preserve">Memantine </w:t>
            </w:r>
          </w:p>
          <w:p>
            <w:pPr>
              <w:pStyle w:val="Normal"/>
              <w:jc w:val="center"/>
              <w:rPr>
                <w:b/>
                <w:sz w:val="20"/>
                <w:szCs w:val="20"/>
              </w:rPr>
            </w:pPr>
            <w:r>
              <w:rPr>
                <w:b/>
                <w:sz w:val="20"/>
                <w:szCs w:val="20"/>
              </w:rPr>
              <w:t>(n=8 studies)</w:t>
            </w:r>
          </w:p>
        </w:tc>
      </w:tr>
      <w:tr>
        <w:trPr>
          <w:cantSplit w:val="false"/>
        </w:trPr>
        <w:tc>
          <w:tcPr>
            <w:tcW w:w="4020" w:type="dxa"/>
            <w:vMerge w:val="continue"/>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sz w:val="20"/>
                <w:szCs w:val="20"/>
              </w:rPr>
            </w:pPr>
            <w:r>
              <w:rPr>
                <w:b/>
                <w:sz w:val="20"/>
                <w:szCs w:val="20"/>
              </w:rPr>
            </w:r>
          </w:p>
        </w:tc>
        <w:tc>
          <w:tcPr>
            <w:tcW w:w="4058"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sz w:val="20"/>
                <w:szCs w:val="20"/>
              </w:rPr>
            </w:pPr>
            <w:r>
              <w:rPr>
                <w:sz w:val="20"/>
                <w:szCs w:val="20"/>
              </w:rPr>
            </w:r>
          </w:p>
        </w:tc>
        <w:tc>
          <w:tcPr>
            <w:tcW w:w="3740" w:type="dxa"/>
            <w:gridSpan w:val="2"/>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jc w:val="center"/>
              <w:rPr>
                <w:sz w:val="20"/>
                <w:szCs w:val="20"/>
              </w:rPr>
            </w:pPr>
            <w:r>
              <w:rPr>
                <w:sz w:val="20"/>
                <w:szCs w:val="20"/>
              </w:rPr>
            </w:r>
          </w:p>
        </w:tc>
      </w:tr>
      <w:tr>
        <w:trPr>
          <w:cantSplit w:val="false"/>
        </w:trPr>
        <w:tc>
          <w:tcPr>
            <w:tcW w:w="4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sz w:val="20"/>
                <w:szCs w:val="20"/>
              </w:rPr>
            </w:pPr>
            <w:r>
              <w:rPr>
                <w:b/>
                <w:sz w:val="20"/>
                <w:szCs w:val="20"/>
              </w:rPr>
              <w:t>Description of drop-outs</w:t>
            </w:r>
          </w:p>
          <w:p>
            <w:pPr>
              <w:pStyle w:val="Normal"/>
              <w:jc w:val="right"/>
              <w:rPr>
                <w:sz w:val="20"/>
                <w:szCs w:val="20"/>
              </w:rPr>
            </w:pPr>
            <w:r>
              <w:rPr>
                <w:sz w:val="20"/>
                <w:szCs w:val="20"/>
              </w:rPr>
              <w:t># that described total study drop-outs</w:t>
            </w:r>
          </w:p>
          <w:p>
            <w:pPr>
              <w:pStyle w:val="Normal"/>
              <w:jc w:val="right"/>
              <w:rPr>
                <w:sz w:val="20"/>
                <w:szCs w:val="20"/>
              </w:rPr>
            </w:pPr>
            <w:r>
              <w:rPr>
                <w:sz w:val="20"/>
                <w:szCs w:val="20"/>
              </w:rPr>
            </w:r>
          </w:p>
          <w:p>
            <w:pPr>
              <w:pStyle w:val="Normal"/>
              <w:jc w:val="right"/>
              <w:rPr>
                <w:sz w:val="20"/>
                <w:szCs w:val="20"/>
              </w:rPr>
            </w:pPr>
            <w:r>
              <w:rPr>
                <w:sz w:val="20"/>
                <w:szCs w:val="20"/>
              </w:rPr>
              <w:t># studies with larger dropout in experimental group</w:t>
            </w:r>
          </w:p>
          <w:p>
            <w:pPr>
              <w:pStyle w:val="Normal"/>
              <w:jc w:val="right"/>
              <w:rPr>
                <w:sz w:val="20"/>
                <w:szCs w:val="20"/>
              </w:rPr>
            </w:pPr>
            <w:r>
              <w:rPr>
                <w:sz w:val="20"/>
                <w:szCs w:val="20"/>
              </w:rPr>
            </w:r>
          </w:p>
          <w:p>
            <w:pPr>
              <w:pStyle w:val="Normal"/>
              <w:jc w:val="right"/>
              <w:rPr>
                <w:sz w:val="20"/>
                <w:szCs w:val="20"/>
              </w:rPr>
            </w:pPr>
            <w:r>
              <w:rPr>
                <w:sz w:val="20"/>
                <w:szCs w:val="20"/>
              </w:rPr>
              <w:t># studies with larger dropout in control group</w:t>
            </w:r>
          </w:p>
          <w:p>
            <w:pPr>
              <w:pStyle w:val="Normal"/>
              <w:jc w:val="right"/>
              <w:rPr>
                <w:sz w:val="20"/>
                <w:szCs w:val="20"/>
              </w:rPr>
            </w:pPr>
            <w:r>
              <w:rPr>
                <w:sz w:val="20"/>
                <w:szCs w:val="20"/>
              </w:rPr>
              <w:t>Similar dropout rates between groups</w:t>
            </w:r>
          </w:p>
        </w:tc>
        <w:tc>
          <w:tcPr>
            <w:tcW w:w="4058"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sz w:val="20"/>
                <w:szCs w:val="20"/>
              </w:rPr>
            </w:pPr>
            <w:r>
              <w:rPr>
                <w:sz w:val="20"/>
                <w:szCs w:val="20"/>
              </w:rPr>
            </w:r>
          </w:p>
          <w:p>
            <w:pPr>
              <w:pStyle w:val="Normal"/>
              <w:jc w:val="center"/>
              <w:rPr>
                <w:sz w:val="20"/>
                <w:szCs w:val="20"/>
              </w:rPr>
            </w:pPr>
            <w:r>
              <w:rPr>
                <w:sz w:val="20"/>
                <w:szCs w:val="20"/>
              </w:rPr>
              <w:t>46/49 (94 %)</w:t>
            </w:r>
          </w:p>
          <w:p>
            <w:pPr>
              <w:pStyle w:val="Normal"/>
              <w:jc w:val="center"/>
              <w:rPr>
                <w:sz w:val="20"/>
                <w:szCs w:val="20"/>
              </w:rPr>
            </w:pPr>
            <w:r>
              <w:rPr>
                <w:sz w:val="20"/>
                <w:szCs w:val="20"/>
              </w:rPr>
            </w:r>
          </w:p>
          <w:p>
            <w:pPr>
              <w:pStyle w:val="Normal"/>
              <w:jc w:val="center"/>
              <w:rPr>
                <w:b/>
                <w:bCs/>
                <w:sz w:val="20"/>
                <w:szCs w:val="20"/>
              </w:rPr>
            </w:pPr>
            <w:r>
              <w:rPr>
                <w:b/>
                <w:bCs/>
                <w:sz w:val="20"/>
                <w:szCs w:val="20"/>
              </w:rPr>
              <w:t>36/49 (73 %)</w:t>
            </w:r>
          </w:p>
          <w:p>
            <w:pPr>
              <w:pStyle w:val="Normal"/>
              <w:jc w:val="center"/>
              <w:rPr>
                <w:b/>
                <w:bCs/>
                <w:sz w:val="20"/>
                <w:szCs w:val="20"/>
              </w:rPr>
            </w:pPr>
            <w:r>
              <w:rPr>
                <w:b/>
                <w:bCs/>
                <w:sz w:val="20"/>
                <w:szCs w:val="20"/>
              </w:rPr>
            </w:r>
          </w:p>
          <w:p>
            <w:pPr>
              <w:pStyle w:val="Normal"/>
              <w:jc w:val="center"/>
              <w:rPr>
                <w:b/>
                <w:bCs/>
                <w:sz w:val="20"/>
                <w:szCs w:val="20"/>
              </w:rPr>
            </w:pPr>
            <w:r>
              <w:rPr>
                <w:b/>
                <w:bCs/>
                <w:sz w:val="20"/>
                <w:szCs w:val="20"/>
              </w:rPr>
            </w:r>
          </w:p>
          <w:p>
            <w:pPr>
              <w:pStyle w:val="Normal"/>
              <w:jc w:val="center"/>
              <w:rPr>
                <w:b/>
                <w:bCs/>
                <w:sz w:val="20"/>
                <w:szCs w:val="20"/>
              </w:rPr>
            </w:pPr>
            <w:r>
              <w:rPr>
                <w:b/>
                <w:bCs/>
                <w:sz w:val="20"/>
                <w:szCs w:val="20"/>
              </w:rPr>
              <w:t>8/49 (16 %)</w:t>
            </w:r>
          </w:p>
          <w:p>
            <w:pPr>
              <w:pStyle w:val="Normal"/>
              <w:jc w:val="center"/>
              <w:rPr>
                <w:b/>
                <w:bCs/>
                <w:sz w:val="20"/>
                <w:szCs w:val="20"/>
              </w:rPr>
            </w:pPr>
            <w:r>
              <w:rPr>
                <w:b/>
                <w:bCs/>
                <w:sz w:val="20"/>
                <w:szCs w:val="20"/>
              </w:rPr>
              <w:t>2/49 (4 %)</w:t>
            </w:r>
          </w:p>
        </w:tc>
        <w:tc>
          <w:tcPr>
            <w:tcW w:w="3740" w:type="dxa"/>
            <w:gridSpan w:val="2"/>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jc w:val="center"/>
              <w:rPr>
                <w:sz w:val="20"/>
                <w:szCs w:val="20"/>
              </w:rPr>
            </w:pPr>
            <w:r>
              <w:rPr>
                <w:sz w:val="20"/>
                <w:szCs w:val="20"/>
              </w:rPr>
            </w:r>
          </w:p>
          <w:p>
            <w:pPr>
              <w:pStyle w:val="Normal"/>
              <w:jc w:val="center"/>
              <w:rPr>
                <w:sz w:val="20"/>
                <w:szCs w:val="20"/>
              </w:rPr>
            </w:pPr>
            <w:r>
              <w:rPr>
                <w:sz w:val="20"/>
                <w:szCs w:val="20"/>
              </w:rPr>
              <w:t>8/8 (100 %)</w:t>
            </w:r>
          </w:p>
          <w:p>
            <w:pPr>
              <w:pStyle w:val="Normal"/>
              <w:jc w:val="center"/>
              <w:rPr>
                <w:sz w:val="20"/>
                <w:szCs w:val="20"/>
              </w:rPr>
            </w:pPr>
            <w:r>
              <w:rPr>
                <w:sz w:val="20"/>
                <w:szCs w:val="20"/>
              </w:rPr>
            </w:r>
          </w:p>
          <w:p>
            <w:pPr>
              <w:pStyle w:val="Normal"/>
              <w:jc w:val="center"/>
              <w:rPr>
                <w:b/>
                <w:bCs/>
                <w:sz w:val="20"/>
                <w:szCs w:val="20"/>
              </w:rPr>
            </w:pPr>
            <w:r>
              <w:rPr>
                <w:b/>
                <w:bCs/>
                <w:sz w:val="20"/>
                <w:szCs w:val="20"/>
              </w:rPr>
              <w:t>2/8 (25 %)</w:t>
            </w:r>
          </w:p>
          <w:p>
            <w:pPr>
              <w:pStyle w:val="Normal"/>
              <w:jc w:val="center"/>
              <w:rPr>
                <w:b/>
                <w:bCs/>
                <w:sz w:val="20"/>
                <w:szCs w:val="20"/>
              </w:rPr>
            </w:pPr>
            <w:r>
              <w:rPr>
                <w:b/>
                <w:bCs/>
                <w:sz w:val="20"/>
                <w:szCs w:val="20"/>
              </w:rPr>
            </w:r>
          </w:p>
          <w:p>
            <w:pPr>
              <w:pStyle w:val="Normal"/>
              <w:jc w:val="center"/>
              <w:rPr>
                <w:b/>
                <w:bCs/>
                <w:sz w:val="20"/>
                <w:szCs w:val="20"/>
              </w:rPr>
            </w:pPr>
            <w:r>
              <w:rPr>
                <w:b/>
                <w:bCs/>
                <w:sz w:val="20"/>
                <w:szCs w:val="20"/>
              </w:rPr>
            </w:r>
          </w:p>
          <w:p>
            <w:pPr>
              <w:pStyle w:val="Normal"/>
              <w:jc w:val="center"/>
              <w:rPr>
                <w:b/>
                <w:bCs/>
                <w:sz w:val="20"/>
                <w:szCs w:val="20"/>
              </w:rPr>
            </w:pPr>
            <w:r>
              <w:rPr>
                <w:b/>
                <w:bCs/>
                <w:sz w:val="20"/>
                <w:szCs w:val="20"/>
              </w:rPr>
              <w:t>2/8 (25 %)</w:t>
            </w:r>
          </w:p>
          <w:p>
            <w:pPr>
              <w:pStyle w:val="Normal"/>
              <w:jc w:val="center"/>
              <w:rPr>
                <w:b/>
                <w:bCs/>
                <w:sz w:val="20"/>
                <w:szCs w:val="20"/>
              </w:rPr>
            </w:pPr>
            <w:r>
              <w:rPr>
                <w:b/>
                <w:bCs/>
                <w:sz w:val="20"/>
                <w:szCs w:val="20"/>
              </w:rPr>
              <w:t>4/8 (50 %)</w:t>
            </w:r>
          </w:p>
        </w:tc>
      </w:tr>
      <w:tr>
        <w:trPr>
          <w:cantSplit w:val="false"/>
        </w:trPr>
        <w:tc>
          <w:tcPr>
            <w:tcW w:w="4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sz w:val="20"/>
                <w:szCs w:val="20"/>
              </w:rPr>
            </w:pPr>
            <w:r>
              <w:rPr>
                <w:b/>
                <w:sz w:val="20"/>
                <w:szCs w:val="20"/>
              </w:rPr>
              <w:t>Timing of dropouts</w:t>
            </w:r>
          </w:p>
          <w:p>
            <w:pPr>
              <w:pStyle w:val="Normal"/>
              <w:jc w:val="right"/>
              <w:rPr>
                <w:sz w:val="20"/>
                <w:szCs w:val="20"/>
              </w:rPr>
            </w:pPr>
            <w:r>
              <w:rPr>
                <w:sz w:val="20"/>
                <w:szCs w:val="20"/>
              </w:rPr>
              <w:t># of articles describing drop-out timing</w:t>
            </w:r>
          </w:p>
        </w:tc>
        <w:tc>
          <w:tcPr>
            <w:tcW w:w="4058"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sz w:val="20"/>
                <w:szCs w:val="20"/>
              </w:rPr>
            </w:pPr>
            <w:r>
              <w:rPr>
                <w:sz w:val="20"/>
                <w:szCs w:val="20"/>
              </w:rPr>
            </w:r>
          </w:p>
          <w:p>
            <w:pPr>
              <w:pStyle w:val="Normal"/>
              <w:jc w:val="center"/>
              <w:rPr>
                <w:sz w:val="20"/>
                <w:szCs w:val="20"/>
              </w:rPr>
            </w:pPr>
            <w:r>
              <w:rPr>
                <w:sz w:val="20"/>
                <w:szCs w:val="20"/>
              </w:rPr>
              <w:t>7/49 (14 %)</w:t>
            </w:r>
          </w:p>
        </w:tc>
        <w:tc>
          <w:tcPr>
            <w:tcW w:w="3740" w:type="dxa"/>
            <w:gridSpan w:val="2"/>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jc w:val="center"/>
              <w:rPr>
                <w:sz w:val="20"/>
                <w:szCs w:val="20"/>
              </w:rPr>
            </w:pPr>
            <w:r>
              <w:rPr>
                <w:sz w:val="20"/>
                <w:szCs w:val="20"/>
              </w:rPr>
            </w:r>
          </w:p>
          <w:p>
            <w:pPr>
              <w:pStyle w:val="Normal"/>
              <w:jc w:val="center"/>
              <w:rPr>
                <w:sz w:val="20"/>
                <w:szCs w:val="20"/>
              </w:rPr>
            </w:pPr>
            <w:r>
              <w:rPr>
                <w:sz w:val="20"/>
                <w:szCs w:val="20"/>
              </w:rPr>
              <w:t>0/8 (0 %)</w:t>
            </w:r>
          </w:p>
        </w:tc>
      </w:tr>
      <w:tr>
        <w:trPr>
          <w:cantSplit w:val="false"/>
        </w:trPr>
        <w:tc>
          <w:tcPr>
            <w:tcW w:w="4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sz w:val="20"/>
                <w:szCs w:val="20"/>
              </w:rPr>
            </w:pPr>
            <w:r>
              <w:rPr>
                <w:b/>
                <w:sz w:val="20"/>
                <w:szCs w:val="20"/>
              </w:rPr>
            </w:r>
          </w:p>
        </w:tc>
        <w:tc>
          <w:tcPr>
            <w:tcW w:w="18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sz w:val="20"/>
                <w:szCs w:val="20"/>
              </w:rPr>
            </w:pPr>
            <w:r>
              <w:rPr>
                <w:sz w:val="20"/>
                <w:szCs w:val="20"/>
              </w:rPr>
            </w:r>
          </w:p>
        </w:tc>
        <w:tc>
          <w:tcPr>
            <w:tcW w:w="21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sz w:val="20"/>
                <w:szCs w:val="20"/>
              </w:rPr>
            </w:pPr>
            <w:r>
              <w:rPr>
                <w:sz w:val="20"/>
                <w:szCs w:val="20"/>
              </w:rPr>
            </w:r>
          </w:p>
        </w:tc>
        <w:tc>
          <w:tcPr>
            <w:tcW w:w="234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sz w:val="20"/>
                <w:szCs w:val="20"/>
              </w:rPr>
            </w:pPr>
            <w:r>
              <w:rPr>
                <w:sz w:val="20"/>
                <w:szCs w:val="20"/>
              </w:rPr>
            </w:r>
          </w:p>
        </w:tc>
        <w:tc>
          <w:tcPr>
            <w:tcW w:w="1393"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jc w:val="center"/>
              <w:rPr>
                <w:sz w:val="20"/>
                <w:szCs w:val="20"/>
              </w:rPr>
            </w:pPr>
            <w:r>
              <w:rPr>
                <w:sz w:val="20"/>
                <w:szCs w:val="20"/>
              </w:rPr>
            </w:r>
          </w:p>
        </w:tc>
      </w:tr>
      <w:tr>
        <w:trPr>
          <w:cantSplit w:val="false"/>
        </w:trPr>
        <w:tc>
          <w:tcPr>
            <w:tcW w:w="4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sz w:val="20"/>
                <w:szCs w:val="20"/>
              </w:rPr>
            </w:pPr>
            <w:r>
              <w:rPr>
                <w:b/>
                <w:sz w:val="20"/>
                <w:szCs w:val="20"/>
              </w:rPr>
            </w:r>
          </w:p>
        </w:tc>
        <w:tc>
          <w:tcPr>
            <w:tcW w:w="18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sz w:val="20"/>
                <w:szCs w:val="20"/>
              </w:rPr>
            </w:pPr>
            <w:r>
              <w:rPr>
                <w:b/>
                <w:sz w:val="20"/>
                <w:szCs w:val="20"/>
              </w:rPr>
              <w:t xml:space="preserve">Control </w:t>
            </w:r>
          </w:p>
          <w:p>
            <w:pPr>
              <w:pStyle w:val="Normal"/>
              <w:jc w:val="center"/>
              <w:rPr>
                <w:b/>
                <w:sz w:val="20"/>
                <w:szCs w:val="20"/>
              </w:rPr>
            </w:pPr>
            <w:r>
              <w:rPr>
                <w:b/>
                <w:sz w:val="20"/>
                <w:szCs w:val="20"/>
              </w:rPr>
              <w:t>Group</w:t>
            </w:r>
          </w:p>
          <w:p>
            <w:pPr>
              <w:pStyle w:val="Normal"/>
              <w:jc w:val="center"/>
              <w:rPr>
                <w:b/>
                <w:sz w:val="20"/>
                <w:szCs w:val="20"/>
              </w:rPr>
            </w:pPr>
            <w:r>
              <w:rPr>
                <w:b/>
                <w:sz w:val="20"/>
                <w:szCs w:val="20"/>
              </w:rPr>
              <w:t>N = 7275</w:t>
            </w:r>
          </w:p>
        </w:tc>
        <w:tc>
          <w:tcPr>
            <w:tcW w:w="21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sz w:val="20"/>
                <w:szCs w:val="20"/>
              </w:rPr>
            </w:pPr>
            <w:r>
              <w:rPr>
                <w:b/>
                <w:sz w:val="20"/>
                <w:szCs w:val="20"/>
              </w:rPr>
              <w:t xml:space="preserve">Experimental </w:t>
            </w:r>
          </w:p>
          <w:p>
            <w:pPr>
              <w:pStyle w:val="Normal"/>
              <w:jc w:val="center"/>
              <w:rPr>
                <w:b/>
                <w:sz w:val="20"/>
                <w:szCs w:val="20"/>
              </w:rPr>
            </w:pPr>
            <w:r>
              <w:rPr>
                <w:b/>
                <w:sz w:val="20"/>
                <w:szCs w:val="20"/>
              </w:rPr>
              <w:t>Groups</w:t>
            </w:r>
          </w:p>
          <w:p>
            <w:pPr>
              <w:pStyle w:val="Normal"/>
              <w:jc w:val="center"/>
              <w:rPr>
                <w:b/>
                <w:sz w:val="20"/>
                <w:szCs w:val="20"/>
              </w:rPr>
            </w:pPr>
            <w:r>
              <w:rPr>
                <w:b/>
                <w:sz w:val="20"/>
                <w:szCs w:val="20"/>
              </w:rPr>
              <w:t>N = 11969</w:t>
            </w:r>
          </w:p>
        </w:tc>
        <w:tc>
          <w:tcPr>
            <w:tcW w:w="234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sz w:val="20"/>
                <w:szCs w:val="20"/>
              </w:rPr>
            </w:pPr>
            <w:r>
              <w:rPr>
                <w:b/>
                <w:sz w:val="20"/>
                <w:szCs w:val="20"/>
              </w:rPr>
              <w:t xml:space="preserve">Control </w:t>
            </w:r>
          </w:p>
          <w:p>
            <w:pPr>
              <w:pStyle w:val="Normal"/>
              <w:jc w:val="center"/>
              <w:rPr>
                <w:b/>
                <w:sz w:val="20"/>
                <w:szCs w:val="20"/>
              </w:rPr>
            </w:pPr>
            <w:r>
              <w:rPr>
                <w:b/>
                <w:sz w:val="20"/>
                <w:szCs w:val="20"/>
              </w:rPr>
              <w:t>Group</w:t>
            </w:r>
          </w:p>
          <w:p>
            <w:pPr>
              <w:pStyle w:val="Normal"/>
              <w:jc w:val="center"/>
              <w:rPr>
                <w:b/>
                <w:sz w:val="20"/>
                <w:szCs w:val="20"/>
              </w:rPr>
            </w:pPr>
            <w:r>
              <w:rPr>
                <w:b/>
                <w:sz w:val="20"/>
                <w:szCs w:val="20"/>
              </w:rPr>
              <w:t>N = 1349</w:t>
            </w:r>
          </w:p>
        </w:tc>
        <w:tc>
          <w:tcPr>
            <w:tcW w:w="1393"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b/>
                <w:sz w:val="20"/>
                <w:szCs w:val="20"/>
              </w:rPr>
            </w:pPr>
            <w:r>
              <w:rPr>
                <w:b/>
                <w:sz w:val="20"/>
                <w:szCs w:val="20"/>
              </w:rPr>
              <w:t xml:space="preserve">Experimental </w:t>
            </w:r>
          </w:p>
          <w:p>
            <w:pPr>
              <w:pStyle w:val="Normal"/>
              <w:jc w:val="center"/>
              <w:rPr>
                <w:b/>
                <w:sz w:val="20"/>
                <w:szCs w:val="20"/>
              </w:rPr>
            </w:pPr>
            <w:r>
              <w:rPr>
                <w:b/>
                <w:sz w:val="20"/>
                <w:szCs w:val="20"/>
              </w:rPr>
              <w:t>Groups</w:t>
            </w:r>
          </w:p>
          <w:p>
            <w:pPr>
              <w:pStyle w:val="Normal"/>
              <w:jc w:val="center"/>
              <w:rPr>
                <w:b/>
                <w:sz w:val="20"/>
                <w:szCs w:val="20"/>
              </w:rPr>
            </w:pPr>
            <w:r>
              <w:rPr>
                <w:b/>
                <w:sz w:val="20"/>
                <w:szCs w:val="20"/>
              </w:rPr>
              <w:t>N = 1539</w:t>
            </w:r>
          </w:p>
        </w:tc>
      </w:tr>
      <w:tr>
        <w:trPr>
          <w:cantSplit w:val="false"/>
        </w:trPr>
        <w:tc>
          <w:tcPr>
            <w:tcW w:w="4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 completing study</w:t>
            </w:r>
          </w:p>
        </w:tc>
        <w:tc>
          <w:tcPr>
            <w:tcW w:w="18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 xml:space="preserve">6050 </w:t>
            </w:r>
          </w:p>
        </w:tc>
        <w:tc>
          <w:tcPr>
            <w:tcW w:w="21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 xml:space="preserve">9198 </w:t>
            </w:r>
          </w:p>
        </w:tc>
        <w:tc>
          <w:tcPr>
            <w:tcW w:w="234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1099</w:t>
            </w:r>
          </w:p>
        </w:tc>
        <w:tc>
          <w:tcPr>
            <w:tcW w:w="1393"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sz w:val="20"/>
                <w:szCs w:val="20"/>
              </w:rPr>
            </w:pPr>
            <w:r>
              <w:rPr>
                <w:sz w:val="20"/>
                <w:szCs w:val="20"/>
              </w:rPr>
              <w:t xml:space="preserve">1315 </w:t>
            </w:r>
          </w:p>
        </w:tc>
      </w:tr>
      <w:tr>
        <w:trPr>
          <w:cantSplit w:val="false"/>
        </w:trPr>
        <w:tc>
          <w:tcPr>
            <w:tcW w:w="4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Heading5"/>
              <w:numPr>
                <w:ilvl w:val="4"/>
                <w:numId w:val="1"/>
              </w:numPr>
              <w:rPr/>
            </w:pPr>
            <w:r>
              <w:rPr/>
              <w:t>DROPOUT RATE</w:t>
            </w:r>
          </w:p>
        </w:tc>
        <w:tc>
          <w:tcPr>
            <w:tcW w:w="18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bCs/>
                <w:sz w:val="20"/>
                <w:szCs w:val="20"/>
              </w:rPr>
            </w:pPr>
            <w:r>
              <w:rPr>
                <w:b/>
                <w:bCs/>
                <w:sz w:val="20"/>
                <w:szCs w:val="20"/>
              </w:rPr>
              <w:t>16.8 %</w:t>
            </w:r>
          </w:p>
        </w:tc>
        <w:tc>
          <w:tcPr>
            <w:tcW w:w="21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bCs/>
                <w:sz w:val="20"/>
                <w:szCs w:val="20"/>
              </w:rPr>
            </w:pPr>
            <w:r>
              <w:rPr>
                <w:b/>
                <w:bCs/>
                <w:sz w:val="20"/>
                <w:szCs w:val="20"/>
              </w:rPr>
              <w:t>23.2  %</w:t>
            </w:r>
          </w:p>
        </w:tc>
        <w:tc>
          <w:tcPr>
            <w:tcW w:w="234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bCs/>
                <w:sz w:val="20"/>
                <w:szCs w:val="20"/>
              </w:rPr>
            </w:pPr>
            <w:r>
              <w:rPr>
                <w:b/>
                <w:bCs/>
                <w:sz w:val="20"/>
                <w:szCs w:val="20"/>
              </w:rPr>
              <w:t>18.5 %</w:t>
            </w:r>
          </w:p>
        </w:tc>
        <w:tc>
          <w:tcPr>
            <w:tcW w:w="1393"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b/>
                <w:bCs/>
                <w:sz w:val="20"/>
                <w:szCs w:val="20"/>
              </w:rPr>
            </w:pPr>
            <w:r>
              <w:rPr>
                <w:b/>
                <w:bCs/>
                <w:sz w:val="20"/>
                <w:szCs w:val="20"/>
              </w:rPr>
              <w:t>14.6 %</w:t>
            </w:r>
          </w:p>
        </w:tc>
      </w:tr>
    </w:tbl>
    <w:p>
      <w:pPr>
        <w:sectPr>
          <w:footerReference w:type="default" r:id="rId12"/>
          <w:type w:val="nextPage"/>
          <w:pgSz w:orient="landscape" w:w="15840" w:h="12240"/>
          <w:pgMar w:left="1440" w:right="1440" w:header="0" w:top="1797" w:footer="709" w:bottom="1797" w:gutter="0"/>
          <w:pgNumType w:fmt="decimal"/>
          <w:formProt w:val="false"/>
          <w:textDirection w:val="lrTb"/>
          <w:docGrid w:type="default" w:linePitch="360" w:charSpace="0"/>
        </w:sectPr>
        <w:pStyle w:val="Normal"/>
        <w:spacing w:lineRule="auto" w:line="480"/>
        <w:rPr>
          <w:lang w:val="en-GB"/>
        </w:rPr>
      </w:pPr>
      <w:r>
        <w:fldChar w:fldCharType="begin"/>
      </w:r>
      <w:r>
        <w:instrText> SHAPE  \* MERGEFORMAT </w:instrText>
      </w:r>
      <w:r>
        <w:fldChar w:fldCharType="separate"/>
      </w:r>
      <w:bookmarkStart w:id="0" w:name="__Fieldmark__541_1024893045"/>
      <w:r>
        <w:rPr>
          <w:lang w:val="en-GB"/>
        </w:rPr>
        <w:pict>
          <v:group id="shape_0" style="position:absolute;margin-left:0pt;margin-top:0pt;width:648.35pt;height:446.25pt" coordorigin="0,0" coordsize="12967,8925">
            <v:rect id="shape_0" stroked="f" style="position:absolute;left:0;top:0;width:12966;height:8924;mso-position-horizontal-relative:char">
              <v:wrap v:type="none"/>
              <v:fill on="false" detectmouseclick="t"/>
              <v:stroke color="#3465a4" joinstyle="round" endcap="flat"/>
            </v:rect>
            <v:shapetype id="shapetype_202" coordsize="21600,21600" o:spt="202" path="m,l,21600l21600,21600l21600,xe">
              <v:stroke joinstyle="miter"/>
              <v:path gradientshapeok="t" o:connecttype="rect"/>
            </v:shapetype>
            <v:shape id="shape_0" stroked="f" style="position:absolute;left:9056;top:4361;width:3908;height:1786;mso-position-horizontal-relative:char" type="shapetype_202">
              <v:wrap v:type="square"/>
              <v:fill on="false" detectmouseclick="t"/>
              <v:stroke color="#3465a4" joinstyle="round" endcap="flat"/>
            </v:shape>
            <v:line id="shape_0" from="1370,1498" to="1372,6925" stroked="t" style="position:absolute;mso-position-horizontal-relative:char">
              <v:stroke color="black" joinstyle="miter" endcap="square"/>
              <v:fill on="false" detectmouseclick="t"/>
            </v:line>
            <v:line id="shape_0" from="1252,6927" to="1369,6929" stroked="t" style="position:absolute;mso-position-horizontal-relative:char">
              <v:stroke color="black" joinstyle="miter" endcap="square"/>
              <v:fill on="false" detectmouseclick="t"/>
            </v:line>
            <v:line id="shape_0" from="1252,6030" to="1369,6035" stroked="t" style="position:absolute;mso-position-horizontal-relative:char">
              <v:stroke color="black" joinstyle="miter" endcap="square"/>
              <v:fill on="false" detectmouseclick="t"/>
            </v:line>
            <v:line id="shape_0" from="1252,5107" to="1369,5109" stroked="t" style="position:absolute;mso-position-horizontal-relative:char">
              <v:stroke color="black" joinstyle="miter" endcap="square"/>
              <v:fill on="false" detectmouseclick="t"/>
            </v:line>
            <v:line id="shape_0" from="1252,4212" to="1369,4214" stroked="t" style="position:absolute;mso-position-horizontal-relative:char">
              <v:stroke color="black" joinstyle="miter" endcap="square"/>
              <v:fill on="false" detectmouseclick="t"/>
            </v:line>
            <v:line id="shape_0" from="1252,3317" to="1369,3320" stroked="t" style="position:absolute;mso-position-horizontal-relative:char">
              <v:stroke color="black" joinstyle="miter" endcap="square"/>
              <v:fill on="false" detectmouseclick="t"/>
            </v:line>
            <v:line id="shape_0" from="1252,2390" to="1369,2392" stroked="t" style="position:absolute;mso-position-horizontal-relative:char">
              <v:stroke color="black" joinstyle="miter" endcap="square"/>
              <v:fill on="false" detectmouseclick="t"/>
            </v:line>
            <v:line id="shape_0" from="1252,1498" to="1369,1500" stroked="t" style="position:absolute;mso-position-horizontal-relative:char">
              <v:stroke color="black" joinstyle="miter" endcap="square"/>
              <v:fill on="false" detectmouseclick="t"/>
            </v:line>
            <v:line id="shape_0" from="1370,6927" to="10360,6929" stroked="t" style="position:absolute;mso-position-horizontal-relative:char">
              <v:stroke color="black" joinstyle="miter" endcap="square"/>
              <v:fill on="false" detectmouseclick="t"/>
            </v:line>
            <v:line id="shape_0" from="1370,6927" to="1372,7058" stroked="t" style="position:absolute;flip:y;mso-position-horizontal-relative:char">
              <v:stroke color="black" joinstyle="miter" endcap="square"/>
              <v:fill on="false" detectmouseclick="t"/>
            </v:line>
            <v:line id="shape_0" from="2645,6927" to="2648,7058" stroked="t" style="position:absolute;flip:y;mso-position-horizontal-relative:char">
              <v:stroke color="black" joinstyle="miter" endcap="square"/>
              <v:fill on="false" detectmouseclick="t"/>
            </v:line>
            <v:line id="shape_0" from="3950,6927" to="3955,7058" stroked="t" style="position:absolute;flip:y;mso-position-horizontal-relative:char">
              <v:stroke color="black" joinstyle="miter" endcap="square"/>
              <v:fill on="false" detectmouseclick="t"/>
            </v:line>
            <v:line id="shape_0" from="5225,6927" to="5228,7058" stroked="t" style="position:absolute;flip:y;mso-position-horizontal-relative:char">
              <v:stroke color="black" joinstyle="miter" endcap="square"/>
              <v:fill on="false" detectmouseclick="t"/>
            </v:line>
            <v:line id="shape_0" from="6500,6927" to="6503,7058" stroked="t" style="position:absolute;flip:y;mso-position-horizontal-relative:char">
              <v:stroke color="black" joinstyle="miter" endcap="square"/>
              <v:fill on="false" detectmouseclick="t"/>
            </v:line>
            <v:line id="shape_0" from="7777,6927" to="7780,7058" stroked="t" style="position:absolute;flip:y;mso-position-horizontal-relative:char">
              <v:stroke color="black" joinstyle="miter" endcap="square"/>
              <v:fill on="false" detectmouseclick="t"/>
            </v:line>
            <v:line id="shape_0" from="9083,6927" to="9086,7058" stroked="t" style="position:absolute;flip:y;mso-position-horizontal-relative:char">
              <v:stroke color="black" joinstyle="miter" endcap="square"/>
              <v:fill on="false" detectmouseclick="t"/>
            </v:line>
            <v:line id="shape_0" from="10361,6927" to="10363,7058" stroked="t" style="position:absolute;flip:y;mso-position-horizontal-relative:char">
              <v:stroke color="black" joinstyle="miter" endcap="square"/>
              <v:fill on="false" detectmouseclick="t"/>
            </v:line>
            <v:shape id="shape_0" coordorigin="0,0" coordsize="217,110" path="m0,0l44,28l87,55l130,82l173,99l217,110e" stroked="t" style="position:absolute;left:2645;top:2390;width:6436;height:3639;mso-position-horizontal-relative:char">
              <v:wrap v:type="none"/>
              <v:fill on="false" detectmouseclick="t"/>
              <v:stroke color="black" weight="11520" joinstyle="round" endcap="square"/>
            </v:shape>
            <v:shape id="shape_0" coordorigin="0,0" coordsize="130,0" path="m0,0l43,0l86,0l130,0e" fillcolor="#bbe0e3" stroked="t" style="position:absolute;left:5225;top:4212;width:3856;height:2;mso-position-horizontal-relative:char">
              <v:wrap v:type="none"/>
              <v:fill type="solid" color2="#441f1c" detectmouseclick="t"/>
              <v:stroke color="black" weight="11520" dashstyle="longdash" joinstyle="round" endcap="flat"/>
            </v:shape>
            <v:shape id="shape_0" coordorigin="0,0" coordsize="42,43" path="m21,0l42,21l21,43l0,21l21,0xe" fillcolor="black" stroked="t" style="position:absolute;left:2556;top:2290;width:175;height:200;mso-position-horizontal-relative:char">
              <v:wrap v:type="none"/>
              <v:fill type="solid" color2="white" detectmouseclick="t"/>
              <v:stroke color="navy" weight="11520" joinstyle="round" endcap="square"/>
            </v:shape>
            <v:shape id="shape_0" coordorigin="0,0" coordsize="42,42" path="m21,0l42,21l21,42l0,21l21,0xe" fillcolor="black" stroked="t" style="position:absolute;left:3861;top:3217;width:177;height:197;mso-position-horizontal-relative:char">
              <v:wrap v:type="none"/>
              <v:fill type="solid" color2="white" detectmouseclick="t"/>
              <v:stroke color="navy" weight="11520" joinstyle="round" endcap="square"/>
            </v:shape>
            <v:shape id="shape_0" coordorigin="0,0" coordsize="42,42" path="m21,0l42,21l21,42l0,21l21,0xe" fillcolor="black" stroked="t" style="position:absolute;left:5138;top:4112;width:177;height:197;mso-position-horizontal-relative:char">
              <v:wrap v:type="none"/>
              <v:fill type="solid" color2="white" detectmouseclick="t"/>
              <v:stroke color="navy" weight="11520" joinstyle="round" endcap="square"/>
            </v:shape>
            <v:shape id="shape_0" coordorigin="0,0" coordsize="42,42" path="m21,0l42,21l21,42l0,21l21,0xe" fillcolor="black" stroked="t" style="position:absolute;left:6413;top:5007;width:177;height:197;mso-position-horizontal-relative:char">
              <v:wrap v:type="none"/>
              <v:fill type="solid" color2="white" detectmouseclick="t"/>
              <v:stroke color="navy" weight="11520" joinstyle="round" endcap="square"/>
            </v:shape>
            <v:shape id="shape_0" coordorigin="0,0" coordsize="42,42" path="m21,0l42,21l21,42l0,21l21,0xe" fillcolor="black" stroked="t" style="position:absolute;left:7688;top:5569;width:175;height:197;mso-position-horizontal-relative:char">
              <v:wrap v:type="none"/>
              <v:fill type="solid" color2="white" detectmouseclick="t"/>
              <v:stroke color="navy" weight="11520" joinstyle="round" endcap="square"/>
            </v:shape>
            <v:shape id="shape_0" coordorigin="0,0" coordsize="42,43" path="m21,0l42,21l21,43l0,21l21,0xe" fillcolor="black" stroked="t" style="position:absolute;left:8992;top:5931;width:177;height:203;mso-position-horizontal-relative:char">
              <v:wrap v:type="none"/>
              <v:fill type="solid" color2="white" detectmouseclick="t"/>
              <v:stroke color="navy" weight="11520" joinstyle="round" endcap="square"/>
            </v:shape>
            <v:rect id="shape_0" fillcolor="white" stroked="t" style="position:absolute;left:6413;top:4112;width:146;height:165;mso-position-horizontal-relative:char">
              <v:wrap v:type="none"/>
              <v:fill type="solid" color2="black" detectmouseclick="t"/>
              <v:stroke color="black" weight="11520" joinstyle="miter" endcap="square"/>
            </v:rect>
            <v:rect id="shape_0" fillcolor="white" stroked="t" style="position:absolute;left:7688;top:4112;width:146;height:165;mso-position-horizontal-relative:char">
              <v:wrap v:type="none"/>
              <v:fill type="solid" color2="black" detectmouseclick="t"/>
              <v:stroke color="black" weight="11520" joinstyle="miter" endcap="square"/>
            </v:rect>
            <v:rect id="shape_0" fillcolor="white" stroked="t" style="position:absolute;left:8992;top:4112;width:148;height:165;mso-position-horizontal-relative:char">
              <v:wrap v:type="none"/>
              <v:fill type="solid" color2="black" detectmouseclick="t"/>
              <v:stroke color="black" weight="11520" joinstyle="miter" endcap="square"/>
            </v:rect>
            <v:shape id="shape_0" stroked="f" style="position:absolute;left:862;top:6661;width:191;height:437;mso-position-horizontal-relative:char" type="shapetype_202">
              <v:wrap v:type="none"/>
              <v:fill on="false" detectmouseclick="t"/>
              <v:stroke color="#3465a4" joinstyle="round" endcap="flat"/>
            </v:shape>
            <v:shape id="shape_0" stroked="f" style="position:absolute;left:1282;top:7287;width:191;height:437;mso-position-horizontal-relative:char" type="shapetype_202">
              <v:wrap v:type="none"/>
              <v:fill on="false" detectmouseclick="t"/>
              <v:stroke color="#3465a4" joinstyle="round" endcap="flat"/>
            </v:shape>
            <v:shape id="shape_0" stroked="f" style="position:absolute;left:2555;top:7287;width:191;height:437;mso-position-horizontal-relative:char" type="shapetype_202">
              <v:wrap v:type="none"/>
              <v:fill on="false" detectmouseclick="t"/>
              <v:stroke color="#3465a4" joinstyle="round" endcap="flat"/>
            </v:shape>
            <v:shape id="shape_0" stroked="f" style="position:absolute;left:3860;top:7287;width:191;height:437;mso-position-horizontal-relative:char" type="shapetype_202">
              <v:wrap v:type="none"/>
              <v:fill on="false" detectmouseclick="t"/>
              <v:stroke color="#3465a4" joinstyle="round" endcap="flat"/>
            </v:shape>
            <v:shape id="shape_0" stroked="f" style="position:absolute;left:5137;top:7287;width:191;height:437;mso-position-horizontal-relative:char" type="shapetype_202">
              <v:wrap v:type="none"/>
              <v:fill on="false" detectmouseclick="t"/>
              <v:stroke color="#3465a4" joinstyle="round" endcap="flat"/>
            </v:shape>
            <v:shape id="shape_0" stroked="f" style="position:absolute;left:6412;top:7287;width:191;height:437;mso-position-horizontal-relative:char" type="shapetype_202">
              <v:wrap v:type="none"/>
              <v:fill on="false" detectmouseclick="t"/>
              <v:stroke color="#3465a4" joinstyle="round" endcap="flat"/>
            </v:shape>
            <v:shape id="shape_0" stroked="f" style="position:absolute;left:7687;top:7287;width:191;height:437;mso-position-horizontal-relative:char" type="shapetype_202">
              <v:wrap v:type="none"/>
              <v:fill on="false" detectmouseclick="t"/>
              <v:stroke color="#3465a4" joinstyle="round" endcap="flat"/>
            </v:shape>
            <v:shape id="shape_0" stroked="f" style="position:absolute;left:8991;top:7287;width:191;height:437;mso-position-horizontal-relative:char" type="shapetype_202">
              <v:wrap v:type="none"/>
              <v:fill on="false" detectmouseclick="t"/>
              <v:stroke color="#3465a4" joinstyle="round" endcap="flat"/>
            </v:shape>
            <v:shape id="shape_0" stroked="f" style="position:absolute;left:10266;top:7287;width:191;height:437;mso-position-horizontal-relative:char" type="shapetype_202">
              <v:wrap v:type="none"/>
              <v:fill on="false" detectmouseclick="t"/>
              <v:stroke color="#3465a4" joinstyle="round" endcap="flat"/>
            </v:shape>
            <v:shape id="shape_0" stroked="f" style="position:absolute;left:5771;top:8051;width:1045;height:437;mso-position-horizontal-relative:char" type="shapetype_202">
              <v:wrap v:type="none"/>
              <v:fill on="false" detectmouseclick="t"/>
              <v:stroke color="#3465a4" joinstyle="round" endcap="flat"/>
            </v:shape>
            <v:shape id="shape_0" stroked="f" style="position:absolute;left:175;top:3479;width:379;height:1840;rotation:180;mso-position-horizontal-relative:char" type="shapetype_202">
              <v:wrap v:type="square"/>
              <v:fill on="false" detectmouseclick="t"/>
              <v:stroke color="#3465a4" joinstyle="round" endcap="flat"/>
            </v:shape>
            <v:shape id="shape_0" stroked="f" style="position:absolute;left:1792;top:5438;width:3908;height:958;mso-position-horizontal-relative:char" type="shapetype_202">
              <v:wrap v:type="square"/>
              <v:fill on="false" detectmouseclick="t"/>
              <v:stroke color="#3465a4" joinstyle="round" endcap="flat"/>
            </v:shape>
            <v:shapetype id="shapetype_88" coordsize="21600,21600" o:spt="88" adj="10800,1800" path="m,qx@13@14l10800@5qy@15@16qx@17@18l10800@6qy@19@20xnsem,qx@13@14l10800@5qy@15@16qx@17@18l10800@6qy@19@20nfe">
              <v:stroke joinstyle="miter"/>
              <v:formulas>
                <v:f eqn="val #0"/>
                <v:f eqn="sum 21600 0 @0"/>
                <v:f eqn="min @1 @0"/>
                <v:f eqn="prod @2 1 2"/>
                <v:f eqn="val #1"/>
                <v:f eqn="sum @0 0 @4"/>
                <v:f eqn="sum height 0 @4"/>
                <v:f eqn="sumangle 0 45 0"/>
                <v:f eqn="cos 10800 @7"/>
                <v:f eqn="sin @4 @7"/>
                <v:f eqn="sum 0 @8 0"/>
                <v:f eqn="sum @4 0 @9"/>
                <v:f eqn="sum height @9 @4"/>
                <v:f eqn="sum 10800 0 0"/>
                <v:f eqn="sum @4 0 0"/>
                <v:f eqn="sum 10800 10800 0"/>
                <v:f eqn="sum @4 @5 0"/>
                <v:f eqn="sum 0 @15 10800"/>
                <v:f eqn="sum @4 @16 0"/>
                <v:f eqn="sum 0 10800 10800"/>
                <v:f eqn="sum @4 @6 0"/>
              </v:formulas>
              <v:path gradientshapeok="t" o:connecttype="rect" textboxrect="0,@11,@10,@12"/>
              <v:handles>
                <v:h position="10800,@4"/>
                <v:h position="21600,@0"/>
              </v:handles>
            </v:shapetype>
            <v:shape id="shape_0" stroked="t" style="position:absolute;left:9520;top:4207;width:125;height:1850;mso-position-horizontal-relative:char" type="shapetype_88">
              <v:wrap v:type="none"/>
              <v:fill on="false" detectmouseclick="t"/>
              <v:stroke color="black" weight="9360" joinstyle="miter" endcap="square"/>
            </v:shape>
            <v:line id="shape_0" from="3548,4393" to="5091,5380" stroked="t" style="position:absolute;flip:y;mso-position-horizontal-relative:char">
              <v:stroke color="black" weight="9360" endarrow="block" endarrowwidth="wide" endarrowlength="long" joinstyle="miter" endcap="square"/>
              <v:fill on="false" detectmouseclick="t"/>
            </v:line>
            <v:shape id="shape_0" stroked="f" style="position:absolute;left:492;top:0;width:12287;height:957;mso-position-horizontal-relative:char" type="shapetype_202">
              <v:wrap v:type="square"/>
              <v:fill on="false" detectmouseclick="t"/>
              <v:stroke color="#3465a4" joinstyle="round" endcap="flat"/>
            </v:shape>
            <v:group id="shape_0" style="position:absolute;left:7944;top:1554;width:3394;height:1502">
              <v:line id="shape_0" from="8274,1958" to="9357,1958" stroked="t" style="position:absolute;mso-position-horizontal-relative:char">
                <v:stroke color="black" weight="9360" joinstyle="miter" endcap="square"/>
                <v:fill on="false" detectmouseclick="t"/>
              </v:line>
              <v:line id="shape_0" from="8266,2612" to="9349,2612" stroked="t" style="position:absolute;mso-position-horizontal-relative:char">
                <v:stroke color="black" weight="9360" dashstyle="longdash" joinstyle="miter" endcap="square"/>
                <v:fill on="false" detectmouseclick="t"/>
              </v:line>
              <v:shape id="shape_0" stroked="f" style="position:absolute;left:9551;top:2343;width:1770;height:621;mso-position-horizontal-relative:char" type="shapetype_202">
                <v:wrap v:type="square"/>
                <v:fill on="false" detectmouseclick="t"/>
                <v:stroke color="#3465a4" joinstyle="round" endcap="flat"/>
              </v:shape>
              <v:shape id="shape_0" stroked="f" style="position:absolute;left:9567;top:1696;width:1770;height:621;mso-position-horizontal-relative:char" type="shapetype_202">
                <v:wrap v:type="square"/>
                <v:fill on="false" detectmouseclick="t"/>
                <v:stroke color="#3465a4" joinstyle="round" endcap="flat"/>
              </v:shape>
              <v:rect id="shape_0" stroked="t" style="position:absolute;left:7944;top:1554;width:3112;height:1501;mso-position-horizontal-relative:char">
                <v:wrap v:type="none"/>
                <v:fill on="false" detectmouseclick="t"/>
                <v:stroke color="black" weight="9360" joinstyle="miter" endcap="square"/>
              </v:rect>
            </v:group>
          </v:group>
        </w:pict>
      </w:r>
      <w:r>
        <w:rPr>
          <w:lang w:val="en-GB"/>
        </w:rPr>
        <w:pict>
          <v:rect id="shape_0" stroked="f" style="position:absolute;margin-left:0pt;margin-top:-446.35pt;width:648.35pt;height:446.25pt;mso-position-vertical:top">
            <v:wrap v:type="none"/>
            <v:fill on="false" detectmouseclick="t"/>
            <v:stroke color="#3465a4" joinstyle="round" endcap="flat"/>
          </v:rect>
        </w:pict>
      </w:r>
      <w:bookmarkEnd w:id="0"/>
      <w:r>
        <w:rPr>
          <w:lang w:val="en-GB"/>
        </w:rPr>
      </w:r>
      <w:r>
        <w:fldChar w:fldCharType="end"/>
      </w:r>
    </w:p>
    <w:p>
      <w:pPr>
        <w:pStyle w:val="Normal"/>
        <w:tabs>
          <w:tab w:val="left" w:pos="6540" w:leader="none"/>
        </w:tabs>
        <w:rPr/>
      </w:pPr>
      <w:r>
        <w:fldChar w:fldCharType="begin"/>
      </w:r>
      <w:r>
        <w:instrText> SHAPE  \* MERGEFORMAT </w:instrText>
      </w:r>
      <w:r>
        <w:fldChar w:fldCharType="separate"/>
      </w:r>
      <w:bookmarkStart w:id="1" w:name="__Fieldmark__542_1024893045"/>
      <w:r>
        <w:rPr/>
        <w:pict>
          <v:group id="shape_0" style="position:absolute;margin-left:0pt;margin-top:0pt;width:467.95pt;height:607.3pt" coordorigin="0,0" coordsize="9359,12146">
            <v:rect id="shape_0" stroked="f" style="position:absolute;left:0;top:1;width:9358;height:12144;mso-position-horizontal-relative:char">
              <v:wrap v:type="none"/>
              <v:fill on="false" detectmouseclick="t"/>
              <v:stroke color="#3465a4" joinstyle="round" endcap="flat"/>
            </v:rect>
            <v:line id="shape_0" from="1782,1783" to="1782,9805" stroked="t" style="position:absolute;mso-position-horizontal-relative:char">
              <v:stroke color="black" weight="9360" endarrow="block" endarrowwidth="medium" endarrowlength="medium" joinstyle="miter" endcap="square"/>
              <v:fill on="false" detectmouseclick="t"/>
            </v:line>
            <v:shape id="shape_0" fillcolor="white" stroked="t" style="position:absolute;left:0;top:568;width:4121;height:1212;mso-position-horizontal-relative:char" type="shapetype_202">
              <v:wrap v:type="square"/>
              <v:fill type="solid" color2="black" detectmouseclick="t"/>
              <v:stroke color="black" weight="9360" joinstyle="miter" endcap="square"/>
            </v:shape>
            <v:shape id="shape_0" fillcolor="white" stroked="t" style="position:absolute;left:4903;top:2006;width:4455;height:1447;mso-position-horizontal-relative:char" type="shapetype_202">
              <v:wrap v:type="square"/>
              <v:fill type="solid" color2="black" detectmouseclick="t"/>
              <v:stroke color="black" weight="9360" joinstyle="miter" endcap="square"/>
            </v:shape>
            <v:shape id="shape_0" fillcolor="white" stroked="t" style="position:absolute;left:110;top:3567;width:4122;height:1781;mso-position-horizontal-relative:char" type="shapetype_202">
              <v:wrap v:type="square"/>
              <v:fill type="solid" color2="black" detectmouseclick="t"/>
              <v:stroke color="black" weight="9360" joinstyle="miter" endcap="square"/>
            </v:shape>
            <v:shape id="shape_0" fillcolor="white" stroked="t" style="position:absolute;left:4903;top:3899;width:3775;height:1172;mso-position-horizontal-relative:char" type="shapetype_202">
              <v:wrap v:type="square"/>
              <v:fill type="solid" color2="black" detectmouseclick="t"/>
              <v:stroke color="black" weight="9360" joinstyle="miter" endcap="square"/>
            </v:shape>
            <v:shape id="shape_0" fillcolor="white" stroked="t" style="position:absolute;left:2450;top:5795;width:4344;height:3675;mso-position-horizontal-relative:char" type="shapetype_202">
              <v:wrap v:type="square"/>
              <v:fill type="solid" color2="black" detectmouseclick="t"/>
              <v:stroke color="black" weight="9360" joinstyle="miter" endcap="square"/>
            </v:shape>
            <v:shape id="shape_0" fillcolor="white" stroked="t" style="position:absolute;left:0;top:9918;width:3843;height:915;mso-position-horizontal-relative:char" type="shapetype_202">
              <v:wrap v:type="square"/>
              <v:fill type="solid" color2="black" detectmouseclick="t"/>
              <v:stroke color="black" weight="9360" joinstyle="miter" endcap="square"/>
            </v:shape>
            <v:shape id="shape_0" fillcolor="white" stroked="t" style="position:absolute;left:5236;top:9918;width:3842;height:915;mso-position-horizontal-relative:char" type="shapetype_202">
              <v:wrap v:type="square"/>
              <v:fill type="solid" color2="black" detectmouseclick="t"/>
              <v:stroke color="black" weight="9360" joinstyle="miter" endcap="square"/>
            </v:shape>
            <v:shape id="shape_0" fillcolor="white" stroked="t" style="position:absolute;left:3008;top:11478;width:2673;height:667;mso-position-horizontal-relative:char" type="shapetype_202">
              <v:wrap v:type="square"/>
              <v:fill type="solid" color2="black" detectmouseclick="t"/>
              <v:stroke color="black" weight="9360" joinstyle="miter" endcap="square"/>
            </v:shape>
            <v:shape id="shape_0" stroked="f" style="position:absolute;left:0;top:0;width:4789;height:386;mso-position-horizontal-relative:char" type="shapetype_202">
              <v:wrap v:type="square"/>
              <v:fill on="false" detectmouseclick="t"/>
              <v:stroke color="#3465a4" joinstyle="round" endcap="flat"/>
            </v:shape>
            <v:line id="shape_0" from="7353,5126" to="7353,9916" stroked="t" style="position:absolute;mso-position-horizontal-relative:char">
              <v:stroke color="black" weight="9360" endarrow="block" endarrowwidth="medium" endarrowlength="medium" joinstyle="miter" endcap="square"/>
              <v:fill on="false" detectmouseclick="t"/>
            </v:line>
            <v:line id="shape_0" from="1782,7243" to="2449,7243" stroked="t" style="position:absolute;mso-position-horizontal-relative:char">
              <v:stroke color="black" weight="9360" endarrow="block" endarrowwidth="medium" endarrowlength="medium" joinstyle="miter" endcap="square"/>
              <v:fill on="false" detectmouseclick="t"/>
            </v:line>
            <v:line id="shape_0" from="6797,7243" to="7352,7243" stroked="t" style="position:absolute;flip:x;mso-position-horizontal-relative:char">
              <v:stroke color="black" weight="9360" endarrow="block" endarrowwidth="medium" endarrowlength="medium" joinstyle="miter" endcap="square"/>
              <v:fill on="false" detectmouseclick="t"/>
            </v:line>
            <v:line id="shape_0" from="3008,10809" to="3564,11365" stroked="t" style="position:absolute;mso-position-horizontal-relative:char">
              <v:stroke color="black" weight="9360" endarrow="block" endarrowwidth="medium" endarrowlength="medium" joinstyle="miter" endcap="square"/>
              <v:fill on="false" detectmouseclick="t"/>
            </v:line>
            <v:line id="shape_0" from="5458,10809" to="6014,11365" stroked="t" style="position:absolute;flip:x;mso-position-horizontal-relative:char">
              <v:stroke color="black" weight="9360" endarrow="block" endarrowwidth="medium" endarrowlength="medium" joinstyle="miter" endcap="square"/>
              <v:fill on="false" detectmouseclick="t"/>
            </v:line>
            <v:line id="shape_0" from="1782,2675" to="4901,2675" stroked="t" style="position:absolute;mso-position-horizontal-relative:char">
              <v:stroke color="black" weight="9360" endarrow="block" endarrowwidth="medium" endarrowlength="medium" joinstyle="miter" endcap="square"/>
              <v:fill on="false" detectmouseclick="t"/>
            </v:line>
          </v:group>
        </w:pict>
        <w:pict>
          <v:line id="shape_0" from="216pt,225pt" to="242.95pt,225pt" stroked="t" style="position:absolute">
            <v:stroke color="black" weight="9360" endarrow="block" endarrowwidth="medium" endarrowlength="medium" joinstyle="miter" endcap="square"/>
            <v:fill on="false" detectmouseclick="t"/>
          </v:line>
        </w:pict>
      </w:r>
      <w:r>
        <w:rPr/>
        <w:pict>
          <v:rect id="shape_0" stroked="f" style="position:absolute;margin-left:0pt;margin-top:-607.4pt;width:467.95pt;height:607.3pt;mso-position-vertical:top">
            <v:wrap v:type="none"/>
            <v:fill on="false" detectmouseclick="t"/>
            <v:stroke color="#3465a4" joinstyle="round" endcap="flat"/>
          </v:rect>
        </w:pict>
      </w:r>
      <w:r>
        <w:rPr/>
      </w:r>
      <w:r>
        <w:fldChar w:fldCharType="end"/>
      </w:r>
      <w:bookmarkEnd w:id="1"/>
      <w:r>
        <w:rPr/>
        <w:br/>
      </w:r>
    </w:p>
    <w:sectPr>
      <w:footerReference w:type="default" r:id="rId13"/>
      <w:type w:val="nextPage"/>
      <w:pgSz w:w="12240" w:h="15840"/>
      <w:pgMar w:left="1800" w:right="1800" w:header="0" w:top="1440" w:footer="720" w:bottom="1440"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bhutton" w:date="0-00-00T00:00:00Z" w:initials="bh">
    <w:p>
      <w:r>
        <w:rPr>
          <w:rFonts w:ascii="Times New Roman" w:hAnsi="Times New Roman" w:eastAsia="Times New Roman" w:cs="Times New Roman"/>
          <w:color w:val="auto"/>
          <w:sz w:val="20"/>
          <w:szCs w:val="20"/>
          <w:lang w:val="en-US" w:bidi="ar-SA"/>
        </w:rPr>
        <w:t>should indicate the date/time span of the searches that your QUOROM flow diagram is based on; was it August 2006 we completed searches?</w:t>
      </w:r>
    </w:p>
  </w:comment>
  <w:comment w:id="1" w:author="bhutton" w:date="0-00-00T00:00:00Z" w:initials="bh">
    <w:p>
      <w:r>
        <w:rPr>
          <w:rFonts w:ascii="Times New Roman" w:hAnsi="Times New Roman" w:eastAsia="Times New Roman" w:cs="Times New Roman"/>
          <w:color w:val="auto"/>
          <w:sz w:val="20"/>
          <w:szCs w:val="20"/>
          <w:lang w:val="en-US" w:bidi="ar-SA"/>
        </w:rPr>
        <w:t>not necessary, but if you felt you wanted to highlight the methodologies that went into these quality scores, you could indicate how many studies were/weren't blinded, how many provided adequate detail of randomization/blinding...would be an extra sentence or two that sums up where points were lost in general.</w:t>
      </w:r>
    </w:p>
  </w:comment>
  <w:comment w:id="2" w:author="bhutton" w:date="0-00-00T00:00:00Z" w:initials="bh">
    <w:p>
      <w:r>
        <w:rPr>
          <w:rFonts w:ascii="Times New Roman" w:hAnsi="Times New Roman" w:eastAsia="Times New Roman" w:cs="Times New Roman"/>
          <w:color w:val="auto"/>
          <w:sz w:val="20"/>
          <w:szCs w:val="20"/>
          <w:lang w:val="en-US" w:bidi="ar-SA"/>
        </w:rPr>
        <w:t xml:space="preserve">might wish to include an "(n=?)" for each of these approaches here in the text </w:t>
      </w:r>
    </w:p>
  </w:comment>
  <w:comment w:id="3" w:author="bhutton" w:date="0-00-00T00:00:00Z" w:initials="bh">
    <w:p>
      <w:r>
        <w:rPr>
          <w:rFonts w:ascii="Times New Roman" w:hAnsi="Times New Roman" w:eastAsia="Times New Roman" w:cs="Times New Roman"/>
          <w:color w:val="auto"/>
          <w:sz w:val="20"/>
          <w:szCs w:val="20"/>
          <w:lang w:val="en-US" w:bidi="ar-SA"/>
        </w:rPr>
        <w:t xml:space="preserve">I like this idea, though I wonder if we </w:t>
      </w:r>
    </w:p>
  </w:comment>
  <w:comment w:id="4" w:author="bhutton" w:date="0-00-00T00:00:00Z" w:initials="bh">
    <w:p>
      <w:r>
        <w:rPr>
          <w:rFonts w:ascii="Times New Roman" w:hAnsi="Times New Roman" w:eastAsia="Times New Roman" w:cs="Times New Roman"/>
          <w:color w:val="auto"/>
          <w:sz w:val="20"/>
          <w:szCs w:val="20"/>
          <w:lang w:val="en-US" w:bidi="ar-SA"/>
        </w:rPr>
        <w:t>I deleted all of the preceding numbers of studies in this table in case folks might confuse them as reference #s. A nicer way to do it, if you've got all of your references in a RefMan database, would be to add the reference numbers of each study instead, as they will appear in your bibliography. That's our usual approach...also lets you lessen text in the table by removing the journal indications in the table (I've deleted these also).</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Symbol">
    <w:charset w:val="01"/>
    <w:family w:val="roman"/>
    <w:pitch w:val="variable"/>
  </w:font>
  <w:font w:name="Courier New">
    <w:charset w:val="00"/>
    <w:family w:val="modern"/>
    <w:pitch w:val="default"/>
  </w:font>
  <w:font w:name="Wingdings">
    <w:charset w:val="02"/>
    <w:family w:val="auto"/>
    <w:pitch w:val="variable"/>
  </w:font>
  <w:font w:name="Ecofont Vera Sans">
    <w:charset w:val="01"/>
    <w:family w:val="swiss"/>
    <w:pitch w:val="default"/>
  </w:font>
  <w:font w:name="Tahoma">
    <w:charset w:val="00"/>
    <w:family w:val="swiss"/>
    <w:pitch w:val="variable"/>
  </w:font>
  <w:font w:name="Clarendon Condensed">
    <w:altName w:val="Times New Roman"/>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pPr>
    <w:r>
      <w:rPr/>
    </w:r>
    <w:r>
      <w:pict>
        <v:rect fillcolor="#FFFFFF" style="position:absolute;width:12.05pt;height:27.6pt;margin-top:0.05pt;margin-left:419.95pt">
          <v:fill opacity="0f"/>
          <v:textbox>
            <w:txbxContent>
              <w:p>
                <w:pPr>
                  <w:pStyle w:val="Footer"/>
                  <w:rPr>
                    <w:rStyle w:val="PageNumber"/>
                  </w:rPr>
                </w:pPr>
                <w:r>
                  <w:rPr>
                    <w:rStyle w:val="PageNumber"/>
                  </w:rPr>
                  <w:fldChar w:fldCharType="begin"/>
                </w:r>
                <w:r>
                  <w:instrText> PAGE </w:instrText>
                </w:r>
                <w:r>
                  <w:fldChar w:fldCharType="separate"/>
                </w:r>
                <w:r>
                  <w:t>33</w:t>
                </w:r>
                <w:r>
                  <w:fldChar w:fldCharType="end"/>
                </w:r>
              </w:p>
              <w:p>
                <w:pPr>
                  <w:pStyle w:val="Footer"/>
                  <w:rPr/>
                </w:pPr>
                <w:r>
                  <w:rPr/>
                </w:r>
              </w:p>
            </w:txbxContent>
          </v:textbox>
          <w10:wrap type="square" side="largest"/>
        </v:rect>
      </w:pic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pPr>
    <w:r>
      <w:rPr/>
    </w:r>
    <w:r>
      <w:pict>
        <v:rect fillcolor="#FFFFFF" style="position:absolute;width:12.05pt;height:27.6pt;margin-top:0.05pt;margin-left:635.95pt">
          <v:fill opacity="0f"/>
          <v:textbox>
            <w:txbxContent>
              <w:p>
                <w:pPr>
                  <w:pStyle w:val="Footer"/>
                  <w:rPr>
                    <w:rStyle w:val="PageNumber"/>
                  </w:rPr>
                </w:pPr>
                <w:r>
                  <w:rPr>
                    <w:rStyle w:val="PageNumber"/>
                  </w:rPr>
                  <w:fldChar w:fldCharType="begin"/>
                </w:r>
                <w:r>
                  <w:instrText> PAGE </w:instrText>
                </w:r>
                <w:r>
                  <w:fldChar w:fldCharType="separate"/>
                </w:r>
                <w:r>
                  <w:t>38</w:t>
                </w:r>
                <w:r>
                  <w:fldChar w:fldCharType="end"/>
                </w:r>
              </w:p>
              <w:p>
                <w:pPr>
                  <w:pStyle w:val="Footer"/>
                  <w:rPr/>
                </w:pPr>
                <w:r>
                  <w:rPr/>
                </w:r>
              </w:p>
            </w:txbxContent>
          </v:textbox>
          <w10:wrap type="square" side="largest"/>
        </v:rect>
      </w:pic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pPr>
    <w:r>
      <w:rPr/>
    </w:r>
    <w:r>
      <w:pict>
        <v:rect fillcolor="#FFFFFF" style="position:absolute;width:12.05pt;height:27.6pt;margin-top:0.05pt;margin-left:635.95pt">
          <v:fill opacity="0f"/>
          <v:textbox>
            <w:txbxContent>
              <w:p>
                <w:pPr>
                  <w:pStyle w:val="Footer"/>
                  <w:rPr>
                    <w:rStyle w:val="PageNumber"/>
                  </w:rPr>
                </w:pPr>
                <w:r>
                  <w:rPr>
                    <w:rStyle w:val="PageNumber"/>
                  </w:rPr>
                  <w:fldChar w:fldCharType="begin"/>
                </w:r>
                <w:r>
                  <w:instrText> PAGE </w:instrText>
                </w:r>
                <w:r>
                  <w:fldChar w:fldCharType="separate"/>
                </w:r>
                <w:r>
                  <w:t>47</w:t>
                </w:r>
                <w:r>
                  <w:fldChar w:fldCharType="end"/>
                </w:r>
              </w:p>
              <w:p>
                <w:pPr>
                  <w:pStyle w:val="Footer"/>
                  <w:rPr/>
                </w:pPr>
                <w:r>
                  <w:rPr/>
                </w:r>
              </w:p>
            </w:txbxContent>
          </v:textbox>
          <w10:wrap type="square" side="largest"/>
        </v:rect>
      </w:pic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pPr>
    <w:r>
      <w:rPr/>
    </w:r>
    <w:r>
      <w:pict>
        <v:rect fillcolor="#FFFFFF" style="position:absolute;width:12.05pt;height:27.6pt;margin-top:0.05pt;margin-left:419.95pt">
          <v:fill opacity="0f"/>
          <v:textbox>
            <w:txbxContent>
              <w:p>
                <w:pPr>
                  <w:pStyle w:val="Footer"/>
                  <w:rPr>
                    <w:rStyle w:val="PageNumber"/>
                  </w:rPr>
                </w:pPr>
                <w:r>
                  <w:rPr>
                    <w:rStyle w:val="PageNumber"/>
                  </w:rPr>
                  <w:fldChar w:fldCharType="begin"/>
                </w:r>
                <w:r>
                  <w:instrText> PAGE </w:instrText>
                </w:r>
                <w:r>
                  <w:fldChar w:fldCharType="separate"/>
                </w:r>
                <w:r>
                  <w:t>49</w:t>
                </w:r>
                <w:r>
                  <w:fldChar w:fldCharType="end"/>
                </w:r>
              </w:p>
              <w:p>
                <w:pPr>
                  <w:pStyle w:val="Footer"/>
                  <w:rPr/>
                </w:pPr>
                <w:r>
                  <w:rPr/>
                </w:r>
              </w:p>
            </w:txbxContent>
          </v:textbox>
          <w10:wrap type="square" side="largest"/>
        </v:rect>
      </w:pic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360"/>
        </w:tabs>
        <w:ind w:left="360" w:hanging="360"/>
      </w:pPr>
      <w:rPr>
        <w:color w:val="000080"/>
        <w:sz w:val="20"/>
        <w:szCs w:val="20"/>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pPr>
      <w:keepNext/>
      <w:numPr>
        <w:ilvl w:val="0"/>
        <w:numId w:val="1"/>
      </w:numPr>
      <w:outlineLvl w:val="0"/>
      <w:outlineLvl w:val="0"/>
    </w:pPr>
    <w:rPr>
      <w:b/>
      <w:bCs/>
    </w:rPr>
  </w:style>
  <w:style w:type="paragraph" w:styleId="Heading2">
    <w:name w:val="Heading 2"/>
    <w:basedOn w:val="Normal"/>
    <w:next w:val="Normal"/>
    <w:pPr>
      <w:keepNext/>
      <w:numPr>
        <w:ilvl w:val="1"/>
        <w:numId w:val="1"/>
      </w:numPr>
      <w:outlineLvl w:val="1"/>
      <w:outlineLvl w:val="1"/>
    </w:pPr>
    <w:rPr>
      <w:b/>
      <w:i/>
      <w:iCs/>
      <w:sz w:val="28"/>
      <w:lang w:val="en-GB"/>
    </w:rPr>
  </w:style>
  <w:style w:type="paragraph" w:styleId="Heading3">
    <w:name w:val="Heading 3"/>
    <w:basedOn w:val="Normal"/>
    <w:next w:val="Normal"/>
    <w:pPr>
      <w:keepNext/>
      <w:numPr>
        <w:ilvl w:val="2"/>
        <w:numId w:val="1"/>
      </w:numPr>
      <w:outlineLvl w:val="2"/>
      <w:outlineLvl w:val="2"/>
    </w:pPr>
    <w:rPr>
      <w:b/>
      <w:bCs/>
      <w:u w:val="single"/>
    </w:rPr>
  </w:style>
  <w:style w:type="paragraph" w:styleId="Heading4">
    <w:name w:val="Heading 4"/>
    <w:basedOn w:val="Normal"/>
    <w:next w:val="Normal"/>
    <w:pPr>
      <w:keepNext/>
      <w:numPr>
        <w:ilvl w:val="3"/>
        <w:numId w:val="1"/>
      </w:numPr>
      <w:spacing w:lineRule="auto" w:line="480"/>
      <w:outlineLvl w:val="3"/>
      <w:outlineLvl w:val="3"/>
    </w:pPr>
    <w:rPr>
      <w:b/>
      <w:bCs/>
      <w:sz w:val="16"/>
      <w:lang w:val="en-GB"/>
    </w:rPr>
  </w:style>
  <w:style w:type="paragraph" w:styleId="Heading5">
    <w:name w:val="Heading 5"/>
    <w:basedOn w:val="Normal"/>
    <w:next w:val="Normal"/>
    <w:pPr>
      <w:keepNext/>
      <w:numPr>
        <w:ilvl w:val="4"/>
        <w:numId w:val="1"/>
      </w:numPr>
      <w:outlineLvl w:val="4"/>
      <w:outlineLvl w:val="4"/>
    </w:pPr>
    <w:rPr>
      <w:b/>
      <w:bCs/>
      <w:sz w:val="20"/>
      <w:szCs w:val="20"/>
    </w:rPr>
  </w:style>
  <w:style w:type="paragraph" w:styleId="Heading6">
    <w:name w:val="Heading 6"/>
    <w:basedOn w:val="Normal"/>
    <w:next w:val="Normal"/>
    <w:pPr>
      <w:keepNext/>
      <w:numPr>
        <w:ilvl w:val="5"/>
        <w:numId w:val="1"/>
      </w:numPr>
      <w:autoSpaceDE w:val="false"/>
      <w:outlineLvl w:val="5"/>
      <w:outlineLvl w:val="5"/>
    </w:pPr>
    <w:rPr>
      <w:rFonts w:cs="Arial"/>
      <w:b/>
      <w:bCs/>
      <w:color w:val="000000"/>
      <w:sz w:val="32"/>
      <w:szCs w:val="42"/>
    </w:rPr>
  </w:style>
  <w:style w:type="character" w:styleId="WW8Num1z0">
    <w:name w:val="WW8Num1z0"/>
    <w:rPr>
      <w:rFonts w:ascii="Symbol" w:hAnsi="Symbol" w:cs="Symbol"/>
    </w:rPr>
  </w:style>
  <w:style w:type="character" w:styleId="WW8Num1z1">
    <w:name w:val="WW8Num1z1"/>
    <w:rPr>
      <w:rFonts w:ascii="Courier New" w:hAnsi="Courier New" w:cs="Courier New"/>
    </w:rPr>
  </w:style>
  <w:style w:type="character" w:styleId="WW8Num1z2">
    <w:name w:val="WW8Num1z2"/>
    <w:rPr>
      <w:rFonts w:ascii="Wingdings" w:hAnsi="Wingdings" w:cs="Wingdings"/>
    </w:rPr>
  </w:style>
  <w:style w:type="character" w:styleId="WW8Num2z0">
    <w:name w:val="WW8Num2z0"/>
    <w:rPr>
      <w:rFonts w:ascii="Arial" w:hAnsi="Arial" w:cs="Arial"/>
      <w:color w:val="000080"/>
      <w:sz w:val="20"/>
      <w:szCs w:val="20"/>
      <w:lang w:val="en-GB"/>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style>
  <w:style w:type="character" w:styleId="WW8Num4z1">
    <w:name w:val="WW8Num4z1"/>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5z0">
    <w:name w:val="WW8Num5z0"/>
    <w:rPr/>
  </w:style>
  <w:style w:type="character" w:styleId="WW8Num5z1">
    <w:name w:val="WW8Num5z1"/>
    <w:rPr/>
  </w:style>
  <w:style w:type="character" w:styleId="WW8Num5z2">
    <w:name w:val="WW8Num5z2"/>
    <w:rPr/>
  </w:style>
  <w:style w:type="character" w:styleId="WW8Num5z3">
    <w:name w:val="WW8Num5z3"/>
    <w:rPr/>
  </w:style>
  <w:style w:type="character" w:styleId="WW8Num5z4">
    <w:name w:val="WW8Num5z4"/>
    <w:rPr/>
  </w:style>
  <w:style w:type="character" w:styleId="WW8Num5z5">
    <w:name w:val="WW8Num5z5"/>
    <w:rPr/>
  </w:style>
  <w:style w:type="character" w:styleId="WW8Num5z6">
    <w:name w:val="WW8Num5z6"/>
    <w:rPr/>
  </w:style>
  <w:style w:type="character" w:styleId="WW8Num5z7">
    <w:name w:val="WW8Num5z7"/>
    <w:rPr/>
  </w:style>
  <w:style w:type="character" w:styleId="WW8Num5z8">
    <w:name w:val="WW8Num5z8"/>
    <w:rPr/>
  </w:style>
  <w:style w:type="character" w:styleId="WW8Num6z0">
    <w:name w:val="WW8Num6z0"/>
    <w:rPr/>
  </w:style>
  <w:style w:type="character" w:styleId="WW8Num6z1">
    <w:name w:val="WW8Num6z1"/>
    <w:rPr/>
  </w:style>
  <w:style w:type="character" w:styleId="WW8Num6z2">
    <w:name w:val="WW8Num6z2"/>
    <w:rPr/>
  </w:style>
  <w:style w:type="character" w:styleId="WW8Num6z3">
    <w:name w:val="WW8Num6z3"/>
    <w:rPr/>
  </w:style>
  <w:style w:type="character" w:styleId="WW8Num6z4">
    <w:name w:val="WW8Num6z4"/>
    <w:rPr/>
  </w:style>
  <w:style w:type="character" w:styleId="WW8Num6z5">
    <w:name w:val="WW8Num6z5"/>
    <w:rPr/>
  </w:style>
  <w:style w:type="character" w:styleId="WW8Num6z6">
    <w:name w:val="WW8Num6z6"/>
    <w:rPr/>
  </w:style>
  <w:style w:type="character" w:styleId="WW8Num6z7">
    <w:name w:val="WW8Num6z7"/>
    <w:rPr/>
  </w:style>
  <w:style w:type="character" w:styleId="WW8Num6z8">
    <w:name w:val="WW8Num6z8"/>
    <w:rPr/>
  </w:style>
  <w:style w:type="character" w:styleId="DefaultParagraphFont">
    <w:name w:val="Default Paragraph Font"/>
    <w:rPr/>
  </w:style>
  <w:style w:type="character" w:styleId="Hypertext">
    <w:name w:val="Hypertext"/>
    <w:rPr>
      <w:color w:val="0000FF"/>
      <w:u w:val="single"/>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character" w:styleId="PageNumber">
    <w:name w:val="Page Number"/>
    <w:basedOn w:val="DefaultParagraphFont"/>
    <w:rPr/>
  </w:style>
  <w:style w:type="character" w:styleId="Summarytitle2">
    <w:name w:val="summary_title2"/>
    <w:basedOn w:val="DefaultParagraphFont"/>
    <w:rPr/>
  </w:style>
  <w:style w:type="character" w:styleId="Searchresulthittext2">
    <w:name w:val="search_result_hit_text2"/>
    <w:basedOn w:val="DefaultParagraphFont"/>
    <w:rPr/>
  </w:style>
  <w:style w:type="character" w:styleId="Summarypages2">
    <w:name w:val="summary_pages2"/>
    <w:basedOn w:val="DefaultParagraphFont"/>
    <w:rPr/>
  </w:style>
  <w:style w:type="character" w:styleId="CommentReference">
    <w:name w:val="Comment Reference"/>
    <w:basedOn w:val="DefaultParagraphFont"/>
    <w:rPr>
      <w:sz w:val="16"/>
      <w:szCs w:val="16"/>
    </w:rPr>
  </w:style>
  <w:style w:type="paragraph" w:styleId="Heading">
    <w:name w:val="Heading"/>
    <w:basedOn w:val="Normal"/>
    <w:next w:val="TextBody"/>
    <w:pPr>
      <w:keepNext/>
      <w:spacing w:before="240" w:after="120"/>
    </w:pPr>
    <w:rPr>
      <w:rFonts w:ascii="Ecofont Vera Sans" w:hAnsi="Ecofont Vera Sans" w:eastAsia="Droid Sans Fallback" w:cs="FreeSans"/>
      <w:sz w:val="28"/>
      <w:szCs w:val="28"/>
    </w:rPr>
  </w:style>
  <w:style w:type="paragraph" w:styleId="TextBody">
    <w:name w:val="Text Body"/>
    <w:basedOn w:val="Normal"/>
    <w:pPr/>
    <w:rPr>
      <w:b/>
      <w:bCs/>
      <w:i/>
      <w:iCs/>
    </w:rPr>
  </w:style>
  <w:style w:type="paragraph" w:styleId="List">
    <w:name w:val="List"/>
    <w:basedOn w:val="TextBody"/>
    <w:pPr/>
    <w:rPr>
      <w:rFonts w:ascii="Garamond" w:hAnsi="Garamond" w:cs="FreeSans"/>
    </w:rPr>
  </w:style>
  <w:style w:type="paragraph" w:styleId="Caption">
    <w:name w:val="Caption"/>
    <w:basedOn w:val="Normal"/>
    <w:pPr>
      <w:suppressLineNumbers/>
      <w:spacing w:before="120" w:after="120"/>
    </w:pPr>
    <w:rPr>
      <w:rFonts w:ascii="Garamond" w:hAnsi="Garamond" w:cs="FreeSans"/>
      <w:i/>
      <w:iCs/>
      <w:sz w:val="21"/>
      <w:szCs w:val="24"/>
    </w:rPr>
  </w:style>
  <w:style w:type="paragraph" w:styleId="Index">
    <w:name w:val="Index"/>
    <w:basedOn w:val="Normal"/>
    <w:pPr>
      <w:suppressLineNumbers/>
    </w:pPr>
    <w:rPr>
      <w:rFonts w:ascii="Garamond" w:hAnsi="Garamond" w:cs="FreeSans"/>
    </w:rPr>
  </w:style>
  <w:style w:type="paragraph" w:styleId="BodyText2">
    <w:name w:val="Body Text 2"/>
    <w:basedOn w:val="Normal"/>
    <w:pPr/>
    <w:rPr>
      <w:b/>
      <w:bCs/>
    </w:rPr>
  </w:style>
  <w:style w:type="paragraph" w:styleId="Footer">
    <w:name w:val="Footer"/>
    <w:basedOn w:val="Normal"/>
    <w:pPr>
      <w:tabs>
        <w:tab w:val="center" w:pos="4320" w:leader="none"/>
        <w:tab w:val="right" w:pos="8640" w:leader="none"/>
      </w:tabs>
    </w:pPr>
    <w:rPr/>
  </w:style>
  <w:style w:type="paragraph" w:styleId="BodyText3">
    <w:name w:val="Body Text 3"/>
    <w:basedOn w:val="Normal"/>
    <w:pPr>
      <w:spacing w:lineRule="auto" w:line="480"/>
    </w:pPr>
    <w:rPr>
      <w:b/>
      <w:bCs/>
      <w:sz w:val="16"/>
    </w:rPr>
  </w:style>
  <w:style w:type="paragraph" w:styleId="Copy">
    <w:name w:val="copy"/>
    <w:basedOn w:val="Normal"/>
    <w:pPr>
      <w:spacing w:before="280" w:after="280"/>
    </w:pPr>
    <w:rPr>
      <w:rFonts w:ascii="Arial" w:hAnsi="Arial" w:cs="Arial"/>
    </w:rPr>
  </w:style>
  <w:style w:type="paragraph" w:styleId="CommentText">
    <w:name w:val="Comment Text"/>
    <w:basedOn w:val="Normal"/>
    <w:pPr/>
    <w:rPr>
      <w:sz w:val="20"/>
      <w:szCs w:val="20"/>
    </w:rPr>
  </w:style>
  <w:style w:type="paragraph" w:styleId="CommentSubject">
    <w:name w:val="Comment Subject"/>
    <w:basedOn w:val="CommentText"/>
    <w:next w:val="CommentText"/>
    <w:pPr/>
    <w:rPr>
      <w:b/>
      <w:bCs/>
    </w:rPr>
  </w:style>
  <w:style w:type="paragraph" w:styleId="BalloonText">
    <w:name w:val="Balloon Text"/>
    <w:basedOn w:val="Normal"/>
    <w:pPr/>
    <w:rPr>
      <w:rFonts w:ascii="Tahoma" w:hAnsi="Tahoma" w:cs="Tahoma"/>
      <w:sz w:val="16"/>
      <w:szCs w:val="16"/>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FrameContents">
    <w:name w:val="Frame Contents"/>
    <w:basedOn w:val="Normal"/>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molnar@ottawahospital.on.ca" TargetMode="External"/><Relationship Id="rId3" Type="http://schemas.openxmlformats.org/officeDocument/2006/relationships/hyperlink" Target="mailto:bhutton@ohri.ca" TargetMode="External"/><Relationship Id="rId4" Type="http://schemas.openxmlformats.org/officeDocument/2006/relationships/hyperlink" Target="mailto:mhing@ohri.on.ca" TargetMode="External"/><Relationship Id="rId5" Type="http://schemas.openxmlformats.org/officeDocument/2006/relationships/hyperlink" Target="mailto:dafergusson@ottawahospital.on.ca" TargetMode="External"/><Relationship Id="rId6" Type="http://schemas.openxmlformats.org/officeDocument/2006/relationships/hyperlink" Target="http://www.consort-statement.org/" TargetMode="External"/><Relationship Id="rId7" Type="http://schemas.openxmlformats.org/officeDocument/2006/relationships/hyperlink" Target="http://www.consort-statement.org/" TargetMode="External"/><Relationship Id="rId8" Type="http://schemas.openxmlformats.org/officeDocument/2006/relationships/hyperlink" Target="http://www.emea.eu.int/" TargetMode="External"/><Relationship Id="rId9" Type="http://schemas.openxmlformats.org/officeDocument/2006/relationships/hyperlink" Target="http://www.ich.org/"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comments" Target="comment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6600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2008-05-19T05:52:00Z</dcterms:created>
  <dc:creator>fmolnar</dc:creator>
  <dc:language>en-CA</dc:language>
  <cp:lastModifiedBy>fmolnar</cp:lastModifiedBy>
  <cp:lastPrinted>2008-04-06T13:49:00Z</cp:lastPrinted>
  <dcterms:modified xsi:type="dcterms:W3CDTF">2008-05-30T07:38:00Z</dcterms:modified>
  <cp:revision>15</cp:revision>
  <dc:title>Review of Intent-to-treat statistical techniques employed in dementia therapy randomized controlled trials  - sytemic bias inh</dc:title>
</cp:coreProperties>
</file>