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3.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autoSpaceDE w:val="false"/>
        <w:spacing w:lineRule="auto" w:line="480"/>
        <w:jc w:val="both"/>
        <w:rPr>
          <w:b/>
          <w:b/>
          <w:lang w:val="en-US"/>
        </w:rPr>
      </w:pPr>
      <w:r>
        <w:rPr>
          <w:b/>
          <w:lang w:val="en-US"/>
        </w:rPr>
        <w:t>Access to Primary Percutaneous Coronary Intervention for ST-Segment Elevation Myocardial Infarction in Canada: A Geographic Analysis</w:t>
      </w:r>
    </w:p>
    <w:p>
      <w:pPr>
        <w:pStyle w:val="Normal"/>
        <w:rPr>
          <w:lang w:val="en-US"/>
        </w:rPr>
      </w:pPr>
      <w:r>
        <w:rPr>
          <w:lang w:val="en-US"/>
        </w:rPr>
      </w:r>
    </w:p>
    <w:p>
      <w:pPr>
        <w:pStyle w:val="Normal"/>
        <w:spacing w:lineRule="auto" w:line="480"/>
        <w:rPr>
          <w:rStyle w:val="StrongEmphasis"/>
          <w:b w:val="false"/>
          <w:b w:val="false"/>
          <w:bCs w:val="false"/>
        </w:rPr>
      </w:pPr>
      <w:r>
        <w:rPr/>
        <w:t xml:space="preserve">Alka B. Patel, </w:t>
      </w:r>
      <w:r>
        <w:rPr>
          <w:rStyle w:val="StrongEmphasis"/>
          <w:b w:val="false"/>
          <w:bCs w:val="false"/>
        </w:rPr>
        <w:t>Jack V. Tu</w:t>
      </w:r>
      <w:r>
        <w:rPr/>
        <w:t>, Nigel M. Waters</w:t>
      </w:r>
      <w:r>
        <w:rPr>
          <w:rStyle w:val="StrongEmphasis"/>
          <w:b w:val="false"/>
          <w:bCs w:val="false"/>
        </w:rPr>
        <w:t xml:space="preserve">, </w:t>
      </w:r>
      <w:r>
        <w:rPr/>
        <w:t xml:space="preserve">Dennis T. Ko, </w:t>
      </w:r>
      <w:r>
        <w:rPr>
          <w:bCs/>
        </w:rPr>
        <w:t xml:space="preserve">Mark J. Eisenberg, </w:t>
      </w:r>
      <w:r>
        <w:rPr>
          <w:rStyle w:val="StrongEmphasis"/>
          <w:b w:val="false"/>
          <w:bCs w:val="false"/>
        </w:rPr>
        <w:t>Thao Huynh, Stéphane Rinfret, Merril Knudtson and William A. Ghali</w:t>
      </w:r>
    </w:p>
    <w:p>
      <w:pPr>
        <w:pStyle w:val="Normal"/>
        <w:spacing w:lineRule="auto" w:line="480"/>
        <w:rPr>
          <w:rStyle w:val="StrongEmphasis"/>
          <w:bCs w:val="false"/>
        </w:rPr>
      </w:pPr>
      <w:r>
        <w:rPr/>
      </w:r>
    </w:p>
    <w:p>
      <w:pPr>
        <w:pStyle w:val="Normal"/>
        <w:spacing w:lineRule="auto" w:line="480"/>
        <w:rPr>
          <w:rStyle w:val="StrongEmphasis"/>
          <w:b w:val="false"/>
          <w:b w:val="false"/>
          <w:bCs w:val="false"/>
        </w:rPr>
      </w:pPr>
      <w:r>
        <w:rPr>
          <w:rStyle w:val="StrongEmphasis"/>
          <w:bCs w:val="false"/>
        </w:rPr>
        <w:t>Alka B. Patel</w:t>
      </w:r>
      <w:r>
        <w:rPr>
          <w:rStyle w:val="StrongEmphasis"/>
          <w:b w:val="false"/>
          <w:bCs w:val="false"/>
        </w:rPr>
        <w:t xml:space="preserve"> is a PhD student in the </w:t>
      </w:r>
      <w:r>
        <w:rPr/>
        <w:t xml:space="preserve">Department of Community Health Sciences, University of Calgary, Calgary, Alberta; </w:t>
      </w:r>
      <w:r>
        <w:rPr>
          <w:b/>
        </w:rPr>
        <w:t>Dr. Jack V. Tu</w:t>
      </w:r>
      <w:r>
        <w:rPr/>
        <w:t xml:space="preserve"> is</w:t>
      </w:r>
      <w:r>
        <w:rPr>
          <w:rFonts w:cs="Verdana" w:ascii="Verdana" w:hAnsi="Verdana"/>
          <w:color w:val="000000"/>
          <w:sz w:val="20"/>
          <w:szCs w:val="20"/>
        </w:rPr>
        <w:t xml:space="preserve"> </w:t>
      </w:r>
      <w:r>
        <w:rPr/>
        <w:t xml:space="preserve">a Senior Scientist at the Institute for Clinical Evaluative Sciences (ICES) in Toronto, Ontario and is the head of the Cardiovascular and Diagnostic Imaging research program at ICES. He is also an attending physician in the Divisions of Cardiology (Schulich Heart Program) and General Internal Medicine at Sunnybrook Health Sciences Centre. </w:t>
      </w:r>
      <w:r>
        <w:rPr>
          <w:b/>
        </w:rPr>
        <w:t xml:space="preserve">Dr. Nigel M. Waters </w:t>
      </w:r>
      <w:r>
        <w:rPr/>
        <w:t xml:space="preserve">is Director of the Geographic Information Science Center of Excellence and Professor in the Department of Geography, George Mason University, Fairfax, Virginia. </w:t>
      </w:r>
      <w:r>
        <w:rPr>
          <w:b/>
        </w:rPr>
        <w:t>Dr. Dennis T. Ko</w:t>
      </w:r>
      <w:r>
        <w:rPr/>
        <w:t xml:space="preserve"> is a Scientist at ICES, an Interventional Cardiologist at the Schulich Heart Centre of Sunnybrook Health Sciences Centre, and an Assistant Professor of Medicine at the University of Toronto, Toronto, Ontario. </w:t>
      </w:r>
      <w:r>
        <w:rPr>
          <w:b/>
        </w:rPr>
        <w:t>Dr. Mark J Eisenberg</w:t>
      </w:r>
      <w:r>
        <w:rPr/>
        <w:t xml:space="preserve"> is an academic interventional cardiologist, a clinical epidemiologist, and an associate professor of medicine at McGill University, Montreal, Quebec. </w:t>
      </w:r>
      <w:r>
        <w:rPr>
          <w:b/>
        </w:rPr>
        <w:t xml:space="preserve">Dr. </w:t>
      </w:r>
      <w:r>
        <w:rPr>
          <w:rStyle w:val="StrongEmphasis"/>
          <w:bCs w:val="false"/>
        </w:rPr>
        <w:t>Thao Huynh</w:t>
      </w:r>
      <w:r>
        <w:rPr/>
        <w:t xml:space="preserve"> is a clinical cardiologist, and an associate professor of medicine at Montreal General Hospital, McGill University, Montreal, Quebec. </w:t>
      </w:r>
      <w:r>
        <w:rPr>
          <w:rStyle w:val="StrongEmphasis"/>
        </w:rPr>
        <w:t>Dr. Stéphane Rinfret</w:t>
      </w:r>
      <w:r>
        <w:rPr>
          <w:rStyle w:val="Dnnalignleft"/>
        </w:rPr>
        <w:t xml:space="preserve"> is an assistant professor of Medicine at the University of Montréal, a clinical and outcomes researcher in the pharmacoeconomics and pharmacoepidemiology unit of Centre Hospitalier de l’Université de Montréal (CHUM) Research Centre, and is also a clinical and interventional cardiologist in the Division of Cardiology at Notre-Dame Hospital of the CHUM in Montreal, Quebec. </w:t>
      </w:r>
      <w:r>
        <w:rPr>
          <w:b/>
          <w:bCs/>
        </w:rPr>
        <w:t>Dr. Merril L Knudtson</w:t>
      </w:r>
      <w:r>
        <w:rPr/>
        <w:t xml:space="preserve"> is a professor in the department of Medicine at the University of Calgary.  He is also based in the Foothills Medical Centre as an interventional cardiologist in Calgary, Alberta, Canada. </w:t>
      </w:r>
      <w:r>
        <w:rPr>
          <w:b/>
          <w:bCs/>
          <w:lang w:val="en-US"/>
        </w:rPr>
        <w:t xml:space="preserve">Dr. William A. Ghali </w:t>
      </w:r>
      <w:r>
        <w:rPr>
          <w:lang w:val="en-US"/>
        </w:rPr>
        <w:t>is a professor in the Centre for Health and Policy Studies,  Department of Community Health Sciences, and a general internist within the Department of Medicine, University of Calgary at the Foothills Medical Centre, Calgary, Alberta.</w:t>
      </w:r>
    </w:p>
    <w:p>
      <w:pPr>
        <w:pStyle w:val="Normal"/>
        <w:rPr>
          <w:rStyle w:val="StrongEmphasis"/>
          <w:b w:val="false"/>
          <w:b w:val="false"/>
          <w:bCs w:val="false"/>
        </w:rPr>
      </w:pPr>
      <w:r>
        <w:rPr/>
      </w:r>
    </w:p>
    <w:p>
      <w:pPr>
        <w:pStyle w:val="Normal"/>
        <w:spacing w:lineRule="auto" w:line="480"/>
        <w:rPr/>
      </w:pPr>
      <w:r>
        <w:rPr>
          <w:b/>
        </w:rPr>
        <w:t xml:space="preserve">Funding sources: </w:t>
      </w:r>
      <w:r>
        <w:rPr>
          <w:lang w:val="en-US"/>
        </w:rPr>
        <w:t xml:space="preserve">Alka Patel is supported by a Canadian Institutes of Health Research (CIHR) Doctoral Research Award, a Canadian Cardiovascular Outcomes Research Team (CCORT) travel award funded through a CIHR Team Grant in Cardiovascular Outcomes Research and an Alberta Heritage Foundation for Medical Research (AHFMR) Incentive Award. William Ghali and Jack Tu are both supported by Government of Canada Research Chairs in Health Services Research. William Ghali is also supported by a Senior Health Scholar Award from the Alberta Heritage Foundation for Medical Research. Jack Tu is also supported by a Career Investigator Award from the Heart and Stroke Foundation of Ontario. Dennis Ko is supported by a Clinician-Scientist award from the Heart and Stroke Foundation of Ontario. </w:t>
      </w:r>
    </w:p>
    <w:p>
      <w:pPr>
        <w:pStyle w:val="Normal"/>
        <w:spacing w:lineRule="auto" w:line="480"/>
        <w:rPr>
          <w:b/>
          <w:b/>
          <w:bCs/>
          <w:lang w:val="en-US"/>
        </w:rPr>
      </w:pPr>
      <w:r>
        <w:rPr>
          <w:b/>
          <w:bCs/>
          <w:lang w:val="en-US"/>
        </w:rPr>
      </w:r>
    </w:p>
    <w:p>
      <w:pPr>
        <w:pStyle w:val="Normal"/>
        <w:spacing w:lineRule="auto" w:line="480"/>
        <w:rPr/>
      </w:pPr>
      <w:r>
        <w:rPr>
          <w:b/>
          <w:bCs/>
          <w:lang w:val="en-US"/>
        </w:rPr>
        <w:t xml:space="preserve">Competing interests: </w:t>
      </w:r>
      <w:r>
        <w:rPr>
          <w:lang w:val="en-US"/>
        </w:rPr>
        <w:t xml:space="preserve">The authors report no competing financial interests. Dr. Ghali is an associate editor of </w:t>
      </w:r>
      <w:r>
        <w:rPr>
          <w:i/>
          <w:iCs/>
          <w:lang w:val="en-US"/>
        </w:rPr>
        <w:t>Open Medicine</w:t>
      </w:r>
      <w:r>
        <w:rPr>
          <w:lang w:val="en-US"/>
        </w:rPr>
        <w:t>.</w:t>
      </w:r>
    </w:p>
    <w:p>
      <w:pPr>
        <w:pStyle w:val="Normal"/>
        <w:spacing w:lineRule="auto" w:line="480"/>
        <w:rPr>
          <w:b/>
          <w:b/>
          <w:lang w:val="en-US"/>
        </w:rPr>
      </w:pPr>
      <w:r>
        <w:rPr>
          <w:b/>
          <w:lang w:val="en-US"/>
        </w:rPr>
      </w:r>
    </w:p>
    <w:p>
      <w:pPr>
        <w:pStyle w:val="Normal"/>
        <w:spacing w:lineRule="auto" w:line="480"/>
        <w:rPr/>
      </w:pPr>
      <w:r>
        <w:rPr>
          <w:b/>
        </w:rPr>
        <w:t>Address for correspondence</w:t>
      </w:r>
      <w:r>
        <w:rPr/>
        <w:t xml:space="preserve">: William A. Ghali, Faculty of Medicine: University of Calgary - 3330 Hospital Drive NW, Calgary, AB, T2N 4N1, Canada </w:t>
      </w:r>
    </w:p>
    <w:p>
      <w:pPr>
        <w:pStyle w:val="Normal"/>
        <w:spacing w:lineRule="auto" w:line="480"/>
        <w:rPr/>
      </w:pPr>
      <w:r>
        <w:rPr>
          <w:lang w:val="fr-CA"/>
        </w:rPr>
        <w:t xml:space="preserve">Phone: (403) 210-9317, Fax: (403) 210-3818, email: </w:t>
      </w:r>
      <w:hyperlink r:id="rId2">
        <w:r>
          <w:rPr>
            <w:rStyle w:val="InternetLink"/>
            <w:lang w:val="fr-CA"/>
          </w:rPr>
          <w:t>wghali@ucalgary.ca</w:t>
        </w:r>
      </w:hyperlink>
    </w:p>
    <w:p>
      <w:pPr>
        <w:pStyle w:val="Normal"/>
        <w:spacing w:lineRule="auto" w:line="480"/>
        <w:rPr/>
      </w:pPr>
      <w:r>
        <w:rPr>
          <w:b/>
        </w:rPr>
        <w:t>Email addresses for all authors</w:t>
      </w:r>
    </w:p>
    <w:p>
      <w:pPr>
        <w:pStyle w:val="Normal"/>
        <w:spacing w:lineRule="auto" w:line="480"/>
        <w:rPr>
          <w:rStyle w:val="StrongEmphasis"/>
          <w:b w:val="false"/>
          <w:b w:val="false"/>
          <w:bCs w:val="false"/>
        </w:rPr>
      </w:pPr>
      <w:r>
        <w:rPr>
          <w:rStyle w:val="StrongEmphasis"/>
          <w:b w:val="false"/>
          <w:bCs w:val="false"/>
        </w:rPr>
        <w:t xml:space="preserve">Alka B. Patel: </w:t>
      </w:r>
      <w:hyperlink r:id="rId3">
        <w:r>
          <w:rPr>
            <w:rStyle w:val="InternetLink"/>
          </w:rPr>
          <w:t>alpatel@ucalgary.ca</w:t>
        </w:r>
      </w:hyperlink>
    </w:p>
    <w:p>
      <w:pPr>
        <w:pStyle w:val="Normal"/>
        <w:spacing w:lineRule="auto" w:line="480"/>
        <w:rPr/>
      </w:pPr>
      <w:r>
        <w:rPr/>
        <w:t xml:space="preserve">Jack V. Tu: </w:t>
      </w:r>
      <w:hyperlink r:id="rId4">
        <w:r>
          <w:rPr>
            <w:rStyle w:val="InternetLink"/>
          </w:rPr>
          <w:t>tu@ices.on.ca</w:t>
        </w:r>
      </w:hyperlink>
    </w:p>
    <w:p>
      <w:pPr>
        <w:pStyle w:val="Normal"/>
        <w:spacing w:lineRule="auto" w:line="480"/>
        <w:rPr/>
      </w:pPr>
      <w:r>
        <w:rPr/>
        <w:t xml:space="preserve">Nigel M. Waters: </w:t>
      </w:r>
      <w:hyperlink r:id="rId5">
        <w:r>
          <w:rPr>
            <w:rStyle w:val="InternetLink"/>
          </w:rPr>
          <w:t>nwaters@gmu.edu</w:t>
        </w:r>
      </w:hyperlink>
    </w:p>
    <w:p>
      <w:pPr>
        <w:pStyle w:val="Normal"/>
        <w:spacing w:lineRule="auto" w:line="480"/>
        <w:rPr/>
      </w:pPr>
      <w:r>
        <w:rPr/>
        <w:t xml:space="preserve">Dennis T. Ko: </w:t>
      </w:r>
      <w:hyperlink r:id="rId6">
        <w:r>
          <w:rPr>
            <w:rStyle w:val="InternetLink"/>
          </w:rPr>
          <w:t>dennis.ko@ices.on.ca</w:t>
        </w:r>
      </w:hyperlink>
    </w:p>
    <w:p>
      <w:pPr>
        <w:pStyle w:val="Normal"/>
        <w:spacing w:lineRule="auto" w:line="480"/>
        <w:rPr/>
      </w:pPr>
      <w:r>
        <w:rPr>
          <w:bCs/>
        </w:rPr>
        <w:t xml:space="preserve">Mark J. Eisenberg: </w:t>
      </w:r>
      <w:hyperlink r:id="rId7">
        <w:r>
          <w:rPr>
            <w:rStyle w:val="InternetLink"/>
          </w:rPr>
          <w:t>mark.eisenberg@mcgill.ca</w:t>
        </w:r>
      </w:hyperlink>
    </w:p>
    <w:p>
      <w:pPr>
        <w:pStyle w:val="Normal"/>
        <w:spacing w:lineRule="auto" w:line="480"/>
        <w:rPr/>
      </w:pPr>
      <w:r>
        <w:rPr>
          <w:rStyle w:val="StrongEmphasis"/>
          <w:b w:val="false"/>
          <w:bCs w:val="false"/>
        </w:rPr>
        <w:t xml:space="preserve">Thao Huynh: </w:t>
      </w:r>
      <w:hyperlink r:id="rId8">
        <w:r>
          <w:rPr>
            <w:rStyle w:val="InternetLink"/>
          </w:rPr>
          <w:t>thao.huynhthanh@mail.mcgill.ca</w:t>
        </w:r>
      </w:hyperlink>
    </w:p>
    <w:p>
      <w:pPr>
        <w:pStyle w:val="Normal"/>
        <w:spacing w:lineRule="auto" w:line="480"/>
        <w:rPr/>
      </w:pPr>
      <w:r>
        <w:rPr>
          <w:rStyle w:val="StrongEmphasis"/>
          <w:b w:val="false"/>
          <w:bCs w:val="false"/>
        </w:rPr>
        <w:t xml:space="preserve">Stéphane Rinfret: </w:t>
      </w:r>
      <w:hyperlink r:id="rId9">
        <w:r>
          <w:rPr>
            <w:rStyle w:val="InternetLink"/>
          </w:rPr>
          <w:t>s.rinfret@umontreal.ca</w:t>
        </w:r>
      </w:hyperlink>
    </w:p>
    <w:p>
      <w:pPr>
        <w:pStyle w:val="Normal"/>
        <w:spacing w:lineRule="auto" w:line="480"/>
        <w:rPr/>
      </w:pPr>
      <w:r>
        <w:rPr>
          <w:rStyle w:val="StrongEmphasis"/>
          <w:b w:val="false"/>
          <w:bCs w:val="false"/>
        </w:rPr>
        <w:t xml:space="preserve">Merril Knudtson: </w:t>
      </w:r>
      <w:hyperlink r:id="rId10">
        <w:r>
          <w:rPr>
            <w:rStyle w:val="InternetLink"/>
          </w:rPr>
          <w:t>mlknudts@ucalgary.ca</w:t>
        </w:r>
      </w:hyperlink>
    </w:p>
    <w:p>
      <w:pPr>
        <w:pStyle w:val="Normal"/>
        <w:spacing w:lineRule="auto" w:line="480"/>
        <w:rPr>
          <w:rStyle w:val="StrongEmphasis"/>
          <w:b w:val="false"/>
          <w:b w:val="false"/>
          <w:bCs w:val="false"/>
        </w:rPr>
      </w:pPr>
      <w:r>
        <w:rPr>
          <w:rStyle w:val="StrongEmphasis"/>
          <w:b w:val="false"/>
          <w:bCs w:val="false"/>
        </w:rPr>
        <w:t xml:space="preserve">William A. Ghali: </w:t>
      </w:r>
      <w:hyperlink r:id="rId11">
        <w:r>
          <w:rPr>
            <w:rStyle w:val="InternetLink"/>
          </w:rPr>
          <w:t>wghali@ucalgary.ca</w:t>
        </w:r>
      </w:hyperlink>
    </w:p>
    <w:p>
      <w:pPr>
        <w:pStyle w:val="Normal"/>
        <w:spacing w:lineRule="auto" w:line="480"/>
        <w:rPr/>
      </w:pPr>
      <w:r>
        <w:rPr>
          <w:b/>
          <w:bCs/>
        </w:rPr>
        <w:t>Word count</w:t>
      </w:r>
      <w:r>
        <w:rPr/>
        <w:t>: 2,662</w:t>
      </w:r>
    </w:p>
    <w:p>
      <w:pPr>
        <w:pStyle w:val="Normal"/>
        <w:spacing w:lineRule="auto" w:line="480"/>
        <w:rPr>
          <w:b/>
          <w:b/>
        </w:rPr>
      </w:pPr>
      <w:r>
        <w:rPr>
          <w:b/>
        </w:rPr>
        <w:t>Abstract word count:</w:t>
      </w:r>
      <w:r>
        <w:rPr/>
        <w:t xml:space="preserve"> 230</w:t>
      </w:r>
    </w:p>
    <w:p>
      <w:pPr>
        <w:pStyle w:val="Normal"/>
        <w:spacing w:lineRule="auto" w:line="480"/>
        <w:rPr/>
      </w:pPr>
      <w:r>
        <w:rPr>
          <w:b/>
        </w:rPr>
        <w:t xml:space="preserve">Figures: </w:t>
      </w:r>
      <w:r>
        <w:rPr/>
        <w:t>2</w:t>
      </w:r>
    </w:p>
    <w:p>
      <w:pPr>
        <w:pStyle w:val="Normal"/>
        <w:rPr/>
      </w:pPr>
      <w:r>
        <w:rPr>
          <w:b/>
        </w:rPr>
        <w:t xml:space="preserve">Tables:  </w:t>
      </w:r>
      <w:r>
        <w:rPr/>
        <w:t>3</w:t>
      </w:r>
    </w:p>
    <w:p>
      <w:pPr>
        <w:pStyle w:val="Normal"/>
        <w:tabs>
          <w:tab w:val="left" w:pos="2055" w:leader="none"/>
        </w:tabs>
        <w:spacing w:lineRule="auto" w:line="480"/>
        <w:rPr>
          <w:b/>
          <w:b/>
        </w:rPr>
      </w:pPr>
      <w:r>
        <w:rPr>
          <w:b/>
        </w:rPr>
      </w:r>
    </w:p>
    <w:p>
      <w:pPr>
        <w:pStyle w:val="Normal"/>
        <w:tabs>
          <w:tab w:val="left" w:pos="2055" w:leader="none"/>
        </w:tabs>
        <w:spacing w:lineRule="auto" w:line="480"/>
        <w:rPr>
          <w:b/>
          <w:b/>
        </w:rPr>
      </w:pPr>
      <w:r>
        <w:rPr>
          <w:b/>
        </w:rPr>
      </w:r>
    </w:p>
    <w:p>
      <w:pPr>
        <w:pStyle w:val="Normal"/>
        <w:tabs>
          <w:tab w:val="left" w:pos="2055" w:leader="none"/>
        </w:tabs>
        <w:spacing w:lineRule="auto" w:line="480"/>
        <w:rPr>
          <w:b/>
          <w:b/>
        </w:rPr>
      </w:pPr>
      <w:r>
        <w:rPr>
          <w:b/>
        </w:rPr>
      </w:r>
    </w:p>
    <w:p>
      <w:pPr>
        <w:pStyle w:val="Normal"/>
        <w:tabs>
          <w:tab w:val="left" w:pos="2055" w:leader="none"/>
        </w:tabs>
        <w:spacing w:lineRule="auto" w:line="480"/>
        <w:rPr>
          <w:b/>
          <w:b/>
        </w:rPr>
      </w:pPr>
      <w:r>
        <w:rPr>
          <w:b/>
        </w:rPr>
      </w:r>
    </w:p>
    <w:p>
      <w:pPr>
        <w:pStyle w:val="Normal"/>
        <w:tabs>
          <w:tab w:val="left" w:pos="2055" w:leader="none"/>
        </w:tabs>
        <w:spacing w:lineRule="auto" w:line="480"/>
        <w:rPr>
          <w:b/>
          <w:b/>
        </w:rPr>
      </w:pPr>
      <w:r>
        <w:rPr>
          <w:b/>
        </w:rPr>
      </w:r>
    </w:p>
    <w:p>
      <w:pPr>
        <w:pStyle w:val="Normal"/>
        <w:tabs>
          <w:tab w:val="left" w:pos="2055" w:leader="none"/>
        </w:tabs>
        <w:spacing w:lineRule="auto" w:line="480"/>
        <w:rPr>
          <w:b/>
          <w:b/>
        </w:rPr>
      </w:pPr>
      <w:r>
        <w:rPr>
          <w:b/>
        </w:rPr>
      </w:r>
    </w:p>
    <w:p>
      <w:pPr>
        <w:pStyle w:val="Normal"/>
        <w:tabs>
          <w:tab w:val="left" w:pos="2055" w:leader="none"/>
        </w:tabs>
        <w:spacing w:lineRule="auto" w:line="480"/>
        <w:rPr>
          <w:b/>
          <w:b/>
        </w:rPr>
      </w:pPr>
      <w:r>
        <w:rPr>
          <w:b/>
        </w:rPr>
        <w:t xml:space="preserve">Abstract </w:t>
        <w:tab/>
      </w:r>
    </w:p>
    <w:p>
      <w:pPr>
        <w:pStyle w:val="Normal"/>
        <w:spacing w:lineRule="auto" w:line="480"/>
        <w:rPr>
          <w:b/>
          <w:b/>
        </w:rPr>
      </w:pPr>
      <w:r>
        <w:rPr>
          <w:b/>
        </w:rPr>
      </w:r>
    </w:p>
    <w:p>
      <w:pPr>
        <w:pStyle w:val="Normal"/>
        <w:spacing w:lineRule="auto" w:line="480"/>
        <w:rPr>
          <w:b/>
          <w:b/>
        </w:rPr>
      </w:pPr>
      <w:r>
        <w:rPr>
          <w:b/>
        </w:rPr>
        <w:t>Background</w:t>
      </w:r>
    </w:p>
    <w:p>
      <w:pPr>
        <w:pStyle w:val="Normal"/>
        <w:spacing w:lineRule="auto" w:line="480"/>
        <w:rPr/>
      </w:pPr>
      <w:r>
        <w:rPr/>
        <w:t xml:space="preserve">Primary percutaneous coronary intervention (PCI) is the preferred treatment over fibrinolytics for </w:t>
      </w:r>
      <w:r>
        <w:rPr>
          <w:lang w:val="en-US"/>
        </w:rPr>
        <w:t xml:space="preserve">ST-segment elevation myocardial infarction (STEMI). </w:t>
      </w:r>
      <w:r>
        <w:rPr/>
        <w:t xml:space="preserve">In the United States it has been estimated that nearly 80% of the adult population has access to PCI within a 60-minute pre-hospital time. No such estimates exist for Canada. </w:t>
      </w:r>
    </w:p>
    <w:p>
      <w:pPr>
        <w:pStyle w:val="Normal"/>
        <w:spacing w:lineRule="auto" w:line="480"/>
        <w:rPr>
          <w:b/>
          <w:b/>
        </w:rPr>
      </w:pPr>
      <w:r>
        <w:rPr>
          <w:b/>
        </w:rPr>
      </w:r>
    </w:p>
    <w:p>
      <w:pPr>
        <w:pStyle w:val="Normal"/>
        <w:spacing w:lineRule="auto" w:line="480"/>
        <w:rPr>
          <w:b/>
          <w:b/>
        </w:rPr>
      </w:pPr>
      <w:r>
        <w:rPr>
          <w:b/>
        </w:rPr>
        <w:t>Methods</w:t>
      </w:r>
    </w:p>
    <w:p>
      <w:pPr>
        <w:pStyle w:val="Normal"/>
        <w:spacing w:lineRule="auto" w:line="480"/>
        <w:rPr/>
      </w:pPr>
      <w:r>
        <w:rPr/>
        <w:t xml:space="preserve">Geographic Information Systems were used to estimate pre-hospital times by ground to PCI facilities across Canada. Time to dispatch, time to patient and time at patient scene were considered in the overall access times. </w:t>
      </w:r>
    </w:p>
    <w:p>
      <w:pPr>
        <w:pStyle w:val="Normal"/>
        <w:spacing w:lineRule="auto" w:line="480"/>
        <w:rPr>
          <w:b/>
          <w:b/>
        </w:rPr>
      </w:pPr>
      <w:r>
        <w:rPr>
          <w:b/>
        </w:rPr>
      </w:r>
    </w:p>
    <w:p>
      <w:pPr>
        <w:pStyle w:val="Normal"/>
        <w:spacing w:lineRule="auto" w:line="480"/>
        <w:rPr>
          <w:b/>
          <w:b/>
        </w:rPr>
      </w:pPr>
      <w:r>
        <w:rPr>
          <w:b/>
        </w:rPr>
        <w:t>Results</w:t>
      </w:r>
    </w:p>
    <w:p>
      <w:pPr>
        <w:pStyle w:val="Normal"/>
        <w:spacing w:lineRule="auto" w:line="480"/>
        <w:rPr/>
      </w:pPr>
      <w:r>
        <w:rPr/>
        <w:t xml:space="preserve">Only a small proportion of Canada’s geographic surface area is accessible to PCI facilities within 60 minutes.  Despite this, Canada’s population distribution is such that 59.1% of the population can access PCI within a 60-minute period. The population proportion with 60-minute access varied widely across provinces, from a low of 16.0% in New Brunswick to a high of 75% in Ontario. The strategic addition of a single hypothetical facility to four selected province could increase the population proportion with timely PCI access by 3.0% to 4.1%, depending upon the province in which it is located. </w:t>
      </w:r>
      <w:r>
        <w:rPr>
          <w:bCs/>
        </w:rPr>
        <w:t>Approximately 600,000 adults would gain access in such a scenario of new facilities</w:t>
      </w:r>
      <w:r>
        <w:rPr/>
        <w:t>.</w:t>
      </w:r>
    </w:p>
    <w:p>
      <w:pPr>
        <w:pStyle w:val="Normal"/>
        <w:spacing w:lineRule="auto" w:line="480"/>
        <w:rPr>
          <w:b/>
          <w:b/>
        </w:rPr>
      </w:pPr>
      <w:r>
        <w:rPr>
          <w:b/>
        </w:rPr>
        <w:t>Conclusions</w:t>
      </w:r>
    </w:p>
    <w:p>
      <w:pPr>
        <w:pStyle w:val="Normal"/>
        <w:spacing w:lineRule="auto" w:line="480"/>
        <w:rPr/>
      </w:pPr>
      <w:r>
        <w:rPr/>
        <w:t>Only a subset of Canada’s population can achieve timely access to PCI facilities for primary PCI, and the proportion with such access varies widely across provinces.  Such information can inform the development of regionalized STEMI care models.</w:t>
      </w:r>
    </w:p>
    <w:p>
      <w:pPr>
        <w:pStyle w:val="Normal"/>
        <w:spacing w:lineRule="auto" w:line="480"/>
        <w:rPr>
          <w:b/>
          <w:b/>
        </w:rPr>
      </w:pPr>
      <w:r>
        <w:rPr>
          <w:b/>
        </w:rPr>
      </w:r>
    </w:p>
    <w:p>
      <w:pPr>
        <w:pStyle w:val="Normal"/>
        <w:spacing w:lineRule="auto" w:line="480"/>
        <w:rPr>
          <w:b/>
          <w:b/>
        </w:rPr>
      </w:pPr>
      <w:r>
        <w:rPr>
          <w:b/>
        </w:rPr>
      </w:r>
    </w:p>
    <w:p>
      <w:pPr>
        <w:pStyle w:val="Normal"/>
        <w:spacing w:lineRule="auto" w:line="480"/>
        <w:rPr>
          <w:b/>
          <w:b/>
        </w:rPr>
      </w:pPr>
      <w:r>
        <w:rPr>
          <w:b/>
        </w:rPr>
      </w:r>
    </w:p>
    <w:p>
      <w:pPr>
        <w:pStyle w:val="Normal"/>
        <w:spacing w:lineRule="auto" w:line="480"/>
        <w:rPr>
          <w:b/>
          <w:b/>
        </w:rPr>
      </w:pPr>
      <w:r>
        <w:rPr>
          <w:b/>
        </w:rPr>
      </w:r>
    </w:p>
    <w:p>
      <w:pPr>
        <w:pStyle w:val="Normal"/>
        <w:spacing w:lineRule="auto" w:line="480"/>
        <w:rPr>
          <w:b/>
          <w:b/>
        </w:rPr>
      </w:pPr>
      <w:r>
        <w:rPr>
          <w:b/>
        </w:rPr>
      </w:r>
    </w:p>
    <w:p>
      <w:pPr>
        <w:pStyle w:val="Normal"/>
        <w:spacing w:lineRule="auto" w:line="480"/>
        <w:rPr>
          <w:b/>
          <w:b/>
        </w:rPr>
      </w:pPr>
      <w:r>
        <w:rPr>
          <w:b/>
        </w:rPr>
      </w:r>
    </w:p>
    <w:p>
      <w:pPr>
        <w:pStyle w:val="Normal"/>
        <w:spacing w:lineRule="auto" w:line="480"/>
        <w:rPr>
          <w:b/>
          <w:b/>
        </w:rPr>
      </w:pPr>
      <w:r>
        <w:rPr>
          <w:b/>
        </w:rPr>
      </w:r>
    </w:p>
    <w:p>
      <w:pPr>
        <w:pStyle w:val="Normal"/>
        <w:spacing w:lineRule="auto" w:line="480"/>
        <w:rPr>
          <w:b/>
          <w:b/>
        </w:rPr>
      </w:pPr>
      <w:r>
        <w:rPr>
          <w:b/>
        </w:rPr>
      </w:r>
    </w:p>
    <w:p>
      <w:pPr>
        <w:pStyle w:val="Normal"/>
        <w:spacing w:lineRule="auto" w:line="480"/>
        <w:rPr>
          <w:b/>
          <w:b/>
        </w:rPr>
      </w:pPr>
      <w:r>
        <w:rPr>
          <w:b/>
        </w:rPr>
      </w:r>
    </w:p>
    <w:p>
      <w:pPr>
        <w:pStyle w:val="Normal"/>
        <w:spacing w:lineRule="auto" w:line="480"/>
        <w:rPr>
          <w:b/>
          <w:b/>
        </w:rPr>
      </w:pPr>
      <w:r>
        <w:rPr>
          <w:b/>
        </w:rPr>
      </w:r>
    </w:p>
    <w:p>
      <w:pPr>
        <w:pStyle w:val="Normal"/>
        <w:spacing w:lineRule="auto" w:line="480"/>
        <w:rPr>
          <w:b/>
          <w:b/>
        </w:rPr>
      </w:pPr>
      <w:r>
        <w:rPr>
          <w:b/>
        </w:rPr>
      </w:r>
    </w:p>
    <w:p>
      <w:pPr>
        <w:pStyle w:val="Normal"/>
        <w:spacing w:lineRule="auto" w:line="480"/>
        <w:rPr>
          <w:b/>
          <w:b/>
        </w:rPr>
      </w:pPr>
      <w:r>
        <w:rPr>
          <w:b/>
        </w:rPr>
      </w:r>
    </w:p>
    <w:p>
      <w:pPr>
        <w:pStyle w:val="Normal"/>
        <w:spacing w:lineRule="auto" w:line="480"/>
        <w:rPr>
          <w:b/>
          <w:b/>
        </w:rPr>
      </w:pPr>
      <w:r>
        <w:rPr>
          <w:b/>
        </w:rPr>
      </w:r>
    </w:p>
    <w:p>
      <w:pPr>
        <w:pStyle w:val="Normal"/>
        <w:spacing w:lineRule="auto" w:line="480"/>
        <w:rPr>
          <w:b/>
          <w:b/>
        </w:rPr>
      </w:pPr>
      <w:r>
        <w:rPr>
          <w:b/>
        </w:rPr>
      </w:r>
    </w:p>
    <w:p>
      <w:pPr>
        <w:pStyle w:val="Normal"/>
        <w:spacing w:lineRule="auto" w:line="480"/>
        <w:rPr>
          <w:b/>
          <w:b/>
        </w:rPr>
      </w:pPr>
      <w:r>
        <w:rPr>
          <w:b/>
        </w:rPr>
      </w:r>
    </w:p>
    <w:p>
      <w:pPr>
        <w:pStyle w:val="Normal"/>
        <w:spacing w:lineRule="auto" w:line="480"/>
        <w:rPr>
          <w:b/>
          <w:b/>
        </w:rPr>
      </w:pPr>
      <w:r>
        <w:rPr>
          <w:b/>
        </w:rPr>
      </w:r>
    </w:p>
    <w:p>
      <w:pPr>
        <w:pStyle w:val="Normal"/>
        <w:spacing w:lineRule="auto" w:line="480"/>
        <w:rPr>
          <w:b/>
          <w:b/>
        </w:rPr>
      </w:pPr>
      <w:r>
        <w:rPr>
          <w:b/>
        </w:rPr>
      </w:r>
    </w:p>
    <w:p>
      <w:pPr>
        <w:pStyle w:val="Normal"/>
        <w:spacing w:lineRule="auto" w:line="480"/>
        <w:rPr>
          <w:b/>
          <w:b/>
        </w:rPr>
      </w:pPr>
      <w:r>
        <w:rPr>
          <w:b/>
        </w:rPr>
      </w:r>
    </w:p>
    <w:p>
      <w:pPr>
        <w:pStyle w:val="Normal"/>
        <w:spacing w:lineRule="auto" w:line="480"/>
        <w:rPr>
          <w:b/>
          <w:b/>
        </w:rPr>
      </w:pPr>
      <w:r>
        <w:rPr>
          <w:b/>
        </w:rPr>
      </w:r>
    </w:p>
    <w:p>
      <w:pPr>
        <w:pStyle w:val="Normal"/>
        <w:spacing w:lineRule="auto" w:line="480"/>
        <w:rPr>
          <w:b/>
          <w:b/>
        </w:rPr>
      </w:pPr>
      <w:r>
        <w:rPr>
          <w:b/>
        </w:rPr>
        <w:t>Background</w:t>
      </w:r>
    </w:p>
    <w:p>
      <w:pPr>
        <w:pStyle w:val="Normal"/>
        <w:spacing w:lineRule="auto" w:line="480"/>
        <w:rPr>
          <w:lang w:val="en-US"/>
        </w:rPr>
      </w:pPr>
      <w:r>
        <w:rPr/>
        <w:t xml:space="preserve">Primary percutaneous coronary intervention (PCI) is a preferred treatment for </w:t>
      </w:r>
      <w:r>
        <w:rPr>
          <w:lang w:val="en-US"/>
        </w:rPr>
        <w:t xml:space="preserve">ST-segment elevation myocardial infarction (STEMI) </w:t>
      </w:r>
      <w:r>
        <w:rPr/>
        <w:t xml:space="preserve">when compared to fibrinolytic therapy in terms of reducing mortality rate, stroke and recurrence of myocardial infarction (MI) </w:t>
      </w:r>
      <w:r>
        <w:fldChar w:fldCharType="begin"/>
      </w:r>
      <w:r>
        <w:instrText> ADDIN EN.CITE &lt;EndNote&gt;&lt;Cite&gt;&lt;Author&gt;Andersen&lt;/Author&gt;&lt;Year&gt;2003&lt;/Year&gt;&lt;RecNum&gt;339&lt;/RecNum&gt;&lt;record&gt;&lt;rec-number&gt;339&lt;/rec-number&gt;&lt;ref-type name='Journal Article'&gt;17&lt;/ref-type&gt;&lt;contributors&gt;&lt;authors&gt;&lt;author&gt;Andersen, H. R.&lt;/author&gt;&lt;author&gt;Nielsen, T. T.&lt;/author&gt;&lt;author&gt;Rasmussen, K.&lt;/author&gt;&lt;author&gt;Thuesen, L.&lt;/author&gt;&lt;author&gt;Kelbaek, H.&lt;/author&gt;&lt;author&gt;Thayssen, P.&lt;/author&gt;&lt;author&gt;Abildgaard, U.&lt;/author&gt;&lt;author&gt;Pedersen, F.&lt;/author&gt;&lt;author&gt;Madsen, J. K.&lt;/author&gt;&lt;author&gt;Grande, P.&lt;/author&gt;&lt;author&gt;Villadsen, A. B.&lt;/author&gt;&lt;author&gt;Krusell, L. R.&lt;/author&gt;&lt;author&gt;Haghfelt, T.&lt;/author&gt;&lt;author&gt;Lomholt, P.&lt;/author&gt;&lt;author&gt;Husted, S. E.&lt;/author&gt;&lt;author&gt;Vigholt, E.&lt;/author&gt;&lt;author&gt;Kjaergard, H. K.&lt;/author&gt;&lt;author&gt;Mortensen, L. S.&lt;/author&gt;&lt;/authors&gt;&lt;/contributors&gt;&lt;titles&gt;&lt;title&gt;A comparison of coronary angioplasty with fibrinolytic therapy in acute myocardial infarction&lt;/title&gt;&lt;secondary-title&gt;New England Journal Of Medicine&lt;/secondary-title&gt;&lt;/titles&gt;&lt;periodical&gt;&lt;full-title&gt;New England Journal Of Medicine&lt;/full-title&gt;&lt;/periodical&gt;&lt;pages&gt;733-742&lt;/pages&gt;&lt;volume&gt;349&lt;/volume&gt;&lt;number&gt;8&lt;/number&gt;&lt;keywords&gt;&lt;keyword&gt;Conservative treatment&lt;/keyword&gt;&lt;keyword&gt;thrombolytic therapy&lt;/keyword&gt;&lt;keyword&gt;immediate angioplasty&lt;/keyword&gt;&lt;keyword&gt;randomized trial&lt;/keyword&gt;&lt;keyword&gt;mortality&lt;/keyword&gt;&lt;keyword&gt;volume&lt;/keyword&gt;&lt;/keywords&gt;&lt;dates&gt;&lt;year&gt;2003&lt;/year&gt;&lt;pub-dates&gt;&lt;date&gt;Aug 21&lt;/date&gt;&lt;/pub-dates&gt;&lt;/dates&gt;&lt;accession-num&gt;ISI:000184843300003&lt;/accession-num&gt;&lt;urls&gt;&lt;related-urls&gt;&lt;url&gt;&amp;lt;Go to ISI&amp;gt;://000184843300003 &lt;/url&gt;&lt;/related-urls&gt;&lt;/urls&gt;&lt;/record&gt;&lt;/Cite&gt;&lt;Cite&gt;&lt;Author&gt;Henriques&lt;/Author&gt;&lt;Year&gt;2006&lt;/Year&gt;&lt;RecNum&gt;330&lt;/RecNum&gt;&lt;record&gt;&lt;rec-number&gt;330&lt;/rec-number&gt;&lt;ref-type name='Journal Article'&gt;17&lt;/ref-type&gt;&lt;contributors&gt;&lt;authors&gt;&lt;author&gt;Henriques, J. P. S.&lt;/author&gt;&lt;author&gt;Zijlstra, F.&lt;/author&gt;&lt;author&gt;van&amp;apos;t Hof, A. W. J.&lt;/author&gt;&lt;author&gt;de Boer, M. J.&lt;/author&gt;&lt;author&gt;Dambrink, J. H. E.&lt;/author&gt;&lt;author&gt;Gosselink, A. T. M.&lt;/author&gt;&lt;author&gt;Hoorntje, J. C. A.&lt;/author&gt;&lt;author&gt;Ottervanger, J. P.&lt;/author&gt;&lt;author&gt;Suryapranata, H.&lt;/author&gt;&lt;/authors&gt;&lt;/contributors&gt;&lt;titles&gt;&lt;title&gt;Primary percutaneous coronary intervention versus thrombolytic treatment: long term follow up according to infarct location&lt;/title&gt;&lt;secondary-title&gt;Heart&lt;/secondary-title&gt;&lt;/titles&gt;&lt;periodical&gt;&lt;full-title&gt;Heart&lt;/full-title&gt;&lt;/periodical&gt;&lt;pages&gt;75-79&lt;/pages&gt;&lt;volume&gt;92&lt;/volume&gt;&lt;number&gt;1&lt;/number&gt;&lt;keywords&gt;&lt;keyword&gt;Acute myocardial-infarction&lt;/keyword&gt;&lt;keyword&gt;left-ventricular function&lt;/keyword&gt;&lt;keyword&gt;primary&lt;/keyword&gt;&lt;keyword&gt;angioplasty&lt;/keyword&gt;&lt;keyword&gt;intravenous streptokinase&lt;/keyword&gt;&lt;keyword&gt;immediate thrombolysis&lt;/keyword&gt;&lt;keyword&gt;therapy&lt;/keyword&gt;&lt;keyword&gt;trials&lt;/keyword&gt;&lt;keyword&gt;predictors&lt;/keyword&gt;&lt;keyword&gt;transport&lt;/keyword&gt;&lt;keyword&gt;recovery&lt;/keyword&gt;&lt;/keywords&gt;&lt;dates&gt;&lt;year&gt;2006&lt;/year&gt;&lt;pub-dates&gt;&lt;date&gt;Jan&lt;/date&gt;&lt;/pub-dates&gt;&lt;/dates&gt;&lt;accession-num&gt;ISI:000234061000027&lt;/accession-num&gt;&lt;urls&gt;&lt;related-urls&gt;&lt;url&gt;&amp;lt;Go to ISI&amp;gt;://000234061000027 &lt;/url&gt;&lt;/related-urls&gt;&lt;/urls&gt;&lt;/record&gt;&lt;/Cite&gt;&lt;Cite&gt;&lt;Author&gt;Keeley&lt;/Author&gt;&lt;Year&gt;2003&lt;/Year&gt;&lt;RecNum&gt;346&lt;/RecNum&gt;&lt;record&gt;&lt;rec-number&gt;346&lt;/rec-number&gt;&lt;ref-type name='Journal Article'&gt;17&lt;/ref-type&gt;&lt;contributors&gt;&lt;authors&gt;&lt;author&gt;Keeley, E. C.&lt;/author&gt;&lt;author&gt;Boura, J. A.&lt;/author&gt;&lt;author&gt;Grines, C. L.&lt;/author&gt;&lt;/authors&gt;&lt;/contributors&gt;&lt;titles&gt;&lt;title&gt;Primary angioplasty versus intravenous thrombolytic therapy for acute myocardial infarction: a quantitative review of 23 randomised trials&lt;/title&gt;&lt;secondary-title&gt;Lancet&lt;/secondary-title&gt;&lt;/titles&gt;&lt;periodical&gt;&lt;full-title&gt;Lancet&lt;/full-title&gt;&lt;/periodical&gt;&lt;pages&gt;13-20&lt;/pages&gt;&lt;volume&gt;361&lt;/volume&gt;&lt;number&gt;9351&lt;/number&gt;&lt;keywords&gt;&lt;keyword&gt;Primary coronary angioplasty&lt;/keyword&gt;&lt;keyword&gt;early revascularization&lt;/keyword&gt;&lt;keyword&gt;immediate&lt;/keyword&gt;&lt;keyword&gt;angioplasty&lt;/keyword&gt;&lt;keyword&gt;cardiogenic-shock&lt;/keyword&gt;&lt;keyword&gt;streptokinase&lt;/keyword&gt;&lt;keyword&gt;mortality&lt;/keyword&gt;&lt;keyword&gt;survival&lt;/keyword&gt;&lt;keyword&gt;volume&lt;/keyword&gt;&lt;keyword&gt;ptca&lt;/keyword&gt;&lt;/keywords&gt;&lt;dates&gt;&lt;year&gt;2003&lt;/year&gt;&lt;pub-dates&gt;&lt;date&gt;Jan 4&lt;/date&gt;&lt;/pub-dates&gt;&lt;/dates&gt;&lt;accession-num&gt;ISI:000180191600014&lt;/accession-num&gt;&lt;urls&gt;&lt;related-urls&gt;&lt;url&gt;&amp;lt;Go to ISI&amp;gt;://000180191600014 &lt;/url&gt;&lt;/related-urls&gt;&lt;/urls&gt;&lt;/record&gt;&lt;/Cite&gt;&lt;Cite&gt;&lt;Author&gt;Widimsky&lt;/Author&gt;&lt;Year&gt;2003&lt;/Year&gt;&lt;RecNum&gt;340&lt;/RecNum&gt;&lt;record&gt;&lt;rec-number&gt;340&lt;/rec-number&gt;&lt;ref-type name='Journal Article'&gt;17&lt;/ref-type&gt;&lt;contributors&gt;&lt;authors&gt;&lt;author&gt;Widimsky, P.&lt;/author&gt;&lt;author&gt;Budesinsky, T.&lt;/author&gt;&lt;author&gt;Vorac, D.&lt;/author&gt;&lt;author&gt;Groch, L.&lt;/author&gt;&lt;author&gt;Zelizko, M.&lt;/author&gt;&lt;author&gt;Aschermann, M.&lt;/author&gt;&lt;author&gt;Branny, M.&lt;/author&gt;&lt;author&gt;St&amp;apos;asek, J.&lt;/author&gt;&lt;author&gt;Formanek, P.&lt;/author&gt;&lt;/authors&gt;&lt;/contributors&gt;&lt;titles&gt;&lt;title&gt;Long distance transport for primary angioplasty vs immediate thrombolysis in acute myocardial infarction - Final results of the randomized national multicentre trial - PRAGUE-2&lt;/title&gt;&lt;secondary-title&gt;European Heart Journal&lt;/secondary-title&gt;&lt;/titles&gt;&lt;periodical&gt;&lt;full-title&gt;European Heart Journal&lt;/full-title&gt;&lt;/periodical&gt;&lt;pages&gt;94-104&lt;/pages&gt;&lt;volume&gt;24&lt;/volume&gt;&lt;number&gt;1&lt;/number&gt;&lt;keywords&gt;&lt;keyword&gt;acute myocardial infarction&lt;/keyword&gt;&lt;keyword&gt;thrombolysis&lt;/keyword&gt;&lt;keyword&gt;long distance transport&lt;/keyword&gt;&lt;keyword&gt;coronary intervention&lt;/keyword&gt;&lt;keyword&gt;coronary angioplasty&lt;/keyword&gt;&lt;keyword&gt;stent&lt;/keyword&gt;&lt;keyword&gt;Primary coronary angioplasty&lt;/keyword&gt;&lt;keyword&gt;risk patients&lt;/keyword&gt;&lt;keyword&gt;therapy&lt;/keyword&gt;&lt;keyword&gt;size&lt;/keyword&gt;&lt;keyword&gt;ischemia&lt;/keyword&gt;&lt;keyword&gt;duration&lt;/keyword&gt;&lt;keyword&gt;benefit&lt;/keyword&gt;&lt;keyword&gt;delay&lt;/keyword&gt;&lt;keyword&gt;ptca&lt;/keyword&gt;&lt;/keywords&gt;&lt;dates&gt;&lt;year&gt;2003&lt;/year&gt;&lt;pub-dates&gt;&lt;date&gt;Jan&lt;/date&gt;&lt;/pub-dates&gt;&lt;/dates&gt;&lt;accession-num&gt;ISI:000180656200014&lt;/accession-num&gt;&lt;urls&gt;&lt;related-urls&gt;&lt;url&gt;&amp;lt;Go to ISI&amp;gt;://000180656200014 &lt;/url&gt;&lt;/related-urls&gt;&lt;/urls&gt;&lt;/record&gt;&lt;/Cite&gt;&lt;/EndNote&gt;</w:instrText>
      </w:r>
      <w:r>
        <w:fldChar w:fldCharType="separate"/>
      </w:r>
      <w:bookmarkStart w:id="0" w:name="__Fieldmark__167_915083641"/>
      <w:r>
        <w:rPr/>
        <w:t>[1-4]</w:t>
      </w:r>
      <w:r>
        <w:rPr/>
      </w:r>
      <w:r>
        <w:fldChar w:fldCharType="end"/>
      </w:r>
      <w:bookmarkEnd w:id="0"/>
      <w:r>
        <w:rPr/>
        <w:t xml:space="preserve">. However, the success of using primary PCI to treat STEMI is dependent on a number of access considerations, and in particular, time to treatment </w:t>
      </w:r>
      <w:r>
        <w:fldChar w:fldCharType="begin"/>
      </w:r>
      <w:r>
        <w:instrText> ADDIN EN.CITE &lt;EndNote&gt;&lt;Cite&gt;&lt;Author&gt;Carstensen&lt;/Author&gt;&lt;Year&gt;2007&lt;/Year&gt;&lt;RecNum&gt;8&lt;/RecNum&gt;&lt;record&gt;&lt;rec-number&gt;8&lt;/rec-number&gt;&lt;ref-type name='Journal Article'&gt;17&lt;/ref-type&gt;&lt;contributors&gt;&lt;authors&gt;&lt;author&gt;Carstensen, S.&lt;/author&gt;&lt;author&gt;Nelson, G. C. I.&lt;/author&gt;&lt;author&gt;Hansen, P. S.&lt;/author&gt;&lt;author&gt;Macken, L.&lt;/author&gt;&lt;author&gt;Irons, S.&lt;/author&gt;&lt;author&gt;Flynn, M.&lt;/author&gt;&lt;author&gt;Kovoor, P.&lt;/author&gt;&lt;author&gt;Hoo, S. Y. S.&lt;/author&gt;&lt;author&gt;Ward, M. R.&lt;/author&gt;&lt;author&gt;Rasmussen, H. H.&lt;/author&gt;&lt;/authors&gt;&lt;/contributors&gt;&lt;titles&gt;&lt;title&gt;Field triage to primary angioplasty combined with emergency department bypass reduces treatment delays and is associated with improved outcome&lt;/title&gt;&lt;secondary-title&gt;European Heart Journal&lt;/secondary-title&gt;&lt;/titles&gt;&lt;periodical&gt;&lt;full-title&gt;European Heart Journal&lt;/full-title&gt;&lt;/periodical&gt;&lt;pages&gt;2313-2319&lt;/pages&gt;&lt;volume&gt;28&lt;/volume&gt;&lt;number&gt;19&lt;/number&gt;&lt;keywords&gt;&lt;keyword&gt;myocardial infarction&lt;/keyword&gt;&lt;keyword&gt;treatment pathway&lt;/keyword&gt;&lt;keyword&gt;primary angioplasty&lt;/keyword&gt;&lt;keyword&gt;mortality&lt;/keyword&gt;&lt;keyword&gt;Acute myocardial-infarction&lt;/keyword&gt;&lt;keyword&gt;percutaneous coronary intervention&lt;/keyword&gt;&lt;keyword&gt;st-segment elevation&lt;/keyword&gt;&lt;keyword&gt;immediate thrombolysis&lt;/keyword&gt;&lt;keyword&gt;prehospital diagnosis&lt;/keyword&gt;&lt;keyword&gt;cardiogenic-shock&lt;/keyword&gt;&lt;keyword&gt;clinical-trials&lt;/keyword&gt;&lt;keyword&gt;time&lt;/keyword&gt;&lt;keyword&gt;reperfusion&lt;/keyword&gt;&lt;keyword&gt;mortality&lt;/keyword&gt;&lt;/keywords&gt;&lt;dates&gt;&lt;year&gt;2007&lt;/year&gt;&lt;pub-dates&gt;&lt;date&gt;Oct&lt;/date&gt;&lt;/pub-dates&gt;&lt;/dates&gt;&lt;accession-num&gt;ISI:000250515100007&lt;/accession-num&gt;&lt;urls&gt;&lt;related-urls&gt;&lt;url&gt;&amp;lt;Go to ISI&amp;gt;://000250515100007 &lt;/url&gt;&lt;/related-urls&gt;&lt;/urls&gt;&lt;/record&gt;&lt;/Cite&gt;&lt;Cite&gt;&lt;Author&gt;Nallamothu&lt;/Author&gt;&lt;Year&gt;2007&lt;/Year&gt;&lt;RecNum&gt;5&lt;/RecNum&gt;&lt;record&gt;&lt;rec-number&gt;5&lt;/rec-number&gt;&lt;ref-type name='Journal Article'&gt;17&lt;/ref-type&gt;&lt;contributors&gt;&lt;authors&gt;&lt;author&gt;Nallamothu, B. K.&lt;/author&gt;&lt;author&gt;Fox, K. A. A.&lt;/author&gt;&lt;author&gt;Kennelly, B. M.&lt;/author&gt;&lt;author&gt;De Werf, F. V.&lt;/author&gt;&lt;author&gt;Gore, J. M.&lt;/author&gt;&lt;author&gt;Steg, P. G.&lt;/author&gt;&lt;author&gt;Granger, C. B.&lt;/author&gt;&lt;author&gt;Dabbous, O. H.&lt;/author&gt;&lt;author&gt;Kline-Rogers, E.&lt;/author&gt;&lt;author&gt;Eagle, K. A.&lt;/author&gt;&lt;/authors&gt;&lt;/contributors&gt;&lt;titles&gt;&lt;title&gt;Relationship of treatment delays and mortality in patients undergoing fibrinolysis and primary percutaneous coronary intervention. The Global Registry of Acute Coronary Events&lt;/title&gt;&lt;secondary-title&gt;Heart&lt;/secondary-title&gt;&lt;/titles&gt;&lt;periodical&gt;&lt;full-title&gt;Heart&lt;/full-title&gt;&lt;/periodical&gt;&lt;pages&gt;1552-1555&lt;/pages&gt;&lt;volume&gt;93&lt;/volume&gt;&lt;number&gt;12&lt;/number&gt;&lt;keywords&gt;&lt;keyword&gt;Acute myocardial-infarction&lt;/keyword&gt;&lt;keyword&gt;to-balloon time&lt;/keyword&gt;&lt;keyword&gt;reperfusion strategy&lt;/keyword&gt;&lt;keyword&gt;primary angioplasty&lt;/keyword&gt;&lt;keyword&gt;symptom-onset&lt;/keyword&gt;&lt;keyword&gt;therapy&lt;/keyword&gt;&lt;keyword&gt;thrombolysis&lt;/keyword&gt;&lt;keyword&gt;outcomes&lt;/keyword&gt;&lt;keyword&gt;matter&lt;/keyword&gt;&lt;keyword&gt;grace&lt;/keyword&gt;&lt;/keywords&gt;&lt;dates&gt;&lt;year&gt;2007&lt;/year&gt;&lt;pub-dates&gt;&lt;date&gt;Dec&lt;/date&gt;&lt;/pub-dates&gt;&lt;/dates&gt;&lt;accession-num&gt;ISI:000250952200015&lt;/accession-num&gt;&lt;urls&gt;&lt;related-urls&gt;&lt;url&gt;&amp;lt;Go to ISI&amp;gt;://000250952200015 &lt;/url&gt;&lt;/related-urls&gt;&lt;/urls&gt;&lt;/record&gt;&lt;/Cite&gt;&lt;Cite&gt;&lt;Author&gt;Steg&lt;/Author&gt;&lt;Year&gt;2005&lt;/Year&gt;&lt;RecNum&gt;334&lt;/RecNum&gt;&lt;record&gt;&lt;rec-number&gt;334&lt;/rec-number&gt;&lt;ref-type name='Journal Article'&gt;17&lt;/ref-type&gt;&lt;contributors&gt;&lt;authors&gt;&lt;author&gt;Steg, P. G.&lt;/author&gt;&lt;author&gt;Juliard, J. M.&lt;/author&gt;&lt;/authors&gt;&lt;/contributors&gt;&lt;titles&gt;&lt;title&gt;Primary percutaneous coronary intervention in acute myocardial infarction: time, time, and time!&lt;/title&gt;&lt;secondary-title&gt;Heart&lt;/secondary-title&gt;&lt;/titles&gt;&lt;periodical&gt;&lt;full-title&gt;Heart&lt;/full-title&gt;&lt;/periodical&gt;&lt;pages&gt;993-994&lt;/pages&gt;&lt;volume&gt;91&lt;/volume&gt;&lt;number&gt;8&lt;/number&gt;&lt;keywords&gt;&lt;keyword&gt;To-balloon time&lt;/keyword&gt;&lt;keyword&gt;primary angioplasty&lt;/keyword&gt;&lt;keyword&gt;mortality&lt;/keyword&gt;&lt;keyword&gt;trial&lt;/keyword&gt;&lt;keyword&gt;thrombolysis&lt;/keyword&gt;&lt;keyword&gt;therapy&lt;/keyword&gt;&lt;keyword&gt;delay&lt;/keyword&gt;&lt;/keywords&gt;&lt;dates&gt;&lt;year&gt;2005&lt;/year&gt;&lt;pub-dates&gt;&lt;date&gt;Aug&lt;/date&gt;&lt;/pub-dates&gt;&lt;/dates&gt;&lt;accession-num&gt;ISI:000230503000001&lt;/accession-num&gt;&lt;urls&gt;&lt;related-urls&gt;&lt;url&gt;&amp;lt;Go to ISI&amp;gt;://000230503000001 &lt;/url&gt;&lt;/related-urls&gt;&lt;/urls&gt;&lt;/record&gt;&lt;/Cite&gt;&lt;/EndNote&gt;</w:instrText>
      </w:r>
      <w:r>
        <w:fldChar w:fldCharType="separate"/>
      </w:r>
      <w:bookmarkStart w:id="1" w:name="__Fieldmark__168_915083641"/>
      <w:r>
        <w:rPr/>
        <w:t>[5-7]</w:t>
      </w:r>
      <w:r>
        <w:rPr/>
      </w:r>
      <w:r>
        <w:fldChar w:fldCharType="end"/>
      </w:r>
      <w:bookmarkEnd w:id="1"/>
      <w:r>
        <w:rPr/>
        <w:t xml:space="preserve">. Current American, Canadian and European guidelines suggest performing primary PCI within 90 minutes of first medical contact </w:t>
      </w:r>
      <w:r>
        <w:fldChar w:fldCharType="begin"/>
      </w:r>
      <w:r>
        <w:instrText> ADDIN EN.CITE &lt;EndNote&gt;&lt;Cite&gt;&lt;Author&gt;Antman&lt;/Author&gt;&lt;Year&gt;2008&lt;/Year&gt;&lt;RecNum&gt;216&lt;/RecNum&gt;&lt;record&gt;&lt;rec-number&gt;216&lt;/rec-number&gt;&lt;ref-type name='Journal Article'&gt;17&lt;/ref-type&gt;&lt;contributors&gt;&lt;authors&gt;&lt;author&gt;Antman, E. M.&lt;/author&gt;&lt;author&gt;Hand, M.&lt;/author&gt;&lt;author&gt;Armstrong, P. W.&lt;/author&gt;&lt;author&gt;Bates, E. R.&lt;/author&gt;&lt;author&gt;Green, L. A.&lt;/author&gt;&lt;author&gt;Halasyamani, L. K.&lt;/author&gt;&lt;author&gt;Hochman, J. S.&lt;/author&gt;&lt;author&gt;Krumholz, H. M.&lt;/author&gt;&lt;author&gt;Lamas, G. A.&lt;/author&gt;&lt;author&gt;Mullany, C. J.&lt;/author&gt;&lt;author&gt;Pearle, D. L.&lt;/author&gt;&lt;author&gt;Sloan, M. A.&lt;/author&gt;&lt;author&gt;Smith, S. C.&lt;/author&gt;&lt;/authors&gt;&lt;/contributors&gt;&lt;titles&gt;&lt;title&gt;2007 focused update of the ACC/AHA 2004 guidelines for the management of patients with ST-elevation myocardial infarction - A report of the American college of cardiology/American heart association task force on practice guidelines&lt;/title&gt;&lt;secondary-title&gt;Circulation&lt;/secondary-title&gt;&lt;/titles&gt;&lt;periodical&gt;&lt;full-title&gt;Circulation&lt;/full-title&gt;&lt;/periodical&gt;&lt;pages&gt;296-329&lt;/pages&gt;&lt;volume&gt;117&lt;/volume&gt;&lt;number&gt;2&lt;/number&gt;&lt;dates&gt;&lt;year&gt;2008&lt;/year&gt;&lt;pub-dates&gt;&lt;date&gt;Jan 15&lt;/date&gt;&lt;/pub-dates&gt;&lt;/dates&gt;&lt;accession-num&gt;ISI:000252601400026&lt;/accession-num&gt;&lt;urls&gt;&lt;related-urls&gt;&lt;url&gt;&amp;lt;Go to ISI&amp;gt;://000252601400026 &lt;/url&gt;&lt;/related-urls&gt;&lt;/urls&gt;&lt;/record&gt;&lt;/Cite&gt;&lt;Cite&gt;&lt;Author&gt;Labinaz&lt;/Author&gt;&lt;Year&gt;2006&lt;/Year&gt;&lt;RecNum&gt;38&lt;/RecNum&gt;&lt;record&gt;&lt;rec-number&gt;38&lt;/rec-number&gt;&lt;ref-type name='Journal Article'&gt;17&lt;/ref-type&gt;&lt;contributors&gt;&lt;authors&gt;&lt;author&gt;Labinaz, M.&lt;/author&gt;&lt;author&gt;Swabey, T.&lt;/author&gt;&lt;author&gt;Watson, R.&lt;/author&gt;&lt;author&gt;Natarajan, M.&lt;/author&gt;&lt;author&gt;Fucile, W.&lt;/author&gt;&lt;author&gt;Lubelsky, B.&lt;/author&gt;&lt;author&gt;Sawadsky, B.&lt;/author&gt;&lt;author&gt;Cohen, E.&lt;/author&gt;&lt;author&gt;Glasgow, K.&lt;/author&gt;&lt;/authors&gt;&lt;/contributors&gt;&lt;titles&gt;&lt;title&gt;Delivery of primary percutaneous coronary intervention for the management of acute ST segment elevation myocardial infarction: Summary of the Cardiac Care Network of Ontario Consensus Report&lt;/title&gt;&lt;secondary-title&gt;Canadian Journal Of Cardiology&lt;/secondary-title&gt;&lt;/titles&gt;&lt;periodical&gt;&lt;full-title&gt;Canadian Journal Of Cardiology&lt;/full-title&gt;&lt;/periodical&gt;&lt;pages&gt;243-250&lt;/pages&gt;&lt;volume&gt;22&lt;/volume&gt;&lt;number&gt;3&lt;/number&gt;&lt;dates&gt;&lt;year&gt;2006&lt;/year&gt;&lt;pub-dates&gt;&lt;date&gt;Mar&lt;/date&gt;&lt;/pub-dates&gt;&lt;/dates&gt;&lt;accession-num&gt;ISI:000235944200010&lt;/accession-num&gt;&lt;urls&gt;&lt;related-urls&gt;&lt;url&gt;&amp;lt;Go to ISI&amp;gt;://000235944200010 &lt;/url&gt;&lt;/related-urls&gt;&lt;/urls&gt;&lt;/record&gt;&lt;/Cite&gt;&lt;Cite&gt;&lt;Author&gt;Van de Werf&lt;/Author&gt;&lt;Year&gt;2003&lt;/Year&gt;&lt;RecNum&gt;407&lt;/RecNum&gt;&lt;record&gt;&lt;rec-number&gt;407&lt;/rec-number&gt;&lt;ref-type name='Journal Article'&gt;17&lt;/ref-type&gt;&lt;contributors&gt;&lt;authors&gt;&lt;author&gt;Van de Werf, F.&lt;/author&gt;&lt;author&gt;Ardissino, D.&lt;/author&gt;&lt;author&gt;Betriu, A.&lt;/author&gt;&lt;author&gt;Cokkinos, D. V.&lt;/author&gt;&lt;author&gt;Falk, E.&lt;/author&gt;&lt;author&gt;Fox, K. A. A.&lt;/author&gt;&lt;author&gt;Julian, D.&lt;/author&gt;&lt;author&gt;Lengyel, M.&lt;/author&gt;&lt;author&gt;Neumann, F. J.&lt;/author&gt;&lt;author&gt;Ruzyllo, W.&lt;/author&gt;&lt;author&gt;Thygesen, C.&lt;/author&gt;&lt;author&gt;Underwood, S. R.&lt;/author&gt;&lt;author&gt;Vahanian, A.&lt;/author&gt;&lt;author&gt;Verheugt, F. W. A.&lt;/author&gt;&lt;author&gt;Wijns, W.&lt;/author&gt;&lt;/authors&gt;&lt;/contributors&gt;&lt;titles&gt;&lt;title&gt;Management of acute myocardial infarction in patients presenting with ST-segment elevation&lt;/title&gt;&lt;secondary-title&gt;European Heart Journal&lt;/secondary-title&gt;&lt;/titles&gt;&lt;periodical&gt;&lt;full-title&gt;European Heart Journal&lt;/full-title&gt;&lt;/periodical&gt;&lt;pages&gt;28-66&lt;/pages&gt;&lt;volume&gt;24&lt;/volume&gt;&lt;number&gt;1&lt;/number&gt;&lt;dates&gt;&lt;year&gt;2003&lt;/year&gt;&lt;pub-dates&gt;&lt;date&gt;Jan&lt;/date&gt;&lt;/pub-dates&gt;&lt;/dates&gt;&lt;accession-num&gt;ISI:000180656200010&lt;/accession-num&gt;&lt;urls&gt;&lt;related-urls&gt;&lt;url&gt;&amp;lt;Go to ISI&amp;gt;://000180656200010 &lt;/url&gt;&lt;/related-urls&gt;&lt;/urls&gt;&lt;/record&gt;&lt;/Cite&gt;&lt;/EndNote&gt;</w:instrText>
      </w:r>
      <w:r>
        <w:fldChar w:fldCharType="separate"/>
      </w:r>
      <w:bookmarkStart w:id="2" w:name="__Fieldmark__169_915083641"/>
      <w:r>
        <w:rPr/>
        <w:t>[8-10]</w:t>
      </w:r>
      <w:r>
        <w:rPr/>
      </w:r>
      <w:r>
        <w:fldChar w:fldCharType="end"/>
      </w:r>
      <w:bookmarkEnd w:id="2"/>
      <w:r>
        <w:rPr/>
        <w:t xml:space="preserve">. </w:t>
      </w:r>
    </w:p>
    <w:p>
      <w:pPr>
        <w:pStyle w:val="Normal"/>
        <w:spacing w:lineRule="auto" w:line="480"/>
        <w:rPr/>
      </w:pPr>
      <w:r>
        <w:rPr/>
        <w:tab/>
        <w:t xml:space="preserve">Despite primary PCI being a preferred therapy for STEMI, it is being offered to a minority of patients due to various limitations. The transportation time of a STEMI patient is one important barrier to timely primary PCI </w:t>
      </w:r>
      <w:r>
        <w:fldChar w:fldCharType="begin"/>
      </w:r>
      <w:r>
        <w:instrText> ADDIN EN.CITE &lt;EndNote&gt;&lt;Cite&gt;&lt;Author&gt;Jacobs&lt;/Author&gt;&lt;Year&gt;2006&lt;/Year&gt;&lt;RecNum&gt;132&lt;/RecNum&gt;&lt;record&gt;&lt;rec-number&gt;132&lt;/rec-number&gt;&lt;ref-type name="Journal Article"&gt;17&lt;/ref-type&gt;&lt;contributors&gt;&lt;authors&gt;&lt;author&gt;Jacobs, A. K.&lt;/author&gt;&lt;author&gt;Antman, E. M.&lt;/author&gt;&lt;author&gt;Ellrodt, G.&lt;/author&gt;&lt;author&gt;Faxon, D. P.&lt;/author&gt;&lt;author&gt;Gregory, T.&lt;/author&gt;&lt;author&gt;Mensah, G. A.&lt;/author&gt;&lt;author&gt;Moyer, P.&lt;/author&gt;&lt;author&gt;Ornato, J.&lt;/author&gt;&lt;author&gt;Peterson, E. D.&lt;/author&gt;&lt;author&gt;Sadwin, L.&lt;/author&gt;&lt;author&gt;Smith, S. C.&lt;/author&gt;&lt;/authors&gt;&lt;/contributors&gt;&lt;titles&gt;&lt;title&gt;Recommendation to develop strategies to increase the number of ST-segment-elevation myocardial infarction patients with timely access to primary percutaneous coronary intervention - The American Heart Association&amp;apos;s Acute Myocardial Infarction (AMI) Advisory Working Group&lt;/title&gt;&lt;secondary-title&gt;Circulation&lt;/secondary-title&gt;&lt;/titles&gt;&lt;periodical&gt;&lt;full-title&gt;Circulation&lt;/full-title&gt;&lt;/periodical&gt;&lt;pages&gt;2152-2163&lt;/pages&gt;&lt;volume&gt;113&lt;/volume&gt;&lt;number&gt;17&lt;/number&gt;&lt;keywords&gt;&lt;keyword&gt;AHA Consensus Statements&lt;/keyword&gt;&lt;keyword&gt;myocardial infarction&lt;/keyword&gt;&lt;keyword&gt;revascularization&lt;/keyword&gt;&lt;keyword&gt;quality of health care&lt;/keyword&gt;&lt;keyword&gt;triage&lt;/keyword&gt;&lt;keyword&gt;Primary angioplasty&lt;/keyword&gt;&lt;keyword&gt;thrombolytic therapy&lt;/keyword&gt;&lt;keyword&gt;randomized-trials&lt;/keyword&gt;&lt;keyword&gt;national-registry&lt;/keyword&gt;&lt;keyword&gt;global registry&lt;/keyword&gt;&lt;keyword&gt;reperfusion&lt;/keyword&gt;&lt;keyword&gt;mortality&lt;/keyword&gt;&lt;keyword&gt;delay&lt;/keyword&gt;&lt;keyword&gt;care&lt;/keyword&gt;&lt;keyword&gt;improvement&lt;/keyword&gt;&lt;/keywords&gt;&lt;dates&gt;&lt;year&gt;2006&lt;/year&gt;&lt;pub-dates&gt;&lt;date&gt;May 2&lt;/date&gt;&lt;/pub-dates&gt;&lt;/dates&gt;&lt;accession-num&gt;ISI:000237208100020&lt;/accession-num&gt;&lt;urls&gt;&lt;related-urls&gt;&lt;url&gt;&amp;lt;Go to ISI&amp;gt;://000237208100020 &lt;/url&gt;&lt;/related-urls&gt;&lt;/urls&gt;&lt;/record&gt;&lt;/Cite&gt;&lt;/EndNote&gt;</w:instrText>
      </w:r>
      <w:r>
        <w:fldChar w:fldCharType="separate"/>
      </w:r>
      <w:bookmarkStart w:id="3" w:name="__Fieldmark__170_915083641"/>
      <w:r>
        <w:rPr/>
        <w:t>[11]</w:t>
      </w:r>
      <w:r>
        <w:rPr/>
      </w:r>
      <w:r>
        <w:fldChar w:fldCharType="end"/>
      </w:r>
      <w:bookmarkEnd w:id="3"/>
      <w:r>
        <w:rPr/>
        <w:t xml:space="preserve">. This time constraint for optimal outcomes has led to a focus on the development of regional STEMI care models to treat MI. These models implement expedited diagnosis and direct transfer for primary PCI. Regional care models are currently being implemented and tested across North America </w:t>
      </w:r>
      <w:r>
        <w:fldChar w:fldCharType="begin"/>
      </w:r>
      <w:r>
        <w:instrText> ADDIN EN.CITE &lt;EndNote&gt;&lt;Cite&gt;&lt;Author&gt;Le May&lt;/Author&gt;&lt;Year&gt;2008&lt;/Year&gt;&lt;RecNum&gt;27&lt;/RecNum&gt;&lt;record&gt;&lt;rec-number&gt;27&lt;/rec-number&gt;&lt;ref-type name='Journal Article'&gt;17&lt;/ref-type&gt;&lt;contributors&gt;&lt;authors&gt;&lt;author&gt;Le May, M. R.&lt;/author&gt;&lt;author&gt;So, D. Y.&lt;/author&gt;&lt;author&gt;Dionne, R.&lt;/author&gt;&lt;author&gt;Glover, C. A.&lt;/author&gt;&lt;author&gt;Froeschl, M. P. V.&lt;/author&gt;&lt;author&gt;Wells, G. A.&lt;/author&gt;&lt;author&gt;Davies, R. F.&lt;/author&gt;&lt;author&gt;Sherrard, H. L.&lt;/author&gt;&lt;author&gt;Maloney, J.&lt;/author&gt;&lt;author&gt;Marquis, J. F.&lt;/author&gt;&lt;author&gt;O&amp;apos;Brien, E. R.&lt;/author&gt;&lt;author&gt;Trickett, J.&lt;/author&gt;&lt;author&gt;Poirier, P.&lt;/author&gt;&lt;author&gt;Ryan, S. C.&lt;/author&gt;&lt;author&gt;Ha, A.&lt;/author&gt;&lt;author&gt;Joseph, P. G.&lt;/author&gt;&lt;author&gt;Labinaz, M.&lt;/author&gt;&lt;/authors&gt;&lt;/contributors&gt;&lt;titles&gt;&lt;title&gt;A citywide protocol for primary PCI in ST-segment elevation myocardial infarction&lt;/title&gt;&lt;secondary-title&gt;New England Journal Of Medicine&lt;/secondary-title&gt;&lt;/titles&gt;&lt;periodical&gt;&lt;full-title&gt;New England Journal Of Medicine&lt;/full-title&gt;&lt;/periodical&gt;&lt;pages&gt;231-240&lt;/pages&gt;&lt;volume&gt;358&lt;/volume&gt;&lt;number&gt;3&lt;/number&gt;&lt;keywords&gt;&lt;keyword&gt;Percutaneous coronary intervention&lt;/keyword&gt;&lt;keyword&gt;to-balloon time&lt;/keyword&gt;&lt;keyword&gt;primary&lt;/keyword&gt;&lt;keyword&gt;angioplasty&lt;/keyword&gt;&lt;keyword&gt;immediate thrombolysis&lt;/keyword&gt;&lt;keyword&gt;randomized-trials&lt;/keyword&gt;&lt;keyword&gt;united-states&lt;/keyword&gt;&lt;keyword&gt;mortality&lt;/keyword&gt;&lt;keyword&gt;transport&lt;/keyword&gt;&lt;keyword&gt;registry&lt;/keyword&gt;&lt;keyword&gt;therapy&lt;/keyword&gt;&lt;/keywords&gt;&lt;dates&gt;&lt;year&gt;2008&lt;/year&gt;&lt;pub-dates&gt;&lt;date&gt;Jan 17&lt;/date&gt;&lt;/pub-dates&gt;&lt;/dates&gt;&lt;accession-num&gt;ISI:000252375600004&lt;/accession-num&gt;&lt;urls&gt;&lt;related-urls&gt;&lt;url&gt;&amp;lt;Go to ISI&amp;gt;://000252375600004 &lt;/url&gt;&lt;/related-urls&gt;&lt;/urls&gt;&lt;/record&gt;&lt;/Cite&gt;&lt;Cite&gt;&lt;Author&gt;Henry&lt;/Author&gt;&lt;Year&gt;2007&lt;/Year&gt;&lt;RecNum&gt;46&lt;/RecNum&gt;&lt;record&gt;&lt;rec-number&gt;46&lt;/rec-number&gt;&lt;ref-type name='Journal Article'&gt;17&lt;/ref-type&gt;&lt;contributors&gt;&lt;authors&gt;&lt;author&gt;Henry, T. D.&lt;/author&gt;&lt;author&gt;Sharkey, S. W.&lt;/author&gt;&lt;author&gt;Burke, M. N.&lt;/author&gt;&lt;author&gt;Chavez, I. J.&lt;/author&gt;&lt;author&gt;Graham, K. J.&lt;/author&gt;&lt;author&gt;Henry, C. R.&lt;/author&gt;&lt;author&gt;Lips, D. L.&lt;/author&gt;&lt;author&gt;Madison, J. D.&lt;/author&gt;&lt;author&gt;Menssen, K. M.&lt;/author&gt;&lt;author&gt;Mooney, M. R.&lt;/author&gt;&lt;author&gt;Newell, M. C.&lt;/author&gt;&lt;author&gt;Pedersen, W. R.&lt;/author&gt;&lt;author&gt;Poulose, A. K.&lt;/author&gt;&lt;author&gt;Traverse, J. H.&lt;/author&gt;&lt;author&gt;Unger, B. T.&lt;/author&gt;&lt;author&gt;Wang, Y. L.&lt;/author&gt;&lt;author&gt;Larson, D. M.&lt;/author&gt;&lt;/authors&gt;&lt;/contributors&gt;&lt;titles&gt;&lt;title&gt;A regional system to provide timely access to percutaneous coronary intervention for ST-elevation myocardial infarction&lt;/title&gt;&lt;secondary-title&gt;Circulation&lt;/secondary-title&gt;&lt;/titles&gt;&lt;periodical&gt;&lt;full-title&gt;Circulation&lt;/full-title&gt;&lt;/periodical&gt;&lt;pages&gt;721-728&lt;/pages&gt;&lt;volume&gt;116&lt;/volume&gt;&lt;number&gt;7&lt;/number&gt;&lt;keywords&gt;&lt;keyword&gt;angioplasty&lt;/keyword&gt;&lt;keyword&gt;myocardial infarction&lt;/keyword&gt;&lt;keyword&gt;stents&lt;/keyword&gt;&lt;keyword&gt;point-of-care systems&lt;/keyword&gt;&lt;keyword&gt;Intravenous thrombolytic therapy&lt;/keyword&gt;&lt;keyword&gt;primary angioplasty&lt;/keyword&gt;&lt;keyword&gt;segment-elevation&lt;/keyword&gt;&lt;keyword&gt;randomized-trial&lt;/keyword&gt;&lt;keyword&gt;immediate thrombolysis&lt;/keyword&gt;&lt;keyword&gt;fibrinolytic therapy&lt;/keyword&gt;&lt;keyword&gt;united-states&lt;/keyword&gt;&lt;keyword&gt;management&lt;/keyword&gt;&lt;keyword&gt;hospitals&lt;/keyword&gt;&lt;keyword&gt;transport&lt;/keyword&gt;&lt;/keywords&gt;&lt;dates&gt;&lt;year&gt;2007&lt;/year&gt;&lt;pub-dates&gt;&lt;date&gt;Aug 14&lt;/date&gt;&lt;/pub-dates&gt;&lt;/dates&gt;&lt;accession-num&gt;ISI:000248724900008&lt;/accession-num&gt;&lt;urls&gt;&lt;related-urls&gt;&lt;url&gt;&amp;lt;Go to ISI&amp;gt;://000248724900008 &lt;/url&gt;&lt;/related-urls&gt;&lt;/urls&gt;&lt;/record&gt;&lt;/Cite&gt;&lt;Cite&gt;&lt;Author&gt;de Villiers&lt;/Author&gt;&lt;Year&gt;2007&lt;/Year&gt;&lt;RecNum&gt;53&lt;/RecNum&gt;&lt;record&gt;&lt;rec-number&gt;53&lt;/rec-number&gt;&lt;ref-type name='Journal Article'&gt;17&lt;/ref-type&gt;&lt;contributors&gt;&lt;authors&gt;&lt;author&gt;de Villiers, J. S.&lt;/author&gt;&lt;author&gt;Anderson, T.&lt;/author&gt;&lt;author&gt;McMeekin, J. D.&lt;/author&gt;&lt;author&gt;Leung, R. C. M.&lt;/author&gt;&lt;author&gt;Traboulsi, M.&lt;/author&gt;&lt;/authors&gt;&lt;/contributors&gt;&lt;titles&gt;&lt;title&gt;Expedited transfer for primary percutaneous coronary intervention: a program evaluation&lt;/title&gt;&lt;secondary-title&gt;Canadian Medical Association Journal&lt;/secondary-title&gt;&lt;/titles&gt;&lt;periodical&gt;&lt;full-title&gt;Canadian Medical Association Journal&lt;/full-title&gt;&lt;/periodical&gt;&lt;pages&gt;1833-1838&lt;/pages&gt;&lt;volume&gt;176&lt;/volume&gt;&lt;number&gt;13&lt;/number&gt;&lt;keywords&gt;&lt;keyword&gt;Acute myocardial-infarction&lt;/keyword&gt;&lt;keyword&gt;intravenous thrombolytic therapy&lt;/keyword&gt;&lt;keyword&gt;to-balloon times&lt;/keyword&gt;&lt;keyword&gt;primary angioplasty&lt;/keyword&gt;&lt;keyword&gt;prehospital electrocardiogram&lt;/keyword&gt;&lt;keyword&gt;fibrinolytic therapy&lt;/keyword&gt;&lt;keyword&gt;randomized trials&lt;/keyword&gt;&lt;keyword&gt;national-registry&lt;/keyword&gt;&lt;keyword&gt;immediate&lt;/keyword&gt;&lt;keyword&gt;thrombolysis&lt;/keyword&gt;&lt;keyword&gt;early mortality&lt;/keyword&gt;&lt;/keywords&gt;&lt;dates&gt;&lt;year&gt;2007&lt;/year&gt;&lt;pub-dates&gt;&lt;date&gt;Jun 19&lt;/date&gt;&lt;/pub-dates&gt;&lt;/dates&gt;&lt;accession-num&gt;ISI:000247145700010&lt;/accession-num&gt;&lt;urls&gt;&lt;related-urls&gt;&lt;url&gt;&amp;lt;Go to ISI&amp;gt;://000247145700010 &lt;/url&gt;&lt;/related-urls&gt;&lt;/urls&gt;&lt;/record&gt;&lt;/Cite&gt;&lt;Cite&gt;&lt;Author&gt;Ting&lt;/Author&gt;&lt;Year&gt;2007&lt;/Year&gt;&lt;RecNum&gt;47&lt;/RecNum&gt;&lt;record&gt;&lt;rec-number&gt;47&lt;/rec-number&gt;&lt;ref-type name="Journal Article"&gt;17&lt;/ref-type&gt;&lt;contributors&gt;&lt;authors&gt;&lt;author&gt;Ting, H. H.&lt;/author&gt;&lt;author&gt;Rihal, C. S.&lt;/author&gt;&lt;author&gt;Gersh, B. J.&lt;/author&gt;&lt;author&gt;Haro, L. H.&lt;/author&gt;&lt;author&gt;Bjerke, C. M.&lt;/author&gt;&lt;author&gt;Lennon, R. J.&lt;/author&gt;&lt;author&gt;Lim, C. C.&lt;/author&gt;&lt;author&gt;Bresnahan, J. F.&lt;/author&gt;&lt;author&gt;Jaffe, A. S.&lt;/author&gt;&lt;author&gt;Holmes, D. R.&lt;/author&gt;&lt;author&gt;Bell, M. R.&lt;/author&gt;&lt;/authors&gt;&lt;/contributors&gt;&lt;titles&gt;&lt;title&gt;Regional systems of care to optimize timeliness of reperfusion therapy for ST-elevation myocardial infarction - The Mayo clinic STEMI protocol&lt;/title&gt;&lt;secondary-title&gt;Circulation&lt;/secondary-title&gt;&lt;/titles&gt;&lt;periodical&gt;&lt;full-title&gt;Circulation&lt;/full-title&gt;&lt;/periodical&gt;&lt;pages&gt;729-736&lt;/pages&gt;&lt;volume&gt;116&lt;/volume&gt;&lt;number&gt;7&lt;/number&gt;&lt;keywords&gt;&lt;keyword&gt;angioplasty&lt;/keyword&gt;&lt;keyword&gt;angina&lt;/keyword&gt;&lt;keyword&gt;myocardial infarction&lt;/keyword&gt;&lt;keyword&gt;Percutaneous coronary intervention&lt;/keyword&gt;&lt;keyword&gt;to-balloon time&lt;/keyword&gt;&lt;keyword&gt;primary&lt;/keyword&gt;&lt;keyword&gt;angioplasty&lt;/keyword&gt;&lt;keyword&gt;fibrinolytic therapy&lt;/keyword&gt;&lt;keyword&gt;randomized trials&lt;/keyword&gt;&lt;keyword&gt;mortality&lt;/keyword&gt;&lt;keyword&gt;strategies&lt;/keyword&gt;&lt;keyword&gt;thrombolysis&lt;/keyword&gt;&lt;keyword&gt;registry&lt;/keyword&gt;&lt;/keywords&gt;&lt;dates&gt;&lt;year&gt;2007&lt;/year&gt;&lt;pub-dates&gt;&lt;date&gt;Aug 14&lt;/date&gt;&lt;/pub-dates&gt;&lt;/dates&gt;&lt;accession-num&gt;ISI:000248724900009&lt;/accession-num&gt;&lt;urls&gt;&lt;related-urls&gt;&lt;url&gt;&amp;lt;Go to ISI&amp;gt;://000248724900009 &lt;/url&gt;&lt;/related-urls&gt;&lt;/urls&gt;&lt;/record&gt;&lt;/Cite&gt;&lt;/EndNote&gt;</w:instrText>
      </w:r>
      <w:r>
        <w:fldChar w:fldCharType="separate"/>
      </w:r>
      <w:bookmarkStart w:id="4" w:name="__Fieldmark__171_915083641"/>
      <w:r>
        <w:rPr/>
        <w:t>[12-15]</w:t>
      </w:r>
      <w:r>
        <w:rPr/>
      </w:r>
      <w:r>
        <w:fldChar w:fldCharType="end"/>
      </w:r>
      <w:bookmarkEnd w:id="4"/>
      <w:r>
        <w:rPr/>
        <w:t xml:space="preserve"> and internationally </w:t>
      </w:r>
      <w:r>
        <w:fldChar w:fldCharType="begin"/>
      </w:r>
      <w:r>
        <w:instrText> ADDIN EN.CITE &lt;EndNote&gt;&lt;Cite&gt;&lt;Author&gt;Carstensen&lt;/Author&gt;&lt;Year&gt;2007&lt;/Year&gt;&lt;RecNum&gt;8&lt;/RecNum&gt;&lt;record&gt;&lt;rec-number&gt;8&lt;/rec-number&gt;&lt;ref-type name='Journal Article'&gt;17&lt;/ref-type&gt;&lt;contributors&gt;&lt;authors&gt;&lt;author&gt;Carstensen, S.&lt;/author&gt;&lt;author&gt;Nelson, G. C. I.&lt;/author&gt;&lt;author&gt;Hansen, P. S.&lt;/author&gt;&lt;author&gt;Macken, L.&lt;/author&gt;&lt;author&gt;Irons, S.&lt;/author&gt;&lt;author&gt;Flynn, M.&lt;/author&gt;&lt;author&gt;Kovoor, P.&lt;/author&gt;&lt;author&gt;Hoo, S. Y. S.&lt;/author&gt;&lt;author&gt;Ward, M. R.&lt;/author&gt;&lt;author&gt;Rasmussen, H. H.&lt;/author&gt;&lt;/authors&gt;&lt;/contributors&gt;&lt;titles&gt;&lt;title&gt;Field triage to primary angioplasty combined with emergency department bypass reduces treatment delays and is associated with improved outcome&lt;/title&gt;&lt;secondary-title&gt;European Heart Journal&lt;/secondary-title&gt;&lt;/titles&gt;&lt;periodical&gt;&lt;full-title&gt;European Heart Journal&lt;/full-title&gt;&lt;/periodical&gt;&lt;pages&gt;2313-2319&lt;/pages&gt;&lt;volume&gt;28&lt;/volume&gt;&lt;number&gt;19&lt;/number&gt;&lt;keywords&gt;&lt;keyword&gt;myocardial infarction&lt;/keyword&gt;&lt;keyword&gt;treatment pathway&lt;/keyword&gt;&lt;keyword&gt;primary angioplasty&lt;/keyword&gt;&lt;keyword&gt;mortality&lt;/keyword&gt;&lt;keyword&gt;Acute myocardial-infarction&lt;/keyword&gt;&lt;keyword&gt;percutaneous coronary intervention&lt;/keyword&gt;&lt;keyword&gt;st-segment elevation&lt;/keyword&gt;&lt;keyword&gt;immediate thrombolysis&lt;/keyword&gt;&lt;keyword&gt;prehospital diagnosis&lt;/keyword&gt;&lt;keyword&gt;cardiogenic-shock&lt;/keyword&gt;&lt;keyword&gt;clinical-trials&lt;/keyword&gt;&lt;keyword&gt;time&lt;/keyword&gt;&lt;keyword&gt;reperfusion&lt;/keyword&gt;&lt;keyword&gt;mortality&lt;/keyword&gt;&lt;/keywords&gt;&lt;dates&gt;&lt;year&gt;2007&lt;/year&gt;&lt;pub-dates&gt;&lt;date&gt;Oct&lt;/date&gt;&lt;/pub-dates&gt;&lt;/dates&gt;&lt;accession-num&gt;ISI:000250515100007&lt;/accession-num&gt;&lt;urls&gt;&lt;related-urls&gt;&lt;url&gt;&amp;lt;Go to ISI&amp;gt;://000250515100007 &lt;/url&gt;&lt;/related-urls&gt;&lt;/urls&gt;&lt;/record&gt;&lt;/Cite&gt;&lt;Cite&gt;&lt;Author&gt;De Luca A&lt;/Author&gt;&lt;Year&gt;2006&lt;/Year&gt;&lt;RecNum&gt;209&lt;/RecNum&gt;&lt;record&gt;&lt;rec-number&gt;209&lt;/rec-number&gt;&lt;ref-type name='Journal Article'&gt;17&lt;/ref-type&gt;&lt;contributors&gt;&lt;authors&gt;&lt;author&gt;De Luca A, &lt;/author&gt;&lt;author&gt;Gabriele S,&lt;/author&gt;&lt;author&gt;Lauria L, &lt;/author&gt;&lt;author&gt;Francia C, &lt;/author&gt;&lt;author&gt;Caminiti A, &lt;/author&gt;&lt;author&gt;Tubaro M, &lt;/author&gt;&lt;author&gt;Pillon S, &lt;/author&gt;&lt;author&gt;Pristipino C, &lt;/author&gt;&lt;author&gt;Ammirati F, &lt;/author&gt;&lt;author&gt;Guasticchi G,&lt;/author&gt;&lt;/authors&gt;&lt;/contributors&gt;&lt;titles&gt;&lt;title&gt;Implementation of an emergency clinical pathway for ST-elevation myocardial infarction in the Lazio Region: results of a pilot study&lt;/title&gt;&lt;secondary-title&gt;Giornale italiano di cardiologia&lt;/secondary-title&gt;&lt;/titles&gt;&lt;periodical&gt;&lt;full-title&gt;Giornale italiano di cardiologia&lt;/full-title&gt;&lt;/periodical&gt;&lt;pages&gt;118-25&lt;/pages&gt;&lt;volume&gt;9(2)&lt;/volume&gt;&lt;number&gt;2&lt;/number&gt;&lt;dates&gt;&lt;year&gt;2006&lt;/year&gt;&lt;/dates&gt;&lt;urls&gt;&lt;/urls&gt;&lt;language&gt;Italian&lt;/language&gt;&lt;/record&gt;&lt;/Cite&gt;&lt;Cite&gt;&lt;Author&gt;(NHS)&lt;/Author&gt;&lt;Year&gt;2008&lt;/Year&gt;&lt;RecNum&gt;219&lt;/RecNum&gt;&lt;record&gt;&lt;rec-number&gt;219&lt;/rec-number&gt;&lt;ref-type name="Electronic Source"&gt;12&lt;/ref-type&gt;&lt;contributors&gt;&lt;authors&gt;&lt;author&gt;Department of Health (NHS)&lt;/author&gt;&lt;/authors&gt;&lt;/contributors&gt;&lt;titles&gt;&lt;title&gt;National Infarct Angioplasty Project (NIAP)&lt;/title&gt;&lt;/titles&gt;&lt;dates&gt;&lt;year&gt;2008&lt;/year&gt;&lt;/dates&gt;&lt;pub-location&gt;London&lt;/pub-location&gt;&lt;publisher&gt;NHS&lt;/publisher&gt;&lt;urls&gt;&lt;related-urls&gt;&lt;url&gt;http://www.dh.gov.uk/en/Publicationsandstatistics/Publications/PublicationsPolicyAndGuidance/DH_083061&lt;/url&gt;&lt;/related-urls&gt;&lt;/urls&gt;&lt;/record&gt;&lt;/Cite&gt;&lt;/EndNote&gt;</w:instrText>
      </w:r>
      <w:r>
        <w:fldChar w:fldCharType="separate"/>
      </w:r>
      <w:bookmarkStart w:id="5" w:name="__Fieldmark__172_915083641"/>
      <w:r>
        <w:rPr/>
        <w:t>[5, 16, 17]</w:t>
      </w:r>
      <w:r>
        <w:rPr/>
      </w:r>
      <w:r>
        <w:fldChar w:fldCharType="end"/>
      </w:r>
      <w:bookmarkEnd w:id="5"/>
      <w:r>
        <w:rPr/>
        <w:t xml:space="preserve">.                                                                                                                                                                                                                                                                                                                                                                                                                                                                                                                                       </w:t>
      </w:r>
    </w:p>
    <w:p>
      <w:pPr>
        <w:pStyle w:val="TextBody"/>
        <w:spacing w:lineRule="auto" w:line="480"/>
        <w:ind w:firstLine="720"/>
        <w:jc w:val="left"/>
        <w:rPr/>
      </w:pPr>
      <w:r>
        <w:rPr/>
        <w:t xml:space="preserve">In order to create regionalized care models, policy makers must first evaluate the areas and populations where timely access to PCI-hospitals is possible. The implications of driving times to hospitals with PCI facilities in terms of pre-hospital triage has been studied for the United States </w:t>
      </w:r>
      <w:r>
        <w:fldChar w:fldCharType="begin"/>
      </w:r>
      <w:r>
        <w:instrText> ADDIN EN.CITE &lt;EndNote&gt;&lt;Cite&gt;&lt;Author&gt;Nallamothu&lt;/Author&gt;&lt;Year&gt;2006&lt;/Year&gt;&lt;RecNum&gt;61&lt;/RecNum&gt;&lt;record&gt;&lt;rec-number&gt;61&lt;/rec-number&gt;&lt;ref-type name='Journal Article'&gt;17&lt;/ref-type&gt;&lt;contributors&gt;&lt;authors&gt;&lt;author&gt;Nallamothu, B. K.&lt;/author&gt;&lt;author&gt;Wang, Y.&lt;/author&gt;&lt;author&gt;Rathore, S. S.&lt;/author&gt;&lt;author&gt;Epstein, A. J.&lt;/author&gt;&lt;author&gt;Curtis, J. P.&lt;/author&gt;&lt;author&gt;Krumholz, H. M.&lt;/author&gt;&lt;/authors&gt;&lt;/contributors&gt;&lt;titles&gt;&lt;title&gt;Time-to-reperfusion in patients undergoing interhospital transfer for primary percutaneous coronary intervention in the United States: Results from the National Cardiovascular Data Registry&lt;/title&gt;&lt;secondary-title&gt;Circulation&lt;/secondary-title&gt;&lt;/titles&gt;&lt;periodical&gt;&lt;full-title&gt;Circulation&lt;/full-title&gt;&lt;/periodical&gt;&lt;pages&gt;424-424&lt;/pages&gt;&lt;volume&gt;114&lt;/volume&gt;&lt;number&gt;18&lt;/number&gt;&lt;dates&gt;&lt;year&gt;2006&lt;/year&gt;&lt;pub-dates&gt;&lt;date&gt;Oct 31&lt;/date&gt;&lt;/pub-dates&gt;&lt;/dates&gt;&lt;accession-num&gt;ISI:000241792802574&lt;/accession-num&gt;&lt;urls&gt;&lt;related-urls&gt;&lt;url&gt;&amp;lt;Go to ISI&amp;gt;://000241792802574 &lt;/url&gt;&lt;/related-urls&gt;&lt;/urls&gt;&lt;/record&gt;&lt;/Cite&gt;&lt;Cite&gt;&lt;Author&gt;Nallamothu&lt;/Author&gt;&lt;Year&gt;2006&lt;/Year&gt;&lt;RecNum&gt;402&lt;/RecNum&gt;&lt;record&gt;&lt;rec-number&gt;402&lt;/rec-number&gt;&lt;ref-type name='Journal Article'&gt;17&lt;/ref-type&gt;&lt;contributors&gt;&lt;authors&gt;&lt;author&gt;Nallamothu, B. K.&lt;/author&gt;&lt;author&gt;Bates, E. R.&lt;/author&gt;&lt;author&gt;Wang, Y. F.&lt;/author&gt;&lt;author&gt;Bradley, E. H.&lt;/author&gt;&lt;author&gt;Krumholz, H. M.&lt;/author&gt;&lt;/authors&gt;&lt;/contributors&gt;&lt;titles&gt;&lt;title&gt;Driving times and distances to hospitals with percutaneous coronary intervention in the United States - Implications for prehospital triage of patients with ST-elevation myocardial infarction&lt;/title&gt;&lt;secondary-title&gt;Circulation&lt;/secondary-title&gt;&lt;/titles&gt;&lt;periodical&gt;&lt;full-title&gt;Circulation&lt;/full-title&gt;&lt;/periodical&gt;&lt;pages&gt;1189-1195&lt;/pages&gt;&lt;volume&gt;113&lt;/volume&gt;&lt;number&gt;9&lt;/number&gt;&lt;dates&gt;&lt;year&gt;2006&lt;/year&gt;&lt;pub-dates&gt;&lt;date&gt;Mar 7&lt;/date&gt;&lt;/pub-dates&gt;&lt;/dates&gt;&lt;accession-num&gt;ISI:000235803400010&lt;/accession-num&gt;&lt;urls&gt;&lt;related-urls&gt;&lt;url&gt;&amp;lt;Go to ISI&amp;gt;://000235803400010 &lt;/url&gt;&lt;/related-urls&gt;&lt;/urls&gt;&lt;/record&gt;&lt;/Cite&gt;&lt;/EndNote&gt;</w:instrText>
      </w:r>
      <w:r>
        <w:fldChar w:fldCharType="separate"/>
      </w:r>
      <w:bookmarkStart w:id="6" w:name="__Fieldmark__173_915083641"/>
      <w:r>
        <w:rPr/>
        <w:t>[18, 19]</w:t>
      </w:r>
      <w:r>
        <w:rPr/>
      </w:r>
      <w:r>
        <w:fldChar w:fldCharType="end"/>
      </w:r>
      <w:bookmarkEnd w:id="6"/>
      <w:r>
        <w:rPr/>
        <w:t xml:space="preserve">, and it has been estimated that nearly 80% of American adults have access to PCI within 60 minutes </w:t>
      </w:r>
      <w:r>
        <w:fldChar w:fldCharType="begin"/>
      </w:r>
      <w:r>
        <w:instrText> ADDIN EN.CITE &lt;EndNote&gt;&lt;Cite&gt;&lt;Author&gt;Nallamothu&lt;/Author&gt;&lt;Year&gt;2006&lt;/Year&gt;&lt;RecNum&gt;197&lt;/RecNum&gt;&lt;record&gt;&lt;rec-number&gt;197&lt;/rec-number&gt;&lt;ref-type name="Journal Article"&gt;17&lt;/ref-type&gt;&lt;contributors&gt;&lt;authors&gt;&lt;author&gt;Nallamothu, B. K.&lt;/author&gt;&lt;author&gt;Bates, E. R.&lt;/author&gt;&lt;author&gt;Wang, Y. F.&lt;/author&gt;&lt;author&gt;Bradley, E. H.&lt;/author&gt;&lt;author&gt;Krumholz, H. M.&lt;/author&gt;&lt;/authors&gt;&lt;/contributors&gt;&lt;titles&gt;&lt;title&gt;Driving times and distances to hospitals with percutaneous coronary intervention in the United States - Implications for prehospital triage of patients with ST-elevation myocardial infarction&lt;/title&gt;&lt;secondary-title&gt;Circulation&lt;/secondary-title&gt;&lt;/titles&gt;&lt;periodical&gt;&lt;full-title&gt;Circulation&lt;/full-title&gt;&lt;/periodical&gt;&lt;pages&gt;1189-1195&lt;/pages&gt;&lt;volume&gt;113&lt;/volume&gt;&lt;number&gt;9&lt;/number&gt;&lt;dates&gt;&lt;year&gt;2006&lt;/year&gt;&lt;pub-dates&gt;&lt;date&gt;Mar 7&lt;/date&gt;&lt;/pub-dates&gt;&lt;/dates&gt;&lt;accession-num&gt;ISI:000235803400010&lt;/accession-num&gt;&lt;urls&gt;&lt;related-urls&gt;&lt;url&gt;&amp;lt;Go to ISI&amp;gt;://000235803400010 &lt;/url&gt;&lt;/related-urls&gt;&lt;/urls&gt;&lt;/record&gt;&lt;/Cite&gt;&lt;/EndNote&gt;</w:instrText>
      </w:r>
      <w:r>
        <w:fldChar w:fldCharType="separate"/>
      </w:r>
      <w:bookmarkStart w:id="7" w:name="__Fieldmark__174_915083641"/>
      <w:r>
        <w:rPr/>
        <w:t>[19]</w:t>
      </w:r>
      <w:r>
        <w:rPr/>
      </w:r>
      <w:r>
        <w:fldChar w:fldCharType="end"/>
      </w:r>
      <w:bookmarkEnd w:id="7"/>
      <w:r>
        <w:rPr/>
        <w:t xml:space="preserve">. No such estimate exists for Canada. </w:t>
      </w:r>
    </w:p>
    <w:p>
      <w:pPr>
        <w:pStyle w:val="TextBody"/>
        <w:spacing w:lineRule="auto" w:line="480"/>
        <w:ind w:firstLine="720"/>
        <w:jc w:val="left"/>
        <w:rPr/>
      </w:pPr>
      <w:r>
        <w:rPr/>
        <w:t xml:space="preserve">Geographic Information Systems (GIS) are valuable tools for evaluating access to health services </w:t>
      </w:r>
      <w:r>
        <w:fldChar w:fldCharType="begin"/>
      </w:r>
      <w:r>
        <w:instrText> ADDIN EN.CITE &lt;EndNote&gt;&lt;Cite&gt;&lt;Author&gt;Hare&lt;/Author&gt;&lt;Year&gt;2007&lt;/Year&gt;&lt;RecNum&gt;133&lt;/RecNum&gt;&lt;record&gt;&lt;rec-number&gt;133&lt;/rec-number&gt;&lt;ref-type name='Journal Article'&gt;17&lt;/ref-type&gt;&lt;contributors&gt;&lt;authors&gt;&lt;author&gt;Hare, T. S.&lt;/author&gt;&lt;author&gt;Barcus, H. R.&lt;/author&gt;&lt;/authors&gt;&lt;/contributors&gt;&lt;titles&gt;&lt;title&gt;Geographical accessibility and Kentucky&amp;apos;s heart-related hospital services&lt;/title&gt;&lt;secondary-title&gt;Applied Geography&lt;/secondary-title&gt;&lt;/titles&gt;&lt;periodical&gt;&lt;full-title&gt;Applied Geography&lt;/full-title&gt;&lt;/periodical&gt;&lt;pages&gt;181-205&lt;/pages&gt;&lt;volume&gt;27&lt;/volume&gt;&lt;number&gt;3-4&lt;/number&gt;&lt;keywords&gt;&lt;keyword&gt;cardiovascular disease&lt;/keyword&gt;&lt;keyword&gt;Kentucky&lt;/keyword&gt;&lt;keyword&gt;spatial analysis&lt;/keyword&gt;&lt;keyword&gt;accessibility&lt;/keyword&gt;&lt;keyword&gt;GIS&lt;/keyword&gt;&lt;keyword&gt;health inequalities&lt;/keyword&gt;&lt;keyword&gt;Health-care&lt;/keyword&gt;&lt;keyword&gt;access&lt;/keyword&gt;&lt;keyword&gt;appalachia&lt;/keyword&gt;&lt;keyword&gt;americans&lt;/keyword&gt;&lt;keyword&gt;mortality&lt;/keyword&gt;&lt;/keywords&gt;&lt;dates&gt;&lt;year&gt;2007&lt;/year&gt;&lt;pub-dates&gt;&lt;date&gt;Oct&lt;/date&gt;&lt;/pub-dates&gt;&lt;/dates&gt;&lt;accession-num&gt;ISI:000250317900004&lt;/accession-num&gt;&lt;urls&gt;&lt;related-urls&gt;&lt;url&gt;&amp;lt;Go to ISI&amp;gt;://000250317900004 &lt;/url&gt;&lt;/related-urls&gt;&lt;/urls&gt;&lt;/record&gt;&lt;/Cite&gt;&lt;Cite&gt;&lt;Author&gt;Wang&lt;/Author&gt;&lt;Year&gt;2007&lt;/Year&gt;&lt;RecNum&gt;134&lt;/RecNum&gt;&lt;record&gt;&lt;rec-number&gt;134&lt;/rec-number&gt;&lt;ref-type name='Journal Article'&gt;17&lt;/ref-type&gt;&lt;contributors&gt;&lt;authors&gt;&lt;author&gt;Wang, L.&lt;/author&gt;&lt;/authors&gt;&lt;/contributors&gt;&lt;titles&gt;&lt;title&gt;Immigration, ethnicity, and accessibility to culturally diverse family physicians&lt;/title&gt;&lt;secondary-title&gt;Health &amp;amp; Place&lt;/secondary-title&gt;&lt;/titles&gt;&lt;periodical&gt;&lt;full-title&gt;Health &amp;amp; Place&lt;/full-title&gt;&lt;/periodical&gt;&lt;pages&gt;656-671&lt;/pages&gt;&lt;volume&gt;13&lt;/volume&gt;&lt;number&gt;3&lt;/number&gt;&lt;keywords&gt;&lt;keyword&gt;accessibility&lt;/keyword&gt;&lt;keyword&gt;family physician&lt;/keyword&gt;&lt;keyword&gt;Chinese immigrants&lt;/keyword&gt;&lt;keyword&gt;GIS&lt;/keyword&gt;&lt;keyword&gt;ethnicity&lt;/keyword&gt;&lt;keyword&gt;Primary-health-care&lt;/keyword&gt;&lt;keyword&gt;womens health&lt;/keyword&gt;&lt;keyword&gt;access&lt;/keyword&gt;&lt;keyword&gt;gis&lt;/keyword&gt;&lt;keyword&gt;employment&lt;/keyword&gt;&lt;keyword&gt;areas&lt;/keyword&gt;&lt;keyword&gt;opportunities&lt;/keyword&gt;&lt;keyword&gt;geography&lt;/keyword&gt;&lt;keyword&gt;shortage&lt;/keyword&gt;&lt;keyword&gt;services&lt;/keyword&gt;&lt;/keywords&gt;&lt;dates&gt;&lt;year&gt;2007&lt;/year&gt;&lt;pub-dates&gt;&lt;date&gt;Sep&lt;/date&gt;&lt;/pub-dates&gt;&lt;/dates&gt;&lt;accession-num&gt;ISI:000246282700007&lt;/accession-num&gt;&lt;urls&gt;&lt;related-urls&gt;&lt;url&gt;&amp;lt;Go to ISI&amp;gt;://000246282700007 &lt;/url&gt;&lt;/related-urls&gt;&lt;/urls&gt;&lt;/record&gt;&lt;/Cite&gt;&lt;Cite&gt;&lt;Author&gt;Baumgardner&lt;/Author&gt;&lt;Year&gt;2006&lt;/Year&gt;&lt;RecNum&gt;136&lt;/RecNum&gt;&lt;record&gt;&lt;rec-number&gt;136&lt;/rec-number&gt;&lt;ref-type name='Journal Article'&gt;17&lt;/ref-type&gt;&lt;contributors&gt;&lt;authors&gt;&lt;author&gt;Baumgardner, D. J.&lt;/author&gt;&lt;author&gt;Halsmer, S. E.&lt;/author&gt;&lt;author&gt;Steber, D. L.&lt;/author&gt;&lt;author&gt;Shah, D. S.&lt;/author&gt;&lt;author&gt;Mundt, M. P.&lt;/author&gt;&lt;/authors&gt;&lt;/contributors&gt;&lt;titles&gt;&lt;title&gt;Does proximity to clinic affect immunization rates and blood pressure?&lt;/title&gt;&lt;secondary-title&gt;International Journal Of Psychiatry In Medicine&lt;/secondary-title&gt;&lt;/titles&gt;&lt;periodical&gt;&lt;full-title&gt;International Journal Of Psychiatry In Medicine&lt;/full-title&gt;&lt;/periodical&gt;&lt;pages&gt;199-209&lt;/pages&gt;&lt;volume&gt;36&lt;/volume&gt;&lt;number&gt;2&lt;/number&gt;&lt;keywords&gt;&lt;keyword&gt;health services accessibility&lt;/keyword&gt;&lt;keyword&gt;primary prevention&lt;/keyword&gt;&lt;keyword&gt;spatial analysis&lt;/keyword&gt;&lt;keyword&gt;Health-care utilization&lt;/keyword&gt;&lt;keyword&gt;rural region&lt;/keyword&gt;&lt;keyword&gt;distance&lt;/keyword&gt;&lt;keyword&gt;community&lt;/keyword&gt;&lt;/keywords&gt;&lt;dates&gt;&lt;year&gt;2006&lt;/year&gt;&lt;/dates&gt;&lt;accession-num&gt;ISI:000242117300006&lt;/accession-num&gt;&lt;urls&gt;&lt;related-urls&gt;&lt;url&gt;&amp;lt;Go to ISI&amp;gt;://000242117300006 &lt;/url&gt;&lt;/related-urls&gt;&lt;/urls&gt;&lt;/record&gt;&lt;/Cite&gt;&lt;Cite&gt;&lt;Author&gt;Cinnamon&lt;/Author&gt;&lt;Year&gt;2008&lt;/Year&gt;&lt;RecNum&gt;40&lt;/RecNum&gt;&lt;record&gt;&lt;rec-number&gt;40&lt;/rec-number&gt;&lt;ref-type name="Journal Article"&gt;17&lt;/ref-type&gt;&lt;contributors&gt;&lt;authors&gt;&lt;author&gt;Cinnamon, J.&lt;/author&gt;&lt;author&gt;Schuurman, N.&lt;/author&gt;&lt;author&gt;Crooks, V. A.&lt;/author&gt;&lt;/authors&gt;&lt;/contributors&gt;&lt;titles&gt;&lt;title&gt;A method to determine spatial access to specialized palliative care services using GIS&lt;/title&gt;&lt;secondary-title&gt;Bmc Health Services Research&lt;/secondary-title&gt;&lt;/titles&gt;&lt;periodical&gt;&lt;full-title&gt;Bmc Health Services Research&lt;/full-title&gt;&lt;/periodical&gt;&lt;volume&gt;8&lt;/volume&gt;&lt;dates&gt;&lt;year&gt;2008&lt;/year&gt;&lt;pub-dates&gt;&lt;date&gt;Jun 30&lt;/date&gt;&lt;/pub-dates&gt;&lt;/dates&gt;&lt;accession-num&gt;ISI:000257743100001&lt;/accession-num&gt;&lt;urls&gt;&lt;related-urls&gt;&lt;url&gt;&amp;lt;Go to ISI&amp;gt;://000257743100001 &lt;/url&gt;&lt;/related-urls&gt;&lt;/urls&gt;&lt;/record&gt;&lt;/Cite&gt;&lt;/EndNote&gt;</w:instrText>
      </w:r>
      <w:r>
        <w:fldChar w:fldCharType="separate"/>
      </w:r>
      <w:bookmarkStart w:id="8" w:name="__Fieldmark__175_915083641"/>
      <w:r>
        <w:rPr/>
        <w:t>[20-23]</w:t>
      </w:r>
      <w:r>
        <w:rPr/>
      </w:r>
      <w:r>
        <w:fldChar w:fldCharType="end"/>
      </w:r>
      <w:bookmarkEnd w:id="8"/>
      <w:r>
        <w:rPr/>
        <w:t xml:space="preserve"> and specifically for studies evaluating access to PCI facilities </w:t>
      </w:r>
      <w:r>
        <w:fldChar w:fldCharType="begin"/>
      </w:r>
      <w:r>
        <w:instrText> ADDIN EN.CITE &lt;EndNote&gt;&lt;Cite&gt;&lt;Author&gt;Nallamothu&lt;/Author&gt;&lt;Year&gt;2006&lt;/Year&gt;&lt;RecNum&gt;197&lt;/RecNum&gt;&lt;record&gt;&lt;rec-number&gt;197&lt;/rec-number&gt;&lt;ref-type name="Journal Article"&gt;17&lt;/ref-type&gt;&lt;contributors&gt;&lt;authors&gt;&lt;author&gt;Nallamothu, B. K.&lt;/author&gt;&lt;author&gt;Bates, E. R.&lt;/author&gt;&lt;author&gt;Wang, Y. F.&lt;/author&gt;&lt;author&gt;Bradley, E. H.&lt;/author&gt;&lt;author&gt;Krumholz, H. M.&lt;/author&gt;&lt;/authors&gt;&lt;/contributors&gt;&lt;titles&gt;&lt;title&gt;Driving times and distances to hospitals with percutaneous coronary intervention in the United States - Implications for prehospital triage of patients with ST-elevation myocardial infarction&lt;/title&gt;&lt;secondary-title&gt;Circulation&lt;/secondary-title&gt;&lt;/titles&gt;&lt;periodical&gt;&lt;full-title&gt;Circulation&lt;/full-title&gt;&lt;/periodical&gt;&lt;pages&gt;1189-1195&lt;/pages&gt;&lt;volume&gt;113&lt;/volume&gt;&lt;number&gt;9&lt;/number&gt;&lt;dates&gt;&lt;year&gt;2006&lt;/year&gt;&lt;pub-dates&gt;&lt;date&gt;Mar 7&lt;/date&gt;&lt;/pub-dates&gt;&lt;/dates&gt;&lt;accession-num&gt;ISI:000235803400010&lt;/accession-num&gt;&lt;urls&gt;&lt;related-urls&gt;&lt;url&gt;&amp;lt;Go to ISI&amp;gt;://000235803400010 &lt;/url&gt;&lt;/related-urls&gt;&lt;/urls&gt;&lt;/record&gt;&lt;/Cite&gt;&lt;/EndNote&gt;</w:instrText>
      </w:r>
      <w:r>
        <w:fldChar w:fldCharType="separate"/>
      </w:r>
      <w:bookmarkStart w:id="9" w:name="__Fieldmark__176_915083641"/>
      <w:r>
        <w:rPr/>
        <w:t>[19]</w:t>
      </w:r>
      <w:r>
        <w:rPr/>
      </w:r>
      <w:r>
        <w:fldChar w:fldCharType="end"/>
      </w:r>
      <w:bookmarkEnd w:id="9"/>
      <w:r>
        <w:rPr/>
        <w:t>. In this paper we use GIS and existing data to: 1) determine the current Canadian areas and populations with timely access to PCI facilities (within 60, 90, and 120 minutes) and 2) determine how the hypothetical addition of new facilities in underserved areas could change the population and area access to PCI.</w:t>
      </w:r>
    </w:p>
    <w:p>
      <w:pPr>
        <w:pStyle w:val="Normal"/>
        <w:spacing w:lineRule="auto" w:line="480"/>
        <w:rPr>
          <w:b/>
          <w:b/>
        </w:rPr>
      </w:pPr>
      <w:r>
        <w:rPr>
          <w:b/>
        </w:rPr>
        <w:t>Methods</w:t>
      </w:r>
    </w:p>
    <w:p>
      <w:pPr>
        <w:pStyle w:val="Normal"/>
        <w:spacing w:lineRule="auto" w:line="480"/>
        <w:rPr>
          <w:u w:val="single"/>
        </w:rPr>
      </w:pPr>
      <w:r>
        <w:rPr>
          <w:u w:val="single"/>
        </w:rPr>
        <w:t>Data Sources</w:t>
      </w:r>
    </w:p>
    <w:p>
      <w:pPr>
        <w:pStyle w:val="Normal"/>
        <w:spacing w:lineRule="auto" w:line="480"/>
        <w:rPr/>
      </w:pPr>
      <w:r>
        <w:rPr/>
        <w:t>Road network analysis evaluates geographic access based upon travel along a road network, and thus requires data representing origins, destinations and the linear features along which travel occurs. The origins of travel in this study were individual Statistics Canada 2006 dissemination areas (DA).</w:t>
      </w:r>
      <w:r>
        <w:rPr>
          <w:lang w:val="en-US"/>
        </w:rPr>
        <w:t xml:space="preserve"> The geographic center of each DA was used as the originating point of travel.</w:t>
      </w:r>
      <w:r>
        <w:rPr/>
        <w:t xml:space="preserve"> In Canada, DAs are the smallest geographic unit at which the census is publically distributed. T</w:t>
      </w:r>
      <w:r>
        <w:rPr>
          <w:lang w:val="en-US"/>
        </w:rPr>
        <w:t xml:space="preserve">here are a total of 54626 DAs within the country. As this study focused primarily on travel in and surrounding the immediate vicinity of urban areas, the DA level of data was considered appropriate </w:t>
      </w:r>
      <w:r>
        <w:fldChar w:fldCharType="begin"/>
      </w:r>
      <w:r>
        <w:instrText> ADDIN EN.CITE &lt;EndNote&gt;&lt;Cite&gt;&lt;Author&gt;Apparicio&lt;/Author&gt;&lt;Year&gt;2008&lt;/Year&gt;&lt;RecNum&gt;189&lt;/RecNum&gt;&lt;record&gt;&lt;rec-number&gt;189&lt;/rec-number&gt;&lt;ref-type name='Electronic Journal'&gt;43&lt;/ref-type&gt;&lt;contributors&gt;&lt;authors&gt;&lt;author&gt;Phillippe Apparicio&lt;/author&gt;&lt;author&gt;Mohamed Abdelmajid&lt;/author&gt;&lt;author&gt;Mylene Riva&lt;/author&gt;&lt;author&gt;Richard Shearmur&lt;/author&gt;&lt;/authors&gt;&lt;/contributors&gt;&lt;titles&gt;&lt;title&gt;Comparing alternative approaches to measuring the geographical accessibility of urban health services: Distance types and aggregation-error issues.&lt;/title&gt;&lt;secondary-title&gt;International Journal of Health Geographics&lt;/secondary-title&gt;&lt;/titles&gt;&lt;periodical&gt;&lt;full-title&gt;International Journal of Health Geographics&lt;/full-title&gt;&lt;/periodical&gt;&lt;volume&gt;7&lt;/volume&gt;&lt;number&gt;7&lt;/number&gt;&lt;dates&gt;&lt;year&gt;2008&lt;/year&gt;&lt;/dates&gt;&lt;urls&gt;&lt;/urls&gt;&lt;/record&gt;&lt;/Cite&gt;&lt;Cite&gt;&lt;Author&gt;StatsCan&lt;/Author&gt;&lt;Year&gt;2001&lt;/Year&gt;&lt;RecNum&gt;198&lt;/RecNum&gt;&lt;record&gt;&lt;rec-number&gt;198&lt;/rec-number&gt;&lt;ref-type name='Electronic Source'&gt;12&lt;/ref-type&gt;&lt;contributors&gt;&lt;authors&gt;&lt;author&gt;StatsCan&lt;/author&gt;&lt;/authors&gt;&lt;/contributors&gt;&lt;titles&gt;&lt;title&gt;Statistics Canada: Geographic areas - Dissemination Areas&lt;/title&gt;&lt;/titles&gt;&lt;volume&gt;2006&lt;/volume&gt;&lt;number&gt;April 25&lt;/number&gt;&lt;dates&gt;&lt;year&gt;2001&lt;/year&gt;&lt;/dates&gt;&lt;urls&gt;&lt;related-urls&gt;&lt;url&gt;http://www12.statcan.ca/english/census01/Products/Reference/dict/geo021.htm&lt;/url&gt;&lt;/related-urls&gt;&lt;/urls&gt;&lt;/record&gt;&lt;/Cite&gt;&lt;/EndNote&gt;</w:instrText>
      </w:r>
      <w:r>
        <w:fldChar w:fldCharType="separate"/>
      </w:r>
      <w:bookmarkStart w:id="10" w:name="__Fieldmark__177_915083641"/>
      <w:r>
        <w:rPr>
          <w:lang w:val="en-US"/>
        </w:rPr>
        <w:t>[24, 25]</w:t>
      </w:r>
      <w:r>
        <w:rPr>
          <w:lang w:val="en-US"/>
        </w:rPr>
      </w:r>
      <w:r>
        <w:fldChar w:fldCharType="end"/>
      </w:r>
      <w:bookmarkEnd w:id="10"/>
      <w:r>
        <w:rPr>
          <w:lang w:val="en-US"/>
        </w:rPr>
        <w:t xml:space="preserve">. </w:t>
      </w:r>
    </w:p>
    <w:p>
      <w:pPr>
        <w:pStyle w:val="Normal"/>
        <w:spacing w:lineRule="auto" w:line="480"/>
        <w:ind w:firstLine="360"/>
        <w:rPr>
          <w:lang w:val="en-US"/>
        </w:rPr>
      </w:pPr>
      <w:r>
        <w:rPr>
          <w:lang w:val="en-US"/>
        </w:rPr>
        <w:t xml:space="preserve">The road network used in this study was the CanMap® RouteLogistics file created by DMTI Spatial </w:t>
      </w:r>
      <w:r>
        <w:fldChar w:fldCharType="begin"/>
      </w:r>
      <w:r>
        <w:instrText> ADDIN EN.CITE &lt;EndNote&gt;&lt;Cite&gt;&lt;Author&gt;DMTI&lt;/Author&gt;&lt;Year&gt;2004&lt;/Year&gt;&lt;RecNum&gt;382&lt;/RecNum&gt;&lt;record&gt;&lt;rec-number&gt;382&lt;/rec-number&gt;&lt;ref-type name="Electronic Source"&gt;12&lt;/ref-type&gt;&lt;contributors&gt;&lt;authors&gt;&lt;author&gt;DMTI &lt;/author&gt;&lt;/authors&gt;&lt;/contributors&gt;&lt;titles&gt;&lt;title&gt;CanMap RouteLogistics &lt;/title&gt;&lt;/titles&gt;&lt;volume&gt;2006&lt;/volume&gt;&lt;number&gt;April 25&lt;/number&gt;&lt;dates&gt;&lt;year&gt;2004&lt;/year&gt;&lt;/dates&gt;&lt;publisher&gt;DMTI Spatial Inc.&lt;/publisher&gt;&lt;urls&gt;&lt;related-urls&gt;&lt;url&gt;http://www.dmtispatial.com/cm_routelogistics.htm&lt;/url&gt;&lt;/related-urls&gt;&lt;/urls&gt;&lt;/record&gt;&lt;/Cite&gt;&lt;/EndNote&gt;</w:instrText>
      </w:r>
      <w:r>
        <w:fldChar w:fldCharType="separate"/>
      </w:r>
      <w:bookmarkStart w:id="11" w:name="__Fieldmark__178_915083641"/>
      <w:r>
        <w:rPr>
          <w:lang w:val="en-US"/>
        </w:rPr>
        <w:t>[26]</w:t>
      </w:r>
      <w:r>
        <w:rPr>
          <w:lang w:val="en-US"/>
        </w:rPr>
      </w:r>
      <w:r>
        <w:fldChar w:fldCharType="end"/>
      </w:r>
      <w:bookmarkEnd w:id="11"/>
      <w:r>
        <w:rPr>
          <w:lang w:val="en-US"/>
        </w:rPr>
        <w:t xml:space="preserve">. This file can be used for shortest route analyses of both time and distance. In addition to containing detailed street names and address locations along each segment of road, there are fields included for the length and speed limit along each segment of road. </w:t>
      </w:r>
    </w:p>
    <w:p>
      <w:pPr>
        <w:pStyle w:val="Normal"/>
        <w:spacing w:lineRule="auto" w:line="480"/>
        <w:ind w:firstLine="360"/>
        <w:rPr>
          <w:lang w:val="en-US"/>
        </w:rPr>
      </w:pPr>
      <w:r>
        <w:rPr>
          <w:lang w:val="en-US"/>
        </w:rPr>
        <w:t xml:space="preserve">The destinations used in this study were the PCI facilities within Canada. A comprehensive list of these facilities was compiled through consultation with experts </w:t>
      </w:r>
      <w:r>
        <w:fldChar w:fldCharType="begin"/>
      </w:r>
      <w:r>
        <w:instrText> ADDIN EN.CITE &lt;EndNote&gt;&lt;Cite&gt;&lt;Author&gt;APPROACH&lt;/Author&gt;&lt;Year&gt;2008&lt;/Year&gt;&lt;RecNum&gt;211&lt;/RecNum&gt;&lt;record&gt;&lt;rec-number&gt;211&lt;/rec-number&gt;&lt;ref-type name='Electronic Source'&gt;12&lt;/ref-type&gt;&lt;contributors&gt;&lt;authors&gt;&lt;author&gt;APPROACH&lt;/author&gt;&lt;/authors&gt;&lt;/contributors&gt;&lt;titles&gt;&lt;title&gt;Alberta Provincial Project for Outcome Assessment in Coronary Heart Disease&lt;/title&gt;&lt;/titles&gt;&lt;dates&gt;&lt;year&gt;2008&lt;/year&gt;&lt;/dates&gt;&lt;urls&gt;&lt;related-urls&gt;&lt;url&gt;http://www.approach.org/&lt;/url&gt;&lt;/related-urls&gt;&lt;/urls&gt;&lt;/record&gt;&lt;/Cite&gt;&lt;Cite&gt;&lt;Author&gt;CCORT&lt;/Author&gt;&lt;Year&gt;2008&lt;/Year&gt;&lt;RecNum&gt;212&lt;/RecNum&gt;&lt;record&gt;&lt;rec-number&gt;212&lt;/rec-number&gt;&lt;ref-type name='Electronic Source'&gt;12&lt;/ref-type&gt;&lt;contributors&gt;&lt;authors&gt;&lt;author&gt;CCORT&lt;/author&gt;&lt;/authors&gt;&lt;/contributors&gt;&lt;titles&gt;&lt;title&gt;Canadian Cardiovascular Outcomes Research Team&lt;/title&gt;&lt;/titles&gt;&lt;dates&gt;&lt;year&gt;2008&lt;/year&gt;&lt;/dates&gt;&lt;urls&gt;&lt;related-urls&gt;&lt;url&gt;http://www.ccort.ca/&lt;/url&gt;&lt;/related-urls&gt;&lt;/urls&gt;&lt;/record&gt;&lt;/Cite&gt;&lt;/EndNote&gt;</w:instrText>
      </w:r>
      <w:r>
        <w:fldChar w:fldCharType="separate"/>
      </w:r>
      <w:bookmarkStart w:id="12" w:name="__Fieldmark__179_915083641"/>
      <w:r>
        <w:rPr>
          <w:lang w:val="en-US"/>
        </w:rPr>
        <w:t>[27, 28]</w:t>
      </w:r>
      <w:r>
        <w:rPr>
          <w:lang w:val="en-US"/>
        </w:rPr>
      </w:r>
      <w:r>
        <w:fldChar w:fldCharType="end"/>
      </w:r>
      <w:bookmarkEnd w:id="12"/>
      <w:r>
        <w:rPr>
          <w:lang w:val="en-US"/>
        </w:rPr>
        <w:t xml:space="preserve">, and each facility was geocoded based on its street address location. The process of geocoding allowed for the creation of spatial files from text descriptions of addresses </w:t>
      </w:r>
      <w:r>
        <w:fldChar w:fldCharType="begin"/>
      </w:r>
      <w:r>
        <w:instrText> ADDIN EN.CITE &lt;EndNote&gt;&lt;Cite&gt;&lt;Author&gt;ESRI&lt;/Author&gt;&lt;Year&gt;2004&lt;/Year&gt;&lt;RecNum&gt;395&lt;/RecNum&gt;&lt;record&gt;&lt;rec-number&gt;395&lt;/rec-number&gt;&lt;ref-type name="Electronic Book"&gt;44&lt;/ref-type&gt;&lt;contributors&gt;&lt;authors&gt;&lt;author&gt;ESRI &lt;/author&gt;&lt;/authors&gt;&lt;/contributors&gt;&lt;titles&gt;&lt;title&gt;Geocoding in ArcGIS&lt;/title&gt;&lt;/titles&gt;&lt;dates&gt;&lt;year&gt;2004&lt;/year&gt;&lt;pub-dates&gt;&lt;date&gt;May 10, 2006&lt;/date&gt;&lt;/pub-dates&gt;&lt;/dates&gt;&lt;publisher&gt;ESRI&lt;/publisher&gt;&lt;urls&gt;&lt;/urls&gt;&lt;remote-database-name&gt;GEOG00&lt;/remote-database-name&gt;&lt;remote-database-provider&gt;University of Calgary&lt;/remote-database-provider&gt;&lt;/record&gt;&lt;/Cite&gt;&lt;/EndNote&gt;</w:instrText>
      </w:r>
      <w:r>
        <w:fldChar w:fldCharType="separate"/>
      </w:r>
      <w:bookmarkStart w:id="13" w:name="__Fieldmark__180_915083641"/>
      <w:r>
        <w:rPr>
          <w:lang w:val="en-US"/>
        </w:rPr>
        <w:t>[29]</w:t>
      </w:r>
      <w:r>
        <w:rPr>
          <w:lang w:val="en-US"/>
        </w:rPr>
      </w:r>
      <w:r>
        <w:fldChar w:fldCharType="end"/>
      </w:r>
      <w:bookmarkEnd w:id="13"/>
      <w:r>
        <w:rPr>
          <w:lang w:val="en-US"/>
        </w:rPr>
        <w:t xml:space="preserve">. All GIS analyses and map production were conducted using ESRI ArcGIS 9.2 </w:t>
      </w:r>
      <w:r>
        <w:fldChar w:fldCharType="begin"/>
      </w:r>
      <w:r>
        <w:instrText> ADDIN EN.CITE &lt;EndNote&gt;&lt;Cite&gt;&lt;Author&gt;ESRI&lt;/Author&gt;&lt;Year&gt;2008&lt;/Year&gt;&lt;RecNum&gt;210&lt;/RecNum&gt;&lt;record&gt;&lt;rec-number&gt;210&lt;/rec-number&gt;&lt;ref-type name="Electronic Source"&gt;12&lt;/ref-type&gt;&lt;contributors&gt;&lt;authors&gt;&lt;author&gt;ESRI&lt;/author&gt;&lt;/authors&gt;&lt;/contributors&gt;&lt;titles&gt;&lt;title&gt;ESRI - GIS and mapping leader&lt;/title&gt;&lt;/titles&gt;&lt;volume&gt;2008&lt;/volume&gt;&lt;dates&gt;&lt;year&gt;2008&lt;/year&gt;&lt;/dates&gt;&lt;urls&gt;&lt;related-urls&gt;&lt;url&gt;http://www.esri.com/&lt;/url&gt;&lt;/related-urls&gt;&lt;/urls&gt;&lt;/record&gt;&lt;/Cite&gt;&lt;/EndNote&gt;</w:instrText>
      </w:r>
      <w:r>
        <w:fldChar w:fldCharType="separate"/>
      </w:r>
      <w:bookmarkStart w:id="14" w:name="__Fieldmark__181_915083641"/>
      <w:r>
        <w:rPr>
          <w:lang w:val="en-US"/>
        </w:rPr>
        <w:t>[30]</w:t>
      </w:r>
      <w:r>
        <w:rPr>
          <w:lang w:val="en-US"/>
        </w:rPr>
      </w:r>
      <w:r>
        <w:fldChar w:fldCharType="end"/>
      </w:r>
      <w:bookmarkEnd w:id="14"/>
      <w:r>
        <w:rPr>
          <w:lang w:val="en-US"/>
        </w:rPr>
        <w:t xml:space="preserve">. </w:t>
      </w:r>
    </w:p>
    <w:p>
      <w:pPr>
        <w:pStyle w:val="Normal"/>
        <w:spacing w:lineRule="auto" w:line="480"/>
        <w:rPr>
          <w:u w:val="single"/>
        </w:rPr>
      </w:pPr>
      <w:r>
        <w:rPr>
          <w:u w:val="single"/>
        </w:rPr>
        <w:t>Analysis of Travel Times</w:t>
      </w:r>
    </w:p>
    <w:p>
      <w:pPr>
        <w:pStyle w:val="Normal"/>
        <w:spacing w:lineRule="auto" w:line="480"/>
        <w:rPr/>
      </w:pPr>
      <w:r>
        <w:rPr/>
        <w:t xml:space="preserve">The methodology used in this study was adapted from a 2006 study by Nallamothu </w:t>
      </w:r>
      <w:r>
        <w:rPr>
          <w:i/>
        </w:rPr>
        <w:t>et al</w:t>
      </w:r>
      <w:r>
        <w:rPr/>
        <w:t xml:space="preserve">. that studied geographic access to PCI facilities in the United States </w:t>
      </w:r>
      <w:r>
        <w:fldChar w:fldCharType="begin"/>
      </w:r>
      <w:r>
        <w:instrText> ADDIN EN.CITE &lt;EndNote&gt;&lt;Cite&gt;&lt;Author&gt;Nallamothu&lt;/Author&gt;&lt;Year&gt;2006&lt;/Year&gt;&lt;RecNum&gt;197&lt;/RecNum&gt;&lt;record&gt;&lt;rec-number&gt;197&lt;/rec-number&gt;&lt;ref-type name="Journal Article"&gt;17&lt;/ref-type&gt;&lt;contributors&gt;&lt;authors&gt;&lt;author&gt;Nallamothu, B. K.&lt;/author&gt;&lt;author&gt;Bates, E. R.&lt;/author&gt;&lt;author&gt;Wang, Y. F.&lt;/author&gt;&lt;author&gt;Bradley, E. H.&lt;/author&gt;&lt;author&gt;Krumholz, H. M.&lt;/author&gt;&lt;/authors&gt;&lt;/contributors&gt;&lt;titles&gt;&lt;title&gt;Driving times and distances to hospitals with percutaneous coronary intervention in the United States - Implications for prehospital triage of patients with ST-elevation myocardial infarction&lt;/title&gt;&lt;secondary-title&gt;Circulation&lt;/secondary-title&gt;&lt;/titles&gt;&lt;periodical&gt;&lt;full-title&gt;Circulation&lt;/full-title&gt;&lt;/periodical&gt;&lt;pages&gt;1189-1195&lt;/pages&gt;&lt;volume&gt;113&lt;/volume&gt;&lt;number&gt;9&lt;/number&gt;&lt;dates&gt;&lt;year&gt;2006&lt;/year&gt;&lt;pub-dates&gt;&lt;date&gt;Mar 7&lt;/date&gt;&lt;/pub-dates&gt;&lt;/dates&gt;&lt;accession-num&gt;ISI:000235803400010&lt;/accession-num&gt;&lt;urls&gt;&lt;related-urls&gt;&lt;url&gt;&amp;lt;Go to ISI&amp;gt;://000235803400010 &lt;/url&gt;&lt;/related-urls&gt;&lt;/urls&gt;&lt;/record&gt;&lt;/Cite&gt;&lt;/EndNote&gt;</w:instrText>
      </w:r>
      <w:r>
        <w:fldChar w:fldCharType="separate"/>
      </w:r>
      <w:bookmarkStart w:id="15" w:name="__Fieldmark__182_915083641"/>
      <w:r>
        <w:rPr/>
        <w:t>[19]</w:t>
      </w:r>
      <w:r>
        <w:rPr/>
      </w:r>
      <w:r>
        <w:fldChar w:fldCharType="end"/>
      </w:r>
      <w:bookmarkEnd w:id="15"/>
      <w:r>
        <w:rPr/>
        <w:t xml:space="preserve">. Since the recommended time to reperfusion after first medical contact is 90 minutes or less, a 60-minute baseline time constraint was considered, allowing 30 minutes from hospital door to first balloon inflation. This time constraint has been used in previous studies focussed on access to PCI </w:t>
      </w:r>
      <w:r>
        <w:fldChar w:fldCharType="begin"/>
      </w:r>
      <w:r>
        <w:instrText> ADDIN EN.CITE &lt;EndNote&gt;&lt;Cite&gt;&lt;Author&gt;Pereira&lt;/Author&gt;&lt;Year&gt;2007&lt;/Year&gt;&lt;RecNum&gt;204&lt;/RecNum&gt;&lt;record&gt;&lt;rec-number&gt;204&lt;/rec-number&gt;&lt;ref-type name='Electronic Journal'&gt;43&lt;/ref-type&gt;&lt;contributors&gt;&lt;authors&gt;&lt;author&gt;Augustine Pereira&lt;/author&gt;&lt;author&gt;Aphrodite Niggebrugge&lt;/author&gt;&lt;author&gt;John Powels&lt;/author&gt;&lt;author&gt;David Kanka&lt;/author&gt;&lt;author&gt;Georgios Lyratzopoulos&lt;/author&gt;&lt;/authors&gt;&lt;/contributors&gt;&lt;titles&gt;&lt;title&gt;Potential generation of geographical inequities by the introduction of primary percutaneous coronary intervention for the management of ST segment elevation myocardial infarction&lt;/title&gt;&lt;secondary-title&gt;International Journal of Health Geographics&lt;/secondary-title&gt;&lt;/titles&gt;&lt;periodical&gt;&lt;full-title&gt;International Journal of Health Geographics&lt;/full-title&gt;&lt;/periodical&gt;&lt;number&gt;43&lt;/number&gt;&lt;dates&gt;&lt;year&gt;2007&lt;/year&gt;&lt;/dates&gt;&lt;urls&gt;&lt;/urls&gt;&lt;/record&gt;&lt;/Cite&gt;&lt;Cite&gt;&lt;Author&gt;Nallamothu&lt;/Author&gt;&lt;Year&gt;2006&lt;/Year&gt;&lt;RecNum&gt;197&lt;/RecNum&gt;&lt;record&gt;&lt;rec-number&gt;197&lt;/rec-number&gt;&lt;ref-type name='Journal Article'&gt;17&lt;/ref-type&gt;&lt;contributors&gt;&lt;authors&gt;&lt;author&gt;Nallamothu, B. K.&lt;/author&gt;&lt;author&gt;Bates, E. R.&lt;/author&gt;&lt;author&gt;Wang, Y. F.&lt;/author&gt;&lt;author&gt;Bradley, E. H.&lt;/author&gt;&lt;author&gt;Krumholz, H. M.&lt;/author&gt;&lt;/authors&gt;&lt;/contributors&gt;&lt;titles&gt;&lt;title&gt;Driving times and distances to hospitals with percutaneous coronary intervention in the United States - Implications for prehospital triage of patients with ST-elevation myocardial infarction&lt;/title&gt;&lt;secondary-title&gt;Circulation&lt;/secondary-title&gt;&lt;/titles&gt;&lt;periodical&gt;&lt;full-title&gt;Circulation&lt;/full-title&gt;&lt;/periodical&gt;&lt;pages&gt;1189-1195&lt;/pages&gt;&lt;volume&gt;113&lt;/volume&gt;&lt;number&gt;9&lt;/number&gt;&lt;dates&gt;&lt;year&gt;2006&lt;/year&gt;&lt;pub-dates&gt;&lt;date&gt;Mar 7&lt;/date&gt;&lt;/pub-dates&gt;&lt;/dates&gt;&lt;accession-num&gt;ISI:000235803400010&lt;/accession-num&gt;&lt;urls&gt;&lt;related-urls&gt;&lt;url&gt;&amp;lt;Go to ISI&amp;gt;://000235803400010 &lt;/url&gt;&lt;/related-urls&gt;&lt;/urls&gt;&lt;/record&gt;&lt;/Cite&gt;&lt;/EndNote&gt;</w:instrText>
      </w:r>
      <w:r>
        <w:fldChar w:fldCharType="separate"/>
      </w:r>
      <w:bookmarkStart w:id="16" w:name="__Fieldmark__183_915083641"/>
      <w:r>
        <w:rPr/>
        <w:t>[19, 31]</w:t>
      </w:r>
      <w:r>
        <w:rPr/>
      </w:r>
      <w:r>
        <w:fldChar w:fldCharType="end"/>
      </w:r>
      <w:bookmarkEnd w:id="16"/>
      <w:r>
        <w:rPr/>
        <w:t xml:space="preserve">. </w:t>
      </w:r>
      <w:r>
        <w:rPr>
          <w:lang w:val="en-US"/>
        </w:rPr>
        <w:t xml:space="preserve">In Canada, one quality of care indicator for acute MI is reperfusion within 120 minutes from first medical contact </w:t>
      </w:r>
      <w:r>
        <w:fldChar w:fldCharType="begin"/>
      </w:r>
      <w:r>
        <w:instrText> ADDIN EN.CITE &lt;EndNote&gt;&lt;Cite&gt;&lt;Author&gt;Tu&lt;/Author&gt;&lt;Year&gt;2008&lt;/Year&gt;&lt;RecNum&gt;218&lt;/RecNum&gt;&lt;record&gt;&lt;rec-number&gt;218&lt;/rec-number&gt;&lt;ref-type name="Journal Article"&gt;17&lt;/ref-type&gt;&lt;contributors&gt;&lt;authors&gt;&lt;author&gt;Tu, J. V.&lt;/author&gt;&lt;author&gt;Khalid, L.&lt;/author&gt;&lt;author&gt;Donovan, L. R.&lt;/author&gt;&lt;author&gt;Ko, D. T.&lt;/author&gt;&lt;/authors&gt;&lt;/contributors&gt;&lt;titles&gt;&lt;title&gt;Indicators of quality of care for patients with acute myocardial infarction&lt;/title&gt;&lt;secondary-title&gt;Canadian Medical Association Journal&lt;/secondary-title&gt;&lt;/titles&gt;&lt;periodical&gt;&lt;full-title&gt;Canadian Medical Association Journal&lt;/full-title&gt;&lt;/periodical&gt;&lt;pages&gt;909-915&lt;/pages&gt;&lt;volume&gt;179&lt;/volume&gt;&lt;number&gt;9&lt;/number&gt;&lt;dates&gt;&lt;year&gt;2008&lt;/year&gt;&lt;pub-dates&gt;&lt;date&gt;Oct 21&lt;/date&gt;&lt;/pub-dates&gt;&lt;/dates&gt;&lt;accession-num&gt;ISI:000259919900015&lt;/accession-num&gt;&lt;urls&gt;&lt;related-urls&gt;&lt;url&gt;&amp;lt;Go to ISI&amp;gt;://000259919900015 &lt;/url&gt;&lt;/related-urls&gt;&lt;/urls&gt;&lt;/record&gt;&lt;/Cite&gt;&lt;/EndNote&gt;</w:instrText>
      </w:r>
      <w:r>
        <w:fldChar w:fldCharType="separate"/>
      </w:r>
      <w:bookmarkStart w:id="17" w:name="__Fieldmark__184_915083641"/>
      <w:r>
        <w:rPr>
          <w:lang w:val="en-US"/>
        </w:rPr>
        <w:t>[32]</w:t>
      </w:r>
      <w:r>
        <w:rPr>
          <w:lang w:val="en-US"/>
        </w:rPr>
      </w:r>
      <w:r>
        <w:fldChar w:fldCharType="end"/>
      </w:r>
      <w:bookmarkEnd w:id="17"/>
      <w:r>
        <w:rPr>
          <w:lang w:val="en-US"/>
        </w:rPr>
        <w:t>.  Recognizing this, additional pre-hospital time scenarios were also considered (90 and 120 minutes).</w:t>
      </w:r>
    </w:p>
    <w:p>
      <w:pPr>
        <w:pStyle w:val="Normal"/>
        <w:spacing w:lineRule="auto" w:line="480"/>
        <w:ind w:firstLine="720"/>
        <w:rPr/>
      </w:pPr>
      <w:r>
        <w:rPr/>
        <w:t>First the DA boundaries were used to calculate individual DA areas and centroids. The population density was calculated at the DA level based on the total population and DA area for each province (residents/km</w:t>
      </w:r>
      <w:r>
        <w:rPr>
          <w:vertAlign w:val="superscript"/>
        </w:rPr>
        <w:t>2</w:t>
      </w:r>
      <w:r>
        <w:rPr/>
        <w:t xml:space="preserve">). The population densities were divided into tertiles with the top third of DA population densities categorized as urban, the middle third categorized as suburban and the bottom third categorized as rural. This density designation was based on a prior study </w:t>
      </w:r>
      <w:r>
        <w:fldChar w:fldCharType="begin"/>
      </w:r>
      <w:r>
        <w:instrText> ADDIN EN.CITE &lt;EndNote&gt;&lt;Cite&gt;&lt;Author&gt;Nallamothu&lt;/Author&gt;&lt;Year&gt;2006&lt;/Year&gt;&lt;RecNum&gt;197&lt;/RecNum&gt;&lt;record&gt;&lt;rec-number&gt;197&lt;/rec-number&gt;&lt;ref-type name="Journal Article"&gt;17&lt;/ref-type&gt;&lt;contributors&gt;&lt;authors&gt;&lt;author&gt;Nallamothu, B. K.&lt;/author&gt;&lt;author&gt;Bates, E. R.&lt;/author&gt;&lt;author&gt;Wang, Y. F.&lt;/author&gt;&lt;author&gt;Bradley, E. H.&lt;/author&gt;&lt;author&gt;Krumholz, H. M.&lt;/author&gt;&lt;/authors&gt;&lt;/contributors&gt;&lt;titles&gt;&lt;title&gt;Driving times and distances to hospitals with percutaneous coronary intervention in the United States - Implications for prehospital triage of patients with ST-elevation myocardial infarction&lt;/title&gt;&lt;secondary-title&gt;Circulation&lt;/secondary-title&gt;&lt;/titles&gt;&lt;periodical&gt;&lt;full-title&gt;Circulation&lt;/full-title&gt;&lt;/periodical&gt;&lt;pages&gt;1189-1195&lt;/pages&gt;&lt;volume&gt;113&lt;/volume&gt;&lt;number&gt;9&lt;/number&gt;&lt;dates&gt;&lt;year&gt;2006&lt;/year&gt;&lt;pub-dates&gt;&lt;date&gt;Mar 7&lt;/date&gt;&lt;/pub-dates&gt;&lt;/dates&gt;&lt;accession-num&gt;ISI:000235803400010&lt;/accession-num&gt;&lt;urls&gt;&lt;related-urls&gt;&lt;url&gt;&amp;lt;Go to ISI&amp;gt;://000235803400010 &lt;/url&gt;&lt;/related-urls&gt;&lt;/urls&gt;&lt;/record&gt;&lt;/Cite&gt;&lt;/EndNote&gt;</w:instrText>
      </w:r>
      <w:r>
        <w:fldChar w:fldCharType="separate"/>
      </w:r>
      <w:bookmarkStart w:id="18" w:name="__Fieldmark__185_915083641"/>
      <w:r>
        <w:rPr/>
        <w:t>[19]</w:t>
      </w:r>
      <w:r>
        <w:rPr/>
      </w:r>
      <w:r>
        <w:fldChar w:fldCharType="end"/>
      </w:r>
      <w:bookmarkEnd w:id="18"/>
      <w:r>
        <w:rPr/>
        <w:t>.</w:t>
      </w:r>
    </w:p>
    <w:p>
      <w:pPr>
        <w:pStyle w:val="Normal"/>
        <w:spacing w:lineRule="auto" w:line="480"/>
        <w:rPr/>
      </w:pPr>
      <w:r>
        <w:rPr/>
        <w:tab/>
        <w:t xml:space="preserve">The Network Analyst extension of ESRI ArcGIS 9.2 was used to evaluate travel time by ground. Travel cost matrices were used to determine the travel time in minutes from each DA centroid to its nearest PCI facility within a province. The travel times were then spatially joined to the DA where travel originated. This method allowed for each DA polygon to have an associated travel time to its nearest facility. In order to more realistically determine pre-hospital times between DA and PCI facilities, additional time factors were added to the baseline travel times. </w:t>
      </w:r>
    </w:p>
    <w:p>
      <w:pPr>
        <w:pStyle w:val="Normal"/>
        <w:spacing w:lineRule="auto" w:line="480"/>
        <w:ind w:firstLine="720"/>
        <w:rPr/>
      </w:pPr>
      <w:r>
        <w:rPr/>
        <w:t xml:space="preserve">These additional times were based on pre-hospital time studies conducted in the United States and accounted for time to dispatch, time to patient and time spent at patient scene. Dispatch times of 1.4 minutes were added to urban and suburban areas and 2.9 minutes were added for dispatch in rural areas </w:t>
      </w:r>
      <w:r>
        <w:fldChar w:fldCharType="begin"/>
      </w:r>
      <w:r>
        <w:instrText> ADDIN EN.CITE &lt;EndNote&gt;&lt;Cite&gt;&lt;Author&gt;Carr&lt;/Author&gt;&lt;Year&gt;2006&lt;/Year&gt;&lt;RecNum&gt;190&lt;/RecNum&gt;&lt;record&gt;&lt;rec-number&gt;190&lt;/rec-number&gt;&lt;ref-type name='Journal Article'&gt;17&lt;/ref-type&gt;&lt;contributors&gt;&lt;authors&gt;&lt;author&gt;Carr, B. G.&lt;/author&gt;&lt;author&gt;Caplan, J. M.&lt;/author&gt;&lt;author&gt;Pryor, J. P.&lt;/author&gt;&lt;author&gt;Branas, C. C.&lt;/author&gt;&lt;/authors&gt;&lt;/contributors&gt;&lt;titles&gt;&lt;title&gt;A meta-analysis of prehospital care times for trauma&lt;/title&gt;&lt;secondary-title&gt;Prehospital Emergency Care&lt;/secondary-title&gt;&lt;/titles&gt;&lt;periodical&gt;&lt;full-title&gt;Prehospital Emergency Care&lt;/full-title&gt;&lt;/periodical&gt;&lt;pages&gt;198-206&lt;/pages&gt;&lt;volume&gt;10&lt;/volume&gt;&lt;number&gt;2&lt;/number&gt;&lt;keywords&gt;&lt;keyword&gt;time&lt;/keyword&gt;&lt;keyword&gt;trauma&lt;/keyword&gt;&lt;keyword&gt;injuries&lt;/keyword&gt;&lt;keyword&gt;emergency medical services&lt;/keyword&gt;&lt;keyword&gt;aircraft&lt;/keyword&gt;&lt;keyword&gt;ambulances&lt;/keyword&gt;&lt;keyword&gt;Advanced life-support&lt;/keyword&gt;&lt;keyword&gt;ground ambulance transport&lt;/keyword&gt;&lt;keyword&gt;scene helicopter&lt;/keyword&gt;&lt;keyword&gt;transport&lt;/keyword&gt;&lt;keyword&gt;abdominal vascular trauma&lt;/keyword&gt;&lt;keyword&gt;severely injured patients&lt;/keyword&gt;&lt;keyword&gt;hospital cardiac-arrest&lt;/keyword&gt;&lt;keyword&gt;major trauma&lt;/keyword&gt;&lt;keyword&gt;blunt trauma&lt;/keyword&gt;&lt;keyword&gt;police&lt;/keyword&gt;&lt;keyword&gt;performance&lt;/keyword&gt;&lt;keyword&gt;severity score&lt;/keyword&gt;&lt;/keywords&gt;&lt;dates&gt;&lt;year&gt;2006&lt;/year&gt;&lt;pub-dates&gt;&lt;date&gt;Apr-Jun&lt;/date&gt;&lt;/pub-dates&gt;&lt;/dates&gt;&lt;accession-num&gt;ISI:000242396600007&lt;/accession-num&gt;&lt;urls&gt;&lt;related-urls&gt;&lt;url&gt;&amp;lt;Go to ISI&amp;gt;://000242396600007 &lt;/url&gt;&lt;/related-urls&gt;&lt;/urls&gt;&lt;/record&gt;&lt;/Cite&gt;&lt;Cite&gt;&lt;Author&gt;Carr&lt;/Author&gt;&lt;Year&gt;2006&lt;/Year&gt;&lt;RecNum&gt;190&lt;/RecNum&gt;&lt;record&gt;&lt;rec-number&gt;190&lt;/rec-number&gt;&lt;ref-type name='Journal Article'&gt;17&lt;/ref-type&gt;&lt;contributors&gt;&lt;authors&gt;&lt;author&gt;Carr, B. G.&lt;/author&gt;&lt;author&gt;Caplan, J. M.&lt;/author&gt;&lt;author&gt;Pryor, J. P.&lt;/author&gt;&lt;author&gt;Branas, C. C.&lt;/author&gt;&lt;/authors&gt;&lt;/contributors&gt;&lt;titles&gt;&lt;title&gt;A meta-analysis of prehospital care times for trauma&lt;/title&gt;&lt;secondary-title&gt;Prehospital Emergency Care&lt;/secondary-title&gt;&lt;/titles&gt;&lt;periodical&gt;&lt;full-title&gt;Prehospital Emergency Care&lt;/full-title&gt;&lt;/periodical&gt;&lt;pages&gt;198-206&lt;/pages&gt;&lt;volume&gt;10&lt;/volume&gt;&lt;number&gt;2&lt;/number&gt;&lt;keywords&gt;&lt;keyword&gt;time&lt;/keyword&gt;&lt;keyword&gt;trauma&lt;/keyword&gt;&lt;keyword&gt;injuries&lt;/keyword&gt;&lt;keyword&gt;emergency medical services&lt;/keyword&gt;&lt;keyword&gt;aircraft&lt;/keyword&gt;&lt;keyword&gt;ambulances&lt;/keyword&gt;&lt;keyword&gt;Advanced life-support&lt;/keyword&gt;&lt;keyword&gt;ground ambulance transport&lt;/keyword&gt;&lt;keyword&gt;scene helicopter&lt;/keyword&gt;&lt;keyword&gt;transport&lt;/keyword&gt;&lt;keyword&gt;abdominal vascular trauma&lt;/keyword&gt;&lt;keyword&gt;severely injured patients&lt;/keyword&gt;&lt;keyword&gt;hospital cardiac-arrest&lt;/keyword&gt;&lt;keyword&gt;major trauma&lt;/keyword&gt;&lt;keyword&gt;blunt trauma&lt;/keyword&gt;&lt;keyword&gt;police&lt;/keyword&gt;&lt;keyword&gt;performance&lt;/keyword&gt;&lt;keyword&gt;severity score&lt;/keyword&gt;&lt;/keywords&gt;&lt;dates&gt;&lt;year&gt;2006&lt;/year&gt;&lt;pub-dates&gt;&lt;date&gt;Apr-Jun&lt;/date&gt;&lt;/pub-dates&gt;&lt;/dates&gt;&lt;accession-num&gt;ISI:000242396600007&lt;/accession-num&gt;&lt;urls&gt;&lt;related-urls&gt;&lt;url&gt;&amp;lt;Go to ISI&amp;gt;://000242396600007 &lt;/url&gt;&lt;/related-urls&gt;&lt;/urls&gt;&lt;/record&gt;&lt;/Cite&gt;&lt;/EndNote&gt;</w:instrText>
      </w:r>
      <w:r>
        <w:fldChar w:fldCharType="separate"/>
      </w:r>
      <w:bookmarkStart w:id="19" w:name="__Fieldmark__186_915083641"/>
      <w:r>
        <w:rPr/>
        <w:t>[33]</w:t>
      </w:r>
      <w:r>
        <w:rPr/>
      </w:r>
      <w:r>
        <w:fldChar w:fldCharType="end"/>
      </w:r>
      <w:bookmarkEnd w:id="19"/>
      <w:r>
        <w:rPr/>
        <w:t xml:space="preserve">. In the absence of information on ambulance locations at time of dispatch, in order to account for the time for an ambulance to reach a patient, empirically derived constants were used based on the literature. Multipliers of 1.6 were used for travel time in urban areas, 1.5 in suburban areas, and 1.4 in rural areas </w:t>
      </w:r>
      <w:r>
        <w:fldChar w:fldCharType="begin"/>
      </w:r>
      <w:r>
        <w:instrText> ADDIN EN.CITE &lt;EndNote&gt;&lt;Cite&gt;&lt;Author&gt;Branas&lt;/Author&gt;&lt;Year&gt;2005&lt;/Year&gt;&lt;RecNum&gt;375&lt;/RecNum&gt;&lt;record&gt;&lt;rec-number&gt;375&lt;/rec-number&gt;&lt;ref-type name='Journal Article'&gt;17&lt;/ref-type&gt;&lt;contributors&gt;&lt;authors&gt;&lt;author&gt;Branas, C. C.&lt;/author&gt;&lt;/authors&gt;&lt;/contributors&gt;&lt;titles&gt;&lt;title&gt;No time to spare: Improving access to trauma centers&lt;/title&gt;&lt;secondary-title&gt;LDI Issue Brief&lt;/secondary-title&gt;&lt;/titles&gt;&lt;periodical&gt;&lt;full-title&gt;LDI Issue Brief&lt;/full-title&gt;&lt;/periodical&gt;&lt;pages&gt;4&lt;/pages&gt;&lt;volume&gt;11&lt;/volume&gt;&lt;number&gt;1&lt;/number&gt;&lt;dates&gt;&lt;year&gt;2005&lt;/year&gt;&lt;pub-dates&gt;&lt;date&gt;Sptember 2005&lt;/date&gt;&lt;/pub-dates&gt;&lt;/dates&gt;&lt;pub-location&gt;Pennsylvania&lt;/pub-location&gt;&lt;publisher&gt;Leonard Davis Institute of Health Economics&lt;/publisher&gt;&lt;urls&gt;&lt;related-urls&gt;&lt;url&gt;http://www.upenn.edu/ldi/issuebrief11_1.pdf&lt;/url&gt;&lt;/related-urls&gt;&lt;/urls&gt;&lt;access-date&gt;April 1, 2006&lt;/access-date&gt;&lt;/record&gt;&lt;/Cite&gt;&lt;Cite&gt;&lt;Author&gt;Branas&lt;/Author&gt;&lt;Year&gt;2005&lt;/Year&gt;&lt;RecNum&gt;345&lt;/RecNum&gt;&lt;record&gt;&lt;rec-number&gt;345&lt;/rec-number&gt;&lt;ref-type name='Journal Article'&gt;17&lt;/ref-type&gt;&lt;contributors&gt;&lt;authors&gt;&lt;author&gt;Branas, C. C.&lt;/author&gt;&lt;author&gt;MacKenzie, E. J.&lt;/author&gt;&lt;author&gt;Williams, J. C.&lt;/author&gt;&lt;author&gt;Schwab, C. W.&lt;/author&gt;&lt;author&gt;Teter, H. M.&lt;/author&gt;&lt;author&gt;Flanigan, M. C.&lt;/author&gt;&lt;author&gt;Blatt, A. J.&lt;/author&gt;&lt;author&gt;ReVelle, C. S.&lt;/author&gt;&lt;/authors&gt;&lt;/contributors&gt;&lt;titles&gt;&lt;title&gt;Access to trauma centers in the United States&lt;/title&gt;&lt;secondary-title&gt;Jama-Journal Of The American Medical Association&lt;/secondary-title&gt;&lt;/titles&gt;&lt;periodical&gt;&lt;full-title&gt;Jama-Journal Of The American Medical Association&lt;/full-title&gt;&lt;/periodical&gt;&lt;pages&gt;2626-2633&lt;/pages&gt;&lt;volume&gt;293&lt;/volume&gt;&lt;number&gt;21&lt;/number&gt;&lt;keywords&gt;&lt;keyword&gt;Injured patients&lt;/keyword&gt;&lt;keyword&gt;travel distances&lt;/keyword&gt;&lt;keyword&gt;system&lt;/keyword&gt;&lt;keyword&gt;mortality&lt;/keyword&gt;&lt;keyword&gt;care&lt;/keyword&gt;&lt;keyword&gt;transport&lt;/keyword&gt;&lt;keyword&gt;impact&lt;/keyword&gt;&lt;keyword&gt;survival&lt;/keyword&gt;&lt;keyword&gt;helicopter&lt;/keyword&gt;&lt;keyword&gt;hospitals&lt;/keyword&gt;&lt;/keywords&gt;&lt;dates&gt;&lt;year&gt;2005&lt;/year&gt;&lt;pub-dates&gt;&lt;date&gt;Jun 1&lt;/date&gt;&lt;/pub-dates&gt;&lt;/dates&gt;&lt;accession-num&gt;ISI:000229443400021&lt;/accession-num&gt;&lt;urls&gt;&lt;related-urls&gt;&lt;url&gt;&amp;lt;Go to ISI&amp;gt;://000229443400021 &lt;/url&gt;&lt;/related-urls&gt;&lt;/urls&gt;&lt;/record&gt;&lt;/Cite&gt;&lt;/EndNote&gt;</w:instrText>
      </w:r>
      <w:r>
        <w:fldChar w:fldCharType="separate"/>
      </w:r>
      <w:bookmarkStart w:id="20" w:name="__Fieldmark__187_915083641"/>
      <w:r>
        <w:rPr/>
        <w:t>[34, 35]</w:t>
      </w:r>
      <w:r>
        <w:rPr/>
      </w:r>
      <w:r>
        <w:fldChar w:fldCharType="end"/>
      </w:r>
      <w:bookmarkEnd w:id="20"/>
      <w:r>
        <w:rPr/>
        <w:t xml:space="preserve">. Time at patient scene was also incorporated through fixed additions of 8 minutes in urban and suburban areas and 9 minutes in rural areas </w:t>
      </w:r>
      <w:r>
        <w:fldChar w:fldCharType="begin"/>
      </w:r>
      <w:r>
        <w:instrText> ADDIN EN.CITE &lt;EndNote&gt;&lt;Cite&gt;&lt;Author&gt;Antman&lt;/Author&gt;&lt;Year&gt;2008&lt;/Year&gt;&lt;RecNum&gt;216&lt;/RecNum&gt;&lt;record&gt;&lt;rec-number&gt;216&lt;/rec-number&gt;&lt;ref-type name='Journal Article'&gt;17&lt;/ref-type&gt;&lt;contributors&gt;&lt;authors&gt;&lt;author&gt;Antman, E. M.&lt;/author&gt;&lt;author&gt;Hand, M.&lt;/author&gt;&lt;author&gt;Armstrong, P. W.&lt;/author&gt;&lt;author&gt;Bates, E. R.&lt;/author&gt;&lt;author&gt;Green, L. A.&lt;/author&gt;&lt;author&gt;Halasyamani, L. K.&lt;/author&gt;&lt;author&gt;Hochman, J. S.&lt;/author&gt;&lt;author&gt;Krumholz, H. M.&lt;/author&gt;&lt;author&gt;Lamas, G. A.&lt;/author&gt;&lt;author&gt;Mullany, C. J.&lt;/author&gt;&lt;author&gt;Pearle, D. L.&lt;/author&gt;&lt;author&gt;Sloan, M. A.&lt;/author&gt;&lt;author&gt;Smith, S. C.&lt;/author&gt;&lt;/authors&gt;&lt;/contributors&gt;&lt;titles&gt;&lt;title&gt;2007 focused update of the ACC/AHA 2004 guidelines for the management of patients with ST-elevation myocardial infarction - A report of the American college of cardiology/American heart association task force on practice guidelines&lt;/title&gt;&lt;secondary-title&gt;Circulation&lt;/secondary-title&gt;&lt;/titles&gt;&lt;periodical&gt;&lt;full-title&gt;Circulation&lt;/full-title&gt;&lt;/periodical&gt;&lt;pages&gt;296-329&lt;/pages&gt;&lt;volume&gt;117&lt;/volume&gt;&lt;number&gt;2&lt;/number&gt;&lt;dates&gt;&lt;year&gt;2008&lt;/year&gt;&lt;pub-dates&gt;&lt;date&gt;Jan 15&lt;/date&gt;&lt;/pub-dates&gt;&lt;/dates&gt;&lt;accession-num&gt;ISI:000252601400026&lt;/accession-num&gt;&lt;urls&gt;&lt;related-urls&gt;&lt;url&gt;&amp;lt;Go to ISI&amp;gt;://000252601400026 &lt;/url&gt;&lt;/related-urls&gt;&lt;/urls&gt;&lt;/record&gt;&lt;/Cite&gt;&lt;Cite&gt;&lt;Author&gt;Nallamothu&lt;/Author&gt;&lt;Year&gt;2006&lt;/Year&gt;&lt;RecNum&gt;197&lt;/RecNum&gt;&lt;record&gt;&lt;rec-number&gt;197&lt;/rec-number&gt;&lt;ref-type name='Journal Article'&gt;17&lt;/ref-type&gt;&lt;contributors&gt;&lt;authors&gt;&lt;author&gt;Nallamothu, B. K.&lt;/author&gt;&lt;author&gt;Bates, E. R.&lt;/author&gt;&lt;author&gt;Wang, Y. F.&lt;/author&gt;&lt;author&gt;Bradley, E. H.&lt;/author&gt;&lt;author&gt;Krumholz, H. M.&lt;/author&gt;&lt;/authors&gt;&lt;/contributors&gt;&lt;titles&gt;&lt;title&gt;Driving times and distances to hospitals with percutaneous coronary intervention in the United States - Implications for prehospital triage of patients with ST-elevation myocardial infarction&lt;/title&gt;&lt;secondary-title&gt;Circulation&lt;/secondary-title&gt;&lt;/titles&gt;&lt;periodical&gt;&lt;full-title&gt;Circulation&lt;/full-title&gt;&lt;/periodical&gt;&lt;pages&gt;1189-1195&lt;/pages&gt;&lt;volume&gt;113&lt;/volume&gt;&lt;number&gt;9&lt;/number&gt;&lt;dates&gt;&lt;year&gt;2006&lt;/year&gt;&lt;pub-dates&gt;&lt;date&gt;Mar 7&lt;/date&gt;&lt;/pub-dates&gt;&lt;/dates&gt;&lt;accession-num&gt;ISI:000235803400010&lt;/accession-num&gt;&lt;urls&gt;&lt;related-urls&gt;&lt;url&gt;&amp;lt;Go to ISI&amp;gt;://000235803400010 &lt;/url&gt;&lt;/related-urls&gt;&lt;/urls&gt;&lt;/record&gt;&lt;/Cite&gt;&lt;/EndNote&gt;</w:instrText>
      </w:r>
      <w:r>
        <w:fldChar w:fldCharType="separate"/>
      </w:r>
      <w:bookmarkStart w:id="21" w:name="__Fieldmark__188_915083641"/>
      <w:r>
        <w:rPr/>
        <w:t>[8, 19]</w:t>
      </w:r>
      <w:r>
        <w:rPr/>
      </w:r>
      <w:r>
        <w:fldChar w:fldCharType="end"/>
      </w:r>
      <w:bookmarkEnd w:id="21"/>
      <w:r>
        <w:rPr/>
        <w:t xml:space="preserve">. </w:t>
      </w:r>
    </w:p>
    <w:p>
      <w:pPr>
        <w:pStyle w:val="Normal"/>
        <w:spacing w:lineRule="auto" w:line="480"/>
        <w:rPr/>
      </w:pPr>
      <w:r>
        <w:rPr/>
        <w:tab/>
        <w:t xml:space="preserve">Sensitivity tests were conducted to allow for an understanding of how changes in the overall travel time would affect the calculation of populations with access. These sensitivity tests could simulate situations where travel time is increased or decreased due to conditions such as changes in speed, changes due to different times of day and changes in weather conditions. Absolute pre-hospital time changes were evaluated based on an increase or decrease of ten minutes to the overall pre-hospital time. Relative pre-hospital time changes were evaluated based on an increase or decrease of 25% to the overall pre-hospital time. One American study showed that approximately 50% of MI patients transport themselves to the hospital </w:t>
      </w:r>
      <w:r>
        <w:fldChar w:fldCharType="begin"/>
      </w:r>
      <w:r>
        <w:instrText> ADDIN EN.CITE &lt;EndNote&gt;&lt;Cite&gt;&lt;Author&gt;Canto&lt;/Author&gt;&lt;Year&gt;2002&lt;/Year&gt;&lt;RecNum&gt;203&lt;/RecNum&gt;&lt;record&gt;&lt;rec-number&gt;203&lt;/rec-number&gt;&lt;ref-type name="Journal Article"&gt;17&lt;/ref-type&gt;&lt;contributors&gt;&lt;authors&gt;&lt;author&gt;Canto, J. G.&lt;/author&gt;&lt;author&gt;Zalenski, R. J.&lt;/author&gt;&lt;author&gt;Ornato, J. P.&lt;/author&gt;&lt;author&gt;Rogers, W. J.&lt;/author&gt;&lt;author&gt;Kiefe, C. I.&lt;/author&gt;&lt;author&gt;Magid, D.&lt;/author&gt;&lt;author&gt;Shlipak, M. G.&lt;/author&gt;&lt;author&gt;Frederick, P. D.&lt;/author&gt;&lt;author&gt;Lambrew, C. G.&lt;/author&gt;&lt;author&gt;Littrell, K. A.&lt;/author&gt;&lt;author&gt;Barron, H. V.&lt;/author&gt;&lt;/authors&gt;&lt;/contributors&gt;&lt;titles&gt;&lt;title&gt;Use of Emergency Medical Services in acute myocardial infarction and subsequent quality of care - Observations from the National Registry of Myocardial Infarction 2&lt;/title&gt;&lt;secondary-title&gt;Circulation&lt;/secondary-title&gt;&lt;/titles&gt;&lt;periodical&gt;&lt;full-title&gt;Circulation&lt;/full-title&gt;&lt;/periodical&gt;&lt;pages&gt;3018-3023&lt;/pages&gt;&lt;volume&gt;106&lt;/volume&gt;&lt;number&gt;24&lt;/number&gt;&lt;keywords&gt;&lt;keyword&gt;myocardial infarction&lt;/keyword&gt;&lt;keyword&gt;chest pain&lt;/keyword&gt;&lt;keyword&gt;ambulances&lt;/keyword&gt;&lt;keyword&gt;emergency medical&lt;/keyword&gt;&lt;keyword&gt;services&lt;/keyword&gt;&lt;keyword&gt;Treatment react trial&lt;/keyword&gt;&lt;keyword&gt;rapid early action&lt;/keyword&gt;&lt;keyword&gt;chest pain&lt;/keyword&gt;&lt;keyword&gt;community&lt;/keyword&gt;&lt;keyword&gt;intervention&lt;/keyword&gt;&lt;keyword&gt;immediate angioplasty&lt;/keyword&gt;&lt;keyword&gt;prehospital delay&lt;/keyword&gt;&lt;keyword&gt;united-states&lt;/keyword&gt;&lt;keyword&gt;patient delay&lt;/keyword&gt;&lt;keyword&gt;association&lt;/keyword&gt;&lt;keyword&gt;symptoms&lt;/keyword&gt;&lt;/keywords&gt;&lt;dates&gt;&lt;year&gt;2002&lt;/year&gt;&lt;pub-dates&gt;&lt;date&gt;Dec 10&lt;/date&gt;&lt;/pub-dates&gt;&lt;/dates&gt;&lt;accession-num&gt;ISI:000179785000019&lt;/accession-num&gt;&lt;urls&gt;&lt;related-urls&gt;&lt;url&gt;&amp;lt;Go to ISI&amp;gt;://000179785000019 &lt;/url&gt;&lt;/related-urls&gt;&lt;/urls&gt;&lt;/record&gt;&lt;/Cite&gt;&lt;/EndNote&gt;</w:instrText>
      </w:r>
      <w:r>
        <w:fldChar w:fldCharType="separate"/>
      </w:r>
      <w:bookmarkStart w:id="22" w:name="__Fieldmark__189_915083641"/>
      <w:r>
        <w:rPr/>
        <w:t>[36]</w:t>
      </w:r>
      <w:r>
        <w:rPr/>
      </w:r>
      <w:r>
        <w:fldChar w:fldCharType="end"/>
      </w:r>
      <w:bookmarkEnd w:id="22"/>
      <w:r>
        <w:rPr/>
        <w:t>. Recognizing this, a final sensitivity test was conducted to model a scenario of patient self transport to a PCI facility. This scenario would remove the dispatch time, time to patient and time at patient scene from the models of pre-hospital time.</w:t>
      </w:r>
    </w:p>
    <w:p>
      <w:pPr>
        <w:pStyle w:val="Normal"/>
        <w:spacing w:lineRule="auto" w:line="480"/>
        <w:rPr/>
      </w:pPr>
      <w:r>
        <w:rPr/>
        <w:tab/>
        <w:t>Population access was determined for each province by selecting those DAs within a specified pre-hospital time and summing the total adult population over 20 years of age within them. This was done separately for each pre-hospital time constraint under consideration (60, 90, and 120 minutes) as well as each sensitivity test. The population with access was then divided by the total adult provincial population to obtain the proportion of the adult population with access.</w:t>
      </w:r>
    </w:p>
    <w:p>
      <w:pPr>
        <w:pStyle w:val="Normal"/>
        <w:spacing w:lineRule="auto" w:line="480"/>
        <w:rPr>
          <w:u w:val="single"/>
        </w:rPr>
      </w:pPr>
      <w:r>
        <w:rPr>
          <w:u w:val="single"/>
        </w:rPr>
        <w:t xml:space="preserve">Hypothetical addition of PCI facilities </w:t>
      </w:r>
    </w:p>
    <w:p>
      <w:pPr>
        <w:pStyle w:val="Normal"/>
        <w:spacing w:lineRule="auto" w:line="480"/>
        <w:rPr/>
      </w:pPr>
      <w:r>
        <w:rPr/>
        <w:t xml:space="preserve">To evaluate how the addition of new facilities would affect the adult population access in Canada, a hypothetical situation was created whereby an additional facility was added to each of the four most populated provinces in the country (Ontario, Quebec, British Columbia and Alberta). The selection of specific urban sites for hypothetical facilities within these four provinces was guided by GIS analysis. The Census Metropolitan Area (CMA) with substantial population density that fell outside of existing timely access zones was selected for each province. Within selected sites, the current major hospital providing advanced services was chosen as the hypothetical location for a new PCI facility. The pre-hospital times were evaluated for these hypothetical PCI facilities using the methods described above for existing facilities.  </w:t>
      </w:r>
    </w:p>
    <w:p>
      <w:pPr>
        <w:pStyle w:val="Normal"/>
        <w:spacing w:lineRule="auto" w:line="480"/>
        <w:rPr>
          <w:b/>
          <w:b/>
        </w:rPr>
      </w:pPr>
      <w:r>
        <w:rPr>
          <w:b/>
        </w:rPr>
        <w:t>Results</w:t>
      </w:r>
    </w:p>
    <w:p>
      <w:pPr>
        <w:pStyle w:val="Normal"/>
        <w:spacing w:lineRule="auto" w:line="480"/>
        <w:rPr>
          <w:u w:val="single"/>
        </w:rPr>
      </w:pPr>
      <w:r>
        <w:rPr>
          <w:u w:val="single"/>
        </w:rPr>
        <w:t>Geographic Analysis of Populations with Timely Access</w:t>
      </w:r>
    </w:p>
    <w:p>
      <w:pPr>
        <w:pStyle w:val="Normal"/>
        <w:spacing w:lineRule="auto" w:line="480"/>
        <w:rPr/>
      </w:pPr>
      <w:r>
        <w:rPr/>
        <w:t xml:space="preserve">The total adult population (≥ 20 years old) in Canada was approximately 23.8 million based on the 2006 Statistics Canada Census. There were 40 PCI facilities identified across Canada. Figure 1 Panel A presents the PCI facilities in each province and illustrates the areas within a pre-hospital time of 60 minutes to PCI facilities. The figure shows that the number of PCI facilities varies by province. For example, Quebec and Ontario have 13 and 14 PCI facilities, respectively, while all three territories and one province (Prince Edward Island) do not have a single facility. </w:t>
      </w:r>
    </w:p>
    <w:p>
      <w:pPr>
        <w:pStyle w:val="Normal"/>
        <w:spacing w:lineRule="auto" w:line="480"/>
        <w:ind w:firstLine="720"/>
        <w:rPr/>
      </w:pPr>
      <w:r>
        <w:rPr/>
        <w:t>Only a small proportion of the country’s geographic area is within 60 minutes of PCI facilities. Despite this, there is actually a reasonably large proportion of the adult population with access. Figure 1 Panel B highlights the population dense areas in Canada where each dot represents 1000 people within a DA. The population density is highest in Ontario and Quebec adjacent to the United States border. There are additional population dense areas on the West Coast of British Columbia and in pockets of southern Alberta. These population-dense areas generally correspond to the location of PCI facilities.</w:t>
      </w:r>
    </w:p>
    <w:p>
      <w:pPr>
        <w:pStyle w:val="Normal"/>
        <w:spacing w:lineRule="auto" w:line="480"/>
        <w:ind w:firstLine="720"/>
        <w:rPr/>
      </w:pPr>
      <w:r>
        <w:rPr/>
        <w:t>Table 1 shows that 59.1% of the Canadian adult population had access to a PCI facility within a 60 minute pre-hospital time, 74.2% had access within 90 minutes and 80.0% had access within 120 minutes. The proportion of adults with timely access to PCI varies greatly, however, across provinces. New Brunswick had the lowest level of population access with only 16.0% of adults living within 60 minutes, while Ontario had the highest level of population access with 75.0% of adults living within 60 minutes of a PCI facility. There was an increase in the proportion with access across all provinces when 90 and 120-minute travel times were modelled.</w:t>
      </w:r>
    </w:p>
    <w:p>
      <w:pPr>
        <w:pStyle w:val="Normal"/>
        <w:spacing w:lineRule="auto" w:line="480"/>
        <w:ind w:firstLine="720"/>
        <w:rPr/>
      </w:pPr>
      <w:r>
        <w:rPr/>
        <w:t xml:space="preserve">Table 2 presents the results of sensitivity analyses. Altering the pre-hospital time by either absolute or relative times did not considerably alter the population access. Overall, the adult population proportion with timely access changed by an average of less than 10% in either direction, with sensitivity analyses of modification of travel time. A patient self-transport scenario suggests an increase of as much as 12% in populations with access, because of the removal of ambulance dispatch and patient loading times (but with caveats mentioned in the Discussion section). </w:t>
      </w:r>
    </w:p>
    <w:p>
      <w:pPr>
        <w:pStyle w:val="Normal"/>
        <w:spacing w:lineRule="auto" w:line="480"/>
        <w:rPr>
          <w:u w:val="single"/>
        </w:rPr>
      </w:pPr>
      <w:r>
        <w:rPr>
          <w:u w:val="single"/>
        </w:rPr>
        <w:t xml:space="preserve">Hypothetical Addition of New PCI Facilities </w:t>
      </w:r>
    </w:p>
    <w:p>
      <w:pPr>
        <w:pStyle w:val="Heading2"/>
        <w:numPr>
          <w:ilvl w:val="1"/>
          <w:numId w:val="1"/>
        </w:numPr>
        <w:spacing w:lineRule="auto" w:line="480" w:before="0" w:after="0"/>
        <w:rPr>
          <w:b w:val="false"/>
          <w:b w:val="false"/>
          <w:bCs w:val="false"/>
          <w:sz w:val="24"/>
        </w:rPr>
      </w:pPr>
      <w:r>
        <w:rPr>
          <w:b w:val="false"/>
          <w:bCs w:val="false"/>
          <w:sz w:val="24"/>
        </w:rPr>
        <w:t xml:space="preserve">Hypothetical new PCI facilities were modeled for Kelowna (BC), Lethbridge (AB), </w:t>
      </w:r>
      <w:hyperlink r:id="rId12">
        <w:r>
          <w:rPr>
            <w:rStyle w:val="Emphasis"/>
            <w:b/>
            <w:bCs/>
            <w:i w:val="false"/>
            <w:sz w:val="24"/>
          </w:rPr>
          <w:t>Trois</w:t>
        </w:r>
        <w:r>
          <w:rPr>
            <w:rStyle w:val="InternetLink"/>
            <w:b/>
            <w:bCs/>
            <w:i/>
            <w:color w:val="000000"/>
            <w:sz w:val="24"/>
            <w:u w:val="none"/>
          </w:rPr>
          <w:t>-</w:t>
        </w:r>
        <w:r>
          <w:rPr>
            <w:rStyle w:val="Emphasis"/>
            <w:b/>
            <w:bCs/>
            <w:i w:val="false"/>
            <w:sz w:val="24"/>
          </w:rPr>
          <w:t>Rivières</w:t>
        </w:r>
      </w:hyperlink>
      <w:r>
        <w:rPr>
          <w:b w:val="false"/>
          <w:bCs w:val="false"/>
          <w:i/>
          <w:sz w:val="24"/>
        </w:rPr>
        <w:t xml:space="preserve"> </w:t>
      </w:r>
      <w:r>
        <w:rPr>
          <w:b w:val="false"/>
          <w:bCs w:val="false"/>
          <w:sz w:val="24"/>
        </w:rPr>
        <w:t xml:space="preserve">(QC) and Saint Catharines (ON), and this resulted in an increase of the population with access within a 60-minute pre-hospital time (Figure 2 and Table 3). The population with access increased between 3.0% and 4.1% depending on provinces and approximately 600,000 adults would gain access in such a scenario of new PCI facilities. </w:t>
      </w:r>
    </w:p>
    <w:p>
      <w:pPr>
        <w:pStyle w:val="Normal"/>
        <w:spacing w:lineRule="auto" w:line="480"/>
        <w:rPr>
          <w:b/>
          <w:b/>
        </w:rPr>
      </w:pPr>
      <w:r>
        <w:rPr>
          <w:b/>
        </w:rPr>
        <w:t>Discussion</w:t>
      </w:r>
    </w:p>
    <w:p>
      <w:pPr>
        <w:pStyle w:val="Normal"/>
        <w:spacing w:lineRule="auto" w:line="480"/>
        <w:ind w:firstLine="720"/>
        <w:rPr>
          <w:b/>
          <w:b/>
        </w:rPr>
      </w:pPr>
      <w:r>
        <w:rPr/>
        <w:t xml:space="preserve">Our findings show that nearly 60% of the Canadian adult population has access to PCI facilities within a pre-hospital time of 60 minutes. However, the level of access varies substantially across provinces. The implication is that if a patient cannot be transported to a hospital within 60 minutes, the 90-minute time-to-reperfusion target for primary PCI may not be met. </w:t>
      </w:r>
    </w:p>
    <w:p>
      <w:pPr>
        <w:pStyle w:val="Normal"/>
        <w:spacing w:lineRule="auto" w:line="480"/>
        <w:ind w:firstLine="720"/>
        <w:rPr/>
      </w:pPr>
      <w:r>
        <w:rPr/>
        <w:t xml:space="preserve">Nallamothu </w:t>
      </w:r>
      <w:r>
        <w:rPr>
          <w:i/>
        </w:rPr>
        <w:t>et al</w:t>
      </w:r>
      <w:r>
        <w:rPr/>
        <w:t xml:space="preserve">. showed that in the United States, nearly 80% of the adult population had geographic access to PCI facilities within a 60-minute pre-hospital time </w:t>
      </w:r>
      <w:r>
        <w:fldChar w:fldCharType="begin"/>
      </w:r>
      <w:r>
        <w:instrText> ADDIN EN.CITE &lt;EndNote&gt;&lt;Cite&gt;&lt;Author&gt;Nallamothu&lt;/Author&gt;&lt;Year&gt;2006&lt;/Year&gt;&lt;RecNum&gt;197&lt;/RecNum&gt;&lt;record&gt;&lt;rec-number&gt;197&lt;/rec-number&gt;&lt;ref-type name="Journal Article"&gt;17&lt;/ref-type&gt;&lt;contributors&gt;&lt;authors&gt;&lt;author&gt;Nallamothu, B. K.&lt;/author&gt;&lt;author&gt;Bates, E. R.&lt;/author&gt;&lt;author&gt;Wang, Y. F.&lt;/author&gt;&lt;author&gt;Bradley, E. H.&lt;/author&gt;&lt;author&gt;Krumholz, H. M.&lt;/author&gt;&lt;/authors&gt;&lt;/contributors&gt;&lt;titles&gt;&lt;title&gt;Driving times and distances to hospitals with percutaneous coronary intervention in the United States - Implications for prehospital triage of patients with ST-elevation myocardial infarction&lt;/title&gt;&lt;secondary-title&gt;Circulation&lt;/secondary-title&gt;&lt;/titles&gt;&lt;periodical&gt;&lt;full-title&gt;Circulation&lt;/full-title&gt;&lt;/periodical&gt;&lt;pages&gt;1189-1195&lt;/pages&gt;&lt;volume&gt;113&lt;/volume&gt;&lt;number&gt;9&lt;/number&gt;&lt;dates&gt;&lt;year&gt;2006&lt;/year&gt;&lt;pub-dates&gt;&lt;date&gt;Mar 7&lt;/date&gt;&lt;/pub-dates&gt;&lt;/dates&gt;&lt;accession-num&gt;ISI:000235803400010&lt;/accession-num&gt;&lt;urls&gt;&lt;related-urls&gt;&lt;url&gt;&amp;lt;Go to ISI&amp;gt;://000235803400010 &lt;/url&gt;&lt;/related-urls&gt;&lt;/urls&gt;&lt;/record&gt;&lt;/Cite&gt;&lt;/EndNote&gt;</w:instrText>
      </w:r>
      <w:r>
        <w:fldChar w:fldCharType="separate"/>
      </w:r>
      <w:bookmarkStart w:id="23" w:name="__Fieldmark__190_915083641"/>
      <w:r>
        <w:rPr/>
        <w:t>[19]</w:t>
      </w:r>
      <w:r>
        <w:rPr/>
      </w:r>
      <w:r>
        <w:fldChar w:fldCharType="end"/>
      </w:r>
      <w:bookmarkEnd w:id="23"/>
      <w:r>
        <w:rPr/>
        <w:t xml:space="preserve">. The geographic access of populations in Canada is thus lower than that of the United States, probably due to the much lower number of PCI facilities in Canada as compared to the US (40 vs. 1176 respectively) as well as differences in the population densities in the two countries. In Canada there is currently one PCI center for approximately every 595,000 adults (23.8 million adults with 40 PCI centers), while the US has one PCI center for approximately every 176,000 adults (207.5 million adults with 1176 PCI centers) </w:t>
      </w:r>
      <w:r>
        <w:fldChar w:fldCharType="begin"/>
      </w:r>
      <w:r>
        <w:instrText> ADDIN EN.CITE &lt;EndNote&gt;&lt;Cite&gt;&lt;Author&gt;Nallamothu&lt;/Author&gt;&lt;Year&gt;2006&lt;/Year&gt;&lt;RecNum&gt;197&lt;/RecNum&gt;&lt;record&gt;&lt;rec-number&gt;197&lt;/rec-number&gt;&lt;ref-type name="Journal Article"&gt;17&lt;/ref-type&gt;&lt;contributors&gt;&lt;authors&gt;&lt;author&gt;Nallamothu, B. K.&lt;/author&gt;&lt;author&gt;Bates, E. R.&lt;/author&gt;&lt;author&gt;Wang, Y. F.&lt;/author&gt;&lt;author&gt;Bradley, E. H.&lt;/author&gt;&lt;author&gt;Krumholz, H. M.&lt;/author&gt;&lt;/authors&gt;&lt;/contributors&gt;&lt;titles&gt;&lt;title&gt;Driving times and distances to hospitals with percutaneous coronary intervention in the United States - Implications for prehospital triage of patients with ST-elevation myocardial infarction&lt;/title&gt;&lt;secondary-title&gt;Circulation&lt;/secondary-title&gt;&lt;/titles&gt;&lt;periodical&gt;&lt;full-title&gt;Circulation&lt;/full-title&gt;&lt;/periodical&gt;&lt;pages&gt;1189-1195&lt;/pages&gt;&lt;volume&gt;113&lt;/volume&gt;&lt;number&gt;9&lt;/number&gt;&lt;dates&gt;&lt;year&gt;2006&lt;/year&gt;&lt;pub-dates&gt;&lt;date&gt;Mar 7&lt;/date&gt;&lt;/pub-dates&gt;&lt;/dates&gt;&lt;accession-num&gt;ISI:000235803400010&lt;/accession-num&gt;&lt;urls&gt;&lt;related-urls&gt;&lt;url&gt;&amp;lt;Go to ISI&amp;gt;://000235803400010 &lt;/url&gt;&lt;/related-urls&gt;&lt;/urls&gt;&lt;/record&gt;&lt;/Cite&gt;&lt;/EndNote&gt;</w:instrText>
      </w:r>
      <w:r>
        <w:fldChar w:fldCharType="separate"/>
      </w:r>
      <w:bookmarkStart w:id="24" w:name="__Fieldmark__191_915083641"/>
      <w:r>
        <w:rPr/>
        <w:t>[19]</w:t>
      </w:r>
      <w:r>
        <w:rPr/>
      </w:r>
      <w:r>
        <w:fldChar w:fldCharType="end"/>
      </w:r>
      <w:bookmarkEnd w:id="24"/>
      <w:r>
        <w:rPr/>
        <w:t xml:space="preserve">. </w:t>
      </w:r>
    </w:p>
    <w:p>
      <w:pPr>
        <w:pStyle w:val="Normal"/>
        <w:spacing w:lineRule="auto" w:line="480"/>
        <w:ind w:firstLine="360"/>
        <w:rPr/>
      </w:pPr>
      <w:r>
        <w:rPr/>
        <w:t xml:space="preserve">The hypothetical addition of facilities in four provinces increases the population proportion with timely access. In Ontario, for example, a province with relatively high population access due to a recent expansion of PCI facilities, the hypothetical addition of a PCI facility could provide additional access to nearly 275,000 adults. This type of GIS analysis could be applied to other provinces. The impact could be even more notable in terms of relative percentage of population with access if a new facility is added to a ‘low access’ province like New Brunswick, where increasing access to as few as 75,000 more adults could increase the provincial percentage with access by nearly 15%. Other studies have also shown that adding facilities to currently underserved areas improves access to PCI </w:t>
      </w:r>
      <w:r>
        <w:fldChar w:fldCharType="begin"/>
      </w:r>
      <w:r>
        <w:instrText> ADDIN EN.CITE &lt;EndNote&gt;&lt;Cite&gt;&lt;Author&gt;Pereira&lt;/Author&gt;&lt;Year&gt;2007&lt;/Year&gt;&lt;RecNum&gt;204&lt;/RecNum&gt;&lt;record&gt;&lt;rec-number&gt;204&lt;/rec-number&gt;&lt;ref-type name="Electronic Journal"&gt;43&lt;/ref-type&gt;&lt;contributors&gt;&lt;authors&gt;&lt;author&gt;Augustine Pereira&lt;/author&gt;&lt;author&gt;Aphrodite Niggebrugge&lt;/author&gt;&lt;author&gt;John Powels&lt;/author&gt;&lt;author&gt;David Kanka&lt;/author&gt;&lt;author&gt;Georgios Lyratzopoulos&lt;/author&gt;&lt;/authors&gt;&lt;/contributors&gt;&lt;titles&gt;&lt;title&gt;Potential generation of geographical inequities by the introduction of primary percutaneous coronary intervention for the management of ST segment elevation myocardial infarction&lt;/title&gt;&lt;secondary-title&gt;International Journal of Health Geographics&lt;/secondary-title&gt;&lt;/titles&gt;&lt;periodical&gt;&lt;full-title&gt;International Journal of Health Geographics&lt;/full-title&gt;&lt;/periodical&gt;&lt;number&gt;43&lt;/number&gt;&lt;dates&gt;&lt;year&gt;2007&lt;/year&gt;&lt;/dates&gt;&lt;urls&gt;&lt;/urls&gt;&lt;/record&gt;&lt;/Cite&gt;&lt;/EndNote&gt;</w:instrText>
      </w:r>
      <w:r>
        <w:fldChar w:fldCharType="separate"/>
      </w:r>
      <w:bookmarkStart w:id="25" w:name="__Fieldmark__192_915083641"/>
      <w:r>
        <w:rPr/>
        <w:t>[31]</w:t>
      </w:r>
      <w:r>
        <w:rPr/>
      </w:r>
      <w:r>
        <w:fldChar w:fldCharType="end"/>
      </w:r>
      <w:bookmarkEnd w:id="25"/>
      <w:r>
        <w:rPr/>
        <w:t xml:space="preserve">. </w:t>
      </w:r>
    </w:p>
    <w:p>
      <w:pPr>
        <w:pStyle w:val="Normal"/>
        <w:spacing w:lineRule="auto" w:line="480"/>
        <w:rPr/>
      </w:pPr>
      <w:r>
        <w:rPr/>
        <w:tab/>
        <w:t xml:space="preserve">However, the logistics of adding new PCI facilities is complex. </w:t>
      </w:r>
      <w:r>
        <w:rPr>
          <w:lang w:val="en-US"/>
        </w:rPr>
        <w:t xml:space="preserve">Barriers such as lack of funding, lack of experienced PCI operators and lack of technical staff are some of the reasons why 24-hour PCI facilities do not exist in all PCI-hospitals </w:t>
      </w:r>
      <w:r>
        <w:fldChar w:fldCharType="begin"/>
      </w:r>
      <w:r>
        <w:instrText> ADDIN EN.CITE &lt;EndNote&gt;&lt;Cite&gt;&lt;Author&gt;Kristensen&lt;/Author&gt;&lt;Year&gt;2004&lt;/Year&gt;&lt;RecNum&gt;331&lt;/RecNum&gt;&lt;record&gt;&lt;rec-number&gt;331&lt;/rec-number&gt;&lt;ref-type name="Journal Article"&gt;17&lt;/ref-type&gt;&lt;contributors&gt;&lt;authors&gt;&lt;author&gt;Kristensen, S. D.&lt;/author&gt;&lt;author&gt;Andersen, H. R.&lt;/author&gt;&lt;author&gt;Thuesen, L.&lt;/author&gt;&lt;author&gt;Krusell, L. R.&lt;/author&gt;&lt;author&gt;Botker, H. E.&lt;/author&gt;&lt;author&gt;Lassen, J. F.&lt;/author&gt;&lt;author&gt;Nielsen, T. T.&lt;/author&gt;&lt;/authors&gt;&lt;/contributors&gt;&lt;titles&gt;&lt;title&gt;Should patients with acute ST elevation MI be transferred for primary PCI?&lt;/title&gt;&lt;secondary-title&gt;Heart&lt;/secondary-title&gt;&lt;/titles&gt;&lt;periodical&gt;&lt;full-title&gt;Heart&lt;/full-title&gt;&lt;/periodical&gt;&lt;pages&gt;1358-1363&lt;/pages&gt;&lt;volume&gt;90&lt;/volume&gt;&lt;number&gt;11&lt;/number&gt;&lt;keywords&gt;&lt;keyword&gt;Acute myocardial-infarction&lt;/keyword&gt;&lt;keyword&gt;primary angioplasty&lt;/keyword&gt;&lt;keyword&gt;immediate&lt;/keyword&gt;&lt;keyword&gt;thrombolysis&lt;/keyword&gt;&lt;keyword&gt;randomized-trial&lt;/keyword&gt;&lt;keyword&gt;prehospital fibrinolysis&lt;/keyword&gt;&lt;keyword&gt;coronary&lt;/keyword&gt;&lt;keyword&gt;angioplasty&lt;/keyword&gt;&lt;keyword&gt;mortality&lt;/keyword&gt;&lt;keyword&gt;strategy&lt;/keyword&gt;&lt;keyword&gt;therapy&lt;/keyword&gt;&lt;keyword&gt;metaanalysis&lt;/keyword&gt;&lt;/keywords&gt;&lt;dates&gt;&lt;year&gt;2004&lt;/year&gt;&lt;pub-dates&gt;&lt;date&gt;Nov&lt;/date&gt;&lt;/pub-dates&gt;&lt;/dates&gt;&lt;accession-num&gt;ISI:000224477000031&lt;/accession-num&gt;&lt;urls&gt;&lt;related-urls&gt;&lt;url&gt;&amp;lt;Go to ISI&amp;gt;://000224477000031 &lt;/url&gt;&lt;/related-urls&gt;&lt;/urls&gt;&lt;/record&gt;&lt;/Cite&gt;&lt;/EndNote&gt;</w:instrText>
      </w:r>
      <w:r>
        <w:fldChar w:fldCharType="separate"/>
      </w:r>
      <w:bookmarkStart w:id="26" w:name="__Fieldmark__193_915083641"/>
      <w:r>
        <w:rPr>
          <w:lang w:val="en-US"/>
        </w:rPr>
        <w:t>[37]</w:t>
      </w:r>
      <w:r>
        <w:rPr>
          <w:lang w:val="en-US"/>
        </w:rPr>
      </w:r>
      <w:r>
        <w:fldChar w:fldCharType="end"/>
      </w:r>
      <w:bookmarkEnd w:id="26"/>
      <w:r>
        <w:rPr>
          <w:lang w:val="en-US"/>
        </w:rPr>
        <w:t xml:space="preserve">. Another consideration when locating a PCI facility is its distance to the nearest cardiac surgery facility. Furthermore, </w:t>
      </w:r>
      <w:r>
        <w:rPr/>
        <w:t>regardless of how many PCI facilities are added, there will always be some inequity in population access to primary PCI. Some Canadians, as there are Americans, will not be able to access PCI for STEMI care simply because of the great geographic expanse and remoteness of certain areas of Canada.</w:t>
      </w:r>
    </w:p>
    <w:p>
      <w:pPr>
        <w:pStyle w:val="Normal"/>
        <w:spacing w:lineRule="auto" w:line="480"/>
        <w:ind w:firstLine="360"/>
        <w:rPr>
          <w:color w:val="FF0000"/>
        </w:rPr>
      </w:pPr>
      <w:r>
        <w:rPr/>
        <w:t>Our analysis is focused on the geographic feasibility of various time scenarios. This contributes to the foundation for STEMI care models, but our findings do not in and of themselves constitute a care model. Building upon the information presented here, individual centers and/or health regions and provinces need to decide if the implementation of a regional STEMI care model is feasible. Some considerations are operational hours for PCI facilities, local protocols for inter-hospital transfer and transfer for rescue PCI, balanced consideration of lytic therapy options and the overall structure of regional emergency medical services</w:t>
      </w:r>
      <w:r>
        <w:fldChar w:fldCharType="begin"/>
      </w:r>
      <w:r>
        <w:instrText> ADDIN EN.CITE &lt;EndNote&gt;&lt;Cite&gt;&lt;Author&gt;Travers&lt;/Author&gt;&lt;Year&gt;2007&lt;/Year&gt;&lt;RecNum&gt;41&lt;/RecNum&gt;&lt;record&gt;&lt;rec-number&gt;41&lt;/rec-number&gt;&lt;ref-type name="Journal Article"&gt;17&lt;/ref-type&gt;&lt;contributors&gt;&lt;authors&gt;&lt;author&gt;Travers, A.&lt;/author&gt;&lt;/authors&gt;&lt;/contributors&gt;&lt;titles&gt;&lt;title&gt;Achieving optimal care for ST-segment elevation myocardial infarction in Canada&lt;/title&gt;&lt;secondary-title&gt;Canadian Medical Association Journal&lt;/secondary-title&gt;&lt;/titles&gt;&lt;periodical&gt;&lt;full-title&gt;Canadian Medical Association Journal&lt;/full-title&gt;&lt;/periodical&gt;&lt;pages&gt;1843-1844&lt;/pages&gt;&lt;volume&gt;176&lt;/volume&gt;&lt;number&gt;13&lt;/number&gt;&lt;dates&gt;&lt;year&gt;2007&lt;/year&gt;&lt;pub-dates&gt;&lt;date&gt;Jun 19&lt;/date&gt;&lt;/pub-dates&gt;&lt;/dates&gt;&lt;accession-num&gt;ISI:000247145700012&lt;/accession-num&gt;&lt;urls&gt;&lt;related-urls&gt;&lt;url&gt;&amp;lt;Go to ISI&amp;gt;://000247145700012 &lt;/url&gt;&lt;/related-urls&gt;&lt;/urls&gt;&lt;/record&gt;&lt;/Cite&gt;&lt;/EndNote&gt;</w:instrText>
      </w:r>
      <w:r>
        <w:fldChar w:fldCharType="separate"/>
      </w:r>
      <w:bookmarkStart w:id="27" w:name="__Fieldmark__194_915083641"/>
      <w:r>
        <w:rPr/>
        <w:t>[38]</w:t>
      </w:r>
      <w:r>
        <w:rPr/>
      </w:r>
      <w:r>
        <w:fldChar w:fldCharType="end"/>
      </w:r>
      <w:bookmarkEnd w:id="27"/>
      <w:r>
        <w:rPr/>
        <w:t xml:space="preserve">. Canadian examples of successful STEMI care models involving regional access to direct PCI have been demonstrated and can provide guidance for the implementation of other local regional care models </w:t>
      </w:r>
      <w:r>
        <w:fldChar w:fldCharType="begin"/>
      </w:r>
      <w:r>
        <w:instrText> ADDIN EN.CITE &lt;EndNote&gt;&lt;Cite&gt;&lt;Author&gt;de Villiers&lt;/Author&gt;&lt;Year&gt;2007&lt;/Year&gt;&lt;RecNum&gt;53&lt;/RecNum&gt;&lt;record&gt;&lt;rec-number&gt;53&lt;/rec-number&gt;&lt;ref-type name='Journal Article'&gt;17&lt;/ref-type&gt;&lt;contributors&gt;&lt;authors&gt;&lt;author&gt;de Villiers, J. S.&lt;/author&gt;&lt;author&gt;Anderson, T.&lt;/author&gt;&lt;author&gt;McMeekin, J. D.&lt;/author&gt;&lt;author&gt;Leung, R. C. M.&lt;/author&gt;&lt;author&gt;Traboulsi, M.&lt;/author&gt;&lt;/authors&gt;&lt;/contributors&gt;&lt;titles&gt;&lt;title&gt;Expedited transfer for primary percutaneous coronary intervention: a program evaluation&lt;/title&gt;&lt;secondary-title&gt;Canadian Medical Association Journal&lt;/secondary-title&gt;&lt;/titles&gt;&lt;periodical&gt;&lt;full-title&gt;Canadian Medical Association Journal&lt;/full-title&gt;&lt;/periodical&gt;&lt;pages&gt;1833-1838&lt;/pages&gt;&lt;volume&gt;176&lt;/volume&gt;&lt;number&gt;13&lt;/number&gt;&lt;keywords&gt;&lt;keyword&gt;Acute myocardial-infarction&lt;/keyword&gt;&lt;keyword&gt;intravenous thrombolytic therapy&lt;/keyword&gt;&lt;keyword&gt;to-balloon times&lt;/keyword&gt;&lt;keyword&gt;primary angioplasty&lt;/keyword&gt;&lt;keyword&gt;prehospital electrocardiogram&lt;/keyword&gt;&lt;keyword&gt;fibrinolytic therapy&lt;/keyword&gt;&lt;keyword&gt;randomized trials&lt;/keyword&gt;&lt;keyword&gt;national-registry&lt;/keyword&gt;&lt;keyword&gt;immediate&lt;/keyword&gt;&lt;keyword&gt;thrombolysis&lt;/keyword&gt;&lt;keyword&gt;early mortality&lt;/keyword&gt;&lt;/keywords&gt;&lt;dates&gt;&lt;year&gt;2007&lt;/year&gt;&lt;pub-dates&gt;&lt;date&gt;Jun 19&lt;/date&gt;&lt;/pub-dates&gt;&lt;/dates&gt;&lt;accession-num&gt;ISI:000247145700010&lt;/accession-num&gt;&lt;urls&gt;&lt;related-urls&gt;&lt;url&gt;&amp;lt;Go to ISI&amp;gt;://000247145700010 &lt;/url&gt;&lt;/related-urls&gt;&lt;/urls&gt;&lt;/record&gt;&lt;/Cite&gt;&lt;Cite&gt;&lt;Author&gt;Le May&lt;/Author&gt;&lt;Year&gt;2008&lt;/Year&gt;&lt;RecNum&gt;27&lt;/RecNum&gt;&lt;record&gt;&lt;rec-number&gt;27&lt;/rec-number&gt;&lt;ref-type name='Journal Article'&gt;17&lt;/ref-type&gt;&lt;contributors&gt;&lt;authors&gt;&lt;author&gt;Le May, M. R.&lt;/author&gt;&lt;author&gt;So, D. Y.&lt;/author&gt;&lt;author&gt;Dionne, R.&lt;/author&gt;&lt;author&gt;Glover, C. A.&lt;/author&gt;&lt;author&gt;Froeschl, M. P. V.&lt;/author&gt;&lt;author&gt;Wells, G. A.&lt;/author&gt;&lt;author&gt;Davies, R. F.&lt;/author&gt;&lt;author&gt;Sherrard, H. L.&lt;/author&gt;&lt;author&gt;Maloney, J.&lt;/author&gt;&lt;author&gt;Marquis, J. F.&lt;/author&gt;&lt;author&gt;O&amp;apos;Brien, E. R.&lt;/author&gt;&lt;author&gt;Trickett, J.&lt;/author&gt;&lt;author&gt;Poirier, P.&lt;/author&gt;&lt;author&gt;Ryan, S. C.&lt;/author&gt;&lt;author&gt;Ha, A.&lt;/author&gt;&lt;author&gt;Joseph, P. G.&lt;/author&gt;&lt;author&gt;Labinaz, M.&lt;/author&gt;&lt;/authors&gt;&lt;/contributors&gt;&lt;titles&gt;&lt;title&gt;A citywide protocol for primary PCI in ST-segment elevation myocardial infarction&lt;/title&gt;&lt;secondary-title&gt;New England Journal Of Medicine&lt;/secondary-title&gt;&lt;/titles&gt;&lt;periodical&gt;&lt;full-title&gt;New England Journal Of Medicine&lt;/full-title&gt;&lt;/periodical&gt;&lt;pages&gt;231-240&lt;/pages&gt;&lt;volume&gt;358&lt;/volume&gt;&lt;number&gt;3&lt;/number&gt;&lt;keywords&gt;&lt;keyword&gt;Percutaneous coronary intervention&lt;/keyword&gt;&lt;keyword&gt;to-balloon time&lt;/keyword&gt;&lt;keyword&gt;primary&lt;/keyword&gt;&lt;keyword&gt;angioplasty&lt;/keyword&gt;&lt;keyword&gt;immediate thrombolysis&lt;/keyword&gt;&lt;keyword&gt;randomized-trials&lt;/keyword&gt;&lt;keyword&gt;united-states&lt;/keyword&gt;&lt;keyword&gt;mortality&lt;/keyword&gt;&lt;keyword&gt;transport&lt;/keyword&gt;&lt;keyword&gt;registry&lt;/keyword&gt;&lt;keyword&gt;therapy&lt;/keyword&gt;&lt;/keywords&gt;&lt;dates&gt;&lt;year&gt;2008&lt;/year&gt;&lt;pub-dates&gt;&lt;date&gt;Jan 17&lt;/date&gt;&lt;/pub-dates&gt;&lt;/dates&gt;&lt;accession-num&gt;ISI:000252375600004&lt;/accession-num&gt;&lt;urls&gt;&lt;related-urls&gt;&lt;url&gt;&amp;lt;Go to ISI&amp;gt;://000252375600004 &lt;/url&gt;&lt;/related-urls&gt;&lt;/urls&gt;&lt;/record&gt;&lt;/Cite&gt;&lt;/EndNote&gt;</w:instrText>
      </w:r>
      <w:r>
        <w:fldChar w:fldCharType="separate"/>
      </w:r>
      <w:bookmarkStart w:id="28" w:name="__Fieldmark__195_915083641"/>
      <w:r>
        <w:rPr/>
        <w:t>[12, 14]</w:t>
      </w:r>
      <w:r>
        <w:rPr/>
      </w:r>
      <w:r>
        <w:fldChar w:fldCharType="end"/>
      </w:r>
      <w:bookmarkEnd w:id="28"/>
      <w:r>
        <w:rPr/>
        <w:t>.</w:t>
      </w:r>
    </w:p>
    <w:p>
      <w:pPr>
        <w:pStyle w:val="Normal"/>
        <w:spacing w:lineRule="auto" w:line="480"/>
        <w:ind w:firstLine="360"/>
        <w:rPr/>
      </w:pPr>
      <w:r>
        <w:rPr/>
        <w:t xml:space="preserve">There are limitations to our study and caveats to its application. This analysis looked at geographic access in terms of a best-case scenario where all PCI facilities are providing primary PCI on a 24/7 schedule. However, there are PCI facilities in Canada that currently do not provide primary PCI and that do not operate on a 24/7 schedule </w:t>
      </w:r>
      <w:r>
        <w:fldChar w:fldCharType="begin"/>
      </w:r>
      <w:r>
        <w:instrText> ADDIN EN.CITE &lt;EndNote&gt;&lt;Cite&gt;&lt;Author&gt;Ko&lt;/Author&gt;&lt;Year&gt;2008&lt;/Year&gt;&lt;RecNum&gt;213&lt;/RecNum&gt;&lt;record&gt;&lt;rec-number&gt;213&lt;/rec-number&gt;&lt;ref-type name="Journal Article"&gt;17&lt;/ref-type&gt;&lt;contributors&gt;&lt;authors&gt;&lt;author&gt;Ko, D. T.&lt;/author&gt;&lt;author&gt;Donavan, L. R.&lt;/author&gt;&lt;author&gt;Huynh, T.&lt;/author&gt;&lt;author&gt;Rinfret, S.&lt;/author&gt;&lt;author&gt;So, D.&lt;/author&gt;&lt;author&gt;Love, M. P.&lt;/author&gt;&lt;author&gt;Galbraith, D.&lt;/author&gt;&lt;author&gt;Tu, J. V.&lt;/author&gt;&lt;/authors&gt;&lt;/contributors&gt;&lt;titles&gt;&lt;title&gt;A Survey of Primary Percutaneous Coronary Intervention for Patients with ST -segment elevation myocardial infarction in Canadian Hospitals&amp;#xD;&lt;/title&gt;&lt;secondary-title&gt;Canadian Journal Of Cardiology&lt;/secondary-title&gt;&lt;/titles&gt;&lt;periodical&gt;&lt;full-title&gt;Canadian Journal Of Cardiology&lt;/full-title&gt;&lt;/periodical&gt;&lt;pages&gt;839-43&lt;/pages&gt;&lt;volume&gt;24&lt;/volume&gt;&lt;number&gt;11&lt;/number&gt;&lt;dates&gt;&lt;year&gt;2008&lt;/year&gt;&lt;/dates&gt;&lt;urls&gt;&lt;/urls&gt;&lt;/record&gt;&lt;/Cite&gt;&lt;/EndNote&gt;</w:instrText>
      </w:r>
      <w:r>
        <w:fldChar w:fldCharType="separate"/>
      </w:r>
      <w:bookmarkStart w:id="29" w:name="__Fieldmark__196_915083641"/>
      <w:r>
        <w:rPr/>
        <w:t>[39]</w:t>
      </w:r>
      <w:r>
        <w:rPr/>
      </w:r>
      <w:r>
        <w:fldChar w:fldCharType="end"/>
      </w:r>
      <w:bookmarkEnd w:id="29"/>
      <w:r>
        <w:rPr/>
        <w:t xml:space="preserve">. Also, the pre-hospital times used in this study were based on assumptions founded on emergency transport studies conducted in the United States. Although, travel in the United States and Canada could be different, our sensitivity tests provide estimates of the proportions of population with timely access to primary PCI with adjustments in pre-hospital travel times. Also, a previous study using different methods had similar findings for population access within 90 minutes by ground ambulance to PCI in Alberta (69.6 versus 68.7 in this study) </w:t>
      </w:r>
      <w:r>
        <w:fldChar w:fldCharType="begin"/>
      </w:r>
      <w:r>
        <w:instrText> ADDIN EN.CITE &lt;EndNote&gt;&lt;Cite&gt;&lt;Author&gt;Patel&lt;/Author&gt;&lt;Year&gt;2007&lt;/Year&gt;&lt;RecNum&gt;129&lt;/RecNum&gt;&lt;record&gt;&lt;rec-number&gt;129&lt;/rec-number&gt;&lt;ref-type name="Electronic Journal"&gt;43&lt;/ref-type&gt;&lt;contributors&gt;&lt;authors&gt;&lt;author&gt;Patel, A.&lt;/author&gt;&lt;author&gt;Waters, N.&lt;/author&gt;&lt;author&gt;Ghali, W.&lt;/author&gt;&lt;/authors&gt;&lt;/contributors&gt;&lt;titles&gt;&lt;title&gt;Determining geographic areas and populations with timely access to cardiac catheterization facilities for acute myocardial infarction care in Alberta, Canada&lt;/title&gt;&lt;secondary-title&gt;International Journal of Health Geographics&lt;/secondary-title&gt;&lt;/titles&gt;&lt;periodical&gt;&lt;full-title&gt;International Journal of Health Geographics&lt;/full-title&gt;&lt;/periodical&gt;&lt;volume&gt;6&lt;/volume&gt;&lt;number&gt;47&lt;/number&gt;&lt;dates&gt;&lt;year&gt;2007&lt;/year&gt;&lt;/dates&gt;&lt;urls&gt;&lt;related-urls&gt;&lt;url&gt;http://www.ij-healthgeographics.com/content/6/1/47&lt;/url&gt;&lt;/related-urls&gt;&lt;/urls&gt;&lt;/record&gt;&lt;/Cite&gt;&lt;/EndNote&gt;</w:instrText>
      </w:r>
      <w:r>
        <w:fldChar w:fldCharType="separate"/>
      </w:r>
      <w:bookmarkStart w:id="30" w:name="__Fieldmark__197_915083641"/>
      <w:r>
        <w:rPr/>
        <w:t>[40]</w:t>
      </w:r>
      <w:r>
        <w:rPr/>
      </w:r>
      <w:r>
        <w:fldChar w:fldCharType="end"/>
      </w:r>
      <w:bookmarkEnd w:id="30"/>
      <w:r>
        <w:rPr/>
        <w:t xml:space="preserve">. The results from the sensitivity tests and comparison to a prior study show that the variations in assumptions for travel time do not greatly alter the measure of population access to PCI. </w:t>
      </w:r>
    </w:p>
    <w:p>
      <w:pPr>
        <w:pStyle w:val="Normal"/>
        <w:spacing w:lineRule="auto" w:line="480"/>
        <w:ind w:firstLine="360"/>
        <w:rPr>
          <w:b/>
          <w:b/>
        </w:rPr>
      </w:pPr>
      <w:r>
        <w:rPr/>
        <w:t xml:space="preserve">The focus of this study was on prehospital times; we did not consider in-hospital delays that can be important barriers to timely primary PCI. Also, although self-transport of STEMI patients may increase the proportion of patients with timely access to primary PCI, these patients may have longer in-hospital delay due to prolonged triage time </w:t>
      </w:r>
      <w:r>
        <w:fldChar w:fldCharType="begin"/>
      </w:r>
      <w:r>
        <w:instrText> ADDIN EN.CITE &lt;EndNote&gt;&lt;Cite&gt;&lt;Author&gt;Canto&lt;/Author&gt;&lt;Year&gt;2002&lt;/Year&gt;&lt;RecNum&gt;203&lt;/RecNum&gt;&lt;record&gt;&lt;rec-number&gt;203&lt;/rec-number&gt;&lt;ref-type name="Journal Article"&gt;17&lt;/ref-type&gt;&lt;contributors&gt;&lt;authors&gt;&lt;author&gt;Canto, J. G.&lt;/author&gt;&lt;author&gt;Zalenski, R. J.&lt;/author&gt;&lt;author&gt;Ornato, J. P.&lt;/author&gt;&lt;author&gt;Rogers, W. J.&lt;/author&gt;&lt;author&gt;Kiefe, C. I.&lt;/author&gt;&lt;author&gt;Magid, D.&lt;/author&gt;&lt;author&gt;Shlipak, M. G.&lt;/author&gt;&lt;author&gt;Frederick, P. D.&lt;/author&gt;&lt;author&gt;Lambrew, C. G.&lt;/author&gt;&lt;author&gt;Littrell, K. A.&lt;/author&gt;&lt;author&gt;Barron, H. V.&lt;/author&gt;&lt;/authors&gt;&lt;/contributors&gt;&lt;titles&gt;&lt;title&gt;Use of Emergency Medical Services in acute myocardial infarction and subsequent quality of care - Observations from the National Registry of Myocardial Infarction 2&lt;/title&gt;&lt;secondary-title&gt;Circulation&lt;/secondary-title&gt;&lt;/titles&gt;&lt;periodical&gt;&lt;full-title&gt;Circulation&lt;/full-title&gt;&lt;/periodical&gt;&lt;pages&gt;3018-3023&lt;/pages&gt;&lt;volume&gt;106&lt;/volume&gt;&lt;number&gt;24&lt;/number&gt;&lt;keywords&gt;&lt;keyword&gt;myocardial infarction&lt;/keyword&gt;&lt;keyword&gt;chest pain&lt;/keyword&gt;&lt;keyword&gt;ambulances&lt;/keyword&gt;&lt;keyword&gt;emergency medical&lt;/keyword&gt;&lt;keyword&gt;services&lt;/keyword&gt;&lt;keyword&gt;Treatment react trial&lt;/keyword&gt;&lt;keyword&gt;rapid early action&lt;/keyword&gt;&lt;keyword&gt;chest pain&lt;/keyword&gt;&lt;keyword&gt;community&lt;/keyword&gt;&lt;keyword&gt;intervention&lt;/keyword&gt;&lt;keyword&gt;immediate angioplasty&lt;/keyword&gt;&lt;keyword&gt;prehospital delay&lt;/keyword&gt;&lt;keyword&gt;united-states&lt;/keyword&gt;&lt;keyword&gt;patient delay&lt;/keyword&gt;&lt;keyword&gt;association&lt;/keyword&gt;&lt;keyword&gt;symptoms&lt;/keyword&gt;&lt;/keywords&gt;&lt;dates&gt;&lt;year&gt;2002&lt;/year&gt;&lt;pub-dates&gt;&lt;date&gt;Dec 10&lt;/date&gt;&lt;/pub-dates&gt;&lt;/dates&gt;&lt;accession-num&gt;ISI:000179785000019&lt;/accession-num&gt;&lt;urls&gt;&lt;related-urls&gt;&lt;url&gt;&amp;lt;Go to ISI&amp;gt;://000179785000019 &lt;/url&gt;&lt;/related-urls&gt;&lt;/urls&gt;&lt;/record&gt;&lt;/Cite&gt;&lt;/EndNote&gt;</w:instrText>
      </w:r>
      <w:r>
        <w:fldChar w:fldCharType="separate"/>
      </w:r>
      <w:bookmarkStart w:id="31" w:name="__Fieldmark__198_915083641"/>
      <w:r>
        <w:rPr/>
        <w:t>[36]</w:t>
      </w:r>
      <w:r>
        <w:rPr/>
      </w:r>
      <w:r>
        <w:fldChar w:fldCharType="end"/>
      </w:r>
      <w:bookmarkEnd w:id="31"/>
      <w:r>
        <w:rPr/>
        <w:t>. Because of that consideration, and other benefits of pre-hospital care, we certainly do not advocate self transportation to save pre-hospital times, despite our geographic analysis findings.</w:t>
      </w:r>
    </w:p>
    <w:p>
      <w:pPr>
        <w:pStyle w:val="Normal"/>
        <w:spacing w:lineRule="auto" w:line="480"/>
        <w:ind w:firstLine="360"/>
        <w:rPr>
          <w:b/>
          <w:b/>
        </w:rPr>
      </w:pPr>
      <w:r>
        <w:rPr/>
        <w:t xml:space="preserve">In summary, our study evaluated the geographic areas with access to primary PCI, and provides information on the areas within Canada where timely access to PCI facilities is possible, and where regional STEMI care models could be implemented. This study demonstrates the potential utility of GIS analysis to inform strategic health system infrastructure decisions. These findings provide a foundation of knowledge for care providers and decision makers to explore approaches to improving access to urgent PCI-based STEMI care. </w:t>
      </w:r>
    </w:p>
    <w:p>
      <w:pPr>
        <w:pStyle w:val="Normal"/>
        <w:spacing w:lineRule="auto" w:line="480"/>
        <w:rPr>
          <w:b/>
          <w:b/>
        </w:rPr>
      </w:pPr>
      <w:r>
        <w:rPr>
          <w:b/>
        </w:rPr>
      </w:r>
    </w:p>
    <w:p>
      <w:pPr>
        <w:pStyle w:val="Normal"/>
        <w:spacing w:lineRule="auto" w:line="480"/>
        <w:rPr>
          <w:b/>
          <w:b/>
        </w:rPr>
      </w:pPr>
      <w:r>
        <w:rPr>
          <w:b/>
        </w:rPr>
      </w:r>
    </w:p>
    <w:p>
      <w:pPr>
        <w:pStyle w:val="Normal"/>
        <w:spacing w:lineRule="auto" w:line="480"/>
        <w:rPr>
          <w:b/>
          <w:b/>
        </w:rPr>
      </w:pPr>
      <w:r>
        <w:rPr>
          <w:b/>
        </w:rPr>
      </w:r>
    </w:p>
    <w:p>
      <w:pPr>
        <w:pStyle w:val="Normal"/>
        <w:spacing w:lineRule="auto" w:line="480"/>
        <w:rPr>
          <w:b/>
          <w:b/>
        </w:rPr>
      </w:pPr>
      <w:r>
        <w:rPr>
          <w:b/>
        </w:rPr>
      </w:r>
    </w:p>
    <w:p>
      <w:pPr>
        <w:pStyle w:val="Normal"/>
        <w:spacing w:lineRule="auto" w:line="480"/>
        <w:rPr>
          <w:b/>
          <w:b/>
        </w:rPr>
      </w:pPr>
      <w:r>
        <w:rPr>
          <w:b/>
        </w:rPr>
      </w:r>
    </w:p>
    <w:p>
      <w:pPr>
        <w:pStyle w:val="Normal"/>
        <w:spacing w:lineRule="auto" w:line="480"/>
        <w:rPr>
          <w:b/>
          <w:b/>
        </w:rPr>
      </w:pPr>
      <w:r>
        <w:rPr>
          <w:b/>
        </w:rPr>
      </w:r>
    </w:p>
    <w:p>
      <w:pPr>
        <w:pStyle w:val="Normal"/>
        <w:spacing w:lineRule="auto" w:line="480"/>
        <w:rPr>
          <w:b/>
          <w:b/>
        </w:rPr>
      </w:pPr>
      <w:r>
        <w:rPr>
          <w:b/>
        </w:rPr>
      </w:r>
    </w:p>
    <w:p>
      <w:pPr>
        <w:pStyle w:val="Normal"/>
        <w:spacing w:lineRule="auto" w:line="480"/>
        <w:rPr>
          <w:b/>
          <w:b/>
        </w:rPr>
      </w:pPr>
      <w:r>
        <w:rPr>
          <w:b/>
        </w:rPr>
      </w:r>
    </w:p>
    <w:p>
      <w:pPr>
        <w:pStyle w:val="Normal"/>
        <w:spacing w:lineRule="auto" w:line="480"/>
        <w:rPr>
          <w:b/>
          <w:b/>
        </w:rPr>
      </w:pPr>
      <w:r>
        <w:rPr>
          <w:b/>
        </w:rPr>
      </w:r>
    </w:p>
    <w:p>
      <w:pPr>
        <w:pStyle w:val="Normal"/>
        <w:spacing w:lineRule="auto" w:line="480"/>
        <w:rPr>
          <w:b/>
          <w:b/>
        </w:rPr>
      </w:pPr>
      <w:r>
        <w:rPr>
          <w:b/>
        </w:rPr>
      </w:r>
    </w:p>
    <w:p>
      <w:pPr>
        <w:pStyle w:val="Normal"/>
        <w:spacing w:lineRule="auto" w:line="480"/>
        <w:rPr>
          <w:b/>
          <w:b/>
          <w:bCs/>
        </w:rPr>
      </w:pPr>
      <w:r>
        <w:rPr>
          <w:b/>
          <w:bCs/>
        </w:rPr>
      </w:r>
    </w:p>
    <w:p>
      <w:pPr>
        <w:pStyle w:val="Normal"/>
        <w:spacing w:lineRule="auto" w:line="480"/>
        <w:rPr>
          <w:b/>
          <w:b/>
          <w:bCs/>
        </w:rPr>
      </w:pPr>
      <w:r>
        <w:rPr>
          <w:b/>
          <w:bCs/>
        </w:rPr>
      </w:r>
    </w:p>
    <w:p>
      <w:pPr>
        <w:pStyle w:val="Normal"/>
        <w:spacing w:lineRule="auto" w:line="480"/>
        <w:rPr>
          <w:b/>
          <w:b/>
          <w:bCs/>
        </w:rPr>
      </w:pPr>
      <w:r>
        <w:rPr>
          <w:b/>
          <w:bCs/>
        </w:rPr>
      </w:r>
    </w:p>
    <w:p>
      <w:pPr>
        <w:pStyle w:val="Normal"/>
        <w:spacing w:lineRule="auto" w:line="480"/>
        <w:rPr>
          <w:b/>
          <w:b/>
          <w:bCs/>
        </w:rPr>
      </w:pPr>
      <w:r>
        <w:rPr>
          <w:b/>
          <w:bCs/>
        </w:rPr>
      </w:r>
    </w:p>
    <w:p>
      <w:pPr>
        <w:pStyle w:val="Normal"/>
        <w:spacing w:lineRule="auto" w:line="480"/>
        <w:rPr/>
      </w:pPr>
      <w:r>
        <w:rPr>
          <w:b/>
          <w:bCs/>
        </w:rPr>
        <w:t>Contributors</w:t>
      </w:r>
      <w:r>
        <w:rPr>
          <w:b/>
        </w:rPr>
        <w:t xml:space="preserve"> </w:t>
      </w:r>
    </w:p>
    <w:p>
      <w:pPr>
        <w:pStyle w:val="Normal"/>
        <w:spacing w:lineRule="auto" w:line="480"/>
        <w:rPr/>
      </w:pPr>
      <w:r>
        <w:rPr/>
        <w:t>All of the authors contributed to the conception</w:t>
      </w:r>
      <w:r>
        <w:rPr>
          <w:vertAlign w:val="superscript"/>
        </w:rPr>
        <w:t xml:space="preserve"> </w:t>
      </w:r>
      <w:r>
        <w:rPr/>
        <w:t>and design of the study and to the interpretation of the data. Alka Patel acquired the data, performed the analysis and drafted</w:t>
      </w:r>
      <w:r>
        <w:rPr>
          <w:vertAlign w:val="superscript"/>
        </w:rPr>
        <w:t xml:space="preserve"> </w:t>
      </w:r>
      <w:r>
        <w:rPr/>
        <w:t>the manuscript.  William Ghali and Nigel Waters provided supervision and oversight of all aspects of the project.  All of the listed authors revised the article for important</w:t>
      </w:r>
      <w:r>
        <w:rPr>
          <w:vertAlign w:val="superscript"/>
        </w:rPr>
        <w:t xml:space="preserve"> </w:t>
      </w:r>
      <w:r>
        <w:rPr/>
        <w:t>intellectual content and approved the final version submitted</w:t>
      </w:r>
      <w:r>
        <w:rPr>
          <w:vertAlign w:val="superscript"/>
        </w:rPr>
        <w:t xml:space="preserve"> </w:t>
      </w:r>
      <w:r>
        <w:rPr/>
        <w:t>for publication.</w:t>
      </w:r>
    </w:p>
    <w:p>
      <w:pPr>
        <w:pStyle w:val="Normal"/>
        <w:spacing w:lineRule="auto" w:line="480"/>
        <w:rPr>
          <w:b/>
          <w:b/>
          <w:bCs/>
        </w:rPr>
      </w:pPr>
      <w:r>
        <w:rPr>
          <w:b/>
          <w:bCs/>
        </w:rPr>
      </w:r>
    </w:p>
    <w:p>
      <w:pPr>
        <w:pStyle w:val="Normal"/>
        <w:spacing w:lineRule="auto" w:line="480"/>
        <w:rPr>
          <w:b/>
          <w:b/>
          <w:bCs/>
        </w:rPr>
      </w:pPr>
      <w:r>
        <w:rPr>
          <w:b/>
          <w:bCs/>
        </w:rPr>
        <w:t>Acknowledgements</w:t>
      </w:r>
    </w:p>
    <w:p>
      <w:pPr>
        <w:pStyle w:val="Normal"/>
        <w:spacing w:lineRule="auto" w:line="480"/>
        <w:rPr/>
      </w:pPr>
      <w:r>
        <w:rPr/>
        <w:t xml:space="preserve">The authors would like to thank research members of the Canadian Cardiovascular Outcomes Research Team (CCORT) and the </w:t>
      </w:r>
      <w:r>
        <w:rPr>
          <w:lang w:val="en-US"/>
        </w:rPr>
        <w:t xml:space="preserve">Alberta Provincial Project for Outcome Assessment in Coronary Heart Disease (APPROACH) </w:t>
      </w:r>
      <w:r>
        <w:rPr/>
        <w:t>for their comments on this study</w:t>
      </w:r>
      <w:r>
        <w:rPr>
          <w:lang w:val="en-US"/>
        </w:rPr>
        <w:t xml:space="preserve">. </w:t>
      </w:r>
    </w:p>
    <w:p>
      <w:pPr>
        <w:pStyle w:val="Normal"/>
        <w:spacing w:lineRule="auto" w:line="480"/>
        <w:ind w:firstLine="720"/>
        <w:rPr>
          <w:lang w:val="en-US"/>
        </w:rPr>
      </w:pPr>
      <w:r>
        <w:rPr>
          <w:lang w:val="en-US"/>
        </w:rPr>
      </w:r>
    </w:p>
    <w:p>
      <w:pPr>
        <w:pStyle w:val="Normal"/>
        <w:spacing w:lineRule="auto" w:line="480"/>
        <w:ind w:firstLine="720"/>
        <w:rPr>
          <w:lang w:val="en-US"/>
        </w:rPr>
      </w:pPr>
      <w:r>
        <w:rPr>
          <w:lang w:val="en-US"/>
        </w:rPr>
      </w:r>
    </w:p>
    <w:p>
      <w:pPr>
        <w:pStyle w:val="Normal"/>
        <w:spacing w:lineRule="auto" w:line="480"/>
        <w:rPr>
          <w:b/>
          <w:b/>
          <w:lang w:val="en-US"/>
        </w:rPr>
      </w:pPr>
      <w:r>
        <w:rPr>
          <w:b/>
          <w:lang w:val="en-US"/>
        </w:rPr>
      </w:r>
    </w:p>
    <w:p>
      <w:pPr>
        <w:pStyle w:val="Normal"/>
        <w:spacing w:lineRule="auto" w:line="480"/>
        <w:rPr>
          <w:b/>
          <w:b/>
        </w:rPr>
      </w:pPr>
      <w:r>
        <w:rPr>
          <w:b/>
        </w:rPr>
      </w:r>
    </w:p>
    <w:p>
      <w:pPr>
        <w:pStyle w:val="Normal"/>
        <w:spacing w:lineRule="auto" w:line="480"/>
        <w:rPr>
          <w:b/>
          <w:b/>
        </w:rPr>
      </w:pPr>
      <w:r>
        <w:rPr>
          <w:b/>
        </w:rPr>
      </w:r>
    </w:p>
    <w:p>
      <w:pPr>
        <w:pStyle w:val="Normal"/>
        <w:spacing w:lineRule="auto" w:line="480"/>
        <w:rPr>
          <w:b/>
          <w:b/>
        </w:rPr>
      </w:pPr>
      <w:r>
        <w:rPr>
          <w:b/>
        </w:rPr>
      </w:r>
    </w:p>
    <w:p>
      <w:pPr>
        <w:pStyle w:val="Normal"/>
        <w:spacing w:lineRule="auto" w:line="480"/>
        <w:rPr>
          <w:b/>
          <w:b/>
        </w:rPr>
      </w:pPr>
      <w:r>
        <w:rPr>
          <w:b/>
        </w:rPr>
      </w:r>
    </w:p>
    <w:p>
      <w:pPr>
        <w:pStyle w:val="Normal"/>
        <w:spacing w:lineRule="auto" w:line="480"/>
        <w:rPr>
          <w:b/>
          <w:b/>
        </w:rPr>
      </w:pPr>
      <w:r>
        <w:rPr>
          <w:b/>
        </w:rPr>
      </w:r>
    </w:p>
    <w:p>
      <w:pPr>
        <w:pStyle w:val="Normal"/>
        <w:spacing w:lineRule="auto" w:line="480"/>
        <w:rPr>
          <w:b/>
          <w:b/>
        </w:rPr>
      </w:pPr>
      <w:r>
        <w:rPr>
          <w:b/>
        </w:rPr>
      </w:r>
    </w:p>
    <w:p>
      <w:pPr>
        <w:pStyle w:val="Normal"/>
        <w:spacing w:lineRule="auto" w:line="480"/>
        <w:rPr>
          <w:b/>
          <w:b/>
        </w:rPr>
      </w:pPr>
      <w:r>
        <w:rPr>
          <w:b/>
        </w:rPr>
      </w:r>
    </w:p>
    <w:p>
      <w:pPr>
        <w:pStyle w:val="Normal"/>
        <w:spacing w:lineRule="auto" w:line="480"/>
        <w:rPr>
          <w:b/>
          <w:b/>
        </w:rPr>
      </w:pPr>
      <w:r>
        <w:rPr>
          <w:b/>
        </w:rPr>
      </w:r>
    </w:p>
    <w:p>
      <w:pPr>
        <w:pStyle w:val="Normal"/>
        <w:spacing w:lineRule="auto" w:line="480"/>
        <w:rPr>
          <w:b/>
          <w:b/>
        </w:rPr>
      </w:pPr>
      <w:r>
        <w:rPr>
          <w:b/>
        </w:rPr>
      </w:r>
    </w:p>
    <w:p>
      <w:pPr>
        <w:pStyle w:val="Normal"/>
        <w:spacing w:lineRule="auto" w:line="480"/>
        <w:rPr>
          <w:b/>
          <w:b/>
        </w:rPr>
      </w:pPr>
      <w:r>
        <w:rPr>
          <w:b/>
        </w:rPr>
        <w:t>References</w:t>
      </w:r>
    </w:p>
    <w:p>
      <w:pPr>
        <w:pStyle w:val="Normal"/>
        <w:spacing w:lineRule="auto" w:line="480"/>
        <w:ind w:left="720" w:hanging="720"/>
        <w:rPr>
          <w:b/>
          <w:b/>
        </w:rPr>
      </w:pPr>
      <w:r>
        <w:rPr>
          <w:b/>
        </w:rPr>
      </w:r>
    </w:p>
    <w:p>
      <w:pPr>
        <w:pStyle w:val="Normal"/>
        <w:spacing w:lineRule="auto" w:line="480"/>
        <w:ind w:left="720" w:hanging="720"/>
        <w:rPr/>
      </w:pPr>
      <w:r>
        <w:rPr/>
      </w:r>
    </w:p>
    <w:p>
      <w:pPr>
        <w:pStyle w:val="Normal"/>
        <w:spacing w:lineRule="auto" w:line="480"/>
        <w:ind w:left="720" w:hanging="720"/>
        <w:rPr/>
      </w:pPr>
      <w:r>
        <w:rPr/>
      </w:r>
    </w:p>
    <w:p>
      <w:pPr>
        <w:pStyle w:val="Normal"/>
        <w:spacing w:lineRule="auto" w:line="480"/>
        <w:ind w:left="720" w:hanging="720"/>
        <w:rPr/>
      </w:pPr>
      <w:r>
        <w:rPr/>
      </w:r>
    </w:p>
    <w:p>
      <w:pPr>
        <w:pStyle w:val="Normal"/>
        <w:spacing w:lineRule="auto" w:line="480"/>
        <w:ind w:left="720" w:hanging="720"/>
        <w:rPr/>
      </w:pPr>
      <w:r>
        <w:rPr/>
      </w:r>
    </w:p>
    <w:p>
      <w:pPr>
        <w:pStyle w:val="Normal"/>
        <w:spacing w:lineRule="auto" w:line="480"/>
        <w:ind w:left="720" w:hanging="720"/>
        <w:rPr/>
      </w:pPr>
      <w:r>
        <w:rPr/>
      </w:r>
    </w:p>
    <w:p>
      <w:pPr>
        <w:pStyle w:val="Normal"/>
        <w:spacing w:lineRule="auto" w:line="480"/>
        <w:ind w:left="720" w:hanging="720"/>
        <w:rPr/>
      </w:pPr>
      <w:r>
        <w:rPr/>
      </w:r>
    </w:p>
    <w:p>
      <w:pPr>
        <w:pStyle w:val="Normal"/>
        <w:spacing w:lineRule="auto" w:line="480"/>
        <w:ind w:left="720" w:hanging="720"/>
        <w:rPr/>
      </w:pPr>
      <w:r>
        <w:rPr/>
      </w:r>
    </w:p>
    <w:p>
      <w:pPr>
        <w:pStyle w:val="Normal"/>
        <w:spacing w:lineRule="auto" w:line="480"/>
        <w:ind w:left="720" w:hanging="720"/>
        <w:rPr/>
      </w:pPr>
      <w:r>
        <w:rPr/>
      </w:r>
    </w:p>
    <w:p>
      <w:pPr>
        <w:pStyle w:val="Normal"/>
        <w:spacing w:lineRule="auto" w:line="480"/>
        <w:ind w:left="720" w:hanging="720"/>
        <w:rPr/>
      </w:pPr>
      <w:r>
        <w:rPr/>
      </w:r>
    </w:p>
    <w:p>
      <w:pPr>
        <w:pStyle w:val="Normal"/>
        <w:spacing w:lineRule="auto" w:line="480"/>
        <w:ind w:left="720" w:hanging="720"/>
        <w:rPr/>
      </w:pPr>
      <w:r>
        <w:rPr/>
      </w:r>
    </w:p>
    <w:p>
      <w:pPr>
        <w:pStyle w:val="Normal"/>
        <w:spacing w:lineRule="auto" w:line="480"/>
        <w:ind w:left="720" w:hanging="720"/>
        <w:rPr/>
      </w:pPr>
      <w:r>
        <w:rPr/>
      </w:r>
    </w:p>
    <w:p>
      <w:pPr>
        <w:pStyle w:val="Normal"/>
        <w:spacing w:lineRule="auto" w:line="480"/>
        <w:ind w:left="720" w:hanging="720"/>
        <w:rPr/>
      </w:pPr>
      <w:r>
        <w:rPr/>
      </w:r>
    </w:p>
    <w:p>
      <w:pPr>
        <w:pStyle w:val="Normal"/>
        <w:spacing w:lineRule="auto" w:line="480"/>
        <w:ind w:left="720" w:hanging="720"/>
        <w:rPr/>
      </w:pPr>
      <w:r>
        <w:rPr/>
      </w:r>
    </w:p>
    <w:p>
      <w:pPr>
        <w:pStyle w:val="Normal"/>
        <w:spacing w:lineRule="auto" w:line="480"/>
        <w:ind w:left="720" w:hanging="720"/>
        <w:rPr/>
      </w:pPr>
      <w:r>
        <w:rPr/>
        <w:t>Figure 1: Geographic access to percutaneous coronary intervention (PCI) in Canada and Dot Density map of population within Canada</w:t>
      </w:r>
    </w:p>
    <w:p>
      <w:pPr>
        <w:pStyle w:val="Normal"/>
        <w:spacing w:lineRule="auto" w:line="480"/>
        <w:rPr/>
      </w:pPr>
      <w:r>
        <w:rPr/>
      </w:r>
    </w:p>
    <w:p>
      <w:pPr>
        <w:pStyle w:val="Normal"/>
        <w:spacing w:lineRule="auto" w:line="480"/>
        <w:rPr/>
      </w:pPr>
      <w:r>
        <w:rPr/>
        <w:t>Panel A shows the geographic areas by dissemination area that have access to PCI within a 60-minute prehospital time. The number of PCI facilities in each province is highlighted. Panel B is a dot density map highlighting the location of dissemination areas in Canada with a population count of 1000 or more people.</w:t>
      </w:r>
    </w:p>
    <w:p>
      <w:pPr>
        <w:pStyle w:val="Normal"/>
        <w:spacing w:lineRule="auto" w:line="480"/>
        <w:ind w:left="720" w:hanging="72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t>Figure 2: Geographic access to percutaneous coronary intervention (PCI) in four provinces with the addition of a hypothetical facility</w:t>
      </w:r>
    </w:p>
    <w:p>
      <w:pPr>
        <w:pStyle w:val="Normal"/>
        <w:spacing w:lineRule="auto" w:line="480"/>
        <w:rPr/>
      </w:pPr>
      <w:r>
        <w:rPr/>
      </w:r>
    </w:p>
    <w:p>
      <w:pPr>
        <w:pStyle w:val="Normal"/>
        <w:spacing w:lineRule="auto" w:line="480"/>
        <w:rPr/>
      </w:pPr>
      <w:r>
        <w:rPr/>
        <w:t>This figure highlights the areas selected for the addition of a hypothetical facility in the four most populated provinces in Canada. It shows an increase in areas with access when a hypothetical facility is added.</w:t>
      </w:r>
    </w:p>
    <w:p>
      <w:pPr>
        <w:pStyle w:val="Normal"/>
        <w:spacing w:lineRule="auto" w:line="480"/>
        <w:rPr/>
      </w:pPr>
      <w:r>
        <w:rPr/>
      </w:r>
    </w:p>
    <w:p>
      <w:pPr>
        <w:pStyle w:val="Normal"/>
        <w:spacing w:lineRule="auto" w:line="480"/>
        <w:ind w:left="720" w:hanging="720"/>
        <w:rPr/>
      </w:pPr>
      <w:r>
        <w:rPr/>
      </w:r>
    </w:p>
    <w:p>
      <w:pPr>
        <w:pStyle w:val="Normal"/>
        <w:spacing w:lineRule="auto" w:line="480"/>
        <w:ind w:left="720" w:hanging="720"/>
        <w:rPr/>
      </w:pPr>
      <w:r>
        <w:rPr/>
      </w:r>
    </w:p>
    <w:p>
      <w:pPr>
        <w:pStyle w:val="Normal"/>
        <w:spacing w:lineRule="auto" w:line="480"/>
        <w:ind w:left="720" w:hanging="720"/>
        <w:rPr/>
      </w:pPr>
      <w:r>
        <w:rPr/>
      </w:r>
    </w:p>
    <w:p>
      <w:pPr>
        <w:pStyle w:val="Normal"/>
        <w:spacing w:lineRule="auto" w:line="480"/>
        <w:ind w:left="720" w:hanging="720"/>
        <w:rPr/>
      </w:pPr>
      <w:r>
        <w:rPr/>
      </w:r>
    </w:p>
    <w:p>
      <w:pPr>
        <w:pStyle w:val="Normal"/>
        <w:spacing w:lineRule="auto" w:line="480"/>
        <w:ind w:left="720" w:hanging="720"/>
        <w:rPr/>
      </w:pPr>
      <w:r>
        <w:rPr/>
      </w:r>
    </w:p>
    <w:p>
      <w:pPr>
        <w:pStyle w:val="Normal"/>
        <w:spacing w:lineRule="auto" w:line="480"/>
        <w:ind w:left="720" w:hanging="720"/>
        <w:rPr/>
      </w:pPr>
      <w:r>
        <w:rPr/>
      </w:r>
    </w:p>
    <w:p>
      <w:pPr>
        <w:pStyle w:val="Normal"/>
        <w:spacing w:lineRule="auto" w:line="480"/>
        <w:ind w:left="720" w:hanging="720"/>
        <w:rPr/>
      </w:pPr>
      <w:r>
        <w:rPr/>
      </w:r>
    </w:p>
    <w:p>
      <w:pPr>
        <w:pStyle w:val="Normal"/>
        <w:spacing w:lineRule="auto" w:line="480"/>
        <w:ind w:left="720" w:hanging="720"/>
        <w:rPr/>
      </w:pPr>
      <w:r>
        <w:rPr/>
      </w:r>
    </w:p>
    <w:p>
      <w:pPr>
        <w:pStyle w:val="Normal"/>
        <w:spacing w:lineRule="auto" w:line="480"/>
        <w:ind w:left="720" w:hanging="720"/>
        <w:rPr/>
      </w:pPr>
      <w:r>
        <w:rPr/>
      </w:r>
    </w:p>
    <w:p>
      <w:pPr>
        <w:pStyle w:val="Normal"/>
        <w:spacing w:lineRule="auto" w:line="480"/>
        <w:ind w:left="720" w:hanging="720"/>
        <w:rPr/>
      </w:pPr>
      <w:r>
        <w:rPr/>
      </w:r>
    </w:p>
    <w:p>
      <w:pPr>
        <w:pStyle w:val="Normal"/>
        <w:spacing w:lineRule="auto" w:line="480"/>
        <w:ind w:left="720" w:hanging="720"/>
        <w:rPr/>
      </w:pPr>
      <w:r>
        <w:rPr/>
      </w:r>
    </w:p>
    <w:p>
      <w:pPr>
        <w:pStyle w:val="Normal"/>
        <w:spacing w:lineRule="auto" w:line="480"/>
        <w:ind w:left="720" w:hanging="720"/>
        <w:rPr/>
      </w:pPr>
      <w:r>
        <w:rPr/>
      </w:r>
    </w:p>
    <w:p>
      <w:pPr>
        <w:pStyle w:val="Normal"/>
        <w:spacing w:lineRule="auto" w:line="480"/>
        <w:ind w:left="720" w:hanging="720"/>
        <w:rPr/>
      </w:pPr>
      <w:r>
        <w:rPr/>
      </w:r>
    </w:p>
    <w:p>
      <w:pPr>
        <w:pStyle w:val="Normal"/>
        <w:spacing w:lineRule="auto" w:line="480"/>
        <w:ind w:left="720" w:hanging="720"/>
        <w:rPr/>
      </w:pPr>
      <w:r>
        <w:rPr/>
      </w:r>
    </w:p>
    <w:p>
      <w:pPr>
        <w:pStyle w:val="Normal"/>
        <w:spacing w:lineRule="auto" w:line="480"/>
        <w:ind w:left="720" w:hanging="720"/>
        <w:rPr/>
      </w:pPr>
      <w:r>
        <w:rPr/>
      </w:r>
    </w:p>
    <w:p>
      <w:pPr>
        <w:pStyle w:val="Normal"/>
        <w:spacing w:lineRule="auto" w:line="480"/>
        <w:rPr/>
      </w:pPr>
      <w:r>
        <w:rPr/>
      </w:r>
    </w:p>
    <w:p>
      <w:pPr>
        <w:pStyle w:val="Normal"/>
        <w:spacing w:lineRule="auto" w:line="480"/>
        <w:rPr/>
      </w:pPr>
      <w:r>
        <w:rPr>
          <w:lang w:val="en-US"/>
        </w:rPr>
        <w:t xml:space="preserve">Table 1: </w:t>
      </w:r>
      <w:r>
        <w:rPr/>
        <w:t>Adult population with access to PCI (proportion by province)</w:t>
      </w:r>
    </w:p>
    <w:tbl>
      <w:tblPr>
        <w:tblW w:w="8475" w:type="dxa"/>
        <w:jc w:val="left"/>
        <w:tblInd w:w="93" w:type="dxa"/>
        <w:tblBorders/>
        <w:tblCellMar>
          <w:top w:w="0" w:type="dxa"/>
          <w:left w:w="108" w:type="dxa"/>
          <w:bottom w:w="0" w:type="dxa"/>
          <w:right w:w="108" w:type="dxa"/>
        </w:tblCellMar>
      </w:tblPr>
      <w:tblGrid>
        <w:gridCol w:w="2175"/>
        <w:gridCol w:w="1440"/>
        <w:gridCol w:w="1440"/>
        <w:gridCol w:w="1440"/>
        <w:gridCol w:w="1980"/>
      </w:tblGrid>
      <w:tr>
        <w:trPr>
          <w:trHeight w:val="255" w:hRule="atLeast"/>
        </w:trPr>
        <w:tc>
          <w:tcPr>
            <w:tcW w:w="2175" w:type="dxa"/>
            <w:tcBorders/>
            <w:shd w:fill="auto" w:val="clear"/>
            <w:vAlign w:val="bottom"/>
          </w:tcPr>
          <w:p>
            <w:pPr>
              <w:pStyle w:val="Normal"/>
              <w:snapToGrid w:val="false"/>
              <w:rPr/>
            </w:pPr>
            <w:r>
              <w:rPr/>
            </w:r>
          </w:p>
        </w:tc>
        <w:tc>
          <w:tcPr>
            <w:tcW w:w="4320" w:type="dxa"/>
            <w:gridSpan w:val="3"/>
            <w:tcBorders/>
            <w:shd w:fill="auto" w:val="clear"/>
            <w:vAlign w:val="center"/>
          </w:tcPr>
          <w:p>
            <w:pPr>
              <w:pStyle w:val="Normal"/>
              <w:jc w:val="center"/>
              <w:rPr/>
            </w:pPr>
            <w:r>
              <w:rPr/>
              <w:t>Pre-hospital Time</w:t>
            </w:r>
          </w:p>
        </w:tc>
        <w:tc>
          <w:tcPr>
            <w:tcW w:w="1980" w:type="dxa"/>
            <w:tcBorders/>
            <w:shd w:fill="auto" w:val="clear"/>
            <w:vAlign w:val="center"/>
          </w:tcPr>
          <w:p>
            <w:pPr>
              <w:pStyle w:val="Normal"/>
              <w:jc w:val="center"/>
              <w:rPr/>
            </w:pPr>
            <w:r>
              <w:rPr/>
              <w:t>Total Adult Population</w:t>
            </w:r>
          </w:p>
        </w:tc>
      </w:tr>
      <w:tr>
        <w:trPr>
          <w:trHeight w:val="255" w:hRule="atLeast"/>
        </w:trPr>
        <w:tc>
          <w:tcPr>
            <w:tcW w:w="2175" w:type="dxa"/>
            <w:tcBorders/>
            <w:shd w:fill="auto" w:val="clear"/>
            <w:vAlign w:val="bottom"/>
          </w:tcPr>
          <w:p>
            <w:pPr>
              <w:pStyle w:val="Normal"/>
              <w:snapToGrid w:val="false"/>
              <w:rPr>
                <w:sz w:val="20"/>
                <w:szCs w:val="20"/>
              </w:rPr>
            </w:pPr>
            <w:r>
              <w:rPr>
                <w:sz w:val="20"/>
                <w:szCs w:val="20"/>
              </w:rPr>
            </w:r>
          </w:p>
        </w:tc>
        <w:tc>
          <w:tcPr>
            <w:tcW w:w="1440" w:type="dxa"/>
            <w:tcBorders/>
            <w:shd w:fill="auto" w:val="clear"/>
            <w:vAlign w:val="center"/>
          </w:tcPr>
          <w:p>
            <w:pPr>
              <w:pStyle w:val="Normal"/>
              <w:jc w:val="center"/>
              <w:rPr/>
            </w:pPr>
            <w:r>
              <w:rPr/>
              <w:t>60 minutes</w:t>
            </w:r>
          </w:p>
        </w:tc>
        <w:tc>
          <w:tcPr>
            <w:tcW w:w="1440" w:type="dxa"/>
            <w:tcBorders/>
            <w:shd w:fill="auto" w:val="clear"/>
            <w:vAlign w:val="center"/>
          </w:tcPr>
          <w:p>
            <w:pPr>
              <w:pStyle w:val="Normal"/>
              <w:jc w:val="center"/>
              <w:rPr/>
            </w:pPr>
            <w:r>
              <w:rPr/>
              <w:t>90 minutes</w:t>
            </w:r>
          </w:p>
        </w:tc>
        <w:tc>
          <w:tcPr>
            <w:tcW w:w="1440" w:type="dxa"/>
            <w:tcBorders/>
            <w:shd w:fill="auto" w:val="clear"/>
            <w:vAlign w:val="center"/>
          </w:tcPr>
          <w:p>
            <w:pPr>
              <w:pStyle w:val="Normal"/>
              <w:jc w:val="center"/>
              <w:rPr/>
            </w:pPr>
            <w:r>
              <w:rPr/>
              <w:t>120 minutes</w:t>
            </w:r>
          </w:p>
        </w:tc>
        <w:tc>
          <w:tcPr>
            <w:tcW w:w="1980" w:type="dxa"/>
            <w:tcBorders/>
            <w:shd w:fill="auto" w:val="clear"/>
            <w:vAlign w:val="center"/>
          </w:tcPr>
          <w:p>
            <w:pPr>
              <w:pStyle w:val="Normal"/>
              <w:snapToGrid w:val="false"/>
              <w:jc w:val="center"/>
              <w:rPr/>
            </w:pPr>
            <w:r>
              <w:rPr/>
            </w:r>
          </w:p>
        </w:tc>
      </w:tr>
      <w:tr>
        <w:trPr>
          <w:trHeight w:val="255" w:hRule="atLeast"/>
        </w:trPr>
        <w:tc>
          <w:tcPr>
            <w:tcW w:w="2175" w:type="dxa"/>
            <w:tcBorders/>
            <w:shd w:fill="auto" w:val="clear"/>
            <w:vAlign w:val="bottom"/>
          </w:tcPr>
          <w:p>
            <w:pPr>
              <w:pStyle w:val="Normal"/>
              <w:snapToGrid w:val="false"/>
              <w:rPr>
                <w:sz w:val="20"/>
                <w:szCs w:val="20"/>
              </w:rPr>
            </w:pPr>
            <w:r>
              <w:rPr>
                <w:sz w:val="20"/>
                <w:szCs w:val="20"/>
              </w:rPr>
            </w:r>
          </w:p>
        </w:tc>
        <w:tc>
          <w:tcPr>
            <w:tcW w:w="1440" w:type="dxa"/>
            <w:tcBorders/>
            <w:shd w:fill="auto" w:val="clear"/>
            <w:vAlign w:val="center"/>
          </w:tcPr>
          <w:p>
            <w:pPr>
              <w:pStyle w:val="Normal"/>
              <w:snapToGrid w:val="false"/>
              <w:jc w:val="center"/>
              <w:rPr/>
            </w:pPr>
            <w:r>
              <w:rPr/>
            </w:r>
          </w:p>
        </w:tc>
        <w:tc>
          <w:tcPr>
            <w:tcW w:w="1440" w:type="dxa"/>
            <w:tcBorders/>
            <w:shd w:fill="auto" w:val="clear"/>
            <w:vAlign w:val="center"/>
          </w:tcPr>
          <w:p>
            <w:pPr>
              <w:pStyle w:val="Normal"/>
              <w:snapToGrid w:val="false"/>
              <w:jc w:val="center"/>
              <w:rPr/>
            </w:pPr>
            <w:r>
              <w:rPr/>
            </w:r>
          </w:p>
        </w:tc>
        <w:tc>
          <w:tcPr>
            <w:tcW w:w="1440" w:type="dxa"/>
            <w:tcBorders/>
            <w:shd w:fill="auto" w:val="clear"/>
            <w:vAlign w:val="center"/>
          </w:tcPr>
          <w:p>
            <w:pPr>
              <w:pStyle w:val="Normal"/>
              <w:snapToGrid w:val="false"/>
              <w:jc w:val="center"/>
              <w:rPr/>
            </w:pPr>
            <w:r>
              <w:rPr/>
            </w:r>
          </w:p>
        </w:tc>
        <w:tc>
          <w:tcPr>
            <w:tcW w:w="1980" w:type="dxa"/>
            <w:tcBorders/>
            <w:shd w:fill="auto" w:val="clear"/>
            <w:vAlign w:val="center"/>
          </w:tcPr>
          <w:p>
            <w:pPr>
              <w:pStyle w:val="Normal"/>
              <w:snapToGrid w:val="false"/>
              <w:jc w:val="center"/>
              <w:rPr/>
            </w:pPr>
            <w:r>
              <w:rPr/>
            </w:r>
          </w:p>
        </w:tc>
      </w:tr>
      <w:tr>
        <w:trPr>
          <w:trHeight w:val="270" w:hRule="atLeast"/>
        </w:trPr>
        <w:tc>
          <w:tcPr>
            <w:tcW w:w="2175" w:type="dxa"/>
            <w:tcBorders/>
            <w:shd w:fill="auto" w:val="clear"/>
            <w:vAlign w:val="bottom"/>
          </w:tcPr>
          <w:p>
            <w:pPr>
              <w:pStyle w:val="Normal"/>
              <w:rPr/>
            </w:pPr>
            <w:r>
              <w:rPr/>
              <w:t>Canada</w:t>
            </w:r>
          </w:p>
        </w:tc>
        <w:tc>
          <w:tcPr>
            <w:tcW w:w="1440" w:type="dxa"/>
            <w:tcBorders>
              <w:bottom w:val="single" w:sz="8" w:space="0" w:color="000000"/>
              <w:insideH w:val="single" w:sz="8" w:space="0" w:color="000000"/>
            </w:tcBorders>
            <w:shd w:fill="auto" w:val="clear"/>
            <w:vAlign w:val="bottom"/>
          </w:tcPr>
          <w:p>
            <w:pPr>
              <w:pStyle w:val="Normal"/>
              <w:jc w:val="center"/>
              <w:rPr/>
            </w:pPr>
            <w:r>
              <w:rPr/>
              <w:t>59.1</w:t>
            </w:r>
          </w:p>
        </w:tc>
        <w:tc>
          <w:tcPr>
            <w:tcW w:w="1440" w:type="dxa"/>
            <w:tcBorders>
              <w:bottom w:val="single" w:sz="8" w:space="0" w:color="000000"/>
              <w:insideH w:val="single" w:sz="8" w:space="0" w:color="000000"/>
            </w:tcBorders>
            <w:shd w:fill="auto" w:val="clear"/>
            <w:vAlign w:val="bottom"/>
          </w:tcPr>
          <w:p>
            <w:pPr>
              <w:pStyle w:val="Normal"/>
              <w:jc w:val="center"/>
              <w:rPr/>
            </w:pPr>
            <w:r>
              <w:rPr/>
              <w:t>74.2</w:t>
            </w:r>
          </w:p>
        </w:tc>
        <w:tc>
          <w:tcPr>
            <w:tcW w:w="1440" w:type="dxa"/>
            <w:tcBorders>
              <w:bottom w:val="single" w:sz="8" w:space="0" w:color="000000"/>
              <w:insideH w:val="single" w:sz="8" w:space="0" w:color="000000"/>
            </w:tcBorders>
            <w:shd w:fill="auto" w:val="clear"/>
            <w:vAlign w:val="bottom"/>
          </w:tcPr>
          <w:p>
            <w:pPr>
              <w:pStyle w:val="Normal"/>
              <w:jc w:val="center"/>
              <w:rPr/>
            </w:pPr>
            <w:r>
              <w:rPr/>
              <w:t>80.0</w:t>
            </w:r>
          </w:p>
        </w:tc>
        <w:tc>
          <w:tcPr>
            <w:tcW w:w="1980" w:type="dxa"/>
            <w:tcBorders>
              <w:bottom w:val="single" w:sz="8" w:space="0" w:color="000000"/>
              <w:insideH w:val="single" w:sz="8" w:space="0" w:color="000000"/>
            </w:tcBorders>
            <w:shd w:fill="auto" w:val="clear"/>
            <w:vAlign w:val="center"/>
          </w:tcPr>
          <w:p>
            <w:pPr>
              <w:pStyle w:val="Normal"/>
              <w:jc w:val="center"/>
              <w:rPr/>
            </w:pPr>
            <w:r>
              <w:rPr>
                <w:lang w:val="en-US"/>
              </w:rPr>
              <w:t>23776870</w:t>
            </w:r>
            <w:r>
              <w:rPr/>
              <w:t> </w:t>
            </w:r>
          </w:p>
        </w:tc>
      </w:tr>
      <w:tr>
        <w:trPr>
          <w:trHeight w:val="255" w:hRule="atLeast"/>
        </w:trPr>
        <w:tc>
          <w:tcPr>
            <w:tcW w:w="2175" w:type="dxa"/>
            <w:tcBorders>
              <w:top w:val="single" w:sz="8" w:space="0" w:color="000000"/>
            </w:tcBorders>
            <w:shd w:fill="auto" w:val="clear"/>
            <w:vAlign w:val="bottom"/>
          </w:tcPr>
          <w:p>
            <w:pPr>
              <w:pStyle w:val="Normal"/>
              <w:rPr/>
            </w:pPr>
            <w:r>
              <w:rPr/>
              <w:t> </w:t>
            </w:r>
          </w:p>
        </w:tc>
        <w:tc>
          <w:tcPr>
            <w:tcW w:w="1440" w:type="dxa"/>
            <w:tcBorders/>
            <w:shd w:fill="auto" w:val="clear"/>
            <w:vAlign w:val="bottom"/>
          </w:tcPr>
          <w:p>
            <w:pPr>
              <w:pStyle w:val="Normal"/>
              <w:snapToGrid w:val="false"/>
              <w:rPr/>
            </w:pPr>
            <w:r>
              <w:rPr/>
            </w:r>
          </w:p>
        </w:tc>
        <w:tc>
          <w:tcPr>
            <w:tcW w:w="1440" w:type="dxa"/>
            <w:tcBorders/>
            <w:shd w:fill="auto" w:val="clear"/>
            <w:vAlign w:val="bottom"/>
          </w:tcPr>
          <w:p>
            <w:pPr>
              <w:pStyle w:val="Normal"/>
              <w:snapToGrid w:val="false"/>
              <w:rPr/>
            </w:pPr>
            <w:r>
              <w:rPr/>
            </w:r>
          </w:p>
        </w:tc>
        <w:tc>
          <w:tcPr>
            <w:tcW w:w="1440" w:type="dxa"/>
            <w:tcBorders/>
            <w:shd w:fill="auto" w:val="clear"/>
            <w:vAlign w:val="bottom"/>
          </w:tcPr>
          <w:p>
            <w:pPr>
              <w:pStyle w:val="Normal"/>
              <w:snapToGrid w:val="false"/>
              <w:rPr/>
            </w:pPr>
            <w:r>
              <w:rPr/>
            </w:r>
          </w:p>
        </w:tc>
        <w:tc>
          <w:tcPr>
            <w:tcW w:w="1980" w:type="dxa"/>
            <w:tcBorders/>
            <w:shd w:fill="auto" w:val="clear"/>
            <w:vAlign w:val="center"/>
          </w:tcPr>
          <w:p>
            <w:pPr>
              <w:pStyle w:val="Normal"/>
              <w:snapToGrid w:val="false"/>
              <w:jc w:val="center"/>
              <w:rPr/>
            </w:pPr>
            <w:r>
              <w:rPr/>
            </w:r>
          </w:p>
        </w:tc>
      </w:tr>
      <w:tr>
        <w:trPr>
          <w:trHeight w:val="255" w:hRule="atLeast"/>
        </w:trPr>
        <w:tc>
          <w:tcPr>
            <w:tcW w:w="2175" w:type="dxa"/>
            <w:tcBorders/>
            <w:shd w:fill="auto" w:val="clear"/>
            <w:vAlign w:val="bottom"/>
          </w:tcPr>
          <w:p>
            <w:pPr>
              <w:pStyle w:val="Normal"/>
              <w:rPr/>
            </w:pPr>
            <w:r>
              <w:rPr/>
              <w:t>Province</w:t>
            </w:r>
          </w:p>
        </w:tc>
        <w:tc>
          <w:tcPr>
            <w:tcW w:w="1440" w:type="dxa"/>
            <w:tcBorders/>
            <w:shd w:fill="auto" w:val="clear"/>
            <w:vAlign w:val="bottom"/>
          </w:tcPr>
          <w:p>
            <w:pPr>
              <w:pStyle w:val="Normal"/>
              <w:snapToGrid w:val="false"/>
              <w:rPr/>
            </w:pPr>
            <w:r>
              <w:rPr/>
            </w:r>
          </w:p>
        </w:tc>
        <w:tc>
          <w:tcPr>
            <w:tcW w:w="1440" w:type="dxa"/>
            <w:tcBorders/>
            <w:shd w:fill="auto" w:val="clear"/>
            <w:vAlign w:val="bottom"/>
          </w:tcPr>
          <w:p>
            <w:pPr>
              <w:pStyle w:val="Normal"/>
              <w:snapToGrid w:val="false"/>
              <w:rPr/>
            </w:pPr>
            <w:r>
              <w:rPr/>
            </w:r>
          </w:p>
        </w:tc>
        <w:tc>
          <w:tcPr>
            <w:tcW w:w="1440" w:type="dxa"/>
            <w:tcBorders/>
            <w:shd w:fill="auto" w:val="clear"/>
            <w:vAlign w:val="bottom"/>
          </w:tcPr>
          <w:p>
            <w:pPr>
              <w:pStyle w:val="Normal"/>
              <w:snapToGrid w:val="false"/>
              <w:rPr/>
            </w:pPr>
            <w:r>
              <w:rPr/>
            </w:r>
          </w:p>
        </w:tc>
        <w:tc>
          <w:tcPr>
            <w:tcW w:w="1980" w:type="dxa"/>
            <w:tcBorders/>
            <w:shd w:fill="auto" w:val="clear"/>
            <w:vAlign w:val="center"/>
          </w:tcPr>
          <w:p>
            <w:pPr>
              <w:pStyle w:val="Normal"/>
              <w:snapToGrid w:val="false"/>
              <w:jc w:val="center"/>
              <w:rPr/>
            </w:pPr>
            <w:r>
              <w:rPr/>
            </w:r>
          </w:p>
        </w:tc>
      </w:tr>
      <w:tr>
        <w:trPr>
          <w:trHeight w:val="255" w:hRule="atLeast"/>
        </w:trPr>
        <w:tc>
          <w:tcPr>
            <w:tcW w:w="2175" w:type="dxa"/>
            <w:tcBorders/>
            <w:shd w:fill="auto" w:val="clear"/>
            <w:vAlign w:val="bottom"/>
          </w:tcPr>
          <w:p>
            <w:pPr>
              <w:pStyle w:val="Normal"/>
              <w:snapToGrid w:val="false"/>
              <w:rPr>
                <w:sz w:val="20"/>
                <w:szCs w:val="20"/>
              </w:rPr>
            </w:pPr>
            <w:r>
              <w:rPr>
                <w:sz w:val="20"/>
                <w:szCs w:val="20"/>
              </w:rPr>
            </w:r>
          </w:p>
        </w:tc>
        <w:tc>
          <w:tcPr>
            <w:tcW w:w="1440" w:type="dxa"/>
            <w:tcBorders/>
            <w:shd w:fill="auto" w:val="clear"/>
            <w:vAlign w:val="bottom"/>
          </w:tcPr>
          <w:p>
            <w:pPr>
              <w:pStyle w:val="Normal"/>
              <w:snapToGrid w:val="false"/>
              <w:rPr/>
            </w:pPr>
            <w:r>
              <w:rPr/>
            </w:r>
          </w:p>
        </w:tc>
        <w:tc>
          <w:tcPr>
            <w:tcW w:w="1440" w:type="dxa"/>
            <w:tcBorders/>
            <w:shd w:fill="auto" w:val="clear"/>
            <w:vAlign w:val="bottom"/>
          </w:tcPr>
          <w:p>
            <w:pPr>
              <w:pStyle w:val="Normal"/>
              <w:snapToGrid w:val="false"/>
              <w:rPr/>
            </w:pPr>
            <w:r>
              <w:rPr/>
            </w:r>
          </w:p>
        </w:tc>
        <w:tc>
          <w:tcPr>
            <w:tcW w:w="1440" w:type="dxa"/>
            <w:tcBorders/>
            <w:shd w:fill="auto" w:val="clear"/>
            <w:vAlign w:val="bottom"/>
          </w:tcPr>
          <w:p>
            <w:pPr>
              <w:pStyle w:val="Normal"/>
              <w:snapToGrid w:val="false"/>
              <w:rPr/>
            </w:pPr>
            <w:r>
              <w:rPr/>
            </w:r>
          </w:p>
        </w:tc>
        <w:tc>
          <w:tcPr>
            <w:tcW w:w="1980" w:type="dxa"/>
            <w:tcBorders/>
            <w:shd w:fill="auto" w:val="clear"/>
            <w:vAlign w:val="center"/>
          </w:tcPr>
          <w:p>
            <w:pPr>
              <w:pStyle w:val="Normal"/>
              <w:snapToGrid w:val="false"/>
              <w:jc w:val="center"/>
              <w:rPr/>
            </w:pPr>
            <w:r>
              <w:rPr/>
            </w:r>
          </w:p>
        </w:tc>
      </w:tr>
      <w:tr>
        <w:trPr>
          <w:trHeight w:val="255" w:hRule="atLeast"/>
        </w:trPr>
        <w:tc>
          <w:tcPr>
            <w:tcW w:w="2175" w:type="dxa"/>
            <w:tcBorders/>
            <w:shd w:fill="auto" w:val="clear"/>
            <w:vAlign w:val="bottom"/>
          </w:tcPr>
          <w:p>
            <w:pPr>
              <w:pStyle w:val="Normal"/>
              <w:rPr/>
            </w:pPr>
            <w:r>
              <w:rPr/>
              <w:t>British Columbia</w:t>
            </w:r>
          </w:p>
        </w:tc>
        <w:tc>
          <w:tcPr>
            <w:tcW w:w="1440" w:type="dxa"/>
            <w:tcBorders/>
            <w:shd w:fill="auto" w:val="clear"/>
            <w:vAlign w:val="center"/>
          </w:tcPr>
          <w:p>
            <w:pPr>
              <w:pStyle w:val="Normal"/>
              <w:jc w:val="center"/>
              <w:rPr/>
            </w:pPr>
            <w:r>
              <w:rPr/>
              <w:t>60.7</w:t>
            </w:r>
          </w:p>
        </w:tc>
        <w:tc>
          <w:tcPr>
            <w:tcW w:w="1440" w:type="dxa"/>
            <w:tcBorders/>
            <w:shd w:fill="auto" w:val="clear"/>
            <w:vAlign w:val="center"/>
          </w:tcPr>
          <w:p>
            <w:pPr>
              <w:pStyle w:val="Normal"/>
              <w:jc w:val="center"/>
              <w:rPr/>
            </w:pPr>
            <w:r>
              <w:rPr/>
              <w:t>65.6</w:t>
            </w:r>
          </w:p>
        </w:tc>
        <w:tc>
          <w:tcPr>
            <w:tcW w:w="1440" w:type="dxa"/>
            <w:tcBorders/>
            <w:shd w:fill="auto" w:val="clear"/>
            <w:vAlign w:val="center"/>
          </w:tcPr>
          <w:p>
            <w:pPr>
              <w:pStyle w:val="Normal"/>
              <w:jc w:val="center"/>
              <w:rPr/>
            </w:pPr>
            <w:r>
              <w:rPr/>
              <w:t>66.7</w:t>
            </w:r>
          </w:p>
        </w:tc>
        <w:tc>
          <w:tcPr>
            <w:tcW w:w="1980" w:type="dxa"/>
            <w:tcBorders/>
            <w:shd w:fill="auto" w:val="clear"/>
            <w:vAlign w:val="center"/>
          </w:tcPr>
          <w:p>
            <w:pPr>
              <w:pStyle w:val="Normal"/>
              <w:jc w:val="center"/>
              <w:rPr/>
            </w:pPr>
            <w:r>
              <w:rPr/>
              <w:t>3126140</w:t>
            </w:r>
          </w:p>
        </w:tc>
      </w:tr>
      <w:tr>
        <w:trPr>
          <w:trHeight w:val="255" w:hRule="atLeast"/>
        </w:trPr>
        <w:tc>
          <w:tcPr>
            <w:tcW w:w="2175" w:type="dxa"/>
            <w:tcBorders/>
            <w:shd w:fill="auto" w:val="clear"/>
            <w:vAlign w:val="bottom"/>
          </w:tcPr>
          <w:p>
            <w:pPr>
              <w:pStyle w:val="Normal"/>
              <w:snapToGrid w:val="false"/>
              <w:rPr>
                <w:sz w:val="20"/>
                <w:szCs w:val="20"/>
              </w:rPr>
            </w:pPr>
            <w:r>
              <w:rPr>
                <w:sz w:val="20"/>
                <w:szCs w:val="20"/>
              </w:rPr>
            </w:r>
          </w:p>
        </w:tc>
        <w:tc>
          <w:tcPr>
            <w:tcW w:w="1440" w:type="dxa"/>
            <w:tcBorders/>
            <w:shd w:fill="auto" w:val="clear"/>
            <w:vAlign w:val="center"/>
          </w:tcPr>
          <w:p>
            <w:pPr>
              <w:pStyle w:val="Normal"/>
              <w:snapToGrid w:val="false"/>
              <w:jc w:val="center"/>
              <w:rPr/>
            </w:pPr>
            <w:r>
              <w:rPr/>
            </w:r>
          </w:p>
        </w:tc>
        <w:tc>
          <w:tcPr>
            <w:tcW w:w="1440" w:type="dxa"/>
            <w:tcBorders/>
            <w:shd w:fill="auto" w:val="clear"/>
            <w:vAlign w:val="center"/>
          </w:tcPr>
          <w:p>
            <w:pPr>
              <w:pStyle w:val="Normal"/>
              <w:snapToGrid w:val="false"/>
              <w:jc w:val="center"/>
              <w:rPr/>
            </w:pPr>
            <w:r>
              <w:rPr/>
            </w:r>
          </w:p>
        </w:tc>
        <w:tc>
          <w:tcPr>
            <w:tcW w:w="1440" w:type="dxa"/>
            <w:tcBorders/>
            <w:shd w:fill="auto" w:val="clear"/>
            <w:vAlign w:val="center"/>
          </w:tcPr>
          <w:p>
            <w:pPr>
              <w:pStyle w:val="Normal"/>
              <w:snapToGrid w:val="false"/>
              <w:jc w:val="center"/>
              <w:rPr/>
            </w:pPr>
            <w:r>
              <w:rPr/>
            </w:r>
          </w:p>
        </w:tc>
        <w:tc>
          <w:tcPr>
            <w:tcW w:w="1980" w:type="dxa"/>
            <w:tcBorders/>
            <w:shd w:fill="auto" w:val="clear"/>
            <w:vAlign w:val="center"/>
          </w:tcPr>
          <w:p>
            <w:pPr>
              <w:pStyle w:val="Normal"/>
              <w:snapToGrid w:val="false"/>
              <w:jc w:val="center"/>
              <w:rPr/>
            </w:pPr>
            <w:r>
              <w:rPr/>
            </w:r>
          </w:p>
        </w:tc>
      </w:tr>
      <w:tr>
        <w:trPr>
          <w:trHeight w:val="255" w:hRule="atLeast"/>
        </w:trPr>
        <w:tc>
          <w:tcPr>
            <w:tcW w:w="2175" w:type="dxa"/>
            <w:tcBorders/>
            <w:shd w:fill="auto" w:val="clear"/>
            <w:vAlign w:val="bottom"/>
          </w:tcPr>
          <w:p>
            <w:pPr>
              <w:pStyle w:val="Normal"/>
              <w:rPr/>
            </w:pPr>
            <w:r>
              <w:rPr/>
              <w:t>Alberta</w:t>
            </w:r>
          </w:p>
        </w:tc>
        <w:tc>
          <w:tcPr>
            <w:tcW w:w="1440" w:type="dxa"/>
            <w:tcBorders/>
            <w:shd w:fill="auto" w:val="clear"/>
            <w:vAlign w:val="center"/>
          </w:tcPr>
          <w:p>
            <w:pPr>
              <w:pStyle w:val="Normal"/>
              <w:jc w:val="center"/>
              <w:rPr/>
            </w:pPr>
            <w:r>
              <w:rPr/>
              <w:t>64.8</w:t>
            </w:r>
          </w:p>
        </w:tc>
        <w:tc>
          <w:tcPr>
            <w:tcW w:w="1440" w:type="dxa"/>
            <w:tcBorders/>
            <w:shd w:fill="auto" w:val="clear"/>
            <w:vAlign w:val="center"/>
          </w:tcPr>
          <w:p>
            <w:pPr>
              <w:pStyle w:val="Normal"/>
              <w:jc w:val="center"/>
              <w:rPr/>
            </w:pPr>
            <w:r>
              <w:rPr/>
              <w:t>68.7</w:t>
            </w:r>
          </w:p>
        </w:tc>
        <w:tc>
          <w:tcPr>
            <w:tcW w:w="1440" w:type="dxa"/>
            <w:tcBorders/>
            <w:shd w:fill="auto" w:val="clear"/>
            <w:vAlign w:val="center"/>
          </w:tcPr>
          <w:p>
            <w:pPr>
              <w:pStyle w:val="Normal"/>
              <w:jc w:val="center"/>
              <w:rPr/>
            </w:pPr>
            <w:r>
              <w:rPr/>
              <w:t>72.4</w:t>
            </w:r>
          </w:p>
        </w:tc>
        <w:tc>
          <w:tcPr>
            <w:tcW w:w="1980" w:type="dxa"/>
            <w:tcBorders/>
            <w:shd w:fill="auto" w:val="clear"/>
            <w:vAlign w:val="center"/>
          </w:tcPr>
          <w:p>
            <w:pPr>
              <w:pStyle w:val="Normal"/>
              <w:jc w:val="center"/>
              <w:rPr/>
            </w:pPr>
            <w:r>
              <w:rPr/>
              <w:t>2408930</w:t>
            </w:r>
          </w:p>
        </w:tc>
      </w:tr>
      <w:tr>
        <w:trPr>
          <w:trHeight w:val="255" w:hRule="atLeast"/>
        </w:trPr>
        <w:tc>
          <w:tcPr>
            <w:tcW w:w="2175" w:type="dxa"/>
            <w:tcBorders/>
            <w:shd w:fill="auto" w:val="clear"/>
            <w:vAlign w:val="bottom"/>
          </w:tcPr>
          <w:p>
            <w:pPr>
              <w:pStyle w:val="Normal"/>
              <w:snapToGrid w:val="false"/>
              <w:rPr>
                <w:sz w:val="20"/>
                <w:szCs w:val="20"/>
              </w:rPr>
            </w:pPr>
            <w:r>
              <w:rPr>
                <w:sz w:val="20"/>
                <w:szCs w:val="20"/>
              </w:rPr>
            </w:r>
          </w:p>
        </w:tc>
        <w:tc>
          <w:tcPr>
            <w:tcW w:w="1440" w:type="dxa"/>
            <w:tcBorders/>
            <w:shd w:fill="auto" w:val="clear"/>
            <w:vAlign w:val="center"/>
          </w:tcPr>
          <w:p>
            <w:pPr>
              <w:pStyle w:val="Normal"/>
              <w:snapToGrid w:val="false"/>
              <w:jc w:val="center"/>
              <w:rPr/>
            </w:pPr>
            <w:r>
              <w:rPr/>
            </w:r>
          </w:p>
        </w:tc>
        <w:tc>
          <w:tcPr>
            <w:tcW w:w="1440" w:type="dxa"/>
            <w:tcBorders/>
            <w:shd w:fill="auto" w:val="clear"/>
            <w:vAlign w:val="center"/>
          </w:tcPr>
          <w:p>
            <w:pPr>
              <w:pStyle w:val="Normal"/>
              <w:snapToGrid w:val="false"/>
              <w:jc w:val="center"/>
              <w:rPr/>
            </w:pPr>
            <w:r>
              <w:rPr/>
            </w:r>
          </w:p>
        </w:tc>
        <w:tc>
          <w:tcPr>
            <w:tcW w:w="1440" w:type="dxa"/>
            <w:tcBorders/>
            <w:shd w:fill="auto" w:val="clear"/>
            <w:vAlign w:val="center"/>
          </w:tcPr>
          <w:p>
            <w:pPr>
              <w:pStyle w:val="Normal"/>
              <w:snapToGrid w:val="false"/>
              <w:jc w:val="center"/>
              <w:rPr/>
            </w:pPr>
            <w:r>
              <w:rPr/>
            </w:r>
          </w:p>
        </w:tc>
        <w:tc>
          <w:tcPr>
            <w:tcW w:w="1980" w:type="dxa"/>
            <w:tcBorders/>
            <w:shd w:fill="auto" w:val="clear"/>
            <w:vAlign w:val="center"/>
          </w:tcPr>
          <w:p>
            <w:pPr>
              <w:pStyle w:val="Normal"/>
              <w:snapToGrid w:val="false"/>
              <w:jc w:val="center"/>
              <w:rPr/>
            </w:pPr>
            <w:r>
              <w:rPr/>
            </w:r>
          </w:p>
        </w:tc>
      </w:tr>
      <w:tr>
        <w:trPr>
          <w:trHeight w:val="255" w:hRule="atLeast"/>
        </w:trPr>
        <w:tc>
          <w:tcPr>
            <w:tcW w:w="2175" w:type="dxa"/>
            <w:tcBorders/>
            <w:shd w:fill="auto" w:val="clear"/>
            <w:vAlign w:val="bottom"/>
          </w:tcPr>
          <w:p>
            <w:pPr>
              <w:pStyle w:val="Normal"/>
              <w:rPr/>
            </w:pPr>
            <w:r>
              <w:rPr/>
              <w:t>Saskatchewan</w:t>
            </w:r>
          </w:p>
        </w:tc>
        <w:tc>
          <w:tcPr>
            <w:tcW w:w="1440" w:type="dxa"/>
            <w:tcBorders/>
            <w:shd w:fill="auto" w:val="clear"/>
            <w:vAlign w:val="center"/>
          </w:tcPr>
          <w:p>
            <w:pPr>
              <w:pStyle w:val="Normal"/>
              <w:jc w:val="center"/>
              <w:rPr/>
            </w:pPr>
            <w:r>
              <w:rPr/>
              <w:t>45.3</w:t>
            </w:r>
          </w:p>
        </w:tc>
        <w:tc>
          <w:tcPr>
            <w:tcW w:w="1440" w:type="dxa"/>
            <w:tcBorders/>
            <w:shd w:fill="auto" w:val="clear"/>
            <w:vAlign w:val="center"/>
          </w:tcPr>
          <w:p>
            <w:pPr>
              <w:pStyle w:val="Normal"/>
              <w:jc w:val="center"/>
              <w:rPr/>
            </w:pPr>
            <w:r>
              <w:rPr/>
              <w:t>48.3</w:t>
            </w:r>
          </w:p>
        </w:tc>
        <w:tc>
          <w:tcPr>
            <w:tcW w:w="1440" w:type="dxa"/>
            <w:tcBorders/>
            <w:shd w:fill="auto" w:val="clear"/>
            <w:vAlign w:val="center"/>
          </w:tcPr>
          <w:p>
            <w:pPr>
              <w:pStyle w:val="Normal"/>
              <w:jc w:val="center"/>
              <w:rPr/>
            </w:pPr>
            <w:r>
              <w:rPr/>
              <w:t>55.3</w:t>
            </w:r>
          </w:p>
        </w:tc>
        <w:tc>
          <w:tcPr>
            <w:tcW w:w="1980" w:type="dxa"/>
            <w:tcBorders/>
            <w:shd w:fill="auto" w:val="clear"/>
            <w:vAlign w:val="center"/>
          </w:tcPr>
          <w:p>
            <w:pPr>
              <w:pStyle w:val="Normal"/>
              <w:jc w:val="center"/>
              <w:rPr/>
            </w:pPr>
            <w:r>
              <w:rPr/>
              <w:t>702115</w:t>
            </w:r>
          </w:p>
        </w:tc>
      </w:tr>
      <w:tr>
        <w:trPr>
          <w:trHeight w:val="255" w:hRule="atLeast"/>
        </w:trPr>
        <w:tc>
          <w:tcPr>
            <w:tcW w:w="2175" w:type="dxa"/>
            <w:tcBorders/>
            <w:shd w:fill="auto" w:val="clear"/>
            <w:vAlign w:val="bottom"/>
          </w:tcPr>
          <w:p>
            <w:pPr>
              <w:pStyle w:val="Normal"/>
              <w:snapToGrid w:val="false"/>
              <w:rPr>
                <w:sz w:val="20"/>
                <w:szCs w:val="20"/>
              </w:rPr>
            </w:pPr>
            <w:r>
              <w:rPr>
                <w:sz w:val="20"/>
                <w:szCs w:val="20"/>
              </w:rPr>
            </w:r>
          </w:p>
        </w:tc>
        <w:tc>
          <w:tcPr>
            <w:tcW w:w="1440" w:type="dxa"/>
            <w:tcBorders/>
            <w:shd w:fill="auto" w:val="clear"/>
            <w:vAlign w:val="center"/>
          </w:tcPr>
          <w:p>
            <w:pPr>
              <w:pStyle w:val="Normal"/>
              <w:snapToGrid w:val="false"/>
              <w:jc w:val="center"/>
              <w:rPr/>
            </w:pPr>
            <w:r>
              <w:rPr/>
            </w:r>
          </w:p>
        </w:tc>
        <w:tc>
          <w:tcPr>
            <w:tcW w:w="1440" w:type="dxa"/>
            <w:tcBorders/>
            <w:shd w:fill="auto" w:val="clear"/>
            <w:vAlign w:val="center"/>
          </w:tcPr>
          <w:p>
            <w:pPr>
              <w:pStyle w:val="Normal"/>
              <w:snapToGrid w:val="false"/>
              <w:jc w:val="center"/>
              <w:rPr/>
            </w:pPr>
            <w:r>
              <w:rPr/>
            </w:r>
          </w:p>
        </w:tc>
        <w:tc>
          <w:tcPr>
            <w:tcW w:w="1440" w:type="dxa"/>
            <w:tcBorders/>
            <w:shd w:fill="auto" w:val="clear"/>
            <w:vAlign w:val="center"/>
          </w:tcPr>
          <w:p>
            <w:pPr>
              <w:pStyle w:val="Normal"/>
              <w:snapToGrid w:val="false"/>
              <w:jc w:val="center"/>
              <w:rPr/>
            </w:pPr>
            <w:r>
              <w:rPr/>
            </w:r>
          </w:p>
        </w:tc>
        <w:tc>
          <w:tcPr>
            <w:tcW w:w="1980" w:type="dxa"/>
            <w:tcBorders/>
            <w:shd w:fill="auto" w:val="clear"/>
            <w:vAlign w:val="center"/>
          </w:tcPr>
          <w:p>
            <w:pPr>
              <w:pStyle w:val="Normal"/>
              <w:snapToGrid w:val="false"/>
              <w:jc w:val="center"/>
              <w:rPr/>
            </w:pPr>
            <w:r>
              <w:rPr/>
            </w:r>
          </w:p>
        </w:tc>
      </w:tr>
      <w:tr>
        <w:trPr>
          <w:trHeight w:val="255" w:hRule="atLeast"/>
        </w:trPr>
        <w:tc>
          <w:tcPr>
            <w:tcW w:w="2175" w:type="dxa"/>
            <w:tcBorders/>
            <w:shd w:fill="auto" w:val="clear"/>
            <w:vAlign w:val="bottom"/>
          </w:tcPr>
          <w:p>
            <w:pPr>
              <w:pStyle w:val="Normal"/>
              <w:rPr/>
            </w:pPr>
            <w:r>
              <w:rPr/>
              <w:t>Manitoba</w:t>
            </w:r>
          </w:p>
        </w:tc>
        <w:tc>
          <w:tcPr>
            <w:tcW w:w="1440" w:type="dxa"/>
            <w:tcBorders/>
            <w:shd w:fill="auto" w:val="clear"/>
            <w:vAlign w:val="center"/>
          </w:tcPr>
          <w:p>
            <w:pPr>
              <w:pStyle w:val="Normal"/>
              <w:jc w:val="center"/>
              <w:rPr/>
            </w:pPr>
            <w:r>
              <w:rPr/>
              <w:t>64.3</w:t>
            </w:r>
          </w:p>
        </w:tc>
        <w:tc>
          <w:tcPr>
            <w:tcW w:w="1440" w:type="dxa"/>
            <w:tcBorders/>
            <w:shd w:fill="auto" w:val="clear"/>
            <w:vAlign w:val="center"/>
          </w:tcPr>
          <w:p>
            <w:pPr>
              <w:pStyle w:val="Normal"/>
              <w:jc w:val="center"/>
              <w:rPr/>
            </w:pPr>
            <w:r>
              <w:rPr/>
              <w:t>69.6</w:t>
            </w:r>
          </w:p>
        </w:tc>
        <w:tc>
          <w:tcPr>
            <w:tcW w:w="1440" w:type="dxa"/>
            <w:tcBorders/>
            <w:shd w:fill="auto" w:val="clear"/>
            <w:vAlign w:val="center"/>
          </w:tcPr>
          <w:p>
            <w:pPr>
              <w:pStyle w:val="Normal"/>
              <w:jc w:val="center"/>
              <w:rPr/>
            </w:pPr>
            <w:r>
              <w:rPr/>
              <w:t>73.7</w:t>
            </w:r>
          </w:p>
        </w:tc>
        <w:tc>
          <w:tcPr>
            <w:tcW w:w="1980" w:type="dxa"/>
            <w:tcBorders/>
            <w:shd w:fill="auto" w:val="clear"/>
            <w:vAlign w:val="center"/>
          </w:tcPr>
          <w:p>
            <w:pPr>
              <w:pStyle w:val="Normal"/>
              <w:jc w:val="center"/>
              <w:rPr/>
            </w:pPr>
            <w:r>
              <w:rPr/>
              <w:t>836805</w:t>
            </w:r>
          </w:p>
        </w:tc>
      </w:tr>
      <w:tr>
        <w:trPr>
          <w:trHeight w:val="255" w:hRule="atLeast"/>
        </w:trPr>
        <w:tc>
          <w:tcPr>
            <w:tcW w:w="2175" w:type="dxa"/>
            <w:tcBorders/>
            <w:shd w:fill="auto" w:val="clear"/>
            <w:vAlign w:val="bottom"/>
          </w:tcPr>
          <w:p>
            <w:pPr>
              <w:pStyle w:val="Normal"/>
              <w:snapToGrid w:val="false"/>
              <w:rPr>
                <w:sz w:val="20"/>
                <w:szCs w:val="20"/>
              </w:rPr>
            </w:pPr>
            <w:r>
              <w:rPr>
                <w:sz w:val="20"/>
                <w:szCs w:val="20"/>
              </w:rPr>
            </w:r>
          </w:p>
        </w:tc>
        <w:tc>
          <w:tcPr>
            <w:tcW w:w="1440" w:type="dxa"/>
            <w:tcBorders/>
            <w:shd w:fill="auto" w:val="clear"/>
            <w:vAlign w:val="center"/>
          </w:tcPr>
          <w:p>
            <w:pPr>
              <w:pStyle w:val="Normal"/>
              <w:snapToGrid w:val="false"/>
              <w:jc w:val="center"/>
              <w:rPr/>
            </w:pPr>
            <w:r>
              <w:rPr/>
            </w:r>
          </w:p>
        </w:tc>
        <w:tc>
          <w:tcPr>
            <w:tcW w:w="1440" w:type="dxa"/>
            <w:tcBorders/>
            <w:shd w:fill="auto" w:val="clear"/>
            <w:vAlign w:val="center"/>
          </w:tcPr>
          <w:p>
            <w:pPr>
              <w:pStyle w:val="Normal"/>
              <w:snapToGrid w:val="false"/>
              <w:jc w:val="center"/>
              <w:rPr/>
            </w:pPr>
            <w:r>
              <w:rPr/>
            </w:r>
          </w:p>
        </w:tc>
        <w:tc>
          <w:tcPr>
            <w:tcW w:w="1440" w:type="dxa"/>
            <w:tcBorders/>
            <w:shd w:fill="auto" w:val="clear"/>
            <w:vAlign w:val="center"/>
          </w:tcPr>
          <w:p>
            <w:pPr>
              <w:pStyle w:val="Normal"/>
              <w:snapToGrid w:val="false"/>
              <w:jc w:val="center"/>
              <w:rPr/>
            </w:pPr>
            <w:r>
              <w:rPr/>
            </w:r>
          </w:p>
        </w:tc>
        <w:tc>
          <w:tcPr>
            <w:tcW w:w="1980" w:type="dxa"/>
            <w:tcBorders/>
            <w:shd w:fill="auto" w:val="clear"/>
            <w:vAlign w:val="center"/>
          </w:tcPr>
          <w:p>
            <w:pPr>
              <w:pStyle w:val="Normal"/>
              <w:snapToGrid w:val="false"/>
              <w:jc w:val="center"/>
              <w:rPr/>
            </w:pPr>
            <w:r>
              <w:rPr/>
            </w:r>
          </w:p>
        </w:tc>
      </w:tr>
      <w:tr>
        <w:trPr>
          <w:trHeight w:val="255" w:hRule="atLeast"/>
        </w:trPr>
        <w:tc>
          <w:tcPr>
            <w:tcW w:w="2175" w:type="dxa"/>
            <w:tcBorders/>
            <w:shd w:fill="auto" w:val="clear"/>
            <w:vAlign w:val="bottom"/>
          </w:tcPr>
          <w:p>
            <w:pPr>
              <w:pStyle w:val="Normal"/>
              <w:rPr/>
            </w:pPr>
            <w:r>
              <w:rPr/>
              <w:t>Ontario</w:t>
            </w:r>
          </w:p>
        </w:tc>
        <w:tc>
          <w:tcPr>
            <w:tcW w:w="1440" w:type="dxa"/>
            <w:tcBorders/>
            <w:shd w:fill="auto" w:val="clear"/>
            <w:vAlign w:val="center"/>
          </w:tcPr>
          <w:p>
            <w:pPr>
              <w:pStyle w:val="Normal"/>
              <w:jc w:val="center"/>
              <w:rPr/>
            </w:pPr>
            <w:r>
              <w:rPr/>
              <w:t>75.0</w:t>
            </w:r>
          </w:p>
        </w:tc>
        <w:tc>
          <w:tcPr>
            <w:tcW w:w="1440" w:type="dxa"/>
            <w:tcBorders/>
            <w:shd w:fill="auto" w:val="clear"/>
            <w:vAlign w:val="center"/>
          </w:tcPr>
          <w:p>
            <w:pPr>
              <w:pStyle w:val="Normal"/>
              <w:jc w:val="center"/>
              <w:rPr/>
            </w:pPr>
            <w:r>
              <w:rPr/>
              <w:t>84.9</w:t>
            </w:r>
          </w:p>
        </w:tc>
        <w:tc>
          <w:tcPr>
            <w:tcW w:w="1440" w:type="dxa"/>
            <w:tcBorders/>
            <w:shd w:fill="auto" w:val="clear"/>
            <w:vAlign w:val="center"/>
          </w:tcPr>
          <w:p>
            <w:pPr>
              <w:pStyle w:val="Normal"/>
              <w:jc w:val="center"/>
              <w:rPr/>
            </w:pPr>
            <w:r>
              <w:rPr/>
              <w:t>92.5</w:t>
            </w:r>
          </w:p>
        </w:tc>
        <w:tc>
          <w:tcPr>
            <w:tcW w:w="1980" w:type="dxa"/>
            <w:tcBorders/>
            <w:shd w:fill="auto" w:val="clear"/>
            <w:vAlign w:val="center"/>
          </w:tcPr>
          <w:p>
            <w:pPr>
              <w:pStyle w:val="Normal"/>
              <w:jc w:val="center"/>
              <w:rPr/>
            </w:pPr>
            <w:r>
              <w:rPr/>
              <w:t>9083215</w:t>
            </w:r>
          </w:p>
        </w:tc>
      </w:tr>
      <w:tr>
        <w:trPr>
          <w:trHeight w:val="255" w:hRule="atLeast"/>
        </w:trPr>
        <w:tc>
          <w:tcPr>
            <w:tcW w:w="2175" w:type="dxa"/>
            <w:tcBorders/>
            <w:shd w:fill="auto" w:val="clear"/>
            <w:vAlign w:val="bottom"/>
          </w:tcPr>
          <w:p>
            <w:pPr>
              <w:pStyle w:val="Normal"/>
              <w:snapToGrid w:val="false"/>
              <w:rPr>
                <w:sz w:val="20"/>
                <w:szCs w:val="20"/>
              </w:rPr>
            </w:pPr>
            <w:r>
              <w:rPr>
                <w:sz w:val="20"/>
                <w:szCs w:val="20"/>
              </w:rPr>
            </w:r>
          </w:p>
        </w:tc>
        <w:tc>
          <w:tcPr>
            <w:tcW w:w="1440" w:type="dxa"/>
            <w:tcBorders/>
            <w:shd w:fill="auto" w:val="clear"/>
            <w:vAlign w:val="center"/>
          </w:tcPr>
          <w:p>
            <w:pPr>
              <w:pStyle w:val="Normal"/>
              <w:snapToGrid w:val="false"/>
              <w:jc w:val="center"/>
              <w:rPr/>
            </w:pPr>
            <w:r>
              <w:rPr/>
            </w:r>
          </w:p>
        </w:tc>
        <w:tc>
          <w:tcPr>
            <w:tcW w:w="1440" w:type="dxa"/>
            <w:tcBorders/>
            <w:shd w:fill="auto" w:val="clear"/>
            <w:vAlign w:val="center"/>
          </w:tcPr>
          <w:p>
            <w:pPr>
              <w:pStyle w:val="Normal"/>
              <w:snapToGrid w:val="false"/>
              <w:jc w:val="center"/>
              <w:rPr/>
            </w:pPr>
            <w:r>
              <w:rPr/>
            </w:r>
          </w:p>
        </w:tc>
        <w:tc>
          <w:tcPr>
            <w:tcW w:w="1440" w:type="dxa"/>
            <w:tcBorders/>
            <w:shd w:fill="auto" w:val="clear"/>
            <w:vAlign w:val="center"/>
          </w:tcPr>
          <w:p>
            <w:pPr>
              <w:pStyle w:val="Normal"/>
              <w:snapToGrid w:val="false"/>
              <w:jc w:val="center"/>
              <w:rPr/>
            </w:pPr>
            <w:r>
              <w:rPr/>
            </w:r>
          </w:p>
        </w:tc>
        <w:tc>
          <w:tcPr>
            <w:tcW w:w="1980" w:type="dxa"/>
            <w:tcBorders/>
            <w:shd w:fill="auto" w:val="clear"/>
            <w:vAlign w:val="center"/>
          </w:tcPr>
          <w:p>
            <w:pPr>
              <w:pStyle w:val="Normal"/>
              <w:snapToGrid w:val="false"/>
              <w:jc w:val="center"/>
              <w:rPr/>
            </w:pPr>
            <w:r>
              <w:rPr/>
            </w:r>
          </w:p>
        </w:tc>
      </w:tr>
      <w:tr>
        <w:trPr>
          <w:trHeight w:val="255" w:hRule="atLeast"/>
        </w:trPr>
        <w:tc>
          <w:tcPr>
            <w:tcW w:w="2175" w:type="dxa"/>
            <w:tcBorders/>
            <w:shd w:fill="auto" w:val="clear"/>
            <w:vAlign w:val="bottom"/>
          </w:tcPr>
          <w:p>
            <w:pPr>
              <w:pStyle w:val="Normal"/>
              <w:rPr/>
            </w:pPr>
            <w:r>
              <w:rPr/>
              <w:t>Quebec</w:t>
            </w:r>
          </w:p>
        </w:tc>
        <w:tc>
          <w:tcPr>
            <w:tcW w:w="1440" w:type="dxa"/>
            <w:tcBorders/>
            <w:shd w:fill="auto" w:val="clear"/>
            <w:vAlign w:val="center"/>
          </w:tcPr>
          <w:p>
            <w:pPr>
              <w:pStyle w:val="Normal"/>
              <w:jc w:val="center"/>
              <w:rPr/>
            </w:pPr>
            <w:r>
              <w:rPr/>
              <w:t>71.0</w:t>
            </w:r>
          </w:p>
        </w:tc>
        <w:tc>
          <w:tcPr>
            <w:tcW w:w="1440" w:type="dxa"/>
            <w:tcBorders/>
            <w:shd w:fill="auto" w:val="clear"/>
            <w:vAlign w:val="center"/>
          </w:tcPr>
          <w:p>
            <w:pPr>
              <w:pStyle w:val="Normal"/>
              <w:jc w:val="center"/>
              <w:rPr/>
            </w:pPr>
            <w:r>
              <w:rPr/>
              <w:t>81.5</w:t>
            </w:r>
          </w:p>
        </w:tc>
        <w:tc>
          <w:tcPr>
            <w:tcW w:w="1440" w:type="dxa"/>
            <w:tcBorders/>
            <w:shd w:fill="auto" w:val="clear"/>
            <w:vAlign w:val="center"/>
          </w:tcPr>
          <w:p>
            <w:pPr>
              <w:pStyle w:val="Normal"/>
              <w:jc w:val="center"/>
              <w:rPr/>
            </w:pPr>
            <w:r>
              <w:rPr/>
              <w:t>87.6</w:t>
            </w:r>
          </w:p>
        </w:tc>
        <w:tc>
          <w:tcPr>
            <w:tcW w:w="1980" w:type="dxa"/>
            <w:tcBorders/>
            <w:shd w:fill="auto" w:val="clear"/>
            <w:vAlign w:val="center"/>
          </w:tcPr>
          <w:p>
            <w:pPr>
              <w:pStyle w:val="Normal"/>
              <w:jc w:val="center"/>
              <w:rPr/>
            </w:pPr>
            <w:r>
              <w:rPr/>
              <w:t>5791100</w:t>
            </w:r>
          </w:p>
        </w:tc>
      </w:tr>
      <w:tr>
        <w:trPr>
          <w:trHeight w:val="255" w:hRule="atLeast"/>
        </w:trPr>
        <w:tc>
          <w:tcPr>
            <w:tcW w:w="2175" w:type="dxa"/>
            <w:tcBorders/>
            <w:shd w:fill="auto" w:val="clear"/>
            <w:vAlign w:val="bottom"/>
          </w:tcPr>
          <w:p>
            <w:pPr>
              <w:pStyle w:val="Normal"/>
              <w:snapToGrid w:val="false"/>
              <w:rPr>
                <w:sz w:val="20"/>
                <w:szCs w:val="20"/>
              </w:rPr>
            </w:pPr>
            <w:r>
              <w:rPr>
                <w:sz w:val="20"/>
                <w:szCs w:val="20"/>
              </w:rPr>
            </w:r>
          </w:p>
        </w:tc>
        <w:tc>
          <w:tcPr>
            <w:tcW w:w="1440" w:type="dxa"/>
            <w:tcBorders/>
            <w:shd w:fill="auto" w:val="clear"/>
            <w:vAlign w:val="center"/>
          </w:tcPr>
          <w:p>
            <w:pPr>
              <w:pStyle w:val="Normal"/>
              <w:snapToGrid w:val="false"/>
              <w:jc w:val="center"/>
              <w:rPr/>
            </w:pPr>
            <w:r>
              <w:rPr/>
            </w:r>
          </w:p>
        </w:tc>
        <w:tc>
          <w:tcPr>
            <w:tcW w:w="1440" w:type="dxa"/>
            <w:tcBorders/>
            <w:shd w:fill="auto" w:val="clear"/>
            <w:vAlign w:val="center"/>
          </w:tcPr>
          <w:p>
            <w:pPr>
              <w:pStyle w:val="Normal"/>
              <w:snapToGrid w:val="false"/>
              <w:jc w:val="center"/>
              <w:rPr/>
            </w:pPr>
            <w:r>
              <w:rPr/>
            </w:r>
          </w:p>
        </w:tc>
        <w:tc>
          <w:tcPr>
            <w:tcW w:w="1440" w:type="dxa"/>
            <w:tcBorders/>
            <w:shd w:fill="auto" w:val="clear"/>
            <w:vAlign w:val="center"/>
          </w:tcPr>
          <w:p>
            <w:pPr>
              <w:pStyle w:val="Normal"/>
              <w:snapToGrid w:val="false"/>
              <w:jc w:val="center"/>
              <w:rPr/>
            </w:pPr>
            <w:r>
              <w:rPr/>
            </w:r>
          </w:p>
        </w:tc>
        <w:tc>
          <w:tcPr>
            <w:tcW w:w="1980" w:type="dxa"/>
            <w:tcBorders/>
            <w:shd w:fill="auto" w:val="clear"/>
            <w:vAlign w:val="center"/>
          </w:tcPr>
          <w:p>
            <w:pPr>
              <w:pStyle w:val="Normal"/>
              <w:snapToGrid w:val="false"/>
              <w:jc w:val="center"/>
              <w:rPr/>
            </w:pPr>
            <w:r>
              <w:rPr/>
            </w:r>
          </w:p>
        </w:tc>
      </w:tr>
      <w:tr>
        <w:trPr>
          <w:trHeight w:val="255" w:hRule="atLeast"/>
        </w:trPr>
        <w:tc>
          <w:tcPr>
            <w:tcW w:w="2175" w:type="dxa"/>
            <w:tcBorders/>
            <w:shd w:fill="auto" w:val="clear"/>
            <w:vAlign w:val="bottom"/>
          </w:tcPr>
          <w:p>
            <w:pPr>
              <w:pStyle w:val="Normal"/>
              <w:rPr/>
            </w:pPr>
            <w:r>
              <w:rPr/>
              <w:t>New Brunswick</w:t>
            </w:r>
          </w:p>
        </w:tc>
        <w:tc>
          <w:tcPr>
            <w:tcW w:w="1440" w:type="dxa"/>
            <w:tcBorders/>
            <w:shd w:fill="auto" w:val="clear"/>
            <w:vAlign w:val="center"/>
          </w:tcPr>
          <w:p>
            <w:pPr>
              <w:pStyle w:val="Normal"/>
              <w:jc w:val="center"/>
              <w:rPr/>
            </w:pPr>
            <w:r>
              <w:rPr/>
              <w:t>16.0</w:t>
            </w:r>
          </w:p>
        </w:tc>
        <w:tc>
          <w:tcPr>
            <w:tcW w:w="1440" w:type="dxa"/>
            <w:tcBorders/>
            <w:shd w:fill="auto" w:val="clear"/>
            <w:vAlign w:val="center"/>
          </w:tcPr>
          <w:p>
            <w:pPr>
              <w:pStyle w:val="Normal"/>
              <w:jc w:val="center"/>
              <w:rPr/>
            </w:pPr>
            <w:r>
              <w:rPr/>
              <w:t>19.3</w:t>
            </w:r>
          </w:p>
        </w:tc>
        <w:tc>
          <w:tcPr>
            <w:tcW w:w="1440" w:type="dxa"/>
            <w:tcBorders/>
            <w:shd w:fill="auto" w:val="clear"/>
            <w:vAlign w:val="center"/>
          </w:tcPr>
          <w:p>
            <w:pPr>
              <w:pStyle w:val="Normal"/>
              <w:jc w:val="center"/>
              <w:rPr/>
            </w:pPr>
            <w:r>
              <w:rPr/>
              <w:t>24.4</w:t>
            </w:r>
          </w:p>
        </w:tc>
        <w:tc>
          <w:tcPr>
            <w:tcW w:w="1980" w:type="dxa"/>
            <w:tcBorders/>
            <w:shd w:fill="auto" w:val="clear"/>
            <w:vAlign w:val="center"/>
          </w:tcPr>
          <w:p>
            <w:pPr>
              <w:pStyle w:val="Normal"/>
              <w:jc w:val="center"/>
              <w:rPr/>
            </w:pPr>
            <w:r>
              <w:rPr/>
              <w:t>563120</w:t>
            </w:r>
          </w:p>
        </w:tc>
      </w:tr>
      <w:tr>
        <w:trPr>
          <w:trHeight w:val="255" w:hRule="atLeast"/>
        </w:trPr>
        <w:tc>
          <w:tcPr>
            <w:tcW w:w="2175" w:type="dxa"/>
            <w:tcBorders/>
            <w:shd w:fill="auto" w:val="clear"/>
            <w:vAlign w:val="bottom"/>
          </w:tcPr>
          <w:p>
            <w:pPr>
              <w:pStyle w:val="Normal"/>
              <w:snapToGrid w:val="false"/>
              <w:rPr>
                <w:sz w:val="20"/>
                <w:szCs w:val="20"/>
              </w:rPr>
            </w:pPr>
            <w:r>
              <w:rPr>
                <w:sz w:val="20"/>
                <w:szCs w:val="20"/>
              </w:rPr>
            </w:r>
          </w:p>
        </w:tc>
        <w:tc>
          <w:tcPr>
            <w:tcW w:w="1440" w:type="dxa"/>
            <w:tcBorders/>
            <w:shd w:fill="auto" w:val="clear"/>
            <w:vAlign w:val="center"/>
          </w:tcPr>
          <w:p>
            <w:pPr>
              <w:pStyle w:val="Normal"/>
              <w:snapToGrid w:val="false"/>
              <w:jc w:val="center"/>
              <w:rPr/>
            </w:pPr>
            <w:r>
              <w:rPr/>
            </w:r>
          </w:p>
        </w:tc>
        <w:tc>
          <w:tcPr>
            <w:tcW w:w="1440" w:type="dxa"/>
            <w:tcBorders/>
            <w:shd w:fill="auto" w:val="clear"/>
            <w:vAlign w:val="center"/>
          </w:tcPr>
          <w:p>
            <w:pPr>
              <w:pStyle w:val="Normal"/>
              <w:snapToGrid w:val="false"/>
              <w:jc w:val="center"/>
              <w:rPr/>
            </w:pPr>
            <w:r>
              <w:rPr/>
            </w:r>
          </w:p>
        </w:tc>
        <w:tc>
          <w:tcPr>
            <w:tcW w:w="1440" w:type="dxa"/>
            <w:tcBorders/>
            <w:shd w:fill="auto" w:val="clear"/>
            <w:vAlign w:val="center"/>
          </w:tcPr>
          <w:p>
            <w:pPr>
              <w:pStyle w:val="Normal"/>
              <w:snapToGrid w:val="false"/>
              <w:jc w:val="center"/>
              <w:rPr/>
            </w:pPr>
            <w:r>
              <w:rPr/>
            </w:r>
          </w:p>
        </w:tc>
        <w:tc>
          <w:tcPr>
            <w:tcW w:w="1980" w:type="dxa"/>
            <w:tcBorders/>
            <w:shd w:fill="auto" w:val="clear"/>
            <w:vAlign w:val="center"/>
          </w:tcPr>
          <w:p>
            <w:pPr>
              <w:pStyle w:val="Normal"/>
              <w:snapToGrid w:val="false"/>
              <w:jc w:val="center"/>
              <w:rPr/>
            </w:pPr>
            <w:r>
              <w:rPr/>
            </w:r>
          </w:p>
        </w:tc>
      </w:tr>
      <w:tr>
        <w:trPr>
          <w:trHeight w:val="255" w:hRule="atLeast"/>
        </w:trPr>
        <w:tc>
          <w:tcPr>
            <w:tcW w:w="2175" w:type="dxa"/>
            <w:tcBorders/>
            <w:shd w:fill="auto" w:val="clear"/>
            <w:vAlign w:val="bottom"/>
          </w:tcPr>
          <w:p>
            <w:pPr>
              <w:pStyle w:val="Normal"/>
              <w:rPr/>
            </w:pPr>
            <w:r>
              <w:rPr/>
              <w:t>Newfoundland</w:t>
            </w:r>
          </w:p>
        </w:tc>
        <w:tc>
          <w:tcPr>
            <w:tcW w:w="1440" w:type="dxa"/>
            <w:tcBorders/>
            <w:shd w:fill="auto" w:val="clear"/>
            <w:vAlign w:val="center"/>
          </w:tcPr>
          <w:p>
            <w:pPr>
              <w:pStyle w:val="Normal"/>
              <w:jc w:val="center"/>
              <w:rPr/>
            </w:pPr>
            <w:r>
              <w:rPr/>
              <w:t>36.1</w:t>
            </w:r>
          </w:p>
        </w:tc>
        <w:tc>
          <w:tcPr>
            <w:tcW w:w="1440" w:type="dxa"/>
            <w:tcBorders/>
            <w:shd w:fill="auto" w:val="clear"/>
            <w:vAlign w:val="center"/>
          </w:tcPr>
          <w:p>
            <w:pPr>
              <w:pStyle w:val="Normal"/>
              <w:jc w:val="center"/>
              <w:rPr/>
            </w:pPr>
            <w:r>
              <w:rPr/>
              <w:t>38.6</w:t>
            </w:r>
          </w:p>
        </w:tc>
        <w:tc>
          <w:tcPr>
            <w:tcW w:w="1440" w:type="dxa"/>
            <w:tcBorders/>
            <w:shd w:fill="auto" w:val="clear"/>
            <w:vAlign w:val="center"/>
          </w:tcPr>
          <w:p>
            <w:pPr>
              <w:pStyle w:val="Normal"/>
              <w:jc w:val="center"/>
              <w:rPr/>
            </w:pPr>
            <w:r>
              <w:rPr/>
              <w:t>43.7</w:t>
            </w:r>
          </w:p>
        </w:tc>
        <w:tc>
          <w:tcPr>
            <w:tcW w:w="1980" w:type="dxa"/>
            <w:tcBorders/>
            <w:shd w:fill="auto" w:val="clear"/>
            <w:vAlign w:val="center"/>
          </w:tcPr>
          <w:p>
            <w:pPr>
              <w:pStyle w:val="Normal"/>
              <w:jc w:val="center"/>
              <w:rPr/>
            </w:pPr>
            <w:r>
              <w:rPr/>
              <w:t>391980</w:t>
            </w:r>
          </w:p>
        </w:tc>
      </w:tr>
      <w:tr>
        <w:trPr>
          <w:trHeight w:val="255" w:hRule="atLeast"/>
        </w:trPr>
        <w:tc>
          <w:tcPr>
            <w:tcW w:w="2175" w:type="dxa"/>
            <w:tcBorders/>
            <w:shd w:fill="auto" w:val="clear"/>
            <w:vAlign w:val="bottom"/>
          </w:tcPr>
          <w:p>
            <w:pPr>
              <w:pStyle w:val="Normal"/>
              <w:snapToGrid w:val="false"/>
              <w:rPr>
                <w:sz w:val="20"/>
                <w:szCs w:val="20"/>
              </w:rPr>
            </w:pPr>
            <w:r>
              <w:rPr>
                <w:sz w:val="20"/>
                <w:szCs w:val="20"/>
              </w:rPr>
            </w:r>
          </w:p>
        </w:tc>
        <w:tc>
          <w:tcPr>
            <w:tcW w:w="1440" w:type="dxa"/>
            <w:tcBorders/>
            <w:shd w:fill="auto" w:val="clear"/>
            <w:vAlign w:val="center"/>
          </w:tcPr>
          <w:p>
            <w:pPr>
              <w:pStyle w:val="Normal"/>
              <w:snapToGrid w:val="false"/>
              <w:jc w:val="center"/>
              <w:rPr/>
            </w:pPr>
            <w:r>
              <w:rPr/>
            </w:r>
          </w:p>
        </w:tc>
        <w:tc>
          <w:tcPr>
            <w:tcW w:w="1440" w:type="dxa"/>
            <w:tcBorders/>
            <w:shd w:fill="auto" w:val="clear"/>
            <w:vAlign w:val="center"/>
          </w:tcPr>
          <w:p>
            <w:pPr>
              <w:pStyle w:val="Normal"/>
              <w:snapToGrid w:val="false"/>
              <w:jc w:val="center"/>
              <w:rPr/>
            </w:pPr>
            <w:r>
              <w:rPr/>
            </w:r>
          </w:p>
        </w:tc>
        <w:tc>
          <w:tcPr>
            <w:tcW w:w="1440" w:type="dxa"/>
            <w:tcBorders/>
            <w:shd w:fill="auto" w:val="clear"/>
            <w:vAlign w:val="center"/>
          </w:tcPr>
          <w:p>
            <w:pPr>
              <w:pStyle w:val="Normal"/>
              <w:snapToGrid w:val="false"/>
              <w:jc w:val="center"/>
              <w:rPr/>
            </w:pPr>
            <w:r>
              <w:rPr/>
            </w:r>
          </w:p>
        </w:tc>
        <w:tc>
          <w:tcPr>
            <w:tcW w:w="1980" w:type="dxa"/>
            <w:tcBorders/>
            <w:shd w:fill="auto" w:val="clear"/>
            <w:vAlign w:val="center"/>
          </w:tcPr>
          <w:p>
            <w:pPr>
              <w:pStyle w:val="Normal"/>
              <w:snapToGrid w:val="false"/>
              <w:jc w:val="center"/>
              <w:rPr/>
            </w:pPr>
            <w:r>
              <w:rPr/>
            </w:r>
          </w:p>
        </w:tc>
      </w:tr>
      <w:tr>
        <w:trPr>
          <w:trHeight w:val="255" w:hRule="atLeast"/>
        </w:trPr>
        <w:tc>
          <w:tcPr>
            <w:tcW w:w="2175" w:type="dxa"/>
            <w:tcBorders/>
            <w:shd w:fill="auto" w:val="clear"/>
            <w:vAlign w:val="bottom"/>
          </w:tcPr>
          <w:p>
            <w:pPr>
              <w:pStyle w:val="Normal"/>
              <w:rPr/>
            </w:pPr>
            <w:r>
              <w:rPr/>
              <w:t>Nova Scotia</w:t>
            </w:r>
          </w:p>
        </w:tc>
        <w:tc>
          <w:tcPr>
            <w:tcW w:w="1440" w:type="dxa"/>
            <w:tcBorders/>
            <w:shd w:fill="auto" w:val="clear"/>
            <w:vAlign w:val="center"/>
          </w:tcPr>
          <w:p>
            <w:pPr>
              <w:pStyle w:val="Normal"/>
              <w:jc w:val="center"/>
              <w:rPr/>
            </w:pPr>
            <w:r>
              <w:rPr/>
              <w:t>39.7</w:t>
            </w:r>
          </w:p>
        </w:tc>
        <w:tc>
          <w:tcPr>
            <w:tcW w:w="1440" w:type="dxa"/>
            <w:tcBorders/>
            <w:shd w:fill="auto" w:val="clear"/>
            <w:vAlign w:val="center"/>
          </w:tcPr>
          <w:p>
            <w:pPr>
              <w:pStyle w:val="Normal"/>
              <w:jc w:val="center"/>
              <w:rPr/>
            </w:pPr>
            <w:r>
              <w:rPr/>
              <w:t>45.2</w:t>
            </w:r>
          </w:p>
        </w:tc>
        <w:tc>
          <w:tcPr>
            <w:tcW w:w="1440" w:type="dxa"/>
            <w:tcBorders/>
            <w:shd w:fill="auto" w:val="clear"/>
            <w:vAlign w:val="center"/>
          </w:tcPr>
          <w:p>
            <w:pPr>
              <w:pStyle w:val="Normal"/>
              <w:jc w:val="center"/>
              <w:rPr/>
            </w:pPr>
            <w:r>
              <w:rPr/>
              <w:t>57.4</w:t>
            </w:r>
          </w:p>
        </w:tc>
        <w:tc>
          <w:tcPr>
            <w:tcW w:w="1980" w:type="dxa"/>
            <w:tcBorders/>
            <w:shd w:fill="auto" w:val="clear"/>
            <w:vAlign w:val="center"/>
          </w:tcPr>
          <w:p>
            <w:pPr>
              <w:pStyle w:val="Normal"/>
              <w:jc w:val="center"/>
              <w:rPr/>
            </w:pPr>
            <w:r>
              <w:rPr/>
              <w:t>705175</w:t>
            </w:r>
          </w:p>
        </w:tc>
      </w:tr>
      <w:tr>
        <w:trPr>
          <w:trHeight w:val="270" w:hRule="atLeast"/>
        </w:trPr>
        <w:tc>
          <w:tcPr>
            <w:tcW w:w="2175" w:type="dxa"/>
            <w:tcBorders>
              <w:bottom w:val="single" w:sz="8" w:space="0" w:color="000000"/>
              <w:insideH w:val="single" w:sz="8" w:space="0" w:color="000000"/>
            </w:tcBorders>
            <w:shd w:fill="auto" w:val="clear"/>
            <w:vAlign w:val="bottom"/>
          </w:tcPr>
          <w:p>
            <w:pPr>
              <w:pStyle w:val="Normal"/>
              <w:rPr>
                <w:sz w:val="20"/>
                <w:szCs w:val="20"/>
              </w:rPr>
            </w:pPr>
            <w:r>
              <w:rPr>
                <w:sz w:val="20"/>
                <w:szCs w:val="20"/>
              </w:rPr>
              <w:t> </w:t>
            </w:r>
          </w:p>
        </w:tc>
        <w:tc>
          <w:tcPr>
            <w:tcW w:w="1440" w:type="dxa"/>
            <w:tcBorders>
              <w:bottom w:val="single" w:sz="8" w:space="0" w:color="000000"/>
              <w:insideH w:val="single" w:sz="8" w:space="0" w:color="000000"/>
            </w:tcBorders>
            <w:shd w:fill="auto" w:val="clear"/>
            <w:vAlign w:val="bottom"/>
          </w:tcPr>
          <w:p>
            <w:pPr>
              <w:pStyle w:val="Normal"/>
              <w:rPr>
                <w:sz w:val="20"/>
                <w:szCs w:val="20"/>
              </w:rPr>
            </w:pPr>
            <w:r>
              <w:rPr>
                <w:sz w:val="20"/>
                <w:szCs w:val="20"/>
              </w:rPr>
              <w:t> </w:t>
            </w:r>
          </w:p>
        </w:tc>
        <w:tc>
          <w:tcPr>
            <w:tcW w:w="1440" w:type="dxa"/>
            <w:tcBorders>
              <w:bottom w:val="single" w:sz="8" w:space="0" w:color="000000"/>
              <w:insideH w:val="single" w:sz="8" w:space="0" w:color="000000"/>
            </w:tcBorders>
            <w:shd w:fill="auto" w:val="clear"/>
            <w:vAlign w:val="bottom"/>
          </w:tcPr>
          <w:p>
            <w:pPr>
              <w:pStyle w:val="Normal"/>
              <w:rPr>
                <w:sz w:val="20"/>
                <w:szCs w:val="20"/>
              </w:rPr>
            </w:pPr>
            <w:r>
              <w:rPr>
                <w:sz w:val="20"/>
                <w:szCs w:val="20"/>
              </w:rPr>
              <w:t> </w:t>
            </w:r>
          </w:p>
        </w:tc>
        <w:tc>
          <w:tcPr>
            <w:tcW w:w="1440" w:type="dxa"/>
            <w:tcBorders>
              <w:bottom w:val="single" w:sz="8" w:space="0" w:color="000000"/>
              <w:insideH w:val="single" w:sz="8" w:space="0" w:color="000000"/>
            </w:tcBorders>
            <w:shd w:fill="auto" w:val="clear"/>
            <w:vAlign w:val="bottom"/>
          </w:tcPr>
          <w:p>
            <w:pPr>
              <w:pStyle w:val="Normal"/>
              <w:rPr>
                <w:sz w:val="20"/>
                <w:szCs w:val="20"/>
              </w:rPr>
            </w:pPr>
            <w:r>
              <w:rPr>
                <w:sz w:val="20"/>
                <w:szCs w:val="20"/>
              </w:rPr>
              <w:t> </w:t>
            </w:r>
          </w:p>
        </w:tc>
        <w:tc>
          <w:tcPr>
            <w:tcW w:w="1980" w:type="dxa"/>
            <w:tcBorders>
              <w:bottom w:val="single" w:sz="8" w:space="0" w:color="000000"/>
              <w:insideH w:val="single" w:sz="8" w:space="0" w:color="000000"/>
            </w:tcBorders>
            <w:shd w:fill="auto" w:val="clear"/>
            <w:vAlign w:val="center"/>
          </w:tcPr>
          <w:p>
            <w:pPr>
              <w:pStyle w:val="Normal"/>
              <w:jc w:val="center"/>
              <w:rPr>
                <w:sz w:val="20"/>
                <w:szCs w:val="20"/>
              </w:rPr>
            </w:pPr>
            <w:r>
              <w:rPr>
                <w:sz w:val="20"/>
                <w:szCs w:val="20"/>
              </w:rPr>
              <w:t> </w:t>
            </w:r>
          </w:p>
        </w:tc>
      </w:tr>
    </w:tbl>
    <w:p>
      <w:pPr>
        <w:pStyle w:val="Normal"/>
        <w:spacing w:lineRule="auto" w:line="480"/>
        <w:rPr>
          <w:lang w:val="en-US"/>
        </w:rPr>
      </w:pPr>
      <w:r>
        <w:rPr>
          <w:lang w:val="en-US"/>
        </w:rPr>
      </w:r>
    </w:p>
    <w:p>
      <w:pPr>
        <w:pStyle w:val="Normal"/>
        <w:spacing w:lineRule="auto" w:line="480"/>
        <w:rPr>
          <w:lang w:val="en-US"/>
        </w:rPr>
      </w:pPr>
      <w:r>
        <w:rPr>
          <w:lang w:val="en-US"/>
        </w:rPr>
      </w:r>
    </w:p>
    <w:p>
      <w:pPr>
        <w:pStyle w:val="Normal"/>
        <w:spacing w:lineRule="auto" w:line="480"/>
        <w:rPr>
          <w:lang w:val="en-US"/>
        </w:rPr>
      </w:pPr>
      <w:r>
        <w:rPr>
          <w:lang w:val="en-US"/>
        </w:rPr>
      </w:r>
    </w:p>
    <w:p>
      <w:pPr>
        <w:pStyle w:val="Normal"/>
        <w:spacing w:lineRule="auto" w:line="480"/>
        <w:rPr>
          <w:lang w:val="en-US"/>
        </w:rPr>
      </w:pPr>
      <w:r>
        <w:rPr>
          <w:lang w:val="en-US"/>
        </w:rPr>
      </w:r>
    </w:p>
    <w:p>
      <w:pPr>
        <w:pStyle w:val="Normal"/>
        <w:spacing w:lineRule="auto" w:line="480"/>
        <w:rPr>
          <w:lang w:val="en-US"/>
        </w:rPr>
      </w:pPr>
      <w:r>
        <w:rPr>
          <w:lang w:val="en-US"/>
        </w:rPr>
      </w:r>
    </w:p>
    <w:p>
      <w:pPr>
        <w:pStyle w:val="Normal"/>
        <w:spacing w:lineRule="auto" w:line="480"/>
        <w:rPr>
          <w:lang w:val="en-US"/>
        </w:rPr>
      </w:pPr>
      <w:r>
        <w:rPr>
          <w:lang w:val="en-US"/>
        </w:rPr>
      </w:r>
    </w:p>
    <w:p>
      <w:pPr>
        <w:pStyle w:val="Normal"/>
        <w:spacing w:lineRule="auto" w:line="480"/>
        <w:rPr>
          <w:lang w:val="en-US"/>
        </w:rPr>
      </w:pPr>
      <w:r>
        <w:rPr>
          <w:lang w:val="en-US"/>
        </w:rPr>
      </w:r>
    </w:p>
    <w:p>
      <w:pPr>
        <w:sectPr>
          <w:footerReference w:type="default" r:id="rId13"/>
          <w:type w:val="nextPage"/>
          <w:pgSz w:w="12240" w:h="15840"/>
          <w:pgMar w:left="1800" w:right="1800" w:header="0" w:top="1584" w:footer="720" w:bottom="1584" w:gutter="0"/>
          <w:pgNumType w:fmt="decimal"/>
          <w:formProt w:val="false"/>
          <w:textDirection w:val="lrTb"/>
          <w:docGrid w:type="default" w:linePitch="360" w:charSpace="0"/>
        </w:sectPr>
        <w:pStyle w:val="Normal"/>
        <w:spacing w:lineRule="auto" w:line="480"/>
        <w:rPr>
          <w:lang w:val="en-US"/>
        </w:rPr>
      </w:pPr>
      <w:r>
        <w:rPr>
          <w:lang w:val="en-US"/>
        </w:rPr>
      </w:r>
    </w:p>
    <w:p>
      <w:pPr>
        <w:pStyle w:val="Normal"/>
        <w:spacing w:lineRule="auto" w:line="480"/>
        <w:rPr/>
      </w:pPr>
      <w:r>
        <w:rPr/>
        <w:t>Table 2: Sensitivity tests for proportion of population within a 60-minute pre-hospital time constraint</w:t>
      </w:r>
    </w:p>
    <w:tbl>
      <w:tblPr>
        <w:tblW w:w="12615" w:type="dxa"/>
        <w:jc w:val="left"/>
        <w:tblInd w:w="93" w:type="dxa"/>
        <w:tblBorders/>
        <w:tblCellMar>
          <w:top w:w="0" w:type="dxa"/>
          <w:left w:w="108" w:type="dxa"/>
          <w:bottom w:w="0" w:type="dxa"/>
          <w:right w:w="108" w:type="dxa"/>
        </w:tblCellMar>
      </w:tblPr>
      <w:tblGrid>
        <w:gridCol w:w="2175"/>
        <w:gridCol w:w="1800"/>
        <w:gridCol w:w="1800"/>
        <w:gridCol w:w="1800"/>
        <w:gridCol w:w="1980"/>
        <w:gridCol w:w="1620"/>
        <w:gridCol w:w="1440"/>
      </w:tblGrid>
      <w:tr>
        <w:trPr>
          <w:trHeight w:val="255" w:hRule="atLeast"/>
        </w:trPr>
        <w:tc>
          <w:tcPr>
            <w:tcW w:w="2175" w:type="dxa"/>
            <w:tcBorders/>
            <w:shd w:fill="auto" w:val="clear"/>
            <w:vAlign w:val="bottom"/>
          </w:tcPr>
          <w:p>
            <w:pPr>
              <w:pStyle w:val="Normal"/>
              <w:snapToGrid w:val="false"/>
              <w:rPr/>
            </w:pPr>
            <w:r>
              <w:rPr/>
            </w:r>
          </w:p>
        </w:tc>
        <w:tc>
          <w:tcPr>
            <w:tcW w:w="1800" w:type="dxa"/>
            <w:tcBorders/>
            <w:shd w:fill="auto" w:val="clear"/>
            <w:vAlign w:val="bottom"/>
          </w:tcPr>
          <w:p>
            <w:pPr>
              <w:pStyle w:val="Normal"/>
              <w:snapToGrid w:val="false"/>
              <w:rPr/>
            </w:pPr>
            <w:r>
              <w:rPr/>
            </w:r>
          </w:p>
        </w:tc>
        <w:tc>
          <w:tcPr>
            <w:tcW w:w="8640" w:type="dxa"/>
            <w:gridSpan w:val="5"/>
            <w:tcBorders/>
            <w:shd w:fill="auto" w:val="clear"/>
            <w:vAlign w:val="bottom"/>
          </w:tcPr>
          <w:p>
            <w:pPr>
              <w:pStyle w:val="Normal"/>
              <w:rPr/>
            </w:pPr>
            <w:r>
              <w:rPr/>
              <w:t>Sensitivity Tests (Changes to 60-minute pre-hospital time)</w:t>
            </w:r>
          </w:p>
        </w:tc>
      </w:tr>
      <w:tr>
        <w:trPr>
          <w:trHeight w:val="255" w:hRule="atLeast"/>
        </w:trPr>
        <w:tc>
          <w:tcPr>
            <w:tcW w:w="2175" w:type="dxa"/>
            <w:tcBorders/>
            <w:shd w:fill="auto" w:val="clear"/>
            <w:vAlign w:val="bottom"/>
          </w:tcPr>
          <w:p>
            <w:pPr>
              <w:pStyle w:val="Normal"/>
              <w:snapToGrid w:val="false"/>
              <w:rPr>
                <w:sz w:val="20"/>
                <w:szCs w:val="20"/>
              </w:rPr>
            </w:pPr>
            <w:r>
              <w:rPr>
                <w:sz w:val="20"/>
                <w:szCs w:val="20"/>
              </w:rPr>
            </w:r>
          </w:p>
        </w:tc>
        <w:tc>
          <w:tcPr>
            <w:tcW w:w="1800" w:type="dxa"/>
            <w:tcBorders/>
            <w:shd w:fill="auto" w:val="clear"/>
            <w:vAlign w:val="bottom"/>
          </w:tcPr>
          <w:p>
            <w:pPr>
              <w:pStyle w:val="Normal"/>
              <w:snapToGrid w:val="false"/>
              <w:rPr/>
            </w:pPr>
            <w:r>
              <w:rPr/>
            </w:r>
          </w:p>
        </w:tc>
        <w:tc>
          <w:tcPr>
            <w:tcW w:w="8640" w:type="dxa"/>
            <w:gridSpan w:val="5"/>
            <w:tcBorders/>
            <w:shd w:fill="auto" w:val="clear"/>
            <w:vAlign w:val="bottom"/>
          </w:tcPr>
          <w:p>
            <w:pPr>
              <w:pStyle w:val="Normal"/>
              <w:snapToGrid w:val="false"/>
              <w:rPr/>
            </w:pPr>
            <w:r>
              <w:rPr/>
            </w:r>
          </w:p>
        </w:tc>
      </w:tr>
      <w:tr>
        <w:trPr>
          <w:trHeight w:val="525" w:hRule="atLeast"/>
        </w:trPr>
        <w:tc>
          <w:tcPr>
            <w:tcW w:w="2175" w:type="dxa"/>
            <w:tcBorders>
              <w:bottom w:val="single" w:sz="8" w:space="0" w:color="000000"/>
              <w:insideH w:val="single" w:sz="8" w:space="0" w:color="000000"/>
            </w:tcBorders>
            <w:shd w:fill="auto" w:val="clear"/>
            <w:vAlign w:val="bottom"/>
          </w:tcPr>
          <w:p>
            <w:pPr>
              <w:pStyle w:val="Normal"/>
              <w:rPr/>
            </w:pPr>
            <w:r>
              <w:rPr/>
              <w:t>Province</w:t>
            </w:r>
          </w:p>
        </w:tc>
        <w:tc>
          <w:tcPr>
            <w:tcW w:w="1800" w:type="dxa"/>
            <w:tcBorders>
              <w:bottom w:val="single" w:sz="8" w:space="0" w:color="000000"/>
              <w:insideH w:val="single" w:sz="8" w:space="0" w:color="000000"/>
            </w:tcBorders>
            <w:shd w:fill="auto" w:val="clear"/>
            <w:vAlign w:val="center"/>
          </w:tcPr>
          <w:p>
            <w:pPr>
              <w:pStyle w:val="Normal"/>
              <w:jc w:val="center"/>
              <w:rPr/>
            </w:pPr>
            <w:r>
              <w:rPr/>
              <w:t>Main Analysis</w:t>
            </w:r>
          </w:p>
          <w:p>
            <w:pPr>
              <w:pStyle w:val="Normal"/>
              <w:jc w:val="center"/>
              <w:rPr/>
            </w:pPr>
            <w:r>
              <w:rPr/>
              <w:t>(60 minutes)</w:t>
            </w:r>
          </w:p>
        </w:tc>
        <w:tc>
          <w:tcPr>
            <w:tcW w:w="1800" w:type="dxa"/>
            <w:tcBorders>
              <w:bottom w:val="single" w:sz="8" w:space="0" w:color="000000"/>
              <w:insideH w:val="single" w:sz="8" w:space="0" w:color="000000"/>
            </w:tcBorders>
            <w:shd w:fill="auto" w:val="clear"/>
            <w:vAlign w:val="center"/>
          </w:tcPr>
          <w:p>
            <w:pPr>
              <w:pStyle w:val="Normal"/>
              <w:jc w:val="center"/>
              <w:rPr/>
            </w:pPr>
            <w:r>
              <w:rPr/>
              <w:t>10-minute Increase</w:t>
            </w:r>
          </w:p>
        </w:tc>
        <w:tc>
          <w:tcPr>
            <w:tcW w:w="1800" w:type="dxa"/>
            <w:tcBorders>
              <w:bottom w:val="single" w:sz="8" w:space="0" w:color="000000"/>
              <w:insideH w:val="single" w:sz="8" w:space="0" w:color="000000"/>
            </w:tcBorders>
            <w:shd w:fill="auto" w:val="clear"/>
            <w:vAlign w:val="center"/>
          </w:tcPr>
          <w:p>
            <w:pPr>
              <w:pStyle w:val="Normal"/>
              <w:jc w:val="center"/>
              <w:rPr/>
            </w:pPr>
            <w:r>
              <w:rPr/>
              <w:t xml:space="preserve">10-minute Decrease </w:t>
            </w:r>
          </w:p>
        </w:tc>
        <w:tc>
          <w:tcPr>
            <w:tcW w:w="1980" w:type="dxa"/>
            <w:tcBorders>
              <w:bottom w:val="single" w:sz="8" w:space="0" w:color="000000"/>
              <w:insideH w:val="single" w:sz="8" w:space="0" w:color="000000"/>
            </w:tcBorders>
            <w:shd w:fill="auto" w:val="clear"/>
            <w:vAlign w:val="center"/>
          </w:tcPr>
          <w:p>
            <w:pPr>
              <w:pStyle w:val="Normal"/>
              <w:jc w:val="center"/>
              <w:rPr/>
            </w:pPr>
            <w:r>
              <w:rPr/>
              <w:t>25% Increase</w:t>
            </w:r>
          </w:p>
        </w:tc>
        <w:tc>
          <w:tcPr>
            <w:tcW w:w="1620" w:type="dxa"/>
            <w:tcBorders>
              <w:bottom w:val="single" w:sz="8" w:space="0" w:color="000000"/>
              <w:insideH w:val="single" w:sz="8" w:space="0" w:color="000000"/>
            </w:tcBorders>
            <w:shd w:fill="auto" w:val="clear"/>
            <w:vAlign w:val="center"/>
          </w:tcPr>
          <w:p>
            <w:pPr>
              <w:pStyle w:val="Normal"/>
              <w:jc w:val="center"/>
              <w:rPr/>
            </w:pPr>
            <w:r>
              <w:rPr/>
              <w:t>25% Decrease</w:t>
            </w:r>
          </w:p>
        </w:tc>
        <w:tc>
          <w:tcPr>
            <w:tcW w:w="1440" w:type="dxa"/>
            <w:tcBorders>
              <w:bottom w:val="single" w:sz="8" w:space="0" w:color="000000"/>
              <w:insideH w:val="single" w:sz="8" w:space="0" w:color="000000"/>
            </w:tcBorders>
            <w:shd w:fill="auto" w:val="clear"/>
            <w:vAlign w:val="center"/>
          </w:tcPr>
          <w:p>
            <w:pPr>
              <w:pStyle w:val="Normal"/>
              <w:jc w:val="center"/>
              <w:rPr/>
            </w:pPr>
            <w:r>
              <w:rPr/>
              <w:t>Self Transport *</w:t>
            </w:r>
          </w:p>
        </w:tc>
      </w:tr>
      <w:tr>
        <w:trPr>
          <w:trHeight w:val="113" w:hRule="atLeast"/>
        </w:trPr>
        <w:tc>
          <w:tcPr>
            <w:tcW w:w="2175" w:type="dxa"/>
            <w:tcBorders/>
            <w:shd w:fill="auto" w:val="clear"/>
            <w:vAlign w:val="bottom"/>
          </w:tcPr>
          <w:p>
            <w:pPr>
              <w:pStyle w:val="Normal"/>
              <w:snapToGrid w:val="false"/>
              <w:rPr>
                <w:sz w:val="20"/>
                <w:szCs w:val="20"/>
              </w:rPr>
            </w:pPr>
            <w:r>
              <w:rPr>
                <w:sz w:val="20"/>
                <w:szCs w:val="20"/>
              </w:rPr>
            </w:r>
          </w:p>
        </w:tc>
        <w:tc>
          <w:tcPr>
            <w:tcW w:w="1800" w:type="dxa"/>
            <w:tcBorders/>
            <w:shd w:fill="auto" w:val="clear"/>
            <w:vAlign w:val="center"/>
          </w:tcPr>
          <w:p>
            <w:pPr>
              <w:pStyle w:val="Normal"/>
              <w:snapToGrid w:val="false"/>
              <w:jc w:val="center"/>
              <w:rPr/>
            </w:pPr>
            <w:r>
              <w:rPr/>
            </w:r>
          </w:p>
        </w:tc>
        <w:tc>
          <w:tcPr>
            <w:tcW w:w="1800" w:type="dxa"/>
            <w:tcBorders/>
            <w:shd w:fill="auto" w:val="clear"/>
            <w:vAlign w:val="center"/>
          </w:tcPr>
          <w:p>
            <w:pPr>
              <w:pStyle w:val="Normal"/>
              <w:snapToGrid w:val="false"/>
              <w:jc w:val="center"/>
              <w:rPr/>
            </w:pPr>
            <w:r>
              <w:rPr/>
            </w:r>
          </w:p>
        </w:tc>
        <w:tc>
          <w:tcPr>
            <w:tcW w:w="1800" w:type="dxa"/>
            <w:tcBorders/>
            <w:shd w:fill="auto" w:val="clear"/>
            <w:vAlign w:val="center"/>
          </w:tcPr>
          <w:p>
            <w:pPr>
              <w:pStyle w:val="Normal"/>
              <w:snapToGrid w:val="false"/>
              <w:jc w:val="center"/>
              <w:rPr/>
            </w:pPr>
            <w:r>
              <w:rPr/>
            </w:r>
          </w:p>
        </w:tc>
        <w:tc>
          <w:tcPr>
            <w:tcW w:w="1980" w:type="dxa"/>
            <w:tcBorders/>
            <w:shd w:fill="auto" w:val="clear"/>
            <w:vAlign w:val="center"/>
          </w:tcPr>
          <w:p>
            <w:pPr>
              <w:pStyle w:val="Normal"/>
              <w:snapToGrid w:val="false"/>
              <w:jc w:val="center"/>
              <w:rPr/>
            </w:pPr>
            <w:r>
              <w:rPr/>
            </w:r>
          </w:p>
        </w:tc>
        <w:tc>
          <w:tcPr>
            <w:tcW w:w="1620" w:type="dxa"/>
            <w:tcBorders/>
            <w:shd w:fill="auto" w:val="clear"/>
            <w:vAlign w:val="center"/>
          </w:tcPr>
          <w:p>
            <w:pPr>
              <w:pStyle w:val="Normal"/>
              <w:snapToGrid w:val="false"/>
              <w:jc w:val="center"/>
              <w:rPr/>
            </w:pPr>
            <w:r>
              <w:rPr/>
            </w:r>
          </w:p>
        </w:tc>
        <w:tc>
          <w:tcPr>
            <w:tcW w:w="1440" w:type="dxa"/>
            <w:tcBorders/>
            <w:shd w:fill="auto" w:val="clear"/>
            <w:vAlign w:val="center"/>
          </w:tcPr>
          <w:p>
            <w:pPr>
              <w:pStyle w:val="Normal"/>
              <w:snapToGrid w:val="false"/>
              <w:jc w:val="center"/>
              <w:rPr/>
            </w:pPr>
            <w:r>
              <w:rPr/>
            </w:r>
          </w:p>
        </w:tc>
      </w:tr>
      <w:tr>
        <w:trPr>
          <w:trHeight w:val="112" w:hRule="atLeast"/>
        </w:trPr>
        <w:tc>
          <w:tcPr>
            <w:tcW w:w="2175" w:type="dxa"/>
            <w:tcBorders/>
            <w:shd w:fill="auto" w:val="clear"/>
            <w:vAlign w:val="bottom"/>
          </w:tcPr>
          <w:p>
            <w:pPr>
              <w:pStyle w:val="Normal"/>
              <w:rPr/>
            </w:pPr>
            <w:r>
              <w:rPr/>
              <w:t>British Columbia</w:t>
            </w:r>
          </w:p>
        </w:tc>
        <w:tc>
          <w:tcPr>
            <w:tcW w:w="1800" w:type="dxa"/>
            <w:tcBorders/>
            <w:shd w:fill="auto" w:val="clear"/>
            <w:vAlign w:val="center"/>
          </w:tcPr>
          <w:p>
            <w:pPr>
              <w:pStyle w:val="Normal"/>
              <w:jc w:val="center"/>
              <w:rPr/>
            </w:pPr>
            <w:r>
              <w:rPr/>
              <w:t>60.7</w:t>
            </w:r>
          </w:p>
        </w:tc>
        <w:tc>
          <w:tcPr>
            <w:tcW w:w="1800" w:type="dxa"/>
            <w:tcBorders/>
            <w:shd w:fill="auto" w:val="clear"/>
            <w:vAlign w:val="center"/>
          </w:tcPr>
          <w:p>
            <w:pPr>
              <w:pStyle w:val="Normal"/>
              <w:jc w:val="center"/>
              <w:rPr/>
            </w:pPr>
            <w:r>
              <w:rPr/>
              <w:t>59.1</w:t>
            </w:r>
          </w:p>
        </w:tc>
        <w:tc>
          <w:tcPr>
            <w:tcW w:w="1800" w:type="dxa"/>
            <w:tcBorders/>
            <w:shd w:fill="auto" w:val="clear"/>
            <w:vAlign w:val="center"/>
          </w:tcPr>
          <w:p>
            <w:pPr>
              <w:pStyle w:val="Normal"/>
              <w:jc w:val="center"/>
              <w:rPr/>
            </w:pPr>
            <w:r>
              <w:rPr/>
              <w:t>63.2</w:t>
            </w:r>
          </w:p>
        </w:tc>
        <w:tc>
          <w:tcPr>
            <w:tcW w:w="1980" w:type="dxa"/>
            <w:tcBorders/>
            <w:shd w:fill="auto" w:val="clear"/>
            <w:vAlign w:val="center"/>
          </w:tcPr>
          <w:p>
            <w:pPr>
              <w:pStyle w:val="Normal"/>
              <w:jc w:val="center"/>
              <w:rPr/>
            </w:pPr>
            <w:r>
              <w:rPr/>
              <w:t>58.7</w:t>
            </w:r>
          </w:p>
        </w:tc>
        <w:tc>
          <w:tcPr>
            <w:tcW w:w="1620" w:type="dxa"/>
            <w:tcBorders/>
            <w:shd w:fill="auto" w:val="clear"/>
            <w:vAlign w:val="center"/>
          </w:tcPr>
          <w:p>
            <w:pPr>
              <w:pStyle w:val="Normal"/>
              <w:jc w:val="center"/>
              <w:rPr/>
            </w:pPr>
            <w:r>
              <w:rPr/>
              <w:t>64.2</w:t>
            </w:r>
          </w:p>
        </w:tc>
        <w:tc>
          <w:tcPr>
            <w:tcW w:w="1440" w:type="dxa"/>
            <w:tcBorders/>
            <w:shd w:fill="auto" w:val="clear"/>
            <w:vAlign w:val="center"/>
          </w:tcPr>
          <w:p>
            <w:pPr>
              <w:pStyle w:val="Normal"/>
              <w:jc w:val="center"/>
              <w:rPr/>
            </w:pPr>
            <w:r>
              <w:rPr/>
              <w:t>66.1</w:t>
            </w:r>
          </w:p>
        </w:tc>
      </w:tr>
      <w:tr>
        <w:trPr>
          <w:trHeight w:val="33" w:hRule="atLeast"/>
        </w:trPr>
        <w:tc>
          <w:tcPr>
            <w:tcW w:w="2175" w:type="dxa"/>
            <w:tcBorders/>
            <w:shd w:fill="auto" w:val="clear"/>
            <w:vAlign w:val="bottom"/>
          </w:tcPr>
          <w:p>
            <w:pPr>
              <w:pStyle w:val="Normal"/>
              <w:snapToGrid w:val="false"/>
              <w:rPr>
                <w:sz w:val="20"/>
                <w:szCs w:val="20"/>
              </w:rPr>
            </w:pPr>
            <w:r>
              <w:rPr>
                <w:sz w:val="20"/>
                <w:szCs w:val="20"/>
              </w:rPr>
            </w:r>
          </w:p>
        </w:tc>
        <w:tc>
          <w:tcPr>
            <w:tcW w:w="1800" w:type="dxa"/>
            <w:tcBorders/>
            <w:shd w:fill="auto" w:val="clear"/>
            <w:vAlign w:val="center"/>
          </w:tcPr>
          <w:p>
            <w:pPr>
              <w:pStyle w:val="Normal"/>
              <w:snapToGrid w:val="false"/>
              <w:jc w:val="center"/>
              <w:rPr/>
            </w:pPr>
            <w:r>
              <w:rPr/>
            </w:r>
          </w:p>
        </w:tc>
        <w:tc>
          <w:tcPr>
            <w:tcW w:w="1800" w:type="dxa"/>
            <w:tcBorders/>
            <w:shd w:fill="auto" w:val="clear"/>
            <w:vAlign w:val="center"/>
          </w:tcPr>
          <w:p>
            <w:pPr>
              <w:pStyle w:val="Normal"/>
              <w:snapToGrid w:val="false"/>
              <w:jc w:val="center"/>
              <w:rPr/>
            </w:pPr>
            <w:r>
              <w:rPr/>
            </w:r>
          </w:p>
        </w:tc>
        <w:tc>
          <w:tcPr>
            <w:tcW w:w="1800" w:type="dxa"/>
            <w:tcBorders/>
            <w:shd w:fill="auto" w:val="clear"/>
            <w:vAlign w:val="center"/>
          </w:tcPr>
          <w:p>
            <w:pPr>
              <w:pStyle w:val="Normal"/>
              <w:snapToGrid w:val="false"/>
              <w:jc w:val="center"/>
              <w:rPr/>
            </w:pPr>
            <w:r>
              <w:rPr/>
            </w:r>
          </w:p>
        </w:tc>
        <w:tc>
          <w:tcPr>
            <w:tcW w:w="1980" w:type="dxa"/>
            <w:tcBorders/>
            <w:shd w:fill="auto" w:val="clear"/>
            <w:vAlign w:val="center"/>
          </w:tcPr>
          <w:p>
            <w:pPr>
              <w:pStyle w:val="Normal"/>
              <w:snapToGrid w:val="false"/>
              <w:jc w:val="center"/>
              <w:rPr/>
            </w:pPr>
            <w:r>
              <w:rPr/>
            </w:r>
          </w:p>
        </w:tc>
        <w:tc>
          <w:tcPr>
            <w:tcW w:w="1620" w:type="dxa"/>
            <w:tcBorders/>
            <w:shd w:fill="auto" w:val="clear"/>
            <w:vAlign w:val="center"/>
          </w:tcPr>
          <w:p>
            <w:pPr>
              <w:pStyle w:val="Normal"/>
              <w:snapToGrid w:val="false"/>
              <w:jc w:val="center"/>
              <w:rPr/>
            </w:pPr>
            <w:r>
              <w:rPr/>
            </w:r>
          </w:p>
        </w:tc>
        <w:tc>
          <w:tcPr>
            <w:tcW w:w="1440" w:type="dxa"/>
            <w:tcBorders/>
            <w:shd w:fill="auto" w:val="clear"/>
            <w:vAlign w:val="center"/>
          </w:tcPr>
          <w:p>
            <w:pPr>
              <w:pStyle w:val="Normal"/>
              <w:snapToGrid w:val="false"/>
              <w:jc w:val="center"/>
              <w:rPr/>
            </w:pPr>
            <w:r>
              <w:rPr/>
            </w:r>
          </w:p>
        </w:tc>
      </w:tr>
      <w:tr>
        <w:trPr>
          <w:trHeight w:val="32" w:hRule="atLeast"/>
        </w:trPr>
        <w:tc>
          <w:tcPr>
            <w:tcW w:w="2175" w:type="dxa"/>
            <w:tcBorders/>
            <w:shd w:fill="auto" w:val="clear"/>
            <w:vAlign w:val="bottom"/>
          </w:tcPr>
          <w:p>
            <w:pPr>
              <w:pStyle w:val="Normal"/>
              <w:rPr/>
            </w:pPr>
            <w:r>
              <w:rPr/>
              <w:t>Alberta</w:t>
            </w:r>
          </w:p>
        </w:tc>
        <w:tc>
          <w:tcPr>
            <w:tcW w:w="1800" w:type="dxa"/>
            <w:tcBorders/>
            <w:shd w:fill="auto" w:val="clear"/>
            <w:vAlign w:val="center"/>
          </w:tcPr>
          <w:p>
            <w:pPr>
              <w:pStyle w:val="Normal"/>
              <w:jc w:val="center"/>
              <w:rPr/>
            </w:pPr>
            <w:r>
              <w:rPr/>
              <w:t>64.8</w:t>
            </w:r>
          </w:p>
        </w:tc>
        <w:tc>
          <w:tcPr>
            <w:tcW w:w="1800" w:type="dxa"/>
            <w:tcBorders/>
            <w:shd w:fill="auto" w:val="clear"/>
            <w:vAlign w:val="center"/>
          </w:tcPr>
          <w:p>
            <w:pPr>
              <w:pStyle w:val="Normal"/>
              <w:jc w:val="center"/>
              <w:rPr/>
            </w:pPr>
            <w:r>
              <w:rPr/>
              <w:t>62.8</w:t>
            </w:r>
          </w:p>
        </w:tc>
        <w:tc>
          <w:tcPr>
            <w:tcW w:w="1800" w:type="dxa"/>
            <w:tcBorders/>
            <w:shd w:fill="auto" w:val="clear"/>
            <w:vAlign w:val="center"/>
          </w:tcPr>
          <w:p>
            <w:pPr>
              <w:pStyle w:val="Normal"/>
              <w:jc w:val="center"/>
              <w:rPr/>
            </w:pPr>
            <w:r>
              <w:rPr/>
              <w:t>66.1</w:t>
            </w:r>
          </w:p>
        </w:tc>
        <w:tc>
          <w:tcPr>
            <w:tcW w:w="1980" w:type="dxa"/>
            <w:tcBorders/>
            <w:shd w:fill="auto" w:val="clear"/>
            <w:vAlign w:val="center"/>
          </w:tcPr>
          <w:p>
            <w:pPr>
              <w:pStyle w:val="Normal"/>
              <w:jc w:val="center"/>
              <w:rPr/>
            </w:pPr>
            <w:r>
              <w:rPr/>
              <w:t>62.0</w:t>
            </w:r>
          </w:p>
        </w:tc>
        <w:tc>
          <w:tcPr>
            <w:tcW w:w="1620" w:type="dxa"/>
            <w:tcBorders/>
            <w:shd w:fill="auto" w:val="clear"/>
            <w:vAlign w:val="center"/>
          </w:tcPr>
          <w:p>
            <w:pPr>
              <w:pStyle w:val="Normal"/>
              <w:jc w:val="center"/>
              <w:rPr/>
            </w:pPr>
            <w:r>
              <w:rPr/>
              <w:t>67.3</w:t>
            </w:r>
          </w:p>
        </w:tc>
        <w:tc>
          <w:tcPr>
            <w:tcW w:w="1440" w:type="dxa"/>
            <w:tcBorders/>
            <w:shd w:fill="auto" w:val="clear"/>
            <w:vAlign w:val="center"/>
          </w:tcPr>
          <w:p>
            <w:pPr>
              <w:pStyle w:val="Normal"/>
              <w:jc w:val="center"/>
              <w:rPr/>
            </w:pPr>
            <w:r>
              <w:rPr/>
              <w:t>69.2</w:t>
            </w:r>
          </w:p>
        </w:tc>
      </w:tr>
      <w:tr>
        <w:trPr>
          <w:trHeight w:val="32" w:hRule="atLeast"/>
        </w:trPr>
        <w:tc>
          <w:tcPr>
            <w:tcW w:w="2175" w:type="dxa"/>
            <w:tcBorders/>
            <w:shd w:fill="auto" w:val="clear"/>
            <w:vAlign w:val="bottom"/>
          </w:tcPr>
          <w:p>
            <w:pPr>
              <w:pStyle w:val="Normal"/>
              <w:snapToGrid w:val="false"/>
              <w:rPr>
                <w:sz w:val="20"/>
                <w:szCs w:val="20"/>
              </w:rPr>
            </w:pPr>
            <w:r>
              <w:rPr>
                <w:sz w:val="20"/>
                <w:szCs w:val="20"/>
              </w:rPr>
            </w:r>
          </w:p>
        </w:tc>
        <w:tc>
          <w:tcPr>
            <w:tcW w:w="1800" w:type="dxa"/>
            <w:tcBorders/>
            <w:shd w:fill="auto" w:val="clear"/>
            <w:vAlign w:val="center"/>
          </w:tcPr>
          <w:p>
            <w:pPr>
              <w:pStyle w:val="Normal"/>
              <w:snapToGrid w:val="false"/>
              <w:jc w:val="center"/>
              <w:rPr/>
            </w:pPr>
            <w:r>
              <w:rPr/>
            </w:r>
          </w:p>
        </w:tc>
        <w:tc>
          <w:tcPr>
            <w:tcW w:w="1800" w:type="dxa"/>
            <w:tcBorders/>
            <w:shd w:fill="auto" w:val="clear"/>
            <w:vAlign w:val="center"/>
          </w:tcPr>
          <w:p>
            <w:pPr>
              <w:pStyle w:val="Normal"/>
              <w:snapToGrid w:val="false"/>
              <w:jc w:val="center"/>
              <w:rPr/>
            </w:pPr>
            <w:r>
              <w:rPr/>
            </w:r>
          </w:p>
        </w:tc>
        <w:tc>
          <w:tcPr>
            <w:tcW w:w="1800" w:type="dxa"/>
            <w:tcBorders/>
            <w:shd w:fill="auto" w:val="clear"/>
            <w:vAlign w:val="center"/>
          </w:tcPr>
          <w:p>
            <w:pPr>
              <w:pStyle w:val="Normal"/>
              <w:snapToGrid w:val="false"/>
              <w:jc w:val="center"/>
              <w:rPr/>
            </w:pPr>
            <w:r>
              <w:rPr/>
            </w:r>
          </w:p>
        </w:tc>
        <w:tc>
          <w:tcPr>
            <w:tcW w:w="1980" w:type="dxa"/>
            <w:tcBorders/>
            <w:shd w:fill="auto" w:val="clear"/>
            <w:vAlign w:val="center"/>
          </w:tcPr>
          <w:p>
            <w:pPr>
              <w:pStyle w:val="Normal"/>
              <w:snapToGrid w:val="false"/>
              <w:jc w:val="center"/>
              <w:rPr/>
            </w:pPr>
            <w:r>
              <w:rPr/>
            </w:r>
          </w:p>
        </w:tc>
        <w:tc>
          <w:tcPr>
            <w:tcW w:w="1620" w:type="dxa"/>
            <w:tcBorders/>
            <w:shd w:fill="auto" w:val="clear"/>
            <w:vAlign w:val="center"/>
          </w:tcPr>
          <w:p>
            <w:pPr>
              <w:pStyle w:val="Normal"/>
              <w:snapToGrid w:val="false"/>
              <w:jc w:val="center"/>
              <w:rPr/>
            </w:pPr>
            <w:r>
              <w:rPr/>
            </w:r>
          </w:p>
        </w:tc>
        <w:tc>
          <w:tcPr>
            <w:tcW w:w="1440" w:type="dxa"/>
            <w:tcBorders/>
            <w:shd w:fill="auto" w:val="clear"/>
            <w:vAlign w:val="center"/>
          </w:tcPr>
          <w:p>
            <w:pPr>
              <w:pStyle w:val="Normal"/>
              <w:snapToGrid w:val="false"/>
              <w:jc w:val="center"/>
              <w:rPr/>
            </w:pPr>
            <w:r>
              <w:rPr/>
            </w:r>
          </w:p>
        </w:tc>
      </w:tr>
      <w:tr>
        <w:trPr>
          <w:trHeight w:val="32" w:hRule="atLeast"/>
        </w:trPr>
        <w:tc>
          <w:tcPr>
            <w:tcW w:w="2175" w:type="dxa"/>
            <w:tcBorders/>
            <w:shd w:fill="auto" w:val="clear"/>
            <w:vAlign w:val="bottom"/>
          </w:tcPr>
          <w:p>
            <w:pPr>
              <w:pStyle w:val="Normal"/>
              <w:rPr/>
            </w:pPr>
            <w:r>
              <w:rPr/>
              <w:t>Saskatchewan</w:t>
            </w:r>
          </w:p>
        </w:tc>
        <w:tc>
          <w:tcPr>
            <w:tcW w:w="1800" w:type="dxa"/>
            <w:tcBorders/>
            <w:shd w:fill="auto" w:val="clear"/>
            <w:vAlign w:val="center"/>
          </w:tcPr>
          <w:p>
            <w:pPr>
              <w:pStyle w:val="Normal"/>
              <w:jc w:val="center"/>
              <w:rPr/>
            </w:pPr>
            <w:r>
              <w:rPr/>
              <w:t>45.3</w:t>
            </w:r>
          </w:p>
        </w:tc>
        <w:tc>
          <w:tcPr>
            <w:tcW w:w="1800" w:type="dxa"/>
            <w:tcBorders/>
            <w:shd w:fill="auto" w:val="clear"/>
            <w:vAlign w:val="center"/>
          </w:tcPr>
          <w:p>
            <w:pPr>
              <w:pStyle w:val="Normal"/>
              <w:jc w:val="center"/>
              <w:rPr/>
            </w:pPr>
            <w:r>
              <w:rPr/>
              <w:t>44.2</w:t>
            </w:r>
          </w:p>
        </w:tc>
        <w:tc>
          <w:tcPr>
            <w:tcW w:w="1800" w:type="dxa"/>
            <w:tcBorders/>
            <w:shd w:fill="auto" w:val="clear"/>
            <w:vAlign w:val="center"/>
          </w:tcPr>
          <w:p>
            <w:pPr>
              <w:pStyle w:val="Normal"/>
              <w:jc w:val="center"/>
              <w:rPr/>
            </w:pPr>
            <w:r>
              <w:rPr/>
              <w:t>46.1</w:t>
            </w:r>
          </w:p>
        </w:tc>
        <w:tc>
          <w:tcPr>
            <w:tcW w:w="1980" w:type="dxa"/>
            <w:tcBorders/>
            <w:shd w:fill="auto" w:val="clear"/>
            <w:vAlign w:val="center"/>
          </w:tcPr>
          <w:p>
            <w:pPr>
              <w:pStyle w:val="Normal"/>
              <w:jc w:val="center"/>
              <w:rPr/>
            </w:pPr>
            <w:r>
              <w:rPr/>
              <w:t>43.8</w:t>
            </w:r>
          </w:p>
        </w:tc>
        <w:tc>
          <w:tcPr>
            <w:tcW w:w="1620" w:type="dxa"/>
            <w:tcBorders/>
            <w:shd w:fill="auto" w:val="clear"/>
            <w:vAlign w:val="center"/>
          </w:tcPr>
          <w:p>
            <w:pPr>
              <w:pStyle w:val="Normal"/>
              <w:jc w:val="center"/>
              <w:rPr/>
            </w:pPr>
            <w:r>
              <w:rPr/>
              <w:t>47.2</w:t>
            </w:r>
          </w:p>
        </w:tc>
        <w:tc>
          <w:tcPr>
            <w:tcW w:w="1440" w:type="dxa"/>
            <w:tcBorders/>
            <w:shd w:fill="auto" w:val="clear"/>
            <w:vAlign w:val="center"/>
          </w:tcPr>
          <w:p>
            <w:pPr>
              <w:pStyle w:val="Normal"/>
              <w:jc w:val="center"/>
              <w:rPr/>
            </w:pPr>
            <w:r>
              <w:rPr/>
              <w:t>52.1</w:t>
            </w:r>
          </w:p>
        </w:tc>
      </w:tr>
      <w:tr>
        <w:trPr>
          <w:trHeight w:val="32" w:hRule="atLeast"/>
        </w:trPr>
        <w:tc>
          <w:tcPr>
            <w:tcW w:w="2175" w:type="dxa"/>
            <w:tcBorders/>
            <w:shd w:fill="auto" w:val="clear"/>
            <w:vAlign w:val="bottom"/>
          </w:tcPr>
          <w:p>
            <w:pPr>
              <w:pStyle w:val="Normal"/>
              <w:snapToGrid w:val="false"/>
              <w:rPr>
                <w:sz w:val="20"/>
                <w:szCs w:val="20"/>
              </w:rPr>
            </w:pPr>
            <w:r>
              <w:rPr>
                <w:sz w:val="20"/>
                <w:szCs w:val="20"/>
              </w:rPr>
            </w:r>
          </w:p>
        </w:tc>
        <w:tc>
          <w:tcPr>
            <w:tcW w:w="1800" w:type="dxa"/>
            <w:tcBorders/>
            <w:shd w:fill="auto" w:val="clear"/>
            <w:vAlign w:val="center"/>
          </w:tcPr>
          <w:p>
            <w:pPr>
              <w:pStyle w:val="Normal"/>
              <w:snapToGrid w:val="false"/>
              <w:jc w:val="center"/>
              <w:rPr/>
            </w:pPr>
            <w:r>
              <w:rPr/>
            </w:r>
          </w:p>
        </w:tc>
        <w:tc>
          <w:tcPr>
            <w:tcW w:w="1800" w:type="dxa"/>
            <w:tcBorders/>
            <w:shd w:fill="auto" w:val="clear"/>
            <w:vAlign w:val="center"/>
          </w:tcPr>
          <w:p>
            <w:pPr>
              <w:pStyle w:val="Normal"/>
              <w:snapToGrid w:val="false"/>
              <w:jc w:val="center"/>
              <w:rPr/>
            </w:pPr>
            <w:r>
              <w:rPr/>
            </w:r>
          </w:p>
        </w:tc>
        <w:tc>
          <w:tcPr>
            <w:tcW w:w="1800" w:type="dxa"/>
            <w:tcBorders/>
            <w:shd w:fill="auto" w:val="clear"/>
            <w:vAlign w:val="center"/>
          </w:tcPr>
          <w:p>
            <w:pPr>
              <w:pStyle w:val="Normal"/>
              <w:snapToGrid w:val="false"/>
              <w:jc w:val="center"/>
              <w:rPr/>
            </w:pPr>
            <w:r>
              <w:rPr/>
            </w:r>
          </w:p>
        </w:tc>
        <w:tc>
          <w:tcPr>
            <w:tcW w:w="1980" w:type="dxa"/>
            <w:tcBorders/>
            <w:shd w:fill="auto" w:val="clear"/>
            <w:vAlign w:val="center"/>
          </w:tcPr>
          <w:p>
            <w:pPr>
              <w:pStyle w:val="Normal"/>
              <w:snapToGrid w:val="false"/>
              <w:jc w:val="center"/>
              <w:rPr/>
            </w:pPr>
            <w:r>
              <w:rPr/>
            </w:r>
          </w:p>
        </w:tc>
        <w:tc>
          <w:tcPr>
            <w:tcW w:w="1620" w:type="dxa"/>
            <w:tcBorders/>
            <w:shd w:fill="auto" w:val="clear"/>
            <w:vAlign w:val="center"/>
          </w:tcPr>
          <w:p>
            <w:pPr>
              <w:pStyle w:val="Normal"/>
              <w:snapToGrid w:val="false"/>
              <w:jc w:val="center"/>
              <w:rPr/>
            </w:pPr>
            <w:r>
              <w:rPr/>
            </w:r>
          </w:p>
        </w:tc>
        <w:tc>
          <w:tcPr>
            <w:tcW w:w="1440" w:type="dxa"/>
            <w:tcBorders/>
            <w:shd w:fill="auto" w:val="clear"/>
            <w:vAlign w:val="center"/>
          </w:tcPr>
          <w:p>
            <w:pPr>
              <w:pStyle w:val="Normal"/>
              <w:snapToGrid w:val="false"/>
              <w:jc w:val="center"/>
              <w:rPr/>
            </w:pPr>
            <w:r>
              <w:rPr/>
            </w:r>
          </w:p>
        </w:tc>
      </w:tr>
      <w:tr>
        <w:trPr>
          <w:trHeight w:val="32" w:hRule="atLeast"/>
        </w:trPr>
        <w:tc>
          <w:tcPr>
            <w:tcW w:w="2175" w:type="dxa"/>
            <w:tcBorders/>
            <w:shd w:fill="auto" w:val="clear"/>
            <w:vAlign w:val="bottom"/>
          </w:tcPr>
          <w:p>
            <w:pPr>
              <w:pStyle w:val="Normal"/>
              <w:rPr/>
            </w:pPr>
            <w:r>
              <w:rPr/>
              <w:t>Manitoba</w:t>
            </w:r>
          </w:p>
        </w:tc>
        <w:tc>
          <w:tcPr>
            <w:tcW w:w="1800" w:type="dxa"/>
            <w:tcBorders/>
            <w:shd w:fill="auto" w:val="clear"/>
            <w:vAlign w:val="center"/>
          </w:tcPr>
          <w:p>
            <w:pPr>
              <w:pStyle w:val="Normal"/>
              <w:jc w:val="center"/>
              <w:rPr/>
            </w:pPr>
            <w:r>
              <w:rPr/>
              <w:t>64.3</w:t>
            </w:r>
          </w:p>
        </w:tc>
        <w:tc>
          <w:tcPr>
            <w:tcW w:w="1800" w:type="dxa"/>
            <w:tcBorders/>
            <w:shd w:fill="auto" w:val="clear"/>
            <w:vAlign w:val="center"/>
          </w:tcPr>
          <w:p>
            <w:pPr>
              <w:pStyle w:val="Normal"/>
              <w:jc w:val="center"/>
              <w:rPr/>
            </w:pPr>
            <w:r>
              <w:rPr/>
              <w:t>61.4</w:t>
            </w:r>
          </w:p>
        </w:tc>
        <w:tc>
          <w:tcPr>
            <w:tcW w:w="1800" w:type="dxa"/>
            <w:tcBorders/>
            <w:shd w:fill="auto" w:val="clear"/>
            <w:vAlign w:val="center"/>
          </w:tcPr>
          <w:p>
            <w:pPr>
              <w:pStyle w:val="Normal"/>
              <w:jc w:val="center"/>
              <w:rPr/>
            </w:pPr>
            <w:r>
              <w:rPr/>
              <w:t>65.8</w:t>
            </w:r>
          </w:p>
        </w:tc>
        <w:tc>
          <w:tcPr>
            <w:tcW w:w="1980" w:type="dxa"/>
            <w:tcBorders/>
            <w:shd w:fill="auto" w:val="clear"/>
            <w:vAlign w:val="center"/>
          </w:tcPr>
          <w:p>
            <w:pPr>
              <w:pStyle w:val="Normal"/>
              <w:jc w:val="center"/>
              <w:rPr/>
            </w:pPr>
            <w:r>
              <w:rPr/>
              <w:t>61.2</w:t>
            </w:r>
          </w:p>
        </w:tc>
        <w:tc>
          <w:tcPr>
            <w:tcW w:w="1620" w:type="dxa"/>
            <w:tcBorders/>
            <w:shd w:fill="auto" w:val="clear"/>
            <w:vAlign w:val="center"/>
          </w:tcPr>
          <w:p>
            <w:pPr>
              <w:pStyle w:val="Normal"/>
              <w:jc w:val="center"/>
              <w:rPr/>
            </w:pPr>
            <w:r>
              <w:rPr/>
              <w:t>68.0</w:t>
            </w:r>
          </w:p>
        </w:tc>
        <w:tc>
          <w:tcPr>
            <w:tcW w:w="1440" w:type="dxa"/>
            <w:tcBorders/>
            <w:shd w:fill="auto" w:val="clear"/>
            <w:vAlign w:val="center"/>
          </w:tcPr>
          <w:p>
            <w:pPr>
              <w:pStyle w:val="Normal"/>
              <w:jc w:val="center"/>
              <w:rPr/>
            </w:pPr>
            <w:r>
              <w:rPr/>
              <w:t>70.1</w:t>
            </w:r>
          </w:p>
        </w:tc>
      </w:tr>
      <w:tr>
        <w:trPr>
          <w:trHeight w:val="32" w:hRule="atLeast"/>
        </w:trPr>
        <w:tc>
          <w:tcPr>
            <w:tcW w:w="2175" w:type="dxa"/>
            <w:tcBorders/>
            <w:shd w:fill="auto" w:val="clear"/>
            <w:vAlign w:val="bottom"/>
          </w:tcPr>
          <w:p>
            <w:pPr>
              <w:pStyle w:val="Normal"/>
              <w:snapToGrid w:val="false"/>
              <w:rPr>
                <w:sz w:val="20"/>
                <w:szCs w:val="20"/>
              </w:rPr>
            </w:pPr>
            <w:r>
              <w:rPr>
                <w:sz w:val="20"/>
                <w:szCs w:val="20"/>
              </w:rPr>
            </w:r>
          </w:p>
        </w:tc>
        <w:tc>
          <w:tcPr>
            <w:tcW w:w="1800" w:type="dxa"/>
            <w:tcBorders/>
            <w:shd w:fill="auto" w:val="clear"/>
            <w:vAlign w:val="center"/>
          </w:tcPr>
          <w:p>
            <w:pPr>
              <w:pStyle w:val="Normal"/>
              <w:snapToGrid w:val="false"/>
              <w:jc w:val="center"/>
              <w:rPr/>
            </w:pPr>
            <w:r>
              <w:rPr/>
            </w:r>
          </w:p>
        </w:tc>
        <w:tc>
          <w:tcPr>
            <w:tcW w:w="1800" w:type="dxa"/>
            <w:tcBorders/>
            <w:shd w:fill="auto" w:val="clear"/>
            <w:vAlign w:val="center"/>
          </w:tcPr>
          <w:p>
            <w:pPr>
              <w:pStyle w:val="Normal"/>
              <w:snapToGrid w:val="false"/>
              <w:jc w:val="center"/>
              <w:rPr/>
            </w:pPr>
            <w:r>
              <w:rPr/>
            </w:r>
          </w:p>
        </w:tc>
        <w:tc>
          <w:tcPr>
            <w:tcW w:w="1800" w:type="dxa"/>
            <w:tcBorders/>
            <w:shd w:fill="auto" w:val="clear"/>
            <w:vAlign w:val="center"/>
          </w:tcPr>
          <w:p>
            <w:pPr>
              <w:pStyle w:val="Normal"/>
              <w:snapToGrid w:val="false"/>
              <w:jc w:val="center"/>
              <w:rPr/>
            </w:pPr>
            <w:r>
              <w:rPr/>
            </w:r>
          </w:p>
        </w:tc>
        <w:tc>
          <w:tcPr>
            <w:tcW w:w="1980" w:type="dxa"/>
            <w:tcBorders/>
            <w:shd w:fill="auto" w:val="clear"/>
            <w:vAlign w:val="center"/>
          </w:tcPr>
          <w:p>
            <w:pPr>
              <w:pStyle w:val="Normal"/>
              <w:snapToGrid w:val="false"/>
              <w:jc w:val="center"/>
              <w:rPr/>
            </w:pPr>
            <w:r>
              <w:rPr/>
            </w:r>
          </w:p>
        </w:tc>
        <w:tc>
          <w:tcPr>
            <w:tcW w:w="1620" w:type="dxa"/>
            <w:tcBorders/>
            <w:shd w:fill="auto" w:val="clear"/>
            <w:vAlign w:val="center"/>
          </w:tcPr>
          <w:p>
            <w:pPr>
              <w:pStyle w:val="Normal"/>
              <w:snapToGrid w:val="false"/>
              <w:jc w:val="center"/>
              <w:rPr/>
            </w:pPr>
            <w:r>
              <w:rPr/>
            </w:r>
          </w:p>
        </w:tc>
        <w:tc>
          <w:tcPr>
            <w:tcW w:w="1440" w:type="dxa"/>
            <w:tcBorders/>
            <w:shd w:fill="auto" w:val="clear"/>
            <w:vAlign w:val="center"/>
          </w:tcPr>
          <w:p>
            <w:pPr>
              <w:pStyle w:val="Normal"/>
              <w:snapToGrid w:val="false"/>
              <w:jc w:val="center"/>
              <w:rPr/>
            </w:pPr>
            <w:r>
              <w:rPr/>
            </w:r>
          </w:p>
        </w:tc>
      </w:tr>
      <w:tr>
        <w:trPr>
          <w:trHeight w:val="255" w:hRule="atLeast"/>
        </w:trPr>
        <w:tc>
          <w:tcPr>
            <w:tcW w:w="2175" w:type="dxa"/>
            <w:tcBorders/>
            <w:shd w:fill="auto" w:val="clear"/>
            <w:vAlign w:val="bottom"/>
          </w:tcPr>
          <w:p>
            <w:pPr>
              <w:pStyle w:val="Normal"/>
              <w:rPr/>
            </w:pPr>
            <w:r>
              <w:rPr/>
              <w:t>Ontario</w:t>
            </w:r>
          </w:p>
        </w:tc>
        <w:tc>
          <w:tcPr>
            <w:tcW w:w="1800" w:type="dxa"/>
            <w:tcBorders/>
            <w:shd w:fill="auto" w:val="clear"/>
            <w:vAlign w:val="center"/>
          </w:tcPr>
          <w:p>
            <w:pPr>
              <w:pStyle w:val="Normal"/>
              <w:jc w:val="center"/>
              <w:rPr/>
            </w:pPr>
            <w:r>
              <w:rPr/>
              <w:t>75.0</w:t>
            </w:r>
          </w:p>
        </w:tc>
        <w:tc>
          <w:tcPr>
            <w:tcW w:w="1800" w:type="dxa"/>
            <w:tcBorders/>
            <w:shd w:fill="auto" w:val="clear"/>
            <w:vAlign w:val="center"/>
          </w:tcPr>
          <w:p>
            <w:pPr>
              <w:pStyle w:val="Normal"/>
              <w:jc w:val="center"/>
              <w:rPr/>
            </w:pPr>
            <w:r>
              <w:rPr/>
              <w:t>70.5</w:t>
            </w:r>
          </w:p>
        </w:tc>
        <w:tc>
          <w:tcPr>
            <w:tcW w:w="1800" w:type="dxa"/>
            <w:tcBorders/>
            <w:shd w:fill="auto" w:val="clear"/>
            <w:vAlign w:val="center"/>
          </w:tcPr>
          <w:p>
            <w:pPr>
              <w:pStyle w:val="Normal"/>
              <w:jc w:val="center"/>
              <w:rPr/>
            </w:pPr>
            <w:r>
              <w:rPr/>
              <w:t>79.5</w:t>
            </w:r>
          </w:p>
        </w:tc>
        <w:tc>
          <w:tcPr>
            <w:tcW w:w="1980" w:type="dxa"/>
            <w:tcBorders/>
            <w:shd w:fill="auto" w:val="clear"/>
            <w:vAlign w:val="center"/>
          </w:tcPr>
          <w:p>
            <w:pPr>
              <w:pStyle w:val="Normal"/>
              <w:jc w:val="center"/>
              <w:rPr/>
            </w:pPr>
            <w:r>
              <w:rPr/>
              <w:t>69.2</w:t>
            </w:r>
          </w:p>
        </w:tc>
        <w:tc>
          <w:tcPr>
            <w:tcW w:w="1620" w:type="dxa"/>
            <w:tcBorders/>
            <w:shd w:fill="auto" w:val="clear"/>
            <w:vAlign w:val="center"/>
          </w:tcPr>
          <w:p>
            <w:pPr>
              <w:pStyle w:val="Normal"/>
              <w:jc w:val="center"/>
              <w:rPr/>
            </w:pPr>
            <w:r>
              <w:rPr/>
              <w:t>82.4</w:t>
            </w:r>
          </w:p>
        </w:tc>
        <w:tc>
          <w:tcPr>
            <w:tcW w:w="1440" w:type="dxa"/>
            <w:tcBorders/>
            <w:shd w:fill="auto" w:val="clear"/>
            <w:vAlign w:val="center"/>
          </w:tcPr>
          <w:p>
            <w:pPr>
              <w:pStyle w:val="Normal"/>
              <w:jc w:val="center"/>
              <w:rPr/>
            </w:pPr>
            <w:r>
              <w:rPr/>
              <w:t>87.2</w:t>
            </w:r>
          </w:p>
        </w:tc>
      </w:tr>
      <w:tr>
        <w:trPr>
          <w:trHeight w:val="255" w:hRule="atLeast"/>
        </w:trPr>
        <w:tc>
          <w:tcPr>
            <w:tcW w:w="2175" w:type="dxa"/>
            <w:tcBorders/>
            <w:shd w:fill="auto" w:val="clear"/>
            <w:vAlign w:val="bottom"/>
          </w:tcPr>
          <w:p>
            <w:pPr>
              <w:pStyle w:val="Normal"/>
              <w:snapToGrid w:val="false"/>
              <w:rPr>
                <w:sz w:val="20"/>
                <w:szCs w:val="20"/>
              </w:rPr>
            </w:pPr>
            <w:r>
              <w:rPr>
                <w:sz w:val="20"/>
                <w:szCs w:val="20"/>
              </w:rPr>
            </w:r>
          </w:p>
        </w:tc>
        <w:tc>
          <w:tcPr>
            <w:tcW w:w="1800" w:type="dxa"/>
            <w:tcBorders/>
            <w:shd w:fill="auto" w:val="clear"/>
            <w:vAlign w:val="center"/>
          </w:tcPr>
          <w:p>
            <w:pPr>
              <w:pStyle w:val="Normal"/>
              <w:snapToGrid w:val="false"/>
              <w:jc w:val="center"/>
              <w:rPr/>
            </w:pPr>
            <w:r>
              <w:rPr/>
            </w:r>
          </w:p>
        </w:tc>
        <w:tc>
          <w:tcPr>
            <w:tcW w:w="1800" w:type="dxa"/>
            <w:tcBorders/>
            <w:shd w:fill="auto" w:val="clear"/>
            <w:vAlign w:val="center"/>
          </w:tcPr>
          <w:p>
            <w:pPr>
              <w:pStyle w:val="Normal"/>
              <w:snapToGrid w:val="false"/>
              <w:jc w:val="center"/>
              <w:rPr/>
            </w:pPr>
            <w:r>
              <w:rPr/>
            </w:r>
          </w:p>
        </w:tc>
        <w:tc>
          <w:tcPr>
            <w:tcW w:w="1800" w:type="dxa"/>
            <w:tcBorders/>
            <w:shd w:fill="auto" w:val="clear"/>
            <w:vAlign w:val="center"/>
          </w:tcPr>
          <w:p>
            <w:pPr>
              <w:pStyle w:val="Normal"/>
              <w:snapToGrid w:val="false"/>
              <w:jc w:val="center"/>
              <w:rPr/>
            </w:pPr>
            <w:r>
              <w:rPr/>
            </w:r>
          </w:p>
        </w:tc>
        <w:tc>
          <w:tcPr>
            <w:tcW w:w="1980" w:type="dxa"/>
            <w:tcBorders/>
            <w:shd w:fill="auto" w:val="clear"/>
            <w:vAlign w:val="center"/>
          </w:tcPr>
          <w:p>
            <w:pPr>
              <w:pStyle w:val="Normal"/>
              <w:snapToGrid w:val="false"/>
              <w:jc w:val="center"/>
              <w:rPr/>
            </w:pPr>
            <w:r>
              <w:rPr/>
            </w:r>
          </w:p>
        </w:tc>
        <w:tc>
          <w:tcPr>
            <w:tcW w:w="1620" w:type="dxa"/>
            <w:tcBorders/>
            <w:shd w:fill="auto" w:val="clear"/>
            <w:vAlign w:val="center"/>
          </w:tcPr>
          <w:p>
            <w:pPr>
              <w:pStyle w:val="Normal"/>
              <w:snapToGrid w:val="false"/>
              <w:jc w:val="center"/>
              <w:rPr/>
            </w:pPr>
            <w:r>
              <w:rPr/>
            </w:r>
          </w:p>
        </w:tc>
        <w:tc>
          <w:tcPr>
            <w:tcW w:w="1440" w:type="dxa"/>
            <w:tcBorders/>
            <w:shd w:fill="auto" w:val="clear"/>
            <w:vAlign w:val="center"/>
          </w:tcPr>
          <w:p>
            <w:pPr>
              <w:pStyle w:val="Normal"/>
              <w:snapToGrid w:val="false"/>
              <w:jc w:val="center"/>
              <w:rPr/>
            </w:pPr>
            <w:r>
              <w:rPr/>
            </w:r>
          </w:p>
        </w:tc>
      </w:tr>
      <w:tr>
        <w:trPr>
          <w:trHeight w:val="255" w:hRule="atLeast"/>
        </w:trPr>
        <w:tc>
          <w:tcPr>
            <w:tcW w:w="2175" w:type="dxa"/>
            <w:tcBorders/>
            <w:shd w:fill="auto" w:val="clear"/>
            <w:vAlign w:val="bottom"/>
          </w:tcPr>
          <w:p>
            <w:pPr>
              <w:pStyle w:val="Normal"/>
              <w:rPr/>
            </w:pPr>
            <w:r>
              <w:rPr/>
              <w:t>Quebec</w:t>
            </w:r>
          </w:p>
        </w:tc>
        <w:tc>
          <w:tcPr>
            <w:tcW w:w="1800" w:type="dxa"/>
            <w:tcBorders/>
            <w:shd w:fill="auto" w:val="clear"/>
            <w:vAlign w:val="center"/>
          </w:tcPr>
          <w:p>
            <w:pPr>
              <w:pStyle w:val="Normal"/>
              <w:jc w:val="center"/>
              <w:rPr/>
            </w:pPr>
            <w:r>
              <w:rPr/>
              <w:t>71.0</w:t>
            </w:r>
          </w:p>
        </w:tc>
        <w:tc>
          <w:tcPr>
            <w:tcW w:w="1800" w:type="dxa"/>
            <w:tcBorders/>
            <w:shd w:fill="auto" w:val="clear"/>
            <w:vAlign w:val="center"/>
          </w:tcPr>
          <w:p>
            <w:pPr>
              <w:pStyle w:val="Normal"/>
              <w:jc w:val="center"/>
              <w:rPr/>
            </w:pPr>
            <w:r>
              <w:rPr/>
              <w:t>66.8</w:t>
            </w:r>
          </w:p>
        </w:tc>
        <w:tc>
          <w:tcPr>
            <w:tcW w:w="1800" w:type="dxa"/>
            <w:tcBorders/>
            <w:shd w:fill="auto" w:val="clear"/>
            <w:vAlign w:val="center"/>
          </w:tcPr>
          <w:p>
            <w:pPr>
              <w:pStyle w:val="Normal"/>
              <w:jc w:val="center"/>
              <w:rPr/>
            </w:pPr>
            <w:r>
              <w:rPr/>
              <w:t>74.2</w:t>
            </w:r>
          </w:p>
        </w:tc>
        <w:tc>
          <w:tcPr>
            <w:tcW w:w="1980" w:type="dxa"/>
            <w:tcBorders/>
            <w:shd w:fill="auto" w:val="clear"/>
            <w:vAlign w:val="center"/>
          </w:tcPr>
          <w:p>
            <w:pPr>
              <w:pStyle w:val="Normal"/>
              <w:jc w:val="center"/>
              <w:rPr/>
            </w:pPr>
            <w:r>
              <w:rPr/>
              <w:t>65.7</w:t>
            </w:r>
          </w:p>
        </w:tc>
        <w:tc>
          <w:tcPr>
            <w:tcW w:w="1620" w:type="dxa"/>
            <w:tcBorders/>
            <w:shd w:fill="auto" w:val="clear"/>
            <w:vAlign w:val="center"/>
          </w:tcPr>
          <w:p>
            <w:pPr>
              <w:pStyle w:val="Normal"/>
              <w:jc w:val="center"/>
              <w:rPr/>
            </w:pPr>
            <w:r>
              <w:rPr/>
              <w:t>78.3</w:t>
            </w:r>
          </w:p>
        </w:tc>
        <w:tc>
          <w:tcPr>
            <w:tcW w:w="1440" w:type="dxa"/>
            <w:tcBorders/>
            <w:shd w:fill="auto" w:val="clear"/>
            <w:vAlign w:val="center"/>
          </w:tcPr>
          <w:p>
            <w:pPr>
              <w:pStyle w:val="Normal"/>
              <w:jc w:val="center"/>
              <w:rPr/>
            </w:pPr>
            <w:r>
              <w:rPr/>
              <w:t>82.7</w:t>
            </w:r>
          </w:p>
        </w:tc>
      </w:tr>
      <w:tr>
        <w:trPr>
          <w:trHeight w:val="255" w:hRule="atLeast"/>
        </w:trPr>
        <w:tc>
          <w:tcPr>
            <w:tcW w:w="2175" w:type="dxa"/>
            <w:tcBorders/>
            <w:shd w:fill="auto" w:val="clear"/>
            <w:vAlign w:val="bottom"/>
          </w:tcPr>
          <w:p>
            <w:pPr>
              <w:pStyle w:val="Normal"/>
              <w:snapToGrid w:val="false"/>
              <w:rPr>
                <w:sz w:val="20"/>
                <w:szCs w:val="20"/>
              </w:rPr>
            </w:pPr>
            <w:r>
              <w:rPr>
                <w:sz w:val="20"/>
                <w:szCs w:val="20"/>
              </w:rPr>
            </w:r>
          </w:p>
        </w:tc>
        <w:tc>
          <w:tcPr>
            <w:tcW w:w="1800" w:type="dxa"/>
            <w:tcBorders/>
            <w:shd w:fill="auto" w:val="clear"/>
            <w:vAlign w:val="center"/>
          </w:tcPr>
          <w:p>
            <w:pPr>
              <w:pStyle w:val="Normal"/>
              <w:snapToGrid w:val="false"/>
              <w:jc w:val="center"/>
              <w:rPr/>
            </w:pPr>
            <w:r>
              <w:rPr/>
            </w:r>
          </w:p>
        </w:tc>
        <w:tc>
          <w:tcPr>
            <w:tcW w:w="1800" w:type="dxa"/>
            <w:tcBorders/>
            <w:shd w:fill="auto" w:val="clear"/>
            <w:vAlign w:val="center"/>
          </w:tcPr>
          <w:p>
            <w:pPr>
              <w:pStyle w:val="Normal"/>
              <w:snapToGrid w:val="false"/>
              <w:jc w:val="center"/>
              <w:rPr/>
            </w:pPr>
            <w:r>
              <w:rPr/>
            </w:r>
          </w:p>
        </w:tc>
        <w:tc>
          <w:tcPr>
            <w:tcW w:w="1800" w:type="dxa"/>
            <w:tcBorders/>
            <w:shd w:fill="auto" w:val="clear"/>
            <w:vAlign w:val="center"/>
          </w:tcPr>
          <w:p>
            <w:pPr>
              <w:pStyle w:val="Normal"/>
              <w:snapToGrid w:val="false"/>
              <w:jc w:val="center"/>
              <w:rPr/>
            </w:pPr>
            <w:r>
              <w:rPr/>
            </w:r>
          </w:p>
        </w:tc>
        <w:tc>
          <w:tcPr>
            <w:tcW w:w="1980" w:type="dxa"/>
            <w:tcBorders/>
            <w:shd w:fill="auto" w:val="clear"/>
            <w:vAlign w:val="center"/>
          </w:tcPr>
          <w:p>
            <w:pPr>
              <w:pStyle w:val="Normal"/>
              <w:snapToGrid w:val="false"/>
              <w:jc w:val="center"/>
              <w:rPr/>
            </w:pPr>
            <w:r>
              <w:rPr/>
            </w:r>
          </w:p>
        </w:tc>
        <w:tc>
          <w:tcPr>
            <w:tcW w:w="1620" w:type="dxa"/>
            <w:tcBorders/>
            <w:shd w:fill="auto" w:val="clear"/>
            <w:vAlign w:val="center"/>
          </w:tcPr>
          <w:p>
            <w:pPr>
              <w:pStyle w:val="Normal"/>
              <w:snapToGrid w:val="false"/>
              <w:jc w:val="center"/>
              <w:rPr/>
            </w:pPr>
            <w:r>
              <w:rPr/>
            </w:r>
          </w:p>
        </w:tc>
        <w:tc>
          <w:tcPr>
            <w:tcW w:w="1440" w:type="dxa"/>
            <w:tcBorders/>
            <w:shd w:fill="auto" w:val="clear"/>
            <w:vAlign w:val="center"/>
          </w:tcPr>
          <w:p>
            <w:pPr>
              <w:pStyle w:val="Normal"/>
              <w:snapToGrid w:val="false"/>
              <w:jc w:val="center"/>
              <w:rPr/>
            </w:pPr>
            <w:r>
              <w:rPr/>
            </w:r>
          </w:p>
        </w:tc>
      </w:tr>
      <w:tr>
        <w:trPr>
          <w:trHeight w:val="255" w:hRule="atLeast"/>
        </w:trPr>
        <w:tc>
          <w:tcPr>
            <w:tcW w:w="2175" w:type="dxa"/>
            <w:tcBorders/>
            <w:shd w:fill="auto" w:val="clear"/>
            <w:vAlign w:val="bottom"/>
          </w:tcPr>
          <w:p>
            <w:pPr>
              <w:pStyle w:val="Normal"/>
              <w:rPr/>
            </w:pPr>
            <w:r>
              <w:rPr/>
              <w:t>New Brunswick</w:t>
            </w:r>
          </w:p>
        </w:tc>
        <w:tc>
          <w:tcPr>
            <w:tcW w:w="1800" w:type="dxa"/>
            <w:tcBorders/>
            <w:shd w:fill="auto" w:val="clear"/>
            <w:vAlign w:val="center"/>
          </w:tcPr>
          <w:p>
            <w:pPr>
              <w:pStyle w:val="Normal"/>
              <w:jc w:val="center"/>
              <w:rPr/>
            </w:pPr>
            <w:r>
              <w:rPr/>
              <w:t>16.0</w:t>
            </w:r>
          </w:p>
        </w:tc>
        <w:tc>
          <w:tcPr>
            <w:tcW w:w="1800" w:type="dxa"/>
            <w:tcBorders/>
            <w:shd w:fill="auto" w:val="clear"/>
            <w:vAlign w:val="center"/>
          </w:tcPr>
          <w:p>
            <w:pPr>
              <w:pStyle w:val="Normal"/>
              <w:jc w:val="center"/>
              <w:rPr/>
            </w:pPr>
            <w:r>
              <w:rPr/>
              <w:t>15.0</w:t>
            </w:r>
          </w:p>
        </w:tc>
        <w:tc>
          <w:tcPr>
            <w:tcW w:w="1800" w:type="dxa"/>
            <w:tcBorders/>
            <w:shd w:fill="auto" w:val="clear"/>
            <w:vAlign w:val="center"/>
          </w:tcPr>
          <w:p>
            <w:pPr>
              <w:pStyle w:val="Normal"/>
              <w:jc w:val="center"/>
              <w:rPr/>
            </w:pPr>
            <w:r>
              <w:rPr/>
              <w:t>16.9</w:t>
            </w:r>
          </w:p>
        </w:tc>
        <w:tc>
          <w:tcPr>
            <w:tcW w:w="1980" w:type="dxa"/>
            <w:tcBorders/>
            <w:shd w:fill="auto" w:val="clear"/>
            <w:vAlign w:val="center"/>
          </w:tcPr>
          <w:p>
            <w:pPr>
              <w:pStyle w:val="Normal"/>
              <w:jc w:val="center"/>
              <w:rPr/>
            </w:pPr>
            <w:r>
              <w:rPr/>
              <w:t>14.6</w:t>
            </w:r>
          </w:p>
        </w:tc>
        <w:tc>
          <w:tcPr>
            <w:tcW w:w="1620" w:type="dxa"/>
            <w:tcBorders/>
            <w:shd w:fill="auto" w:val="clear"/>
            <w:vAlign w:val="center"/>
          </w:tcPr>
          <w:p>
            <w:pPr>
              <w:pStyle w:val="Normal"/>
              <w:jc w:val="center"/>
              <w:rPr/>
            </w:pPr>
            <w:r>
              <w:rPr/>
              <w:t>17.6</w:t>
            </w:r>
          </w:p>
        </w:tc>
        <w:tc>
          <w:tcPr>
            <w:tcW w:w="1440" w:type="dxa"/>
            <w:tcBorders/>
            <w:shd w:fill="auto" w:val="clear"/>
            <w:vAlign w:val="center"/>
          </w:tcPr>
          <w:p>
            <w:pPr>
              <w:pStyle w:val="Normal"/>
              <w:jc w:val="center"/>
              <w:rPr/>
            </w:pPr>
            <w:r>
              <w:rPr/>
              <w:t>19.7</w:t>
            </w:r>
          </w:p>
        </w:tc>
      </w:tr>
      <w:tr>
        <w:trPr>
          <w:trHeight w:val="255" w:hRule="atLeast"/>
        </w:trPr>
        <w:tc>
          <w:tcPr>
            <w:tcW w:w="2175" w:type="dxa"/>
            <w:tcBorders/>
            <w:shd w:fill="auto" w:val="clear"/>
            <w:vAlign w:val="bottom"/>
          </w:tcPr>
          <w:p>
            <w:pPr>
              <w:pStyle w:val="Normal"/>
              <w:snapToGrid w:val="false"/>
              <w:rPr>
                <w:sz w:val="20"/>
                <w:szCs w:val="20"/>
              </w:rPr>
            </w:pPr>
            <w:r>
              <w:rPr>
                <w:sz w:val="20"/>
                <w:szCs w:val="20"/>
              </w:rPr>
            </w:r>
          </w:p>
        </w:tc>
        <w:tc>
          <w:tcPr>
            <w:tcW w:w="1800" w:type="dxa"/>
            <w:tcBorders/>
            <w:shd w:fill="auto" w:val="clear"/>
            <w:vAlign w:val="center"/>
          </w:tcPr>
          <w:p>
            <w:pPr>
              <w:pStyle w:val="Normal"/>
              <w:snapToGrid w:val="false"/>
              <w:jc w:val="center"/>
              <w:rPr/>
            </w:pPr>
            <w:r>
              <w:rPr/>
            </w:r>
          </w:p>
        </w:tc>
        <w:tc>
          <w:tcPr>
            <w:tcW w:w="1800" w:type="dxa"/>
            <w:tcBorders/>
            <w:shd w:fill="auto" w:val="clear"/>
            <w:vAlign w:val="center"/>
          </w:tcPr>
          <w:p>
            <w:pPr>
              <w:pStyle w:val="Normal"/>
              <w:snapToGrid w:val="false"/>
              <w:jc w:val="center"/>
              <w:rPr/>
            </w:pPr>
            <w:r>
              <w:rPr/>
            </w:r>
          </w:p>
        </w:tc>
        <w:tc>
          <w:tcPr>
            <w:tcW w:w="1800" w:type="dxa"/>
            <w:tcBorders/>
            <w:shd w:fill="auto" w:val="clear"/>
            <w:vAlign w:val="center"/>
          </w:tcPr>
          <w:p>
            <w:pPr>
              <w:pStyle w:val="Normal"/>
              <w:snapToGrid w:val="false"/>
              <w:jc w:val="center"/>
              <w:rPr/>
            </w:pPr>
            <w:r>
              <w:rPr/>
            </w:r>
          </w:p>
        </w:tc>
        <w:tc>
          <w:tcPr>
            <w:tcW w:w="1980" w:type="dxa"/>
            <w:tcBorders/>
            <w:shd w:fill="auto" w:val="clear"/>
            <w:vAlign w:val="center"/>
          </w:tcPr>
          <w:p>
            <w:pPr>
              <w:pStyle w:val="Normal"/>
              <w:snapToGrid w:val="false"/>
              <w:jc w:val="center"/>
              <w:rPr/>
            </w:pPr>
            <w:r>
              <w:rPr/>
            </w:r>
          </w:p>
        </w:tc>
        <w:tc>
          <w:tcPr>
            <w:tcW w:w="1620" w:type="dxa"/>
            <w:tcBorders/>
            <w:shd w:fill="auto" w:val="clear"/>
            <w:vAlign w:val="center"/>
          </w:tcPr>
          <w:p>
            <w:pPr>
              <w:pStyle w:val="Normal"/>
              <w:snapToGrid w:val="false"/>
              <w:jc w:val="center"/>
              <w:rPr/>
            </w:pPr>
            <w:r>
              <w:rPr/>
            </w:r>
          </w:p>
        </w:tc>
        <w:tc>
          <w:tcPr>
            <w:tcW w:w="1440" w:type="dxa"/>
            <w:tcBorders/>
            <w:shd w:fill="auto" w:val="clear"/>
            <w:vAlign w:val="center"/>
          </w:tcPr>
          <w:p>
            <w:pPr>
              <w:pStyle w:val="Normal"/>
              <w:snapToGrid w:val="false"/>
              <w:jc w:val="center"/>
              <w:rPr/>
            </w:pPr>
            <w:r>
              <w:rPr/>
            </w:r>
          </w:p>
        </w:tc>
      </w:tr>
      <w:tr>
        <w:trPr>
          <w:trHeight w:val="255" w:hRule="atLeast"/>
        </w:trPr>
        <w:tc>
          <w:tcPr>
            <w:tcW w:w="2175" w:type="dxa"/>
            <w:tcBorders/>
            <w:shd w:fill="auto" w:val="clear"/>
            <w:vAlign w:val="bottom"/>
          </w:tcPr>
          <w:p>
            <w:pPr>
              <w:pStyle w:val="Normal"/>
              <w:rPr/>
            </w:pPr>
            <w:r>
              <w:rPr/>
              <w:t>Newfoundland</w:t>
            </w:r>
          </w:p>
        </w:tc>
        <w:tc>
          <w:tcPr>
            <w:tcW w:w="1800" w:type="dxa"/>
            <w:tcBorders/>
            <w:shd w:fill="auto" w:val="clear"/>
            <w:vAlign w:val="center"/>
          </w:tcPr>
          <w:p>
            <w:pPr>
              <w:pStyle w:val="Normal"/>
              <w:jc w:val="center"/>
              <w:rPr/>
            </w:pPr>
            <w:r>
              <w:rPr/>
              <w:t>36.1</w:t>
            </w:r>
          </w:p>
        </w:tc>
        <w:tc>
          <w:tcPr>
            <w:tcW w:w="1800" w:type="dxa"/>
            <w:tcBorders/>
            <w:shd w:fill="auto" w:val="clear"/>
            <w:vAlign w:val="center"/>
          </w:tcPr>
          <w:p>
            <w:pPr>
              <w:pStyle w:val="Normal"/>
              <w:jc w:val="center"/>
              <w:rPr/>
            </w:pPr>
            <w:r>
              <w:rPr/>
              <w:t>35.4</w:t>
            </w:r>
          </w:p>
        </w:tc>
        <w:tc>
          <w:tcPr>
            <w:tcW w:w="1800" w:type="dxa"/>
            <w:tcBorders/>
            <w:shd w:fill="auto" w:val="clear"/>
            <w:vAlign w:val="center"/>
          </w:tcPr>
          <w:p>
            <w:pPr>
              <w:pStyle w:val="Normal"/>
              <w:jc w:val="center"/>
              <w:rPr/>
            </w:pPr>
            <w:r>
              <w:rPr/>
              <w:t>36.6</w:t>
            </w:r>
          </w:p>
        </w:tc>
        <w:tc>
          <w:tcPr>
            <w:tcW w:w="1980" w:type="dxa"/>
            <w:tcBorders/>
            <w:shd w:fill="auto" w:val="clear"/>
            <w:vAlign w:val="center"/>
          </w:tcPr>
          <w:p>
            <w:pPr>
              <w:pStyle w:val="Normal"/>
              <w:jc w:val="center"/>
              <w:rPr/>
            </w:pPr>
            <w:r>
              <w:rPr/>
              <w:t>35.2</w:t>
            </w:r>
          </w:p>
        </w:tc>
        <w:tc>
          <w:tcPr>
            <w:tcW w:w="1620" w:type="dxa"/>
            <w:tcBorders/>
            <w:shd w:fill="auto" w:val="clear"/>
            <w:vAlign w:val="center"/>
          </w:tcPr>
          <w:p>
            <w:pPr>
              <w:pStyle w:val="Normal"/>
              <w:jc w:val="center"/>
              <w:rPr/>
            </w:pPr>
            <w:r>
              <w:rPr/>
              <w:t>37.2</w:t>
            </w:r>
          </w:p>
        </w:tc>
        <w:tc>
          <w:tcPr>
            <w:tcW w:w="1440" w:type="dxa"/>
            <w:tcBorders/>
            <w:shd w:fill="auto" w:val="clear"/>
            <w:vAlign w:val="center"/>
          </w:tcPr>
          <w:p>
            <w:pPr>
              <w:pStyle w:val="Normal"/>
              <w:jc w:val="center"/>
              <w:rPr/>
            </w:pPr>
            <w:r>
              <w:rPr/>
              <w:t>40.1</w:t>
            </w:r>
          </w:p>
        </w:tc>
      </w:tr>
      <w:tr>
        <w:trPr>
          <w:trHeight w:val="128" w:hRule="atLeast"/>
        </w:trPr>
        <w:tc>
          <w:tcPr>
            <w:tcW w:w="2175" w:type="dxa"/>
            <w:tcBorders/>
            <w:shd w:fill="auto" w:val="clear"/>
            <w:vAlign w:val="bottom"/>
          </w:tcPr>
          <w:p>
            <w:pPr>
              <w:pStyle w:val="Normal"/>
              <w:snapToGrid w:val="false"/>
              <w:rPr>
                <w:sz w:val="20"/>
                <w:szCs w:val="20"/>
              </w:rPr>
            </w:pPr>
            <w:r>
              <w:rPr>
                <w:sz w:val="20"/>
                <w:szCs w:val="20"/>
              </w:rPr>
            </w:r>
          </w:p>
        </w:tc>
        <w:tc>
          <w:tcPr>
            <w:tcW w:w="1800" w:type="dxa"/>
            <w:tcBorders/>
            <w:shd w:fill="auto" w:val="clear"/>
            <w:vAlign w:val="center"/>
          </w:tcPr>
          <w:p>
            <w:pPr>
              <w:pStyle w:val="Normal"/>
              <w:snapToGrid w:val="false"/>
              <w:jc w:val="center"/>
              <w:rPr/>
            </w:pPr>
            <w:r>
              <w:rPr/>
            </w:r>
          </w:p>
        </w:tc>
        <w:tc>
          <w:tcPr>
            <w:tcW w:w="1800" w:type="dxa"/>
            <w:tcBorders/>
            <w:shd w:fill="auto" w:val="clear"/>
            <w:vAlign w:val="center"/>
          </w:tcPr>
          <w:p>
            <w:pPr>
              <w:pStyle w:val="Normal"/>
              <w:snapToGrid w:val="false"/>
              <w:jc w:val="center"/>
              <w:rPr/>
            </w:pPr>
            <w:r>
              <w:rPr/>
            </w:r>
          </w:p>
        </w:tc>
        <w:tc>
          <w:tcPr>
            <w:tcW w:w="1800" w:type="dxa"/>
            <w:tcBorders/>
            <w:shd w:fill="auto" w:val="clear"/>
            <w:vAlign w:val="center"/>
          </w:tcPr>
          <w:p>
            <w:pPr>
              <w:pStyle w:val="Normal"/>
              <w:snapToGrid w:val="false"/>
              <w:jc w:val="center"/>
              <w:rPr/>
            </w:pPr>
            <w:r>
              <w:rPr/>
            </w:r>
          </w:p>
        </w:tc>
        <w:tc>
          <w:tcPr>
            <w:tcW w:w="1980" w:type="dxa"/>
            <w:tcBorders/>
            <w:shd w:fill="auto" w:val="clear"/>
            <w:vAlign w:val="center"/>
          </w:tcPr>
          <w:p>
            <w:pPr>
              <w:pStyle w:val="Normal"/>
              <w:snapToGrid w:val="false"/>
              <w:jc w:val="center"/>
              <w:rPr/>
            </w:pPr>
            <w:r>
              <w:rPr/>
            </w:r>
          </w:p>
        </w:tc>
        <w:tc>
          <w:tcPr>
            <w:tcW w:w="1620" w:type="dxa"/>
            <w:tcBorders/>
            <w:shd w:fill="auto" w:val="clear"/>
            <w:vAlign w:val="center"/>
          </w:tcPr>
          <w:p>
            <w:pPr>
              <w:pStyle w:val="Normal"/>
              <w:snapToGrid w:val="false"/>
              <w:jc w:val="center"/>
              <w:rPr/>
            </w:pPr>
            <w:r>
              <w:rPr/>
            </w:r>
          </w:p>
        </w:tc>
        <w:tc>
          <w:tcPr>
            <w:tcW w:w="1440" w:type="dxa"/>
            <w:tcBorders/>
            <w:shd w:fill="auto" w:val="clear"/>
            <w:vAlign w:val="center"/>
          </w:tcPr>
          <w:p>
            <w:pPr>
              <w:pStyle w:val="Normal"/>
              <w:snapToGrid w:val="false"/>
              <w:jc w:val="center"/>
              <w:rPr/>
            </w:pPr>
            <w:r>
              <w:rPr/>
            </w:r>
          </w:p>
        </w:tc>
      </w:tr>
      <w:tr>
        <w:trPr>
          <w:trHeight w:val="127" w:hRule="atLeast"/>
        </w:trPr>
        <w:tc>
          <w:tcPr>
            <w:tcW w:w="2175" w:type="dxa"/>
            <w:tcBorders/>
            <w:shd w:fill="auto" w:val="clear"/>
            <w:vAlign w:val="bottom"/>
          </w:tcPr>
          <w:p>
            <w:pPr>
              <w:pStyle w:val="Normal"/>
              <w:rPr/>
            </w:pPr>
            <w:r>
              <w:rPr/>
              <w:t>Nova Scotia</w:t>
            </w:r>
          </w:p>
        </w:tc>
        <w:tc>
          <w:tcPr>
            <w:tcW w:w="1800" w:type="dxa"/>
            <w:tcBorders/>
            <w:shd w:fill="auto" w:val="clear"/>
            <w:vAlign w:val="center"/>
          </w:tcPr>
          <w:p>
            <w:pPr>
              <w:pStyle w:val="Normal"/>
              <w:jc w:val="center"/>
              <w:rPr/>
            </w:pPr>
            <w:r>
              <w:rPr/>
              <w:t>39.7</w:t>
            </w:r>
          </w:p>
        </w:tc>
        <w:tc>
          <w:tcPr>
            <w:tcW w:w="1800" w:type="dxa"/>
            <w:tcBorders/>
            <w:shd w:fill="auto" w:val="clear"/>
            <w:vAlign w:val="center"/>
          </w:tcPr>
          <w:p>
            <w:pPr>
              <w:pStyle w:val="Normal"/>
              <w:jc w:val="center"/>
              <w:rPr/>
            </w:pPr>
            <w:r>
              <w:rPr/>
              <w:t>38.0</w:t>
            </w:r>
          </w:p>
        </w:tc>
        <w:tc>
          <w:tcPr>
            <w:tcW w:w="1800" w:type="dxa"/>
            <w:tcBorders/>
            <w:shd w:fill="auto" w:val="clear"/>
            <w:vAlign w:val="center"/>
          </w:tcPr>
          <w:p>
            <w:pPr>
              <w:pStyle w:val="Normal"/>
              <w:jc w:val="center"/>
              <w:rPr/>
            </w:pPr>
            <w:r>
              <w:rPr/>
              <w:t>41.5</w:t>
            </w:r>
          </w:p>
        </w:tc>
        <w:tc>
          <w:tcPr>
            <w:tcW w:w="1980" w:type="dxa"/>
            <w:tcBorders/>
            <w:shd w:fill="auto" w:val="clear"/>
            <w:vAlign w:val="center"/>
          </w:tcPr>
          <w:p>
            <w:pPr>
              <w:pStyle w:val="Normal"/>
              <w:jc w:val="center"/>
              <w:rPr/>
            </w:pPr>
            <w:r>
              <w:rPr/>
              <w:t>37.3</w:t>
            </w:r>
          </w:p>
        </w:tc>
        <w:tc>
          <w:tcPr>
            <w:tcW w:w="1620" w:type="dxa"/>
            <w:tcBorders/>
            <w:shd w:fill="auto" w:val="clear"/>
            <w:vAlign w:val="center"/>
          </w:tcPr>
          <w:p>
            <w:pPr>
              <w:pStyle w:val="Normal"/>
              <w:jc w:val="center"/>
              <w:rPr/>
            </w:pPr>
            <w:r>
              <w:rPr/>
              <w:t>43.8</w:t>
            </w:r>
          </w:p>
        </w:tc>
        <w:tc>
          <w:tcPr>
            <w:tcW w:w="1440" w:type="dxa"/>
            <w:tcBorders/>
            <w:shd w:fill="auto" w:val="clear"/>
            <w:vAlign w:val="center"/>
          </w:tcPr>
          <w:p>
            <w:pPr>
              <w:pStyle w:val="Normal"/>
              <w:jc w:val="center"/>
              <w:rPr/>
            </w:pPr>
            <w:r>
              <w:rPr/>
              <w:t>47.2</w:t>
            </w:r>
          </w:p>
        </w:tc>
      </w:tr>
      <w:tr>
        <w:trPr>
          <w:trHeight w:val="255" w:hRule="atLeast"/>
        </w:trPr>
        <w:tc>
          <w:tcPr>
            <w:tcW w:w="2175" w:type="dxa"/>
            <w:tcBorders/>
            <w:shd w:fill="auto" w:val="clear"/>
            <w:vAlign w:val="bottom"/>
          </w:tcPr>
          <w:p>
            <w:pPr>
              <w:pStyle w:val="Normal"/>
              <w:snapToGrid w:val="false"/>
              <w:rPr>
                <w:sz w:val="20"/>
                <w:szCs w:val="20"/>
              </w:rPr>
            </w:pPr>
            <w:r>
              <w:rPr>
                <w:sz w:val="20"/>
                <w:szCs w:val="20"/>
              </w:rPr>
            </w:r>
          </w:p>
        </w:tc>
        <w:tc>
          <w:tcPr>
            <w:tcW w:w="1800" w:type="dxa"/>
            <w:tcBorders/>
            <w:shd w:fill="auto" w:val="clear"/>
            <w:vAlign w:val="bottom"/>
          </w:tcPr>
          <w:p>
            <w:pPr>
              <w:pStyle w:val="Normal"/>
              <w:snapToGrid w:val="false"/>
              <w:rPr/>
            </w:pPr>
            <w:r>
              <w:rPr/>
            </w:r>
          </w:p>
        </w:tc>
        <w:tc>
          <w:tcPr>
            <w:tcW w:w="1800" w:type="dxa"/>
            <w:tcBorders/>
            <w:shd w:fill="auto" w:val="clear"/>
            <w:vAlign w:val="bottom"/>
          </w:tcPr>
          <w:p>
            <w:pPr>
              <w:pStyle w:val="Normal"/>
              <w:snapToGrid w:val="false"/>
              <w:rPr/>
            </w:pPr>
            <w:r>
              <w:rPr/>
            </w:r>
          </w:p>
        </w:tc>
        <w:tc>
          <w:tcPr>
            <w:tcW w:w="1800" w:type="dxa"/>
            <w:tcBorders/>
            <w:shd w:fill="auto" w:val="clear"/>
            <w:vAlign w:val="bottom"/>
          </w:tcPr>
          <w:p>
            <w:pPr>
              <w:pStyle w:val="Normal"/>
              <w:snapToGrid w:val="false"/>
              <w:rPr/>
            </w:pPr>
            <w:r>
              <w:rPr/>
            </w:r>
          </w:p>
        </w:tc>
        <w:tc>
          <w:tcPr>
            <w:tcW w:w="1980" w:type="dxa"/>
            <w:tcBorders/>
            <w:shd w:fill="auto" w:val="clear"/>
            <w:vAlign w:val="bottom"/>
          </w:tcPr>
          <w:p>
            <w:pPr>
              <w:pStyle w:val="Normal"/>
              <w:snapToGrid w:val="false"/>
              <w:rPr/>
            </w:pPr>
            <w:r>
              <w:rPr/>
            </w:r>
          </w:p>
        </w:tc>
        <w:tc>
          <w:tcPr>
            <w:tcW w:w="1620" w:type="dxa"/>
            <w:tcBorders/>
            <w:shd w:fill="auto" w:val="clear"/>
            <w:vAlign w:val="bottom"/>
          </w:tcPr>
          <w:p>
            <w:pPr>
              <w:pStyle w:val="Normal"/>
              <w:snapToGrid w:val="false"/>
              <w:rPr/>
            </w:pPr>
            <w:r>
              <w:rPr/>
            </w:r>
          </w:p>
        </w:tc>
        <w:tc>
          <w:tcPr>
            <w:tcW w:w="1440" w:type="dxa"/>
            <w:tcBorders/>
            <w:shd w:fill="auto" w:val="clear"/>
            <w:vAlign w:val="bottom"/>
          </w:tcPr>
          <w:p>
            <w:pPr>
              <w:pStyle w:val="Normal"/>
              <w:snapToGrid w:val="false"/>
              <w:rPr/>
            </w:pPr>
            <w:r>
              <w:rPr/>
            </w:r>
          </w:p>
        </w:tc>
      </w:tr>
      <w:tr>
        <w:trPr>
          <w:trHeight w:val="255" w:hRule="atLeast"/>
        </w:trPr>
        <w:tc>
          <w:tcPr>
            <w:tcW w:w="12615" w:type="dxa"/>
            <w:gridSpan w:val="7"/>
            <w:tcBorders/>
            <w:shd w:fill="auto" w:val="clear"/>
            <w:vAlign w:val="bottom"/>
          </w:tcPr>
          <w:p>
            <w:pPr>
              <w:pStyle w:val="Normal"/>
              <w:rPr/>
            </w:pPr>
            <w:r>
              <w:rPr/>
              <w:t>* Remove dispatch time, time to patient and time at patient scene</w:t>
            </w:r>
          </w:p>
        </w:tc>
      </w:tr>
    </w:tbl>
    <w:p>
      <w:pPr>
        <w:pStyle w:val="Normal"/>
        <w:spacing w:lineRule="auto" w:line="480"/>
        <w:rPr>
          <w:lang w:val="en-US"/>
        </w:rPr>
      </w:pPr>
      <w:r>
        <w:rPr>
          <w:lang w:val="en-US"/>
        </w:rPr>
      </w:r>
    </w:p>
    <w:p>
      <w:pPr>
        <w:pStyle w:val="Normal"/>
        <w:spacing w:lineRule="auto" w:line="480"/>
        <w:rPr>
          <w:lang w:val="en-US"/>
        </w:rPr>
      </w:pPr>
      <w:r>
        <w:rPr>
          <w:lang w:val="en-US"/>
        </w:rPr>
      </w:r>
    </w:p>
    <w:p>
      <w:pPr>
        <w:sectPr>
          <w:footerReference w:type="default" r:id="rId14"/>
          <w:type w:val="nextPage"/>
          <w:pgSz w:orient="landscape" w:w="15840" w:h="12240"/>
          <w:pgMar w:left="1440" w:right="1440" w:header="0" w:top="1800" w:footer="720" w:bottom="1800" w:gutter="0"/>
          <w:pgNumType w:fmt="decimal"/>
          <w:formProt w:val="false"/>
          <w:textDirection w:val="lrTb"/>
          <w:docGrid w:type="default" w:linePitch="360" w:charSpace="0"/>
        </w:sectPr>
        <w:pStyle w:val="Normal"/>
        <w:spacing w:lineRule="auto" w:line="480"/>
        <w:rPr>
          <w:lang w:val="en-US"/>
        </w:rPr>
      </w:pPr>
      <w:r>
        <w:rPr>
          <w:lang w:val="en-US"/>
        </w:rPr>
      </w:r>
    </w:p>
    <w:p>
      <w:pPr>
        <w:pStyle w:val="Normal"/>
        <w:spacing w:lineRule="auto" w:line="480"/>
        <w:rPr/>
      </w:pPr>
      <w:r>
        <w:rPr/>
        <w:t>Table 3: Population access changes with addition of a hypothetical PCI facility</w:t>
      </w:r>
    </w:p>
    <w:tbl>
      <w:tblPr>
        <w:tblW w:w="8475" w:type="dxa"/>
        <w:jc w:val="left"/>
        <w:tblInd w:w="93" w:type="dxa"/>
        <w:tblBorders>
          <w:bottom w:val="single" w:sz="8" w:space="0" w:color="000000"/>
          <w:insideH w:val="single" w:sz="8" w:space="0" w:color="000000"/>
        </w:tblBorders>
        <w:tblCellMar>
          <w:top w:w="0" w:type="dxa"/>
          <w:left w:w="108" w:type="dxa"/>
          <w:bottom w:w="0" w:type="dxa"/>
          <w:right w:w="108" w:type="dxa"/>
        </w:tblCellMar>
      </w:tblPr>
      <w:tblGrid>
        <w:gridCol w:w="1815"/>
        <w:gridCol w:w="2160"/>
        <w:gridCol w:w="2160"/>
        <w:gridCol w:w="2340"/>
      </w:tblGrid>
      <w:tr>
        <w:trPr>
          <w:trHeight w:val="525" w:hRule="atLeast"/>
        </w:trPr>
        <w:tc>
          <w:tcPr>
            <w:tcW w:w="1815" w:type="dxa"/>
            <w:tcBorders>
              <w:bottom w:val="single" w:sz="8" w:space="0" w:color="000000"/>
              <w:insideH w:val="single" w:sz="8" w:space="0" w:color="000000"/>
            </w:tcBorders>
            <w:shd w:fill="auto" w:val="clear"/>
            <w:vAlign w:val="bottom"/>
          </w:tcPr>
          <w:p>
            <w:pPr>
              <w:pStyle w:val="Normal"/>
              <w:rPr/>
            </w:pPr>
            <w:r>
              <w:rPr/>
              <w:t>Province</w:t>
            </w:r>
          </w:p>
        </w:tc>
        <w:tc>
          <w:tcPr>
            <w:tcW w:w="2160" w:type="dxa"/>
            <w:tcBorders>
              <w:bottom w:val="single" w:sz="8" w:space="0" w:color="000000"/>
              <w:insideH w:val="single" w:sz="8" w:space="0" w:color="000000"/>
            </w:tcBorders>
            <w:shd w:fill="auto" w:val="clear"/>
            <w:vAlign w:val="center"/>
          </w:tcPr>
          <w:p>
            <w:pPr>
              <w:pStyle w:val="Normal"/>
              <w:jc w:val="center"/>
              <w:rPr/>
            </w:pPr>
            <w:r>
              <w:rPr/>
              <w:t>Standard 60-minute</w:t>
            </w:r>
          </w:p>
        </w:tc>
        <w:tc>
          <w:tcPr>
            <w:tcW w:w="2160" w:type="dxa"/>
            <w:tcBorders>
              <w:bottom w:val="single" w:sz="8" w:space="0" w:color="000000"/>
              <w:insideH w:val="single" w:sz="8" w:space="0" w:color="000000"/>
            </w:tcBorders>
            <w:shd w:fill="auto" w:val="clear"/>
            <w:vAlign w:val="center"/>
          </w:tcPr>
          <w:p>
            <w:pPr>
              <w:pStyle w:val="Normal"/>
              <w:jc w:val="center"/>
              <w:rPr/>
            </w:pPr>
            <w:r>
              <w:rPr/>
              <w:t>Proportion Increase</w:t>
            </w:r>
          </w:p>
        </w:tc>
        <w:tc>
          <w:tcPr>
            <w:tcW w:w="2340" w:type="dxa"/>
            <w:tcBorders>
              <w:bottom w:val="single" w:sz="8" w:space="0" w:color="000000"/>
              <w:insideH w:val="single" w:sz="8" w:space="0" w:color="000000"/>
            </w:tcBorders>
            <w:shd w:fill="auto" w:val="clear"/>
            <w:vAlign w:val="center"/>
          </w:tcPr>
          <w:p>
            <w:pPr>
              <w:pStyle w:val="Normal"/>
              <w:jc w:val="center"/>
              <w:rPr/>
            </w:pPr>
            <w:r>
              <w:rPr/>
              <w:t>Increased population</w:t>
            </w:r>
          </w:p>
        </w:tc>
      </w:tr>
      <w:tr>
        <w:trPr>
          <w:trHeight w:val="51" w:hRule="atLeast"/>
        </w:trPr>
        <w:tc>
          <w:tcPr>
            <w:tcW w:w="1815" w:type="dxa"/>
            <w:tcBorders/>
            <w:shd w:fill="auto" w:val="clear"/>
            <w:vAlign w:val="bottom"/>
          </w:tcPr>
          <w:p>
            <w:pPr>
              <w:pStyle w:val="Normal"/>
              <w:snapToGrid w:val="false"/>
              <w:rPr/>
            </w:pPr>
            <w:r>
              <w:rPr/>
            </w:r>
          </w:p>
        </w:tc>
        <w:tc>
          <w:tcPr>
            <w:tcW w:w="2160" w:type="dxa"/>
            <w:tcBorders/>
            <w:shd w:fill="auto" w:val="clear"/>
            <w:vAlign w:val="center"/>
          </w:tcPr>
          <w:p>
            <w:pPr>
              <w:pStyle w:val="Normal"/>
              <w:snapToGrid w:val="false"/>
              <w:jc w:val="center"/>
              <w:rPr/>
            </w:pPr>
            <w:r>
              <w:rPr/>
            </w:r>
          </w:p>
        </w:tc>
        <w:tc>
          <w:tcPr>
            <w:tcW w:w="2160" w:type="dxa"/>
            <w:tcBorders/>
            <w:shd w:fill="auto" w:val="clear"/>
            <w:vAlign w:val="center"/>
          </w:tcPr>
          <w:p>
            <w:pPr>
              <w:pStyle w:val="Normal"/>
              <w:snapToGrid w:val="false"/>
              <w:jc w:val="center"/>
              <w:rPr/>
            </w:pPr>
            <w:r>
              <w:rPr/>
            </w:r>
          </w:p>
        </w:tc>
        <w:tc>
          <w:tcPr>
            <w:tcW w:w="2340" w:type="dxa"/>
            <w:tcBorders/>
            <w:shd w:fill="auto" w:val="clear"/>
            <w:vAlign w:val="center"/>
          </w:tcPr>
          <w:p>
            <w:pPr>
              <w:pStyle w:val="Normal"/>
              <w:snapToGrid w:val="false"/>
              <w:jc w:val="center"/>
              <w:rPr/>
            </w:pPr>
            <w:r>
              <w:rPr/>
            </w:r>
          </w:p>
        </w:tc>
      </w:tr>
      <w:tr>
        <w:trPr>
          <w:trHeight w:val="51" w:hRule="atLeast"/>
        </w:trPr>
        <w:tc>
          <w:tcPr>
            <w:tcW w:w="1815" w:type="dxa"/>
            <w:tcBorders/>
            <w:shd w:fill="auto" w:val="clear"/>
            <w:vAlign w:val="bottom"/>
          </w:tcPr>
          <w:p>
            <w:pPr>
              <w:pStyle w:val="Normal"/>
              <w:rPr/>
            </w:pPr>
            <w:r>
              <w:rPr/>
              <w:t>British Columbia</w:t>
            </w:r>
          </w:p>
        </w:tc>
        <w:tc>
          <w:tcPr>
            <w:tcW w:w="2160" w:type="dxa"/>
            <w:tcBorders/>
            <w:shd w:fill="auto" w:val="clear"/>
            <w:vAlign w:val="center"/>
          </w:tcPr>
          <w:p>
            <w:pPr>
              <w:pStyle w:val="Normal"/>
              <w:jc w:val="center"/>
              <w:rPr/>
            </w:pPr>
            <w:r>
              <w:rPr/>
              <w:t>60.7</w:t>
            </w:r>
          </w:p>
        </w:tc>
        <w:tc>
          <w:tcPr>
            <w:tcW w:w="2160" w:type="dxa"/>
            <w:tcBorders/>
            <w:shd w:fill="auto" w:val="clear"/>
            <w:vAlign w:val="center"/>
          </w:tcPr>
          <w:p>
            <w:pPr>
              <w:pStyle w:val="Normal"/>
              <w:jc w:val="center"/>
              <w:rPr/>
            </w:pPr>
            <w:r>
              <w:rPr/>
              <w:t>4.1%</w:t>
            </w:r>
          </w:p>
        </w:tc>
        <w:tc>
          <w:tcPr>
            <w:tcW w:w="2340" w:type="dxa"/>
            <w:tcBorders/>
            <w:shd w:fill="auto" w:val="clear"/>
            <w:vAlign w:val="center"/>
          </w:tcPr>
          <w:p>
            <w:pPr>
              <w:pStyle w:val="Normal"/>
              <w:jc w:val="center"/>
              <w:rPr/>
            </w:pPr>
            <w:r>
              <w:rPr/>
              <w:t>125970</w:t>
            </w:r>
          </w:p>
        </w:tc>
      </w:tr>
      <w:tr>
        <w:trPr>
          <w:trHeight w:val="51" w:hRule="atLeast"/>
        </w:trPr>
        <w:tc>
          <w:tcPr>
            <w:tcW w:w="1815" w:type="dxa"/>
            <w:tcBorders/>
            <w:shd w:fill="auto" w:val="clear"/>
            <w:vAlign w:val="bottom"/>
          </w:tcPr>
          <w:p>
            <w:pPr>
              <w:pStyle w:val="Normal"/>
              <w:snapToGrid w:val="false"/>
              <w:rPr/>
            </w:pPr>
            <w:r>
              <w:rPr/>
            </w:r>
          </w:p>
        </w:tc>
        <w:tc>
          <w:tcPr>
            <w:tcW w:w="2160" w:type="dxa"/>
            <w:tcBorders/>
            <w:shd w:fill="auto" w:val="clear"/>
            <w:vAlign w:val="center"/>
          </w:tcPr>
          <w:p>
            <w:pPr>
              <w:pStyle w:val="Normal"/>
              <w:snapToGrid w:val="false"/>
              <w:jc w:val="center"/>
              <w:rPr/>
            </w:pPr>
            <w:r>
              <w:rPr/>
            </w:r>
          </w:p>
        </w:tc>
        <w:tc>
          <w:tcPr>
            <w:tcW w:w="2160" w:type="dxa"/>
            <w:tcBorders/>
            <w:shd w:fill="auto" w:val="clear"/>
            <w:vAlign w:val="center"/>
          </w:tcPr>
          <w:p>
            <w:pPr>
              <w:pStyle w:val="Normal"/>
              <w:snapToGrid w:val="false"/>
              <w:jc w:val="center"/>
              <w:rPr/>
            </w:pPr>
            <w:r>
              <w:rPr/>
            </w:r>
          </w:p>
        </w:tc>
        <w:tc>
          <w:tcPr>
            <w:tcW w:w="2340" w:type="dxa"/>
            <w:tcBorders/>
            <w:shd w:fill="auto" w:val="clear"/>
            <w:vAlign w:val="center"/>
          </w:tcPr>
          <w:p>
            <w:pPr>
              <w:pStyle w:val="Normal"/>
              <w:snapToGrid w:val="false"/>
              <w:jc w:val="center"/>
              <w:rPr/>
            </w:pPr>
            <w:r>
              <w:rPr/>
            </w:r>
          </w:p>
        </w:tc>
      </w:tr>
      <w:tr>
        <w:trPr>
          <w:trHeight w:val="51" w:hRule="atLeast"/>
        </w:trPr>
        <w:tc>
          <w:tcPr>
            <w:tcW w:w="1815" w:type="dxa"/>
            <w:tcBorders/>
            <w:shd w:fill="auto" w:val="clear"/>
            <w:vAlign w:val="bottom"/>
          </w:tcPr>
          <w:p>
            <w:pPr>
              <w:pStyle w:val="Normal"/>
              <w:rPr/>
            </w:pPr>
            <w:r>
              <w:rPr/>
              <w:t>Alberta</w:t>
            </w:r>
          </w:p>
        </w:tc>
        <w:tc>
          <w:tcPr>
            <w:tcW w:w="2160" w:type="dxa"/>
            <w:tcBorders/>
            <w:shd w:fill="auto" w:val="clear"/>
            <w:vAlign w:val="center"/>
          </w:tcPr>
          <w:p>
            <w:pPr>
              <w:pStyle w:val="Normal"/>
              <w:jc w:val="center"/>
              <w:rPr/>
            </w:pPr>
            <w:r>
              <w:rPr/>
              <w:t>64.8</w:t>
            </w:r>
          </w:p>
        </w:tc>
        <w:tc>
          <w:tcPr>
            <w:tcW w:w="2160" w:type="dxa"/>
            <w:tcBorders/>
            <w:shd w:fill="auto" w:val="clear"/>
            <w:vAlign w:val="center"/>
          </w:tcPr>
          <w:p>
            <w:pPr>
              <w:pStyle w:val="Normal"/>
              <w:jc w:val="center"/>
              <w:rPr/>
            </w:pPr>
            <w:r>
              <w:rPr/>
              <w:t>3.2%</w:t>
            </w:r>
          </w:p>
        </w:tc>
        <w:tc>
          <w:tcPr>
            <w:tcW w:w="2340" w:type="dxa"/>
            <w:tcBorders/>
            <w:shd w:fill="auto" w:val="clear"/>
            <w:vAlign w:val="center"/>
          </w:tcPr>
          <w:p>
            <w:pPr>
              <w:pStyle w:val="Normal"/>
              <w:jc w:val="center"/>
              <w:rPr/>
            </w:pPr>
            <w:r>
              <w:rPr/>
              <w:t>76630</w:t>
            </w:r>
          </w:p>
        </w:tc>
      </w:tr>
      <w:tr>
        <w:trPr>
          <w:trHeight w:val="51" w:hRule="atLeast"/>
        </w:trPr>
        <w:tc>
          <w:tcPr>
            <w:tcW w:w="1815" w:type="dxa"/>
            <w:tcBorders/>
            <w:shd w:fill="auto" w:val="clear"/>
            <w:vAlign w:val="bottom"/>
          </w:tcPr>
          <w:p>
            <w:pPr>
              <w:pStyle w:val="Normal"/>
              <w:snapToGrid w:val="false"/>
              <w:rPr/>
            </w:pPr>
            <w:r>
              <w:rPr/>
            </w:r>
          </w:p>
        </w:tc>
        <w:tc>
          <w:tcPr>
            <w:tcW w:w="2160" w:type="dxa"/>
            <w:tcBorders/>
            <w:shd w:fill="auto" w:val="clear"/>
            <w:vAlign w:val="center"/>
          </w:tcPr>
          <w:p>
            <w:pPr>
              <w:pStyle w:val="Normal"/>
              <w:snapToGrid w:val="false"/>
              <w:jc w:val="center"/>
              <w:rPr/>
            </w:pPr>
            <w:r>
              <w:rPr/>
            </w:r>
          </w:p>
        </w:tc>
        <w:tc>
          <w:tcPr>
            <w:tcW w:w="2160" w:type="dxa"/>
            <w:tcBorders/>
            <w:shd w:fill="auto" w:val="clear"/>
            <w:vAlign w:val="center"/>
          </w:tcPr>
          <w:p>
            <w:pPr>
              <w:pStyle w:val="Normal"/>
              <w:snapToGrid w:val="false"/>
              <w:jc w:val="center"/>
              <w:rPr/>
            </w:pPr>
            <w:r>
              <w:rPr/>
            </w:r>
          </w:p>
        </w:tc>
        <w:tc>
          <w:tcPr>
            <w:tcW w:w="2340" w:type="dxa"/>
            <w:tcBorders/>
            <w:shd w:fill="auto" w:val="clear"/>
            <w:vAlign w:val="center"/>
          </w:tcPr>
          <w:p>
            <w:pPr>
              <w:pStyle w:val="Normal"/>
              <w:snapToGrid w:val="false"/>
              <w:jc w:val="center"/>
              <w:rPr/>
            </w:pPr>
            <w:r>
              <w:rPr/>
            </w:r>
          </w:p>
        </w:tc>
      </w:tr>
      <w:tr>
        <w:trPr>
          <w:trHeight w:val="255" w:hRule="atLeast"/>
        </w:trPr>
        <w:tc>
          <w:tcPr>
            <w:tcW w:w="1815" w:type="dxa"/>
            <w:tcBorders/>
            <w:shd w:fill="auto" w:val="clear"/>
            <w:vAlign w:val="bottom"/>
          </w:tcPr>
          <w:p>
            <w:pPr>
              <w:pStyle w:val="Normal"/>
              <w:rPr/>
            </w:pPr>
            <w:r>
              <w:rPr/>
              <w:t>Ontario</w:t>
            </w:r>
          </w:p>
        </w:tc>
        <w:tc>
          <w:tcPr>
            <w:tcW w:w="2160" w:type="dxa"/>
            <w:tcBorders/>
            <w:shd w:fill="auto" w:val="clear"/>
            <w:vAlign w:val="center"/>
          </w:tcPr>
          <w:p>
            <w:pPr>
              <w:pStyle w:val="Normal"/>
              <w:jc w:val="center"/>
              <w:rPr/>
            </w:pPr>
            <w:r>
              <w:rPr/>
              <w:t>75.0</w:t>
            </w:r>
          </w:p>
        </w:tc>
        <w:tc>
          <w:tcPr>
            <w:tcW w:w="2160" w:type="dxa"/>
            <w:tcBorders/>
            <w:shd w:fill="auto" w:val="clear"/>
            <w:vAlign w:val="center"/>
          </w:tcPr>
          <w:p>
            <w:pPr>
              <w:pStyle w:val="Normal"/>
              <w:jc w:val="center"/>
              <w:rPr/>
            </w:pPr>
            <w:r>
              <w:rPr/>
              <w:t>3.0%</w:t>
            </w:r>
          </w:p>
        </w:tc>
        <w:tc>
          <w:tcPr>
            <w:tcW w:w="2340" w:type="dxa"/>
            <w:tcBorders/>
            <w:shd w:fill="auto" w:val="clear"/>
            <w:vAlign w:val="center"/>
          </w:tcPr>
          <w:p>
            <w:pPr>
              <w:pStyle w:val="Normal"/>
              <w:jc w:val="center"/>
              <w:rPr/>
            </w:pPr>
            <w:r>
              <w:rPr/>
              <w:t>274610</w:t>
            </w:r>
          </w:p>
        </w:tc>
      </w:tr>
      <w:tr>
        <w:trPr>
          <w:trHeight w:val="255" w:hRule="atLeast"/>
        </w:trPr>
        <w:tc>
          <w:tcPr>
            <w:tcW w:w="1815" w:type="dxa"/>
            <w:tcBorders/>
            <w:shd w:fill="auto" w:val="clear"/>
            <w:vAlign w:val="bottom"/>
          </w:tcPr>
          <w:p>
            <w:pPr>
              <w:pStyle w:val="Normal"/>
              <w:snapToGrid w:val="false"/>
              <w:rPr/>
            </w:pPr>
            <w:r>
              <w:rPr/>
            </w:r>
          </w:p>
        </w:tc>
        <w:tc>
          <w:tcPr>
            <w:tcW w:w="2160" w:type="dxa"/>
            <w:tcBorders/>
            <w:shd w:fill="auto" w:val="clear"/>
            <w:vAlign w:val="center"/>
          </w:tcPr>
          <w:p>
            <w:pPr>
              <w:pStyle w:val="Normal"/>
              <w:snapToGrid w:val="false"/>
              <w:jc w:val="center"/>
              <w:rPr/>
            </w:pPr>
            <w:r>
              <w:rPr/>
            </w:r>
          </w:p>
        </w:tc>
        <w:tc>
          <w:tcPr>
            <w:tcW w:w="2160" w:type="dxa"/>
            <w:tcBorders/>
            <w:shd w:fill="auto" w:val="clear"/>
            <w:vAlign w:val="center"/>
          </w:tcPr>
          <w:p>
            <w:pPr>
              <w:pStyle w:val="Normal"/>
              <w:snapToGrid w:val="false"/>
              <w:jc w:val="center"/>
              <w:rPr/>
            </w:pPr>
            <w:r>
              <w:rPr/>
            </w:r>
          </w:p>
        </w:tc>
        <w:tc>
          <w:tcPr>
            <w:tcW w:w="2340" w:type="dxa"/>
            <w:tcBorders/>
            <w:shd w:fill="auto" w:val="clear"/>
            <w:vAlign w:val="center"/>
          </w:tcPr>
          <w:p>
            <w:pPr>
              <w:pStyle w:val="Normal"/>
              <w:snapToGrid w:val="false"/>
              <w:jc w:val="center"/>
              <w:rPr/>
            </w:pPr>
            <w:r>
              <w:rPr/>
            </w:r>
          </w:p>
        </w:tc>
      </w:tr>
      <w:tr>
        <w:trPr>
          <w:trHeight w:val="255" w:hRule="atLeast"/>
        </w:trPr>
        <w:tc>
          <w:tcPr>
            <w:tcW w:w="1815" w:type="dxa"/>
            <w:tcBorders/>
            <w:shd w:fill="auto" w:val="clear"/>
            <w:vAlign w:val="bottom"/>
          </w:tcPr>
          <w:p>
            <w:pPr>
              <w:pStyle w:val="Normal"/>
              <w:rPr/>
            </w:pPr>
            <w:r>
              <w:rPr/>
              <w:t>Quebec</w:t>
            </w:r>
          </w:p>
        </w:tc>
        <w:tc>
          <w:tcPr>
            <w:tcW w:w="2160" w:type="dxa"/>
            <w:tcBorders/>
            <w:shd w:fill="auto" w:val="clear"/>
            <w:vAlign w:val="center"/>
          </w:tcPr>
          <w:p>
            <w:pPr>
              <w:pStyle w:val="Normal"/>
              <w:jc w:val="center"/>
              <w:rPr/>
            </w:pPr>
            <w:r>
              <w:rPr/>
              <w:t>71.0</w:t>
            </w:r>
          </w:p>
        </w:tc>
        <w:tc>
          <w:tcPr>
            <w:tcW w:w="2160" w:type="dxa"/>
            <w:tcBorders/>
            <w:shd w:fill="auto" w:val="clear"/>
            <w:vAlign w:val="center"/>
          </w:tcPr>
          <w:p>
            <w:pPr>
              <w:pStyle w:val="Normal"/>
              <w:jc w:val="center"/>
              <w:rPr/>
            </w:pPr>
            <w:r>
              <w:rPr/>
              <w:t>3.4%</w:t>
            </w:r>
          </w:p>
        </w:tc>
        <w:tc>
          <w:tcPr>
            <w:tcW w:w="2340" w:type="dxa"/>
            <w:tcBorders/>
            <w:shd w:fill="auto" w:val="clear"/>
            <w:vAlign w:val="center"/>
          </w:tcPr>
          <w:p>
            <w:pPr>
              <w:pStyle w:val="Normal"/>
              <w:jc w:val="center"/>
              <w:rPr/>
            </w:pPr>
            <w:r>
              <w:rPr/>
              <w:t>196425</w:t>
            </w:r>
          </w:p>
        </w:tc>
      </w:tr>
    </w:tbl>
    <w:p>
      <w:pPr>
        <w:pStyle w:val="Normal"/>
        <w:spacing w:lineRule="auto" w:line="480"/>
        <w:rPr/>
      </w:pPr>
      <w:r>
        <w:rPr/>
      </w:r>
    </w:p>
    <w:p>
      <w:pPr>
        <w:pStyle w:val="Normal"/>
        <w:spacing w:lineRule="auto" w:line="480"/>
        <w:ind w:left="720" w:hanging="720"/>
        <w:rPr>
          <w:b/>
          <w:b/>
        </w:rPr>
      </w:pPr>
      <w:r>
        <w:rPr>
          <w:b/>
        </w:rPr>
      </w:r>
    </w:p>
    <w:p>
      <w:pPr>
        <w:pStyle w:val="Normal"/>
        <w:spacing w:lineRule="auto" w:line="480"/>
        <w:ind w:left="720" w:hanging="720"/>
        <w:rPr>
          <w:b/>
          <w:b/>
        </w:rPr>
      </w:pPr>
      <w:r>
        <w:rPr>
          <w:b/>
        </w:rPr>
      </w:r>
    </w:p>
    <w:p>
      <w:pPr>
        <w:pStyle w:val="Normal"/>
        <w:spacing w:lineRule="auto" w:line="480"/>
        <w:ind w:left="720" w:hanging="720"/>
        <w:rPr>
          <w:b/>
          <w:b/>
        </w:rPr>
      </w:pPr>
      <w:r>
        <w:rPr>
          <w:b/>
        </w:rPr>
      </w:r>
    </w:p>
    <w:p>
      <w:pPr>
        <w:pStyle w:val="Normal"/>
        <w:spacing w:lineRule="auto" w:line="480"/>
        <w:ind w:left="720" w:hanging="720"/>
        <w:rPr>
          <w:b/>
          <w:b/>
        </w:rPr>
      </w:pPr>
      <w:r>
        <w:rPr>
          <w:b/>
        </w:rPr>
      </w:r>
    </w:p>
    <w:p>
      <w:pPr>
        <w:pStyle w:val="Normal"/>
        <w:spacing w:lineRule="auto" w:line="480"/>
        <w:ind w:left="720" w:hanging="720"/>
        <w:rPr>
          <w:b/>
          <w:b/>
        </w:rPr>
      </w:pPr>
      <w:r>
        <w:rPr>
          <w:b/>
        </w:rPr>
      </w:r>
    </w:p>
    <w:p>
      <w:pPr>
        <w:pStyle w:val="Normal"/>
        <w:spacing w:lineRule="auto" w:line="480"/>
        <w:ind w:left="720" w:hanging="720"/>
        <w:rPr>
          <w:b/>
          <w:b/>
        </w:rPr>
      </w:pPr>
      <w:r>
        <w:rPr>
          <w:b/>
        </w:rPr>
      </w:r>
    </w:p>
    <w:p>
      <w:pPr>
        <w:pStyle w:val="Normal"/>
        <w:spacing w:lineRule="auto" w:line="480"/>
        <w:ind w:left="720" w:hanging="720"/>
        <w:rPr>
          <w:b/>
          <w:b/>
        </w:rPr>
      </w:pPr>
      <w:r>
        <w:rPr>
          <w:b/>
        </w:rPr>
      </w:r>
    </w:p>
    <w:p>
      <w:pPr>
        <w:pStyle w:val="Normal"/>
        <w:spacing w:lineRule="auto" w:line="480"/>
        <w:ind w:left="720" w:hanging="720"/>
        <w:rPr>
          <w:b/>
          <w:b/>
        </w:rPr>
      </w:pPr>
      <w:r>
        <w:rPr>
          <w:b/>
        </w:rPr>
      </w:r>
    </w:p>
    <w:p>
      <w:pPr>
        <w:pStyle w:val="Normal"/>
        <w:spacing w:lineRule="auto" w:line="480"/>
        <w:ind w:left="720" w:hanging="720"/>
        <w:rPr>
          <w:b/>
          <w:b/>
        </w:rPr>
      </w:pPr>
      <w:r>
        <w:rPr>
          <w:b/>
        </w:rPr>
      </w:r>
    </w:p>
    <w:p>
      <w:pPr>
        <w:pStyle w:val="Normal"/>
        <w:spacing w:lineRule="auto" w:line="480"/>
        <w:ind w:left="720" w:hanging="720"/>
        <w:rPr>
          <w:b/>
          <w:b/>
        </w:rPr>
      </w:pPr>
      <w:r>
        <w:rPr>
          <w:b/>
        </w:rPr>
      </w:r>
    </w:p>
    <w:p>
      <w:pPr>
        <w:pStyle w:val="Normal"/>
        <w:spacing w:lineRule="auto" w:line="480"/>
        <w:ind w:left="720" w:hanging="720"/>
        <w:rPr>
          <w:b/>
          <w:b/>
        </w:rPr>
      </w:pPr>
      <w:r>
        <w:rPr>
          <w:b/>
        </w:rPr>
      </w:r>
    </w:p>
    <w:p>
      <w:pPr>
        <w:pStyle w:val="Normal"/>
        <w:spacing w:lineRule="auto" w:line="480"/>
        <w:ind w:left="720" w:hanging="720"/>
        <w:rPr>
          <w:b/>
          <w:b/>
        </w:rPr>
      </w:pPr>
      <w:r>
        <w:rPr>
          <w:b/>
        </w:rPr>
      </w:r>
    </w:p>
    <w:p>
      <w:pPr>
        <w:pStyle w:val="Normal"/>
        <w:spacing w:lineRule="auto" w:line="480"/>
        <w:ind w:left="720" w:hanging="720"/>
        <w:rPr>
          <w:b/>
          <w:b/>
        </w:rPr>
      </w:pPr>
      <w:r>
        <w:rPr>
          <w:b/>
        </w:rPr>
      </w:r>
    </w:p>
    <w:p>
      <w:pPr>
        <w:pStyle w:val="Normal"/>
        <w:spacing w:lineRule="auto" w:line="480"/>
        <w:ind w:left="720" w:hanging="720"/>
        <w:rPr>
          <w:b/>
          <w:b/>
        </w:rPr>
      </w:pPr>
      <w:r>
        <w:rPr>
          <w:b/>
        </w:rPr>
      </w:r>
    </w:p>
    <w:p>
      <w:pPr>
        <w:pStyle w:val="Normal"/>
        <w:spacing w:lineRule="auto" w:line="480"/>
        <w:ind w:left="720" w:hanging="720"/>
        <w:rPr>
          <w:b/>
          <w:b/>
        </w:rPr>
      </w:pPr>
      <w:r>
        <w:rPr>
          <w:b/>
        </w:rPr>
      </w:r>
    </w:p>
    <w:p>
      <w:pPr>
        <w:pStyle w:val="Normal"/>
        <w:spacing w:lineRule="auto" w:line="480"/>
        <w:rPr>
          <w:b/>
          <w:b/>
        </w:rPr>
      </w:pPr>
      <w:r>
        <w:rPr>
          <w:b/>
        </w:rPr>
      </w:r>
    </w:p>
    <w:sectPr>
      <w:footerReference w:type="default" r:id="rId15"/>
      <w:type w:val="nextPage"/>
      <w:pgSz w:w="12240" w:h="15840"/>
      <w:pgMar w:left="1800" w:right="1800" w:header="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Symbol">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Verdana">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w:r>
    <w:r>
      <mc:AlternateContent>
        <mc:Choice Requires="wps">
          <w:drawing>
            <wp:anchor behindDoc="0" distT="0" distB="0" distL="0" distR="0" simplePos="0" locked="0" layoutInCell="1" allowOverlap="1" relativeHeight="21">
              <wp:simplePos x="0" y="0"/>
              <wp:positionH relativeFrom="margin">
                <wp:align>right</wp:align>
              </wp:positionH>
              <wp:positionV relativeFrom="paragraph">
                <wp:posOffset>635</wp:posOffset>
              </wp:positionV>
              <wp:extent cx="153035" cy="175260"/>
              <wp:effectExtent l="0" t="0" r="0" b="0"/>
              <wp:wrapSquare wrapText="largest"/>
              <wp:docPr id="1" name="Frame1"/>
              <a:graphic xmlns:a="http://schemas.openxmlformats.org/drawingml/2006/main">
                <a:graphicData uri="http://schemas.microsoft.com/office/word/2010/wordprocessingShape">
                  <wps:wsp>
                    <wps:cNvSpPr txBox="1"/>
                    <wps:spPr>
                      <a:xfrm>
                        <a:off x="0" y="0"/>
                        <a:ext cx="153035" cy="175260"/>
                      </a:xfrm>
                      <a:prstGeom prst="rect"/>
                      <a:solidFill>
                        <a:srgbClr val="FFFFFF">
                          <a:alpha val="0"/>
                        </a:srgbClr>
                      </a:solidFill>
                    </wps:spPr>
                    <wps:txbx>
                      <w:txbxContent>
                        <w:p>
                          <w:pPr>
                            <w:pStyle w:val="Footer"/>
                            <w:rPr>
                              <w:rStyle w:val="PageNumber"/>
                            </w:rPr>
                          </w:pPr>
                          <w:r>
                            <w:rPr>
                              <w:rStyle w:val="PageNumber"/>
                            </w:rPr>
                            <w:fldChar w:fldCharType="begin"/>
                          </w:r>
                          <w:r>
                            <w:instrText> PAGE </w:instrText>
                          </w:r>
                          <w:r>
                            <w:fldChar w:fldCharType="separate"/>
                          </w:r>
                          <w:r>
                            <w:t>20</w:t>
                          </w:r>
                          <w:r>
                            <w:fldChar w:fldCharType="end"/>
                          </w:r>
                        </w:p>
                      </w:txbxContent>
                    </wps:txbx>
                    <wps:bodyPr anchor="t">
                      <a:noAutofit/>
                    </wps:bodyPr>
                  </wps:wsp>
                </a:graphicData>
              </a:graphic>
            </wp:anchor>
          </w:drawing>
        </mc:Choice>
        <mc:Fallback>
          <w:pict>
            <v:rect fillcolor="#FFFFFF" style="position:absolute;rotation:0;width:12.05pt;height:13.8pt;margin-top:0.05pt;mso-position-vertical-relative:text;margin-left:419.95pt;mso-position-horizontal:right;mso-position-horizontal-relative:margin">
              <v:fill opacity="0f"/>
              <v:textbox>
                <w:txbxContent>
                  <w:p>
                    <w:pPr>
                      <w:pStyle w:val="Footer"/>
                      <w:rPr>
                        <w:rStyle w:val="PageNumber"/>
                      </w:rPr>
                    </w:pPr>
                    <w:r>
                      <w:rPr>
                        <w:rStyle w:val="PageNumber"/>
                      </w:rPr>
                      <w:fldChar w:fldCharType="begin"/>
                    </w:r>
                    <w:r>
                      <w:instrText> PAGE </w:instrText>
                    </w:r>
                    <w:r>
                      <w:fldChar w:fldCharType="separate"/>
                    </w:r>
                    <w:r>
                      <w:t>20</w:t>
                    </w:r>
                    <w:r>
                      <w:fldChar w:fldCharType="end"/>
                    </w:r>
                  </w:p>
                </w:txbxContent>
              </v:textbox>
              <w10:wrap type="square" side="largest"/>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w:r>
    <w:r>
      <mc:AlternateContent>
        <mc:Choice Requires="wps">
          <w:drawing>
            <wp:anchor behindDoc="0" distT="0" distB="0" distL="0" distR="0" simplePos="0" locked="0" layoutInCell="1" allowOverlap="1" relativeHeight="23">
              <wp:simplePos x="0" y="0"/>
              <wp:positionH relativeFrom="margin">
                <wp:align>right</wp:align>
              </wp:positionH>
              <wp:positionV relativeFrom="paragraph">
                <wp:posOffset>635</wp:posOffset>
              </wp:positionV>
              <wp:extent cx="153035" cy="175260"/>
              <wp:effectExtent l="0" t="0" r="0" b="0"/>
              <wp:wrapSquare wrapText="largest"/>
              <wp:docPr id="2" name="Frame2"/>
              <a:graphic xmlns:a="http://schemas.openxmlformats.org/drawingml/2006/main">
                <a:graphicData uri="http://schemas.microsoft.com/office/word/2010/wordprocessingShape">
                  <wps:wsp>
                    <wps:cNvSpPr txBox="1"/>
                    <wps:spPr>
                      <a:xfrm>
                        <a:off x="0" y="0"/>
                        <a:ext cx="153035" cy="175260"/>
                      </a:xfrm>
                      <a:prstGeom prst="rect"/>
                      <a:solidFill>
                        <a:srgbClr val="FFFFFF">
                          <a:alpha val="0"/>
                        </a:srgbClr>
                      </a:solidFill>
                    </wps:spPr>
                    <wps:txbx>
                      <w:txbxContent>
                        <w:p>
                          <w:pPr>
                            <w:pStyle w:val="Footer"/>
                            <w:rPr/>
                          </w:pPr>
                          <w:r>
                            <w:rPr>
                              <w:rStyle w:val="PageNumber"/>
                            </w:rPr>
                            <w:fldChar w:fldCharType="begin"/>
                          </w:r>
                          <w:r>
                            <w:instrText> PAGE </w:instrText>
                          </w:r>
                          <w:r>
                            <w:fldChar w:fldCharType="separate"/>
                          </w:r>
                          <w:r>
                            <w:t>21</w:t>
                          </w:r>
                          <w:r>
                            <w:fldChar w:fldCharType="end"/>
                          </w:r>
                        </w:p>
                      </w:txbxContent>
                    </wps:txbx>
                    <wps:bodyPr anchor="t">
                      <a:noAutofit/>
                    </wps:bodyPr>
                  </wps:wsp>
                </a:graphicData>
              </a:graphic>
            </wp:anchor>
          </w:drawing>
        </mc:Choice>
        <mc:Fallback>
          <w:pict>
            <v:rect fillcolor="#FFFFFF" style="position:absolute;rotation:0;width:12.05pt;height:13.8pt;margin-top:0.05pt;mso-position-vertical-relative:text;margin-left:635.95pt;mso-position-horizontal:right;mso-position-horizontal-relative:margin">
              <v:fill opacity="0f"/>
              <v:textbox>
                <w:txbxContent>
                  <w:p>
                    <w:pPr>
                      <w:pStyle w:val="Footer"/>
                      <w:rPr/>
                    </w:pPr>
                    <w:r>
                      <w:rPr>
                        <w:rStyle w:val="PageNumber"/>
                      </w:rPr>
                      <w:fldChar w:fldCharType="begin"/>
                    </w:r>
                    <w:r>
                      <w:instrText> PAGE </w:instrText>
                    </w:r>
                    <w:r>
                      <w:fldChar w:fldCharType="separate"/>
                    </w:r>
                    <w:r>
                      <w:t>21</w:t>
                    </w:r>
                    <w:r>
                      <w:fldChar w:fldCharType="end"/>
                    </w:r>
                  </w:p>
                </w:txbxContent>
              </v:textbox>
              <w10:wrap type="square" side="largest"/>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w:r>
    <w:r>
      <mc:AlternateContent>
        <mc:Choice Requires="wps">
          <w:drawing>
            <wp:anchor behindDoc="0" distT="0" distB="0" distL="0" distR="0" simplePos="0" locked="0" layoutInCell="1" allowOverlap="1" relativeHeight="22">
              <wp:simplePos x="0" y="0"/>
              <wp:positionH relativeFrom="margin">
                <wp:align>right</wp:align>
              </wp:positionH>
              <wp:positionV relativeFrom="paragraph">
                <wp:posOffset>635</wp:posOffset>
              </wp:positionV>
              <wp:extent cx="153035" cy="175260"/>
              <wp:effectExtent l="0" t="0" r="0" b="0"/>
              <wp:wrapSquare wrapText="largest"/>
              <wp:docPr id="3" name="Frame3"/>
              <a:graphic xmlns:a="http://schemas.openxmlformats.org/drawingml/2006/main">
                <a:graphicData uri="http://schemas.microsoft.com/office/word/2010/wordprocessingShape">
                  <wps:wsp>
                    <wps:cNvSpPr txBox="1"/>
                    <wps:spPr>
                      <a:xfrm>
                        <a:off x="0" y="0"/>
                        <a:ext cx="153035" cy="175260"/>
                      </a:xfrm>
                      <a:prstGeom prst="rect"/>
                      <a:solidFill>
                        <a:srgbClr val="FFFFFF">
                          <a:alpha val="0"/>
                        </a:srgbClr>
                      </a:solidFill>
                    </wps:spPr>
                    <wps:txbx>
                      <w:txbxContent>
                        <w:p>
                          <w:pPr>
                            <w:pStyle w:val="Footer"/>
                            <w:rPr>
                              <w:rStyle w:val="PageNumber"/>
                            </w:rPr>
                          </w:pPr>
                          <w:r>
                            <w:rPr>
                              <w:rStyle w:val="PageNumber"/>
                            </w:rPr>
                            <w:fldChar w:fldCharType="begin"/>
                          </w:r>
                          <w:r>
                            <w:instrText> PAGE </w:instrText>
                          </w:r>
                          <w:r>
                            <w:fldChar w:fldCharType="separate"/>
                          </w:r>
                          <w:r>
                            <w:t>22</w:t>
                          </w:r>
                          <w:r>
                            <w:fldChar w:fldCharType="end"/>
                          </w:r>
                        </w:p>
                      </w:txbxContent>
                    </wps:txbx>
                    <wps:bodyPr anchor="t">
                      <a:noAutofit/>
                    </wps:bodyPr>
                  </wps:wsp>
                </a:graphicData>
              </a:graphic>
            </wp:anchor>
          </w:drawing>
        </mc:Choice>
        <mc:Fallback>
          <w:pict>
            <v:rect fillcolor="#FFFFFF" style="position:absolute;rotation:0;width:12.05pt;height:13.8pt;margin-top:0.05pt;mso-position-vertical-relative:text;margin-left:419.95pt;mso-position-horizontal:right;mso-position-horizontal-relative:margin">
              <v:fill opacity="0f"/>
              <v:textbox>
                <w:txbxContent>
                  <w:p>
                    <w:pPr>
                      <w:pStyle w:val="Footer"/>
                      <w:rPr>
                        <w:rStyle w:val="PageNumber"/>
                      </w:rPr>
                    </w:pPr>
                    <w:r>
                      <w:rPr>
                        <w:rStyle w:val="PageNumber"/>
                      </w:rPr>
                      <w:fldChar w:fldCharType="begin"/>
                    </w:r>
                    <w:r>
                      <w:instrText> PAGE </w:instrText>
                    </w:r>
                    <w:r>
                      <w:fldChar w:fldCharType="separate"/>
                    </w:r>
                    <w:r>
                      <w:t>22</w:t>
                    </w:r>
                    <w:r>
                      <w:fldChar w:fldCharType="end"/>
                    </w:r>
                  </w:p>
                </w:txbxContent>
              </v:textbox>
              <w10:wrap type="square" side="largest"/>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aramond" w:hAnsi="Garamond" w:eastAsia="DejaVu Sans" w:cs="FreeSans"/>
        <w:szCs w:val="24"/>
        <w:lang w:val="en-CA" w:eastAsia="zh-CN" w:bidi="hi-IN"/>
      </w:rPr>
    </w:rPrDefault>
    <w:pPrDefault>
      <w:pPr/>
    </w:pPrDefault>
  </w:docDefaults>
  <w:style w:type="paragraph" w:styleId="Normal">
    <w:name w:val="Normal"/>
    <w:qFormat/>
    <w:pPr>
      <w:widowControl/>
      <w:suppressAutoHyphens w:val="true"/>
      <w:bidi w:val="0"/>
    </w:pPr>
    <w:rPr>
      <w:rFonts w:ascii="Times New Roman" w:hAnsi="Times New Roman" w:eastAsia="Times New Roman" w:cs="Times New Roman"/>
      <w:color w:val="auto"/>
      <w:sz w:val="24"/>
      <w:szCs w:val="24"/>
      <w:lang w:val="en-CA" w:bidi="ar-SA" w:eastAsia="zh-CN"/>
    </w:rPr>
  </w:style>
  <w:style w:type="paragraph" w:styleId="Heading2">
    <w:name w:val="Heading 2"/>
    <w:basedOn w:val="Normal"/>
    <w:next w:val="TextBody"/>
    <w:qFormat/>
    <w:pPr>
      <w:numPr>
        <w:ilvl w:val="1"/>
        <w:numId w:val="1"/>
      </w:numPr>
      <w:spacing w:before="280" w:after="280"/>
      <w:outlineLvl w:val="1"/>
      <w:outlineLvl w:val="1"/>
    </w:pPr>
    <w:rPr>
      <w:b/>
      <w:bCs/>
      <w:sz w:val="36"/>
      <w:szCs w:val="36"/>
      <w:lang w:val="en-US"/>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5">
    <w:name w:val="WW8Num12z5"/>
    <w:qFormat/>
    <w:rPr>
      <w:rFonts w:ascii="Wingdings" w:hAnsi="Wingdings" w:cs="Wingdings"/>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PageNumber">
    <w:name w:val="Page Number"/>
    <w:basedOn w:val="DefaultParagraphFont"/>
    <w:rPr/>
  </w:style>
  <w:style w:type="character" w:styleId="FootnoteCharacters">
    <w:name w:val="Footnote Characters"/>
    <w:basedOn w:val="DefaultParagraphFont"/>
    <w:qFormat/>
    <w:rPr>
      <w:vertAlign w:val="superscript"/>
    </w:rPr>
  </w:style>
  <w:style w:type="character" w:styleId="Emphasis">
    <w:name w:val="Emphasis"/>
    <w:basedOn w:val="DefaultParagraphFont"/>
    <w:qFormat/>
    <w:rPr>
      <w:i/>
      <w:iCs/>
    </w:rPr>
  </w:style>
  <w:style w:type="character" w:styleId="CommentReference">
    <w:name w:val="Comment Reference"/>
    <w:basedOn w:val="DefaultParagraphFont"/>
    <w:qFormat/>
    <w:rPr>
      <w:sz w:val="16"/>
      <w:szCs w:val="16"/>
    </w:rPr>
  </w:style>
  <w:style w:type="character" w:styleId="StrongEmphasis">
    <w:name w:val="Strong Emphasis"/>
    <w:basedOn w:val="DefaultParagraphFont"/>
    <w:rPr>
      <w:b/>
      <w:bCs/>
    </w:rPr>
  </w:style>
  <w:style w:type="character" w:styleId="Dnnalignleft">
    <w:name w:val="dnnalignleft"/>
    <w:basedOn w:val="DefaultParagraphFont"/>
    <w:qFormat/>
    <w:rPr/>
  </w:style>
  <w:style w:type="character" w:styleId="Hithilite">
    <w:name w:val="hithilite"/>
    <w:basedOn w:val="DefaultParagraphFont"/>
    <w:qFormat/>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Text Body"/>
    <w:basedOn w:val="Normal"/>
    <w:pPr>
      <w:jc w:val="both"/>
    </w:pPr>
    <w:rPr>
      <w:lang w:val="en-US"/>
    </w:rPr>
  </w:style>
  <w:style w:type="paragraph" w:styleId="List">
    <w:name w:val="List"/>
    <w:basedOn w:val="TextBody"/>
    <w:pPr/>
    <w:rPr>
      <w:rFonts w:ascii="Garamond" w:hAnsi="Garamond" w:cs="FreeSans"/>
    </w:rPr>
  </w:style>
  <w:style w:type="paragraph" w:styleId="Caption">
    <w:name w:val="Caption"/>
    <w:basedOn w:val="Normal"/>
    <w:next w:val="Normal"/>
    <w:qFormat/>
    <w:pPr/>
    <w:rPr>
      <w:b/>
      <w:bCs/>
      <w:sz w:val="20"/>
      <w:szCs w:val="20"/>
    </w:rPr>
  </w:style>
  <w:style w:type="paragraph" w:styleId="Index">
    <w:name w:val="Index"/>
    <w:basedOn w:val="Normal"/>
    <w:qFormat/>
    <w:pPr>
      <w:suppressLineNumbers/>
    </w:pPr>
    <w:rPr>
      <w:rFonts w:ascii="Garamond" w:hAnsi="Garamond" w:cs="FreeSans"/>
    </w:rPr>
  </w:style>
  <w:style w:type="paragraph" w:styleId="Footer">
    <w:name w:val="Footer"/>
    <w:basedOn w:val="Normal"/>
    <w:pPr>
      <w:tabs>
        <w:tab w:val="center" w:pos="4320" w:leader="none"/>
        <w:tab w:val="right" w:pos="8640" w:leader="none"/>
      </w:tabs>
    </w:pPr>
    <w:rPr/>
  </w:style>
  <w:style w:type="paragraph" w:styleId="Footnote">
    <w:name w:val="Footnote"/>
    <w:basedOn w:val="Normal"/>
    <w:pPr/>
    <w:rPr>
      <w:sz w:val="20"/>
      <w:szCs w:val="20"/>
      <w:lang w:val="en-US"/>
    </w:rPr>
  </w:style>
  <w:style w:type="paragraph" w:styleId="CommentText">
    <w:name w:val="Comment Text"/>
    <w:basedOn w:val="Normal"/>
    <w:qFormat/>
    <w:pPr/>
    <w:rPr>
      <w:sz w:val="20"/>
      <w:szCs w:val="20"/>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6"/>
      <w:szCs w:val="16"/>
    </w:rPr>
  </w:style>
  <w:style w:type="paragraph" w:styleId="HTMLPreformatted">
    <w:name w:val="HTML Preformatted"/>
    <w:basedOn w:val="Normal"/>
    <w:qFormat/>
    <w:pPr/>
    <w:rPr>
      <w:rFonts w:ascii="Courier New" w:hAnsi="Courier New"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 w:type="numbering" w:styleId="WW8Num9">
    <w:name w:val="WW8Num9"/>
  </w:style>
  <w:style w:type="numbering" w:styleId="WW8Num10">
    <w:name w:val="WW8Num10"/>
  </w:style>
  <w:style w:type="numbering" w:styleId="WW8Num11">
    <w:name w:val="WW8Num11"/>
  </w:style>
  <w:style w:type="numbering" w:styleId="WW8Num12">
    <w:name w:val="WW8Num12"/>
  </w:style>
  <w:style w:type="numbering" w:styleId="WW8Num13">
    <w:name w:val="WW8Num13"/>
  </w:style>
  <w:style w:type="numbering" w:styleId="WW8Num14">
    <w:name w:val="WW8Num14"/>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wghali@ucalgary.ca" TargetMode="External"/><Relationship Id="rId3" Type="http://schemas.openxmlformats.org/officeDocument/2006/relationships/hyperlink" Target="mailto:alpatel@ucalgary.ca" TargetMode="External"/><Relationship Id="rId4" Type="http://schemas.openxmlformats.org/officeDocument/2006/relationships/hyperlink" Target="mailto:tu@ices.on.ca" TargetMode="External"/><Relationship Id="rId5" Type="http://schemas.openxmlformats.org/officeDocument/2006/relationships/hyperlink" Target="mailto:nwaters@gmu.edu" TargetMode="External"/><Relationship Id="rId6" Type="http://schemas.openxmlformats.org/officeDocument/2006/relationships/hyperlink" Target="mailto:dennis.ko@ices.on.ca" TargetMode="External"/><Relationship Id="rId7" Type="http://schemas.openxmlformats.org/officeDocument/2006/relationships/hyperlink" Target="mailto:mark.eisenberg@mcgill.ca" TargetMode="External"/><Relationship Id="rId8" Type="http://schemas.openxmlformats.org/officeDocument/2006/relationships/hyperlink" Target="mailto:thao.huynhthanh@mail.mcgill.ca" TargetMode="External"/><Relationship Id="rId9" Type="http://schemas.openxmlformats.org/officeDocument/2006/relationships/hyperlink" Target="mailto:s.rinfret@umontreal.ca" TargetMode="External"/><Relationship Id="rId10" Type="http://schemas.openxmlformats.org/officeDocument/2006/relationships/hyperlink" Target="mailto:mlknudts@ucalgary.ca" TargetMode="External"/><Relationship Id="rId11" Type="http://schemas.openxmlformats.org/officeDocument/2006/relationships/hyperlink" Target="mailto:wghali@ucalgary.ca" TargetMode="External"/><Relationship Id="rId12" Type="http://schemas.openxmlformats.org/officeDocument/2006/relationships/hyperlink" Target="http://www.uqtr.uquebec.ca/" TargetMode="Externa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oter" Target="footer3.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324</TotalTime>
  <Application>LibreOffice/4.4.3.2$Linux_X86_64 LibreOffice_project/40m0$Build-2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2009-02-18T11:28:00Z</dcterms:created>
  <dc:language>en-CA</dc:language>
  <cp:lastModifiedBy>Alka Patel</cp:lastModifiedBy>
  <cp:lastPrinted>2008-10-26T16:13:00Z</cp:lastPrinted>
  <dcterms:modified xsi:type="dcterms:W3CDTF">2009-02-22T18:21:00Z</dcterms:modified>
  <cp:revision>34</cp:revision>
  <dc:title>Evaluating changes in the inter-hospital transfer of acute myocardial patients over time: a Canadian study using administrative data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&lt;ENInstantFormat&gt;&lt;Enabled&gt;1&lt;/Enabled&gt;&lt;ScanUnformatted&gt;1&lt;/ScanUnformatted&gt;&lt;ScanChanges&gt;1&lt;/ScanChanges&gt;&lt;/ENInstantFormat&gt;</vt:lpwstr>
  </property>
  <property fmtid="{D5CDD505-2E9C-101B-9397-08002B2CF9AE}" pid="3" name="EN.Layout">
    <vt:lpwstr>&lt;ENLayout&gt;&lt;Style&gt;BioMed Central&lt;/Style&gt;&lt;LeftDelim&gt;{&lt;/LeftDelim&gt;&lt;RightDelim&gt;}&lt;/RightDelim&gt;&lt;FontName&gt;Times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ENLayout&gt;</vt:lpwstr>
  </property>
  <property fmtid="{D5CDD505-2E9C-101B-9397-08002B2CF9AE}" pid="4" name="EN.Libraries">
    <vt:lpwstr>&lt;ENLibraries&gt;&lt;Libraries&gt;&lt;item&gt;ManuscriptReferences.enl&lt;/item&gt;&lt;item&gt;PhDProposal Copy.enl&lt;/item&gt;&lt;/Libraries&gt;&lt;/ENLibraries&gt;</vt:lpwstr>
  </property>
</Properties>
</file>