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60"/>
        <w:jc w:val="center"/>
        <w:rPr>
          <w:rFonts w:ascii="Palatino Linotype;Palatino" w:hAnsi="Palatino Linotype;Palatino" w:cs="Palatino Linotype;Palatino"/>
          <w:b w:val="false"/>
          <w:b w:val="false"/>
          <w:smallCaps/>
          <w:sz w:val="36"/>
          <w:lang w:val="en-CA"/>
        </w:rPr>
      </w:pPr>
      <w:r>
        <w:rPr>
          <w:rFonts w:cs="Palatino Linotype;Palatino" w:ascii="Palatino Linotype;Palatino" w:hAnsi="Palatino Linotype;Palatino"/>
          <w:b w:val="false"/>
          <w:smallCaps/>
          <w:sz w:val="36"/>
          <w:lang w:val="en-CA"/>
        </w:rPr>
        <w:t>When Knowledge Translation Falls Short: Could Legal Proceedings be a New Frontier of Evidence-Based Drug Policy in Canada?</w:t>
      </w:r>
    </w:p>
    <w:p>
      <w:pPr>
        <w:pStyle w:val="Normal"/>
        <w:rPr>
          <w:rFonts w:ascii="Palatino Linotype;Palatino" w:hAnsi="Palatino Linotype;Palatino" w:cs="Palatino Linotype;Palatino"/>
          <w:b/>
          <w:b/>
          <w:smallCaps/>
          <w:sz w:val="36"/>
          <w:lang w:val="en-CA"/>
        </w:rPr>
      </w:pPr>
      <w:r>
        <w:rPr>
          <w:rFonts w:cs="Palatino Linotype;Palatino"/>
          <w:b/>
          <w:smallCaps/>
          <w:sz w:val="36"/>
          <w:lang w:val="en-CA"/>
        </w:rPr>
      </w:r>
    </w:p>
    <w:p>
      <w:pPr>
        <w:pStyle w:val="Normal"/>
        <w:jc w:val="center"/>
        <w:rPr/>
      </w:pPr>
      <w:r>
        <w:rPr>
          <w:sz w:val="28"/>
        </w:rPr>
        <w:t xml:space="preserve">Kora DeBeck </w:t>
      </w:r>
      <w:r>
        <w:rPr>
          <w:sz w:val="28"/>
          <w:vertAlign w:val="superscript"/>
        </w:rPr>
        <w:t>1</w:t>
      </w:r>
    </w:p>
    <w:p>
      <w:pPr>
        <w:pStyle w:val="Normal"/>
        <w:jc w:val="center"/>
        <w:rPr/>
      </w:pPr>
      <w:r>
        <w:rPr>
          <w:sz w:val="28"/>
        </w:rPr>
        <w:t xml:space="preserve">Thomas Kerr </w:t>
      </w:r>
      <w:r>
        <w:rPr>
          <w:sz w:val="28"/>
          <w:vertAlign w:val="superscript"/>
        </w:rPr>
        <w:t>1, 2</w:t>
      </w:r>
    </w:p>
    <w:p>
      <w:pPr>
        <w:pStyle w:val="Normal"/>
        <w:tabs>
          <w:tab w:val="left" w:pos="720" w:leader="none"/>
          <w:tab w:val="left" w:pos="1890" w:leader="none"/>
        </w:tabs>
        <w:spacing w:before="0" w:after="100"/>
        <w:rPr>
          <w:sz w:val="28"/>
          <w:vertAlign w:val="superscript"/>
        </w:rPr>
      </w:pPr>
      <w:r>
        <w:rPr>
          <w:sz w:val="28"/>
          <w:vertAlign w:val="superscript"/>
        </w:rPr>
      </w:r>
    </w:p>
    <w:p>
      <w:pPr>
        <w:pStyle w:val="Normal"/>
        <w:tabs>
          <w:tab w:val="left" w:pos="720" w:leader="none"/>
          <w:tab w:val="left" w:pos="1890" w:leader="none"/>
        </w:tabs>
        <w:spacing w:before="0" w:after="100"/>
        <w:rPr>
          <w:sz w:val="28"/>
        </w:rPr>
      </w:pPr>
      <w:r>
        <w:rPr>
          <w:sz w:val="28"/>
        </w:rPr>
      </w:r>
    </w:p>
    <w:p>
      <w:pPr>
        <w:pStyle w:val="Normal"/>
        <w:tabs>
          <w:tab w:val="left" w:pos="720" w:leader="none"/>
          <w:tab w:val="left" w:pos="1890" w:leader="none"/>
        </w:tabs>
        <w:spacing w:before="0" w:after="100"/>
        <w:rPr>
          <w:sz w:val="28"/>
        </w:rPr>
      </w:pPr>
      <w:r>
        <w:rPr>
          <w:sz w:val="28"/>
        </w:rPr>
      </w:r>
    </w:p>
    <w:p>
      <w:pPr>
        <w:pStyle w:val="Normal"/>
        <w:tabs>
          <w:tab w:val="left" w:pos="720" w:leader="none"/>
          <w:tab w:val="left" w:pos="1890" w:leader="none"/>
        </w:tabs>
        <w:spacing w:before="0" w:after="100"/>
        <w:rPr>
          <w:sz w:val="16"/>
        </w:rPr>
      </w:pPr>
      <w:r>
        <w:rPr>
          <w:sz w:val="16"/>
        </w:rPr>
      </w:r>
    </w:p>
    <w:p>
      <w:pPr>
        <w:pStyle w:val="Normal"/>
        <w:numPr>
          <w:ilvl w:val="0"/>
          <w:numId w:val="2"/>
        </w:numPr>
        <w:tabs>
          <w:tab w:val="left" w:pos="720" w:leader="none"/>
          <w:tab w:val="left" w:pos="1890" w:leader="none"/>
        </w:tabs>
        <w:spacing w:before="0" w:after="100"/>
        <w:rPr/>
      </w:pPr>
      <w:r>
        <w:rPr/>
        <w:t>British Columbia Centre for Excellence in HIV/AIDS</w:t>
      </w:r>
    </w:p>
    <w:p>
      <w:pPr>
        <w:pStyle w:val="Normal"/>
        <w:numPr>
          <w:ilvl w:val="0"/>
          <w:numId w:val="2"/>
        </w:numPr>
        <w:jc w:val="both"/>
        <w:rPr>
          <w:szCs w:val="22"/>
        </w:rPr>
      </w:pPr>
      <w:r>
        <w:rPr>
          <w:szCs w:val="22"/>
        </w:rPr>
        <w:t>Division of AIDS, Department of Medicine, University of British Columbia, Vancouver, Canada</w:t>
      </w:r>
    </w:p>
    <w:p>
      <w:pPr>
        <w:pStyle w:val="Normal"/>
        <w:rPr>
          <w:b/>
          <w:b/>
          <w:szCs w:val="22"/>
        </w:rPr>
      </w:pPr>
      <w:r>
        <w:rPr>
          <w:b/>
          <w:szCs w:val="22"/>
        </w:rPr>
      </w:r>
    </w:p>
    <w:p>
      <w:pPr>
        <w:pStyle w:val="Normal"/>
        <w:rPr>
          <w:b/>
          <w:b/>
        </w:rPr>
      </w:pPr>
      <w:r>
        <w:rPr>
          <w:b/>
        </w:rPr>
      </w:r>
    </w:p>
    <w:p>
      <w:pPr>
        <w:pStyle w:val="Normal"/>
        <w:rPr>
          <w:b/>
          <w:b/>
          <w:i/>
          <w:i/>
        </w:rPr>
      </w:pPr>
      <w:r>
        <w:rPr>
          <w:b/>
          <w:i/>
        </w:rPr>
      </w:r>
    </w:p>
    <w:p>
      <w:pPr>
        <w:pStyle w:val="Normal"/>
        <w:rPr>
          <w:b/>
          <w:b/>
          <w:i/>
          <w:i/>
        </w:rPr>
      </w:pPr>
      <w:r>
        <w:rPr>
          <w:b/>
          <w:i/>
        </w:rPr>
      </w:r>
    </w:p>
    <w:p>
      <w:pPr>
        <w:pStyle w:val="Normal"/>
        <w:rPr>
          <w:b/>
          <w:b/>
        </w:rPr>
      </w:pPr>
      <w:r>
        <w:rPr>
          <w:b/>
        </w:rPr>
      </w:r>
    </w:p>
    <w:p>
      <w:pPr>
        <w:pStyle w:val="Normal"/>
        <w:rPr>
          <w:b/>
          <w:b/>
        </w:rPr>
      </w:pPr>
      <w:r>
        <w:rPr>
          <w:b/>
        </w:rPr>
      </w:r>
    </w:p>
    <w:p>
      <w:pPr>
        <w:pStyle w:val="Normal"/>
        <w:rPr>
          <w:b/>
          <w:b/>
        </w:rPr>
      </w:pPr>
      <w:r>
        <w:rPr>
          <w:b/>
        </w:rPr>
      </w:r>
    </w:p>
    <w:p>
      <w:pPr>
        <w:pStyle w:val="Normal"/>
        <w:ind w:left="3600" w:hanging="3600"/>
        <w:rPr>
          <w:b/>
          <w:b/>
        </w:rPr>
      </w:pPr>
      <w:r>
        <w:rPr>
          <w:b/>
        </w:rPr>
      </w:r>
    </w:p>
    <w:p>
      <w:pPr>
        <w:pStyle w:val="Normal"/>
        <w:ind w:left="3600" w:hanging="3600"/>
        <w:rPr/>
      </w:pPr>
      <w:r>
        <w:rPr>
          <w:b/>
        </w:rPr>
        <w:t xml:space="preserve">Send correspondence to: </w:t>
        <w:tab/>
      </w:r>
      <w:r>
        <w:rPr/>
        <w:t>Thomas Kerr, PhD</w:t>
        <w:br/>
      </w:r>
      <w:r>
        <w:rPr>
          <w:lang w:val="en-US"/>
        </w:rPr>
        <w:t>Co-Director, Urban Health Research Initiative</w:t>
      </w:r>
    </w:p>
    <w:p>
      <w:pPr>
        <w:pStyle w:val="Normal"/>
        <w:ind w:left="3600" w:hanging="0"/>
        <w:rPr/>
      </w:pPr>
      <w:r>
        <w:rPr/>
        <w:t>BC Centre for Excellence in HIV/AIDS</w:t>
      </w:r>
    </w:p>
    <w:p>
      <w:pPr>
        <w:pStyle w:val="Normal"/>
        <w:ind w:left="3600" w:hanging="0"/>
        <w:rPr>
          <w:lang w:val="en-US"/>
        </w:rPr>
      </w:pPr>
      <w:r>
        <w:rPr>
          <w:lang w:val="en-US"/>
        </w:rPr>
        <w:t>Assistant Professor, Department of Medicine, Division of AIDS, UBC</w:t>
      </w:r>
    </w:p>
    <w:p>
      <w:pPr>
        <w:pStyle w:val="Normal"/>
        <w:ind w:left="3600" w:hanging="0"/>
        <w:rPr/>
      </w:pPr>
      <w:r>
        <w:rPr/>
        <w:t>University of British Columbia/St. Paul's Hospital, 608-1081 Burrard Street, Vancouver</w:t>
      </w:r>
    </w:p>
    <w:p>
      <w:pPr>
        <w:pStyle w:val="Normal"/>
        <w:ind w:left="3600" w:hanging="0"/>
        <w:jc w:val="both"/>
        <w:rPr>
          <w:lang w:val="fr-FR"/>
        </w:rPr>
      </w:pPr>
      <w:r>
        <w:rPr>
          <w:lang w:val="fr-FR"/>
        </w:rPr>
        <w:t>B.C. V6Z 1Y6</w:t>
      </w:r>
    </w:p>
    <w:p>
      <w:pPr>
        <w:pStyle w:val="Normal"/>
        <w:ind w:left="3600" w:hanging="0"/>
        <w:jc w:val="both"/>
        <w:rPr/>
      </w:pPr>
      <w:r>
        <w:rPr>
          <w:caps/>
          <w:lang w:val="fr-FR"/>
        </w:rPr>
        <w:t>Canada</w:t>
      </w:r>
      <w:r>
        <w:rPr>
          <w:b/>
          <w:caps/>
          <w:lang w:val="fr-FR"/>
        </w:rPr>
        <w:br/>
      </w:r>
      <w:r>
        <w:rPr>
          <w:b/>
          <w:lang w:val="fr-FR"/>
        </w:rPr>
        <w:t xml:space="preserve">Tel:  </w:t>
      </w:r>
      <w:r>
        <w:rPr>
          <w:lang w:val="fr-FR"/>
        </w:rPr>
        <w:t>(604) 806-9116</w:t>
      </w:r>
    </w:p>
    <w:p>
      <w:pPr>
        <w:pStyle w:val="Normal"/>
        <w:ind w:left="3600" w:hanging="0"/>
        <w:jc w:val="both"/>
        <w:rPr>
          <w:lang w:val="fr-FR"/>
        </w:rPr>
      </w:pPr>
      <w:r>
        <w:rPr>
          <w:b/>
          <w:lang w:val="fr-FR"/>
        </w:rPr>
        <w:t xml:space="preserve">Fax:  </w:t>
      </w:r>
      <w:r>
        <w:rPr>
          <w:lang w:val="fr-FR"/>
        </w:rPr>
        <w:t>(604) 806-9044</w:t>
      </w:r>
    </w:p>
    <w:p>
      <w:pPr>
        <w:pStyle w:val="Normal"/>
        <w:ind w:left="3600" w:hanging="3600"/>
        <w:rPr>
          <w:sz w:val="16"/>
          <w:lang w:val="fr-FR"/>
        </w:rPr>
      </w:pPr>
      <w:r>
        <w:rPr>
          <w:lang w:val="fr-FR"/>
        </w:rPr>
        <w:br/>
      </w:r>
      <w:r>
        <w:rPr>
          <w:b/>
          <w:lang w:val="fr-FR"/>
        </w:rPr>
        <w:t xml:space="preserve">Email: </w:t>
      </w:r>
      <w:r>
        <w:rPr>
          <w:lang w:val="fr-FR"/>
        </w:rPr>
        <w:t>uhri-tk@cfenet.ubc.ca</w:t>
      </w:r>
    </w:p>
    <w:p>
      <w:pPr>
        <w:pStyle w:val="Normal"/>
        <w:rPr>
          <w:sz w:val="16"/>
          <w:lang w:val="fr-FR"/>
        </w:rPr>
      </w:pPr>
      <w:r>
        <w:rPr>
          <w:sz w:val="16"/>
          <w:lang w:val="fr-FR"/>
        </w:rPr>
      </w:r>
    </w:p>
    <w:p>
      <w:pPr>
        <w:pStyle w:val="Normal"/>
        <w:ind w:left="720" w:hanging="720"/>
        <w:jc w:val="both"/>
        <w:rPr>
          <w:sz w:val="22"/>
        </w:rPr>
      </w:pPr>
      <w:r>
        <w:rPr>
          <w:sz w:val="22"/>
        </w:rPr>
        <w:t>Word Count:  1640</w:t>
      </w:r>
    </w:p>
    <w:p>
      <w:pPr>
        <w:pStyle w:val="Normal"/>
        <w:jc w:val="both"/>
        <w:rPr>
          <w:b/>
          <w:b/>
          <w:sz w:val="22"/>
        </w:rPr>
      </w:pPr>
      <w:r>
        <w:rPr>
          <w:b/>
          <w:sz w:val="22"/>
        </w:rPr>
      </w:r>
      <w:r>
        <w:br w:type="page"/>
      </w:r>
    </w:p>
    <w:p>
      <w:pPr>
        <w:pStyle w:val="Normal"/>
        <w:spacing w:lineRule="auto" w:line="480"/>
        <w:ind w:firstLine="709"/>
        <w:jc w:val="both"/>
        <w:rPr/>
      </w:pPr>
      <w:r>
        <w:rPr/>
        <w:t>The role of ‘evidence-based medicine’ in improving health services and health outcomes is widely recognized in the realm of health care policy.</w:t>
      </w:r>
      <w:r>
        <w:rPr>
          <w:vertAlign w:val="superscript"/>
        </w:rPr>
        <w:t>1, 2</w:t>
      </w:r>
      <w:r>
        <w:rPr/>
        <w:t xml:space="preserve"> There is now growing recognition, particularly in the area of illicit drug policy and HIV prevention, that gaps between research evidence and public policy are resulting in suboptimal program development and delivery, and as a result, a failure to protect the health of marginalized groups including people who use injection drugs.</w:t>
      </w:r>
      <w:r>
        <w:rPr>
          <w:vertAlign w:val="superscript"/>
        </w:rPr>
        <w:t>3-5</w:t>
      </w:r>
      <w:r>
        <w:rPr/>
        <w:t xml:space="preserve"> This has prompted mounting interest in the use of knowledge translation methods to help close the gap between research evidence and policy, and program delivery, to more effectively respond to the harms associated with problematic drug use.</w:t>
      </w:r>
      <w:r>
        <w:rPr>
          <w:vertAlign w:val="superscript"/>
        </w:rPr>
        <w:t>6</w:t>
      </w:r>
      <w:r>
        <w:rPr/>
        <w:t xml:space="preserve"> By making research findings more accessible to policy-makers and affected communities,  knowledge translation tools are promising mechanisms to support the development of public policies based on the best available scientific evidence.</w:t>
      </w:r>
    </w:p>
    <w:p>
      <w:pPr>
        <w:pStyle w:val="Normal"/>
        <w:spacing w:lineRule="auto" w:line="480"/>
        <w:jc w:val="both"/>
        <w:rPr/>
      </w:pPr>
      <w:r>
        <w:rPr/>
        <w:tab/>
        <w:t>Indeed, health researchers are devoting more attention and efforts to identifying the most appropriate strategies for translating health research to policy-makers.  One key finding that has emerged from these studies is that policy-makers and community members generally do not access academic journals and are more receptive to research in the form of plain language summaries and synthesis reports.</w:t>
      </w:r>
      <w:r>
        <w:rPr>
          <w:vertAlign w:val="superscript"/>
        </w:rPr>
        <w:t>7-10</w:t>
      </w:r>
      <w:r>
        <w:rPr/>
        <w:t xml:space="preserve"> Although the scientific rigor and quality of research is an important factor in the uptake of research findings, establishing networks between policy-makers and scientific researchers is also identified as a principal facilitator in the adoption of research in public policy.</w:t>
      </w:r>
      <w:r>
        <w:rPr>
          <w:vertAlign w:val="superscript"/>
        </w:rPr>
        <w:t>11</w:t>
      </w:r>
    </w:p>
    <w:p>
      <w:pPr>
        <w:pStyle w:val="Normal"/>
        <w:spacing w:lineRule="auto" w:line="480"/>
        <w:jc w:val="both"/>
        <w:rPr/>
      </w:pPr>
      <w:r>
        <w:rPr/>
        <w:tab/>
        <w:t>One area where knowledge translation approaches have been implemented in an effort to advance evidence-based drug policy has been with the scientific evaluation of Vancouver’s pilot supervised injection facility called ‘</w:t>
      </w:r>
      <w:r>
        <w:rPr>
          <w:i/>
        </w:rPr>
        <w:t>Insite’</w:t>
      </w:r>
      <w:r>
        <w:rPr/>
        <w:t xml:space="preserve">. In order to operate, the injection facility was granted an exception from Canada’s </w:t>
      </w:r>
      <w:r>
        <w:rPr>
          <w:i/>
        </w:rPr>
        <w:t>Controlled Drug and Substance Act</w:t>
      </w:r>
      <w:r>
        <w:rPr/>
        <w:t>, under the premise that it was a medical experiment and would undergo extensive evaluation. When the injection facility opened in 2003 a rigorous scientific evaluation was established to determine if there was evidence of positive health and community benefits as well as evidence of any adverse health and community impacts. In the first five years of the scientific evaluation over 30 studies were published in peer-reviewed journals demonstrating that the facility was associated with a range of positive health and social benefits and was not associated with adverse impacts.</w:t>
      </w:r>
      <w:r>
        <w:rPr>
          <w:vertAlign w:val="superscript"/>
        </w:rPr>
        <w:t>12</w:t>
      </w:r>
      <w:r>
        <w:rPr/>
        <w:t xml:space="preserve"> Although this body of evidence would be sufficient to justify the expansion of just about any other public health program, because of the controversial nature of supervised injection facilities, </w:t>
      </w:r>
      <w:r>
        <w:rPr>
          <w:i/>
        </w:rPr>
        <w:t>Insite</w:t>
      </w:r>
      <w:r>
        <w:rPr/>
        <w:t xml:space="preserve"> was held to a much higher standard and continued to be scrutinized by the Federal Government.</w:t>
      </w:r>
      <w:r>
        <w:rPr>
          <w:vertAlign w:val="superscript"/>
        </w:rPr>
        <w:t>13</w:t>
      </w:r>
    </w:p>
    <w:p>
      <w:pPr>
        <w:pStyle w:val="Normal"/>
        <w:spacing w:lineRule="auto" w:line="480"/>
        <w:ind w:firstLine="720"/>
        <w:jc w:val="both"/>
        <w:rPr/>
      </w:pPr>
      <w:r>
        <w:rPr/>
        <w:t xml:space="preserve">In an effort to address this scepticism, a multipronged knowledge translation strategy was implemented. This was undertaken to ensure that the results of the scientific evaluation of the facility were brought to the attention of all relevant stakeholders, ranging from high-level policy-makers and advisors to grassroots community groups. One component of this strategy involved extensive media engagement, which resulted in scientists participating in hundreds of media interviews over the course of the evaluation. Scientists further engaged with policy-makers and the public by delivering dozens of presentations to a wide range of audiences. Another aspect of the strategy involved synthesising the research into reader-friendly summaries, both brief and lengthy versions, and distributing these, particularly to policy-makers.  For example, scientists created a plain language report summarizing the first five years of research findings and in the summer of 2009 mailed a copy of this report to every federal Member of Parliament. A webpage dedicated to posting evaluation studies and reader-friendly summaries further facilitated the dissemination of research results. </w:t>
      </w:r>
    </w:p>
    <w:p>
      <w:pPr>
        <w:pStyle w:val="Normal"/>
        <w:spacing w:lineRule="auto" w:line="480"/>
        <w:jc w:val="both"/>
        <w:rPr/>
      </w:pPr>
      <w:r>
        <w:rPr/>
        <w:tab/>
        <w:t>Despite evidence of the apparent success of these knowledge translation initiatives and public acceptance of the evaluation research results, indicated by public opinion polls</w:t>
      </w:r>
      <w:r>
        <w:rPr>
          <w:vertAlign w:val="superscript"/>
        </w:rPr>
        <w:t>14</w:t>
      </w:r>
      <w:r>
        <w:rPr/>
        <w:t xml:space="preserve"> and endorsements by medical bodies,</w:t>
      </w:r>
      <w:r>
        <w:rPr>
          <w:vertAlign w:val="superscript"/>
        </w:rPr>
        <w:t>15</w:t>
      </w:r>
      <w:r>
        <w:rPr/>
        <w:t xml:space="preserve"> elected officials</w:t>
      </w:r>
      <w:r>
        <w:rPr>
          <w:vertAlign w:val="superscript"/>
        </w:rPr>
        <w:t>16</w:t>
      </w:r>
      <w:r>
        <w:rPr/>
        <w:t xml:space="preserve"> and police,</w:t>
      </w:r>
      <w:r>
        <w:rPr>
          <w:vertAlign w:val="superscript"/>
        </w:rPr>
        <w:t>17, 18</w:t>
      </w:r>
      <w:r>
        <w:rPr/>
        <w:t xml:space="preserve"> the Federal Government remained fiercely opposed to the program. It became evident that the basis of their opposition was ideological, that scientific evidence was irrelevant in this policy environment, and that conventional knowledge translation strategies were likely to have little impact.</w:t>
      </w:r>
      <w:r>
        <w:rPr>
          <w:vertAlign w:val="superscript"/>
        </w:rPr>
        <w:t>19</w:t>
      </w:r>
      <w:r>
        <w:rPr/>
        <w:t xml:space="preserve"> </w:t>
      </w:r>
    </w:p>
    <w:p>
      <w:pPr>
        <w:pStyle w:val="Normal"/>
        <w:spacing w:lineRule="auto" w:line="480"/>
        <w:ind w:firstLine="720"/>
        <w:jc w:val="both"/>
        <w:rPr>
          <w:lang w:val="en-US"/>
        </w:rPr>
      </w:pPr>
      <w:r>
        <w:rPr/>
        <w:t>To prevent the Federal Government from closing the facility, two community based non-profit organizations representing the interests of injection drug users, as well as two individual plaintiffs, launched a lawsuit against the Attorney General of Canada and federal Minister of Health.</w:t>
      </w:r>
      <w:r>
        <w:rPr>
          <w:vertAlign w:val="superscript"/>
        </w:rPr>
        <w:t>20</w:t>
      </w:r>
      <w:r>
        <w:rPr/>
        <w:t xml:space="preserve"> One of the primary arguments in the case was that people who use injection drugs have a constitutional right to access </w:t>
      </w:r>
      <w:r>
        <w:rPr>
          <w:i/>
        </w:rPr>
        <w:t>Insite</w:t>
      </w:r>
      <w:r>
        <w:rPr/>
        <w:t xml:space="preserve"> because of its importance as a health care service that reduces the harms of injection drug use. Another argument was based on the doctrine of interjurisdictional immunity. Specifically, given that the Province has constitutional power with respect to health care, it was argued that because </w:t>
      </w:r>
      <w:r>
        <w:rPr>
          <w:i/>
        </w:rPr>
        <w:t>Insite</w:t>
      </w:r>
      <w:r>
        <w:rPr/>
        <w:t xml:space="preserve"> is a health care service it falls under the jurisdiction of the Provincial Government and its operation should not be subject to Federal interference.</w:t>
      </w:r>
      <w:r>
        <w:rPr>
          <w:vertAlign w:val="superscript"/>
        </w:rPr>
        <w:t xml:space="preserve"> 20</w:t>
      </w:r>
      <w:r>
        <w:rPr>
          <w:rFonts w:cs="ArialMT;Arial" w:ascii="ArialMT;Arial" w:hAnsi="ArialMT;Arial"/>
          <w:sz w:val="22"/>
          <w:szCs w:val="22"/>
          <w:lang w:val="en-US"/>
        </w:rPr>
        <w:t xml:space="preserve"> </w:t>
      </w:r>
      <w:r>
        <w:rPr/>
        <w:t>In the process of the court case, researchers were called upon to translate their research findings in the form of sworn affidavits.</w:t>
      </w:r>
    </w:p>
    <w:p>
      <w:pPr>
        <w:pStyle w:val="Normal"/>
        <w:spacing w:lineRule="auto" w:line="480"/>
        <w:ind w:firstLine="720"/>
        <w:jc w:val="both"/>
        <w:rPr>
          <w:vertAlign w:val="superscript"/>
        </w:rPr>
      </w:pPr>
      <w:r>
        <w:rPr/>
        <w:t xml:space="preserve">After lengthy proceedings, in May 2008 the BC Supreme Court dismissed the plaintiffs’ claims that interjurisdictional immunity applied, but ruled that the current </w:t>
      </w:r>
      <w:r>
        <w:rPr>
          <w:i/>
          <w:iCs/>
          <w:lang w:val="en-US"/>
        </w:rPr>
        <w:t>Controlled Drugs and Substances Act,</w:t>
      </w:r>
      <w:r>
        <w:rPr>
          <w:lang w:val="en-US"/>
        </w:rPr>
        <w:t xml:space="preserve"> to the extent that it provides the Federal Government with the power to close the facility, </w:t>
      </w:r>
      <w:r>
        <w:rPr/>
        <w:t xml:space="preserve">is in violation of the </w:t>
      </w:r>
      <w:r>
        <w:rPr>
          <w:i/>
        </w:rPr>
        <w:t>Canadian Charter of Rights and Freedoms</w:t>
      </w:r>
      <w:r>
        <w:rPr/>
        <w:t>.</w:t>
      </w:r>
      <w:r>
        <w:rPr>
          <w:vertAlign w:val="superscript"/>
        </w:rPr>
        <w:t xml:space="preserve">21  </w:t>
      </w:r>
      <w:r>
        <w:rPr/>
        <w:t xml:space="preserve">The courts ordered the Canadian Federal Government to amend the relevant sections of the legislation to allow for the continued operation of </w:t>
      </w:r>
      <w:r>
        <w:rPr>
          <w:i/>
        </w:rPr>
        <w:t>Insite</w:t>
      </w:r>
      <w:r>
        <w:rPr/>
        <w:t xml:space="preserve">. This decision represented an important step forward for evidence-based drug policy and the courts effectively became the one arena where scientific evidence and constitutional rights trumped ideology. Although the ruling was not directly concerned with implementing evidence-based drug policy, the decision hinged on scientific research to establish that the program offered health benefits to injection drug users. This decision raises the question “can courts be a new frontier for the establishment of evidence-based drug policy?” - especially in those instances when policy-makers systematically ignore scientific evidence. </w:t>
      </w:r>
      <w:r>
        <w:rPr>
          <w:i/>
        </w:rPr>
        <w:t xml:space="preserve"> </w:t>
      </w:r>
      <w:r>
        <w:rPr/>
        <w:t xml:space="preserve">Although it is undeniable that the BC Supreme Court decision has already had a significant impact on the course of </w:t>
      </w:r>
      <w:r>
        <w:rPr>
          <w:i/>
        </w:rPr>
        <w:t>Insite’s</w:t>
      </w:r>
      <w:r>
        <w:rPr/>
        <w:t xml:space="preserve"> history and prevented its eminent discontinuation, the power of the ruling and implications for the advancement of evidence-based drug policy remain uncertain.  </w:t>
      </w:r>
    </w:p>
    <w:p>
      <w:pPr>
        <w:pStyle w:val="Normal"/>
        <w:spacing w:lineRule="auto" w:line="480"/>
        <w:jc w:val="both"/>
        <w:rPr/>
      </w:pPr>
      <w:r>
        <w:rPr/>
        <w:tab/>
      </w:r>
      <w:r>
        <w:rPr>
          <w:iCs/>
          <w:lang w:val="en-US"/>
        </w:rPr>
        <w:t xml:space="preserve">Far from being absolute, </w:t>
      </w:r>
      <w:r>
        <w:rPr>
          <w:i/>
          <w:iCs/>
          <w:lang w:val="en-US"/>
        </w:rPr>
        <w:t>Charter</w:t>
      </w:r>
      <w:r>
        <w:rPr>
          <w:iCs/>
          <w:lang w:val="en-US"/>
        </w:rPr>
        <w:t xml:space="preserve"> rights have limitations, some of which are embedded in the </w:t>
      </w:r>
      <w:r>
        <w:rPr>
          <w:i/>
          <w:iCs/>
          <w:lang w:val="en-US"/>
        </w:rPr>
        <w:t>Charter</w:t>
      </w:r>
      <w:r>
        <w:rPr>
          <w:iCs/>
          <w:lang w:val="en-US"/>
        </w:rPr>
        <w:t xml:space="preserve"> itself. Specifically, section 1 allows Parliament and provincial legislatures to limit </w:t>
      </w:r>
      <w:r>
        <w:rPr>
          <w:i/>
          <w:iCs/>
          <w:lang w:val="en-US"/>
        </w:rPr>
        <w:t>Charter</w:t>
      </w:r>
      <w:r>
        <w:rPr>
          <w:iCs/>
          <w:lang w:val="en-US"/>
        </w:rPr>
        <w:t xml:space="preserve"> rights if it can be “demonstrably justified in a free and democratic society”. Furthermore, Parliament and provincial legislatures can use the notwithstanding clause provided by section 33 to override </w:t>
      </w:r>
      <w:r>
        <w:rPr>
          <w:i/>
          <w:iCs/>
          <w:lang w:val="en-US"/>
        </w:rPr>
        <w:t>Charter</w:t>
      </w:r>
      <w:r>
        <w:rPr>
          <w:iCs/>
          <w:lang w:val="en-US"/>
        </w:rPr>
        <w:t xml:space="preserve"> protections for limited periods of time. Although legislative bodies have invoked sections 1 and 33 </w:t>
      </w:r>
      <w:r>
        <w:rPr>
          <w:iCs/>
        </w:rPr>
        <w:t>(</w:t>
      </w:r>
      <w:r>
        <w:rPr>
          <w:i/>
          <w:iCs/>
          <w:lang w:val="en-US"/>
        </w:rPr>
        <w:t>Ford v. Quebec</w:t>
      </w:r>
      <w:r>
        <w:rPr>
          <w:iCs/>
          <w:lang w:val="en-US"/>
        </w:rPr>
        <w:t>, [1988] 2 S.C.R. 712</w:t>
      </w:r>
      <w:r>
        <w:rPr>
          <w:i/>
          <w:iCs/>
          <w:lang w:val="en-US"/>
        </w:rPr>
        <w:t>; R. v. Daviault</w:t>
      </w:r>
      <w:r>
        <w:rPr>
          <w:iCs/>
          <w:lang w:val="en-US"/>
        </w:rPr>
        <w:t>, [1994] 3 S.C.R. 63), it is rare that these provisions are used to reverse judicial rulings</w:t>
      </w:r>
      <w:r>
        <w:rPr>
          <w:i/>
          <w:iCs/>
          <w:lang w:val="en-US"/>
        </w:rPr>
        <w:t xml:space="preserve">. </w:t>
      </w:r>
      <w:r>
        <w:rPr>
          <w:iCs/>
          <w:lang w:val="en-US"/>
        </w:rPr>
        <w:t>More commonly,</w:t>
      </w:r>
      <w:r>
        <w:rPr>
          <w:i/>
          <w:iCs/>
          <w:lang w:val="en-US"/>
        </w:rPr>
        <w:t xml:space="preserve"> </w:t>
      </w:r>
      <w:r>
        <w:rPr>
          <w:iCs/>
          <w:lang w:val="en-US"/>
        </w:rPr>
        <w:t>Charter-based judicial decisions have been described as sparking a sort of ‘dialogue’ between the courts and legislative bodies whereby a court’s ruling is responded to with new legislation that addresses the civil libertarian concerns of the court, but typically maintains the intent of the original law.</w:t>
      </w:r>
      <w:r>
        <w:rPr>
          <w:vertAlign w:val="superscript"/>
        </w:rPr>
        <w:t>22</w:t>
      </w:r>
      <w:r>
        <w:rPr>
          <w:iCs/>
          <w:lang w:val="en-US"/>
        </w:rPr>
        <w:t xml:space="preserve">  However, in </w:t>
      </w:r>
      <w:r>
        <w:rPr>
          <w:color w:val="000000"/>
        </w:rPr>
        <w:t xml:space="preserve">other instances, most notably in </w:t>
      </w:r>
      <w:r>
        <w:rPr>
          <w:i/>
          <w:color w:val="000000"/>
        </w:rPr>
        <w:t>R. v. Morgentaler</w:t>
      </w:r>
      <w:r>
        <w:rPr>
          <w:color w:val="000000"/>
        </w:rPr>
        <w:t xml:space="preserve"> (</w:t>
      </w:r>
      <w:hyperlink r:id="rId2">
        <w:r>
          <w:rPr>
            <w:rStyle w:val="InternetLink"/>
            <w:color w:val="000000"/>
            <w:u w:val="none"/>
          </w:rPr>
          <w:t>[1988] 1 S.C.R. 30</w:t>
        </w:r>
      </w:hyperlink>
      <w:r>
        <w:rPr>
          <w:color w:val="000000"/>
        </w:rPr>
        <w:t xml:space="preserve">), where the Supreme Court of Canada ruled that the </w:t>
      </w:r>
      <w:hyperlink r:id="rId3">
        <w:r>
          <w:rPr>
            <w:rStyle w:val="InternetLink"/>
            <w:color w:val="000000"/>
            <w:u w:val="none"/>
          </w:rPr>
          <w:t>abortion</w:t>
        </w:r>
      </w:hyperlink>
      <w:r>
        <w:rPr>
          <w:color w:val="000000"/>
        </w:rPr>
        <w:t xml:space="preserve"> provision in the </w:t>
      </w:r>
      <w:hyperlink r:id="rId4">
        <w:r>
          <w:rPr>
            <w:rStyle w:val="InternetLink"/>
            <w:color w:val="000000"/>
            <w:u w:val="none"/>
          </w:rPr>
          <w:t>Criminal Code of Canada</w:t>
        </w:r>
      </w:hyperlink>
      <w:r>
        <w:rPr>
          <w:color w:val="000000"/>
        </w:rPr>
        <w:t xml:space="preserve"> was unconstitutional, judicial decisions have fundamentally changed public policy. </w:t>
      </w:r>
    </w:p>
    <w:p>
      <w:pPr>
        <w:pStyle w:val="Normal"/>
        <w:spacing w:lineRule="auto" w:line="480"/>
        <w:ind w:firstLine="720"/>
        <w:jc w:val="both"/>
        <w:rPr/>
      </w:pPr>
      <w:r>
        <w:rPr>
          <w:iCs/>
          <w:lang w:val="en-US"/>
        </w:rPr>
        <w:t xml:space="preserve">In the case of the </w:t>
      </w:r>
      <w:r>
        <w:rPr>
          <w:i/>
          <w:iCs/>
          <w:lang w:val="en-US"/>
        </w:rPr>
        <w:t>Insite</w:t>
      </w:r>
      <w:r>
        <w:rPr>
          <w:iCs/>
          <w:lang w:val="en-US"/>
        </w:rPr>
        <w:t xml:space="preserve"> decision the response by the Federal Government has been very oppositional. </w:t>
      </w:r>
      <w:r>
        <w:rPr/>
        <w:t xml:space="preserve">Immediately after the announcement of the 2008 court decision the Federal Government of Canada appealed the ruling that sections of the </w:t>
      </w:r>
      <w:r>
        <w:rPr>
          <w:i/>
          <w:iCs/>
          <w:lang w:val="en-US"/>
        </w:rPr>
        <w:t>Controlled Drugs and Substances Act</w:t>
      </w:r>
      <w:r>
        <w:rPr>
          <w:iCs/>
          <w:lang w:val="en-US"/>
        </w:rPr>
        <w:t xml:space="preserve"> violated </w:t>
      </w:r>
      <w:r>
        <w:rPr>
          <w:i/>
          <w:iCs/>
          <w:lang w:val="en-US"/>
        </w:rPr>
        <w:t>Charter</w:t>
      </w:r>
      <w:r>
        <w:rPr>
          <w:iCs/>
          <w:lang w:val="en-US"/>
        </w:rPr>
        <w:t xml:space="preserve"> rights</w:t>
      </w:r>
      <w:r>
        <w:rPr/>
        <w:t xml:space="preserve">. Conversely, the plaintiffs in the original case cross appealed the dismissal of the interjurisdictional immunity claim. In January 2010, Justices from the BC Supreme Court of Appeals ruled by a 2-1 majority that the doctrine of interjurisdictional immunity did indeed apply in the case; the implications being that the </w:t>
      </w:r>
      <w:r>
        <w:rPr>
          <w:i/>
          <w:iCs/>
          <w:lang w:val="en-US"/>
        </w:rPr>
        <w:t>Controlled Drugs and Substances Act</w:t>
      </w:r>
      <w:r>
        <w:rPr>
          <w:iCs/>
          <w:lang w:val="en-US"/>
        </w:rPr>
        <w:t xml:space="preserve"> </w:t>
      </w:r>
      <w:r>
        <w:rPr/>
        <w:t xml:space="preserve">could not interfere with the operations of </w:t>
      </w:r>
      <w:r>
        <w:rPr>
          <w:i/>
        </w:rPr>
        <w:t>Insite</w:t>
      </w:r>
      <w:r>
        <w:rPr/>
        <w:t xml:space="preserve"> or hinder its ability to provide health care to people who inject drugs. Although the ruling in favour of the application of the doctrine of interjurisdictional immunity made a ruling on the </w:t>
      </w:r>
      <w:r>
        <w:rPr>
          <w:i/>
        </w:rPr>
        <w:t>Charter</w:t>
      </w:r>
      <w:r>
        <w:rPr/>
        <w:t xml:space="preserve"> issue unnecessary, the Justices provided their assessment of the arguments pertaining to this aspect of the case. With the same 2-1 majority, the Justices concluded that the original ruling on the </w:t>
      </w:r>
      <w:r>
        <w:rPr>
          <w:i/>
        </w:rPr>
        <w:t>Charter</w:t>
      </w:r>
      <w:r>
        <w:rPr/>
        <w:t xml:space="preserve"> issue was correct, and that aspects of the </w:t>
      </w:r>
      <w:r>
        <w:rPr>
          <w:i/>
          <w:iCs/>
          <w:lang w:val="en-US"/>
        </w:rPr>
        <w:t>Controlled Drugs and Substances Act</w:t>
      </w:r>
      <w:r>
        <w:rPr>
          <w:iCs/>
          <w:lang w:val="en-US"/>
        </w:rPr>
        <w:t xml:space="preserve"> were unconstitutional</w:t>
      </w:r>
      <w:r>
        <w:rPr/>
        <w:t>.</w:t>
      </w:r>
      <w:r>
        <w:rPr>
          <w:vertAlign w:val="superscript"/>
        </w:rPr>
        <w:t>23</w:t>
      </w:r>
      <w:r>
        <w:rPr/>
        <w:t xml:space="preserve">  Most recently, the Federal Government has announced that it will now appeal this decision to the Supreme Court of Canada.</w:t>
      </w:r>
      <w:r>
        <w:rPr>
          <w:vertAlign w:val="superscript"/>
        </w:rPr>
        <w:t xml:space="preserve">16 </w:t>
      </w:r>
      <w:r>
        <w:rPr>
          <w:iCs/>
        </w:rPr>
        <w:t xml:space="preserve">  </w:t>
      </w:r>
    </w:p>
    <w:p>
      <w:pPr>
        <w:pStyle w:val="Normal"/>
        <w:spacing w:lineRule="auto" w:line="480"/>
        <w:ind w:firstLine="720"/>
        <w:jc w:val="both"/>
        <w:rPr/>
      </w:pPr>
      <w:r>
        <w:rPr>
          <w:iCs/>
        </w:rPr>
        <w:t xml:space="preserve">Given the multiple dimensions of the case, it is difficult to anticipate all the possible outcomes of a trial in the Supreme Court of Canada. It is also difficult to predict what course of action the Government of Canada will pursue in reaction to a ruling from the Supreme Court of Canada. For instance, if the interjurisdictional immunity ruling is struck down but the </w:t>
      </w:r>
      <w:r>
        <w:rPr>
          <w:i/>
          <w:iCs/>
        </w:rPr>
        <w:t>Charter</w:t>
      </w:r>
      <w:r>
        <w:rPr>
          <w:iCs/>
        </w:rPr>
        <w:t xml:space="preserve"> ruling is upheld one possible response on the part of the Federal Government would be to amend the </w:t>
      </w:r>
      <w:r>
        <w:rPr>
          <w:i/>
          <w:iCs/>
          <w:lang w:val="en-US"/>
        </w:rPr>
        <w:t>Controlled Drugs and Substances Act</w:t>
      </w:r>
      <w:r>
        <w:rPr>
          <w:iCs/>
        </w:rPr>
        <w:t xml:space="preserve"> in a manner that would allow for the unconstrained legal establishment of other medically supervised injection facilities across Canada. Conversely, attempts could be made to limit or suspend </w:t>
      </w:r>
      <w:r>
        <w:rPr>
          <w:i/>
          <w:iCs/>
        </w:rPr>
        <w:t>Charter</w:t>
      </w:r>
      <w:r>
        <w:rPr>
          <w:iCs/>
        </w:rPr>
        <w:t xml:space="preserve"> protections and preserve the current </w:t>
      </w:r>
      <w:r>
        <w:rPr>
          <w:i/>
          <w:iCs/>
          <w:lang w:val="en-US"/>
        </w:rPr>
        <w:t>Controlled Drugs and Substances Act</w:t>
      </w:r>
      <w:r>
        <w:rPr>
          <w:iCs/>
          <w:lang w:val="en-US"/>
        </w:rPr>
        <w:t xml:space="preserve"> in its entirety, which could threaten the existence of </w:t>
      </w:r>
      <w:r>
        <w:rPr>
          <w:i/>
          <w:iCs/>
          <w:lang w:val="en-US"/>
        </w:rPr>
        <w:t>Insite</w:t>
      </w:r>
      <w:r>
        <w:rPr>
          <w:iCs/>
          <w:lang w:val="en-US"/>
        </w:rPr>
        <w:t xml:space="preserve"> and continue to place legal restrictions on the establishment of any additional supervised injection facility</w:t>
      </w:r>
      <w:r>
        <w:rPr>
          <w:iCs/>
        </w:rPr>
        <w:t xml:space="preserve">. </w:t>
      </w:r>
    </w:p>
    <w:p>
      <w:pPr>
        <w:pStyle w:val="Normal"/>
        <w:spacing w:lineRule="auto" w:line="480"/>
        <w:ind w:firstLine="720"/>
        <w:jc w:val="both"/>
        <w:rPr/>
      </w:pPr>
      <w:r>
        <w:rPr>
          <w:iCs/>
        </w:rPr>
        <w:t>Although legal proceeding are a potentially promising vehicle for advancing evidence-based drug policy, like knowledge translation efforts, there are no guarantees that they can effect substantial change. Nevertheless, given the health and social harms that are resulting from persistent gaps between evidence and practice in the areas of illicit drug policy and HIV prevention, efforts to support even incremental advancements must be pursued and supported.</w:t>
      </w:r>
      <w:r>
        <w:br w:type="page"/>
      </w:r>
    </w:p>
    <w:p>
      <w:pPr>
        <w:pStyle w:val="Heading1"/>
        <w:numPr>
          <w:ilvl w:val="0"/>
          <w:numId w:val="1"/>
        </w:numPr>
        <w:rPr>
          <w:rFonts w:ascii="Palatino Linotype;Palatino" w:hAnsi="Palatino Linotype;Palatino" w:cs="Palatino Linotype;Palatino"/>
          <w:color w:val="FF0000"/>
          <w:sz w:val="24"/>
          <w:szCs w:val="24"/>
        </w:rPr>
      </w:pPr>
      <w:r>
        <w:rPr>
          <w:rFonts w:cs="Palatino Linotype;Palatino" w:ascii="Palatino Linotype;Palatino" w:hAnsi="Palatino Linotype;Palatino"/>
          <w:sz w:val="24"/>
          <w:szCs w:val="24"/>
        </w:rPr>
        <w:t>Acknowledgments:</w:t>
      </w:r>
    </w:p>
    <w:p>
      <w:pPr>
        <w:pStyle w:val="TextBodyIndent"/>
        <w:spacing w:lineRule="auto" w:line="240"/>
        <w:rPr>
          <w:rFonts w:ascii="Palatino Linotype;Palatino" w:hAnsi="Palatino Linotype;Palatino" w:cs="Palatino Linotype;Palatino"/>
          <w:lang w:val="en-CA"/>
        </w:rPr>
      </w:pPr>
      <w:r>
        <w:rPr>
          <w:rFonts w:cs="Palatino Linotype;Palatino" w:ascii="Palatino Linotype;Palatino" w:hAnsi="Palatino Linotype;Palatino"/>
          <w:szCs w:val="24"/>
          <w:lang w:val="en-US"/>
        </w:rPr>
        <w:t xml:space="preserve">We would specifically like to thank Deborah Graham, Tricia Collingham, </w:t>
      </w:r>
      <w:r>
        <w:rPr>
          <w:rFonts w:cs="Palatino Linotype;Palatino" w:ascii="Palatino Linotype;Palatino" w:hAnsi="Palatino Linotype;Palatino"/>
          <w:bCs/>
          <w:lang w:val="en-CA"/>
        </w:rPr>
        <w:t>Sandra Niven</w:t>
      </w:r>
      <w:r>
        <w:rPr>
          <w:rFonts w:cs="Palatino Linotype;Palatino" w:ascii="Palatino Linotype;Palatino" w:hAnsi="Palatino Linotype;Palatino"/>
          <w:lang w:val="en-CA"/>
        </w:rPr>
        <w:t xml:space="preserve">, </w:t>
      </w:r>
      <w:r>
        <w:rPr>
          <w:rFonts w:cs="Palatino Linotype;Palatino" w:ascii="Palatino Linotype;Palatino" w:hAnsi="Palatino Linotype;Palatino"/>
          <w:szCs w:val="24"/>
          <w:lang w:val="en-US"/>
        </w:rPr>
        <w:t xml:space="preserve">Peter Vann, Caitlin Johnston, Steve Kain, Brandon Marshall and M-J Milloy for their research and administrative assistance. </w:t>
      </w:r>
      <w:r>
        <w:rPr>
          <w:rFonts w:cs="Palatino Linotype;Palatino" w:ascii="Palatino Linotype;Palatino" w:hAnsi="Palatino Linotype;Palatino"/>
          <w:szCs w:val="24"/>
        </w:rPr>
        <w:t>KD is</w:t>
      </w:r>
      <w:r>
        <w:rPr>
          <w:rFonts w:cs="Palatino Linotype;Palatino" w:ascii="Palatino Linotype;Palatino" w:hAnsi="Palatino Linotype;Palatino"/>
        </w:rPr>
        <w:t xml:space="preserve"> supported by a </w:t>
      </w:r>
      <w:r>
        <w:rPr>
          <w:rFonts w:cs="Palatino Linotype;Palatino" w:ascii="Palatino Linotype;Palatino" w:hAnsi="Palatino Linotype;Palatino"/>
          <w:szCs w:val="24"/>
          <w:lang w:val="en-US"/>
        </w:rPr>
        <w:t>Michael Smith Foundation for Health Research (</w:t>
      </w:r>
      <w:r>
        <w:rPr>
          <w:rFonts w:cs="Palatino Linotype;Palatino" w:ascii="Palatino Linotype;Palatino" w:hAnsi="Palatino Linotype;Palatino"/>
        </w:rPr>
        <w:t xml:space="preserve">MSFHR) Senior Graduate Trainee Award and </w:t>
      </w:r>
      <w:r>
        <w:rPr>
          <w:rFonts w:cs="Palatino Linotype;Palatino" w:ascii="Palatino Linotype;Palatino" w:hAnsi="Palatino Linotype;Palatino"/>
          <w:szCs w:val="24"/>
        </w:rPr>
        <w:t xml:space="preserve">a </w:t>
      </w:r>
      <w:r>
        <w:rPr>
          <w:rFonts w:cs="Palatino Linotype;Palatino" w:ascii="Palatino Linotype;Palatino" w:hAnsi="Palatino Linotype;Palatino"/>
          <w:szCs w:val="24"/>
          <w:lang w:val="en-US"/>
        </w:rPr>
        <w:t>Canadian Institutes of Health Research</w:t>
      </w:r>
      <w:r>
        <w:rPr>
          <w:rFonts w:cs="Palatino Linotype;Palatino" w:ascii="Palatino Linotype;Palatino" w:hAnsi="Palatino Linotype;Palatino"/>
          <w:szCs w:val="24"/>
        </w:rPr>
        <w:t xml:space="preserve"> (CIHR) Doctoral Research Award. </w:t>
      </w:r>
      <w:r>
        <w:rPr>
          <w:rFonts w:cs="Palatino Linotype;Palatino" w:ascii="Palatino Linotype;Palatino" w:hAnsi="Palatino Linotype;Palatino"/>
          <w:szCs w:val="24"/>
          <w:lang w:val="en-US"/>
        </w:rPr>
        <w:t xml:space="preserve">TK is supported by MSFHR and CIHR. </w:t>
      </w:r>
      <w:r>
        <w:rPr>
          <w:rFonts w:cs="Palatino Linotype;Palatino" w:ascii="Palatino Linotype;Palatino" w:hAnsi="Palatino Linotype;Palatino"/>
          <w:szCs w:val="24"/>
          <w:lang w:val="en-CA"/>
        </w:rPr>
        <w:t>Special thanks to Katrina Pacey for her constructive comments and suggestions on an earlier draft of this commentary.</w:t>
      </w:r>
      <w:r>
        <w:br w:type="page"/>
      </w:r>
    </w:p>
    <w:p>
      <w:pPr>
        <w:pStyle w:val="Normal"/>
        <w:spacing w:lineRule="auto" w:line="480"/>
        <w:jc w:val="center"/>
        <w:rPr>
          <w:b/>
          <w:b/>
        </w:rPr>
      </w:pPr>
      <w:r>
        <w:rPr>
          <w:b/>
        </w:rPr>
        <w:t>REFERENCES</w:t>
      </w:r>
    </w:p>
    <w:p>
      <w:pPr>
        <w:pStyle w:val="Normal"/>
        <w:spacing w:before="0" w:after="240"/>
        <w:ind w:left="426" w:hanging="426"/>
        <w:rPr/>
      </w:pPr>
      <w:r>
        <w:rPr/>
        <w:t xml:space="preserve">1.    White B. Making evidence-based medicine doable in everyday practice. </w:t>
      </w:r>
      <w:r>
        <w:rPr>
          <w:i/>
        </w:rPr>
        <w:t>Fam Pract Manag</w:t>
      </w:r>
      <w:r>
        <w:rPr/>
        <w:t>. 2004;11:51-58.</w:t>
      </w:r>
    </w:p>
    <w:p>
      <w:pPr>
        <w:pStyle w:val="Normal"/>
        <w:spacing w:before="0" w:after="240"/>
        <w:ind w:left="426" w:hanging="426"/>
        <w:rPr/>
      </w:pPr>
      <w:r>
        <w:rPr/>
        <w:t xml:space="preserve">2.    Straus SE, Green ML, Bell DS, et al. Evaluating the teaching of evidence based medicine: Conceptual framework. </w:t>
      </w:r>
      <w:r>
        <w:rPr>
          <w:i/>
        </w:rPr>
        <w:t>BMJ</w:t>
      </w:r>
      <w:r>
        <w:rPr/>
        <w:t>. 2004;329:1029-1032.</w:t>
      </w:r>
    </w:p>
    <w:p>
      <w:pPr>
        <w:pStyle w:val="Normal"/>
        <w:spacing w:before="0" w:after="240"/>
        <w:ind w:left="426" w:hanging="426"/>
        <w:rPr/>
      </w:pPr>
      <w:r>
        <w:rPr/>
        <w:t xml:space="preserve">3.    MacCoun R, Reuter P. The implicit rules of evidence-based drug policy: A U.S. perspective. </w:t>
      </w:r>
      <w:r>
        <w:rPr>
          <w:i/>
        </w:rPr>
        <w:t>Int J Drug Policy</w:t>
      </w:r>
      <w:r>
        <w:rPr/>
        <w:t>. 2008;19:231-2; discussion 233-4.</w:t>
      </w:r>
    </w:p>
    <w:p>
      <w:pPr>
        <w:pStyle w:val="Normal"/>
        <w:spacing w:before="0" w:after="240"/>
        <w:ind w:left="426" w:hanging="426"/>
        <w:rPr/>
      </w:pPr>
      <w:r>
        <w:rPr/>
        <w:t xml:space="preserve">4.    Reuter P. Why does research have so little impact on American drug policy? </w:t>
      </w:r>
      <w:r>
        <w:rPr>
          <w:i/>
        </w:rPr>
        <w:t>Addiction</w:t>
      </w:r>
      <w:r>
        <w:rPr/>
        <w:t>. 2001;96:373-376.</w:t>
      </w:r>
    </w:p>
    <w:p>
      <w:pPr>
        <w:pStyle w:val="Normal"/>
        <w:spacing w:before="0" w:after="240"/>
        <w:ind w:left="426" w:hanging="426"/>
        <w:rPr/>
      </w:pPr>
      <w:r>
        <w:rPr/>
        <w:t xml:space="preserve">5.    Pearson H. Science and the war on drugs: A hard habit to break. </w:t>
      </w:r>
      <w:r>
        <w:rPr>
          <w:i/>
        </w:rPr>
        <w:t>Nature</w:t>
      </w:r>
      <w:r>
        <w:rPr/>
        <w:t>. 2004;430:394-395.</w:t>
      </w:r>
    </w:p>
    <w:p>
      <w:pPr>
        <w:pStyle w:val="Normal"/>
        <w:spacing w:before="0" w:after="240"/>
        <w:ind w:left="426" w:hanging="426"/>
        <w:rPr/>
      </w:pPr>
      <w:r>
        <w:rPr/>
        <w:t xml:space="preserve">6.    Kerr T, Wood E. Closing the gap between evidence and action: The need for knowledge translation in the field of drug policy research. </w:t>
      </w:r>
      <w:r>
        <w:rPr>
          <w:i/>
        </w:rPr>
        <w:t>Int J Drug Policy</w:t>
      </w:r>
      <w:r>
        <w:rPr/>
        <w:t>. 2008;19:233-234.</w:t>
      </w:r>
    </w:p>
    <w:p>
      <w:pPr>
        <w:pStyle w:val="Normal"/>
        <w:spacing w:before="0" w:after="240"/>
        <w:ind w:left="426" w:hanging="426"/>
        <w:rPr/>
      </w:pPr>
      <w:r>
        <w:rPr/>
        <w:t xml:space="preserve">7.    Graham ID, Tetroe J. How to translate health research knowledge into effective healthcare action. </w:t>
      </w:r>
      <w:r>
        <w:rPr>
          <w:i/>
        </w:rPr>
        <w:t>Healthc Q</w:t>
      </w:r>
      <w:r>
        <w:rPr/>
        <w:t>. 2007;10:20-22.</w:t>
      </w:r>
    </w:p>
    <w:p>
      <w:pPr>
        <w:pStyle w:val="Normal"/>
        <w:spacing w:before="0" w:after="240"/>
        <w:ind w:left="426" w:hanging="426"/>
        <w:rPr/>
      </w:pPr>
      <w:r>
        <w:rPr/>
        <w:t xml:space="preserve">8.    Jewell CJ, Bero LA. "Developing good taste in evidence": Facilitators of and hindrances to evidence-informed health policymaking in state government. </w:t>
      </w:r>
      <w:r>
        <w:rPr>
          <w:i/>
        </w:rPr>
        <w:t>Milbank Q</w:t>
      </w:r>
      <w:r>
        <w:rPr/>
        <w:t>. 2008;86:177.</w:t>
      </w:r>
    </w:p>
    <w:p>
      <w:pPr>
        <w:pStyle w:val="Normal"/>
        <w:spacing w:before="0" w:after="240"/>
        <w:ind w:left="426" w:hanging="426"/>
        <w:rPr/>
      </w:pPr>
      <w:r>
        <w:rPr/>
        <w:t xml:space="preserve">9.    Lawrence R. Research dissemination: Actively bringing the research and policy worlds together. </w:t>
      </w:r>
      <w:r>
        <w:rPr>
          <w:i/>
        </w:rPr>
        <w:t>Evidence &amp; Policy</w:t>
      </w:r>
      <w:r>
        <w:rPr/>
        <w:t>. 2006;2:373-384.</w:t>
      </w:r>
    </w:p>
    <w:p>
      <w:pPr>
        <w:pStyle w:val="Normal"/>
        <w:spacing w:before="0" w:after="240"/>
        <w:ind w:left="426" w:hanging="426"/>
        <w:rPr/>
      </w:pPr>
      <w:r>
        <w:rPr/>
        <w:t xml:space="preserve">10.  Ritter A. How do drug policy makers access research evidence? </w:t>
      </w:r>
      <w:r>
        <w:rPr>
          <w:i/>
        </w:rPr>
        <w:t>Int J Drug Policy</w:t>
      </w:r>
      <w:r>
        <w:rPr/>
        <w:t>. 2009;20:70-75.</w:t>
      </w:r>
    </w:p>
    <w:p>
      <w:pPr>
        <w:pStyle w:val="Normal"/>
        <w:spacing w:before="0" w:after="240"/>
        <w:ind w:left="426" w:hanging="426"/>
        <w:rPr/>
      </w:pPr>
      <w:r>
        <w:rPr/>
        <w:t xml:space="preserve">11.  Innvaer S, Vist G, Trommald M, Oxman A. Health policy-makers' perceptions of their use of evidence: A systematic review. </w:t>
      </w:r>
      <w:r>
        <w:rPr>
          <w:i/>
        </w:rPr>
        <w:t>J Health Serv Res Policy</w:t>
      </w:r>
      <w:r>
        <w:rPr/>
        <w:t>. 2002;7:239-244.</w:t>
      </w:r>
    </w:p>
    <w:p>
      <w:pPr>
        <w:pStyle w:val="Normal"/>
        <w:spacing w:before="0" w:after="240"/>
        <w:ind w:left="426" w:hanging="426"/>
        <w:rPr/>
      </w:pPr>
      <w:r>
        <w:rPr/>
        <w:t xml:space="preserve">12.  Wood E, Tyndall M, Montaner J, Kerr T. Summary of findings from the evaluation of a pilot medically supervised safer injecting facility. </w:t>
      </w:r>
      <w:r>
        <w:rPr>
          <w:i/>
        </w:rPr>
        <w:t>CMAJ</w:t>
      </w:r>
      <w:r>
        <w:rPr/>
        <w:t>. 2006;175:1399.</w:t>
      </w:r>
    </w:p>
    <w:p>
      <w:pPr>
        <w:pStyle w:val="Normal"/>
        <w:spacing w:before="0" w:after="240"/>
        <w:ind w:left="426" w:hanging="426"/>
        <w:rPr/>
      </w:pPr>
      <w:r>
        <w:rPr/>
        <w:t xml:space="preserve">13.  </w:t>
      </w:r>
      <w:r>
        <w:rPr>
          <w:lang w:val="en-US"/>
        </w:rPr>
        <w:t xml:space="preserve">Wood E, Kerr T, Tyndall MW, Montaner JSG. The Canadian Government's treatment of scientific process and evidence: Inside the evaluation of North America’s first supervised injecting facility. </w:t>
      </w:r>
      <w:r>
        <w:rPr>
          <w:i/>
        </w:rPr>
        <w:t>Int J Drug Policy</w:t>
      </w:r>
      <w:r>
        <w:rPr>
          <w:lang w:val="en-US"/>
        </w:rPr>
        <w:t>. 2008;19:220-225.</w:t>
      </w:r>
    </w:p>
    <w:p>
      <w:pPr>
        <w:pStyle w:val="Normal"/>
        <w:spacing w:before="0" w:after="240"/>
        <w:ind w:left="426" w:hanging="426"/>
        <w:rPr/>
      </w:pPr>
      <w:r>
        <w:rPr>
          <w:lang w:val="en-US"/>
        </w:rPr>
        <w:t>14. D</w:t>
      </w:r>
      <w:r>
        <w:rPr/>
        <w:t>ecima Research Inc. Record disclosed under the Canadian Access to Information Act: PCO corporate communication. 2006;Table SIS6 Page 147.</w:t>
      </w:r>
    </w:p>
    <w:p>
      <w:pPr>
        <w:pStyle w:val="Normal"/>
        <w:spacing w:before="0" w:after="240"/>
        <w:ind w:left="426" w:hanging="426"/>
        <w:rPr/>
      </w:pPr>
      <w:r>
        <w:rPr/>
        <w:t xml:space="preserve">15.  Canadian National Specialty Society for Community Medicine. NSSCM position statement: Supervised drug consumption sites and InSite program. 2009. Available at: </w:t>
      </w:r>
      <w:hyperlink r:id="rId5">
        <w:r>
          <w:rPr>
            <w:rStyle w:val="InternetLink"/>
          </w:rPr>
          <w:t>http://www.nsscm.ca/files/POSITION_ON_SUPERVISED_CONSUMPTION_SITES.pdf</w:t>
        </w:r>
      </w:hyperlink>
      <w:r>
        <w:rPr/>
        <w:t xml:space="preserve"> (accessed 02/18/2010).</w:t>
      </w:r>
    </w:p>
    <w:p>
      <w:pPr>
        <w:pStyle w:val="Normal"/>
        <w:spacing w:before="0" w:after="240"/>
        <w:ind w:left="426" w:hanging="426"/>
        <w:rPr/>
      </w:pPr>
      <w:r>
        <w:rPr/>
        <w:t>16.  Bains C. Federal Government to take supervised injection site case to supreme court</w:t>
      </w:r>
      <w:r>
        <w:rPr>
          <w:i/>
        </w:rPr>
        <w:t xml:space="preserve"> The Canadian Pres</w:t>
      </w:r>
      <w:r>
        <w:rPr/>
        <w:t xml:space="preserve">s. Feb 9, 2010. Available at: </w:t>
      </w:r>
      <w:hyperlink r:id="rId6">
        <w:r>
          <w:rPr>
            <w:rStyle w:val="InternetLink"/>
          </w:rPr>
          <w:t>http://ca.news.yahoo.com/s/capress/100209/national/injection_site_appeal</w:t>
        </w:r>
      </w:hyperlink>
      <w:r>
        <w:rPr/>
        <w:t xml:space="preserve"> (accessed 02/19/2010). </w:t>
      </w:r>
    </w:p>
    <w:p>
      <w:pPr>
        <w:pStyle w:val="Normal"/>
        <w:spacing w:before="0" w:after="240"/>
        <w:ind w:left="426" w:hanging="426"/>
        <w:rPr/>
      </w:pPr>
      <w:r>
        <w:rPr/>
        <w:t xml:space="preserve">17.  Vancouver Police Department. Vancouver police department drug policy. 2006. Available at: </w:t>
      </w:r>
      <w:hyperlink r:id="rId7">
        <w:r>
          <w:rPr>
            <w:rStyle w:val="InternetLink"/>
          </w:rPr>
          <w:t>http://vancouver.ca/police/assets/pdf/reports-policies/vpd-policy-drug.pdf</w:t>
        </w:r>
      </w:hyperlink>
      <w:r>
        <w:rPr/>
        <w:t xml:space="preserve"> (accessed 02/21/2010).</w:t>
      </w:r>
    </w:p>
    <w:p>
      <w:pPr>
        <w:pStyle w:val="Normal"/>
        <w:spacing w:before="0" w:after="240"/>
        <w:ind w:left="426" w:hanging="426"/>
        <w:rPr/>
      </w:pPr>
      <w:r>
        <w:rPr/>
        <w:t>18.  DeBeck K, Wood E, Zhang R, Tyndall M, Montaner J, Kerr T. Police and public health partnerships: Evidence from the evaluation of Vancouver's supervised injection facility.</w:t>
      </w:r>
      <w:r>
        <w:rPr>
          <w:i/>
        </w:rPr>
        <w:t xml:space="preserve"> Subst Abuse Treat Prev Polic</w:t>
      </w:r>
      <w:r>
        <w:rPr/>
        <w:t>y. 2008;3:11.</w:t>
      </w:r>
    </w:p>
    <w:p>
      <w:pPr>
        <w:pStyle w:val="Normal"/>
        <w:spacing w:before="0" w:after="240"/>
        <w:ind w:left="426" w:hanging="426"/>
        <w:rPr/>
      </w:pPr>
      <w:r>
        <w:rPr/>
        <w:t>19.  Jones D. Injection site gets 16-month extension.</w:t>
      </w:r>
      <w:r>
        <w:rPr>
          <w:i/>
        </w:rPr>
        <w:t xml:space="preserve"> Can Med Assoc </w:t>
      </w:r>
      <w:r>
        <w:rPr/>
        <w:t>J. 2006;175:859.</w:t>
      </w:r>
    </w:p>
    <w:p>
      <w:pPr>
        <w:pStyle w:val="Normal"/>
        <w:spacing w:before="0" w:after="240"/>
        <w:ind w:left="426" w:hanging="426"/>
        <w:rPr/>
      </w:pPr>
      <w:r>
        <w:rPr/>
        <w:t xml:space="preserve">20.  </w:t>
      </w:r>
      <w:r>
        <w:rPr>
          <w:bCs/>
          <w:i/>
          <w:iCs/>
          <w:lang w:val="en-US"/>
        </w:rPr>
        <w:t>PHS Community Services Society v. Attorney General of Canada,</w:t>
      </w:r>
      <w:r>
        <w:rPr>
          <w:lang w:val="en-US"/>
        </w:rPr>
        <w:t xml:space="preserve"> 2008 BCSC 661</w:t>
      </w:r>
    </w:p>
    <w:p>
      <w:pPr>
        <w:pStyle w:val="Normal"/>
        <w:spacing w:before="0" w:after="240"/>
        <w:ind w:left="426" w:hanging="426"/>
        <w:rPr/>
      </w:pPr>
      <w:r>
        <w:rPr/>
        <w:t xml:space="preserve">21. </w:t>
      </w:r>
      <w:r>
        <w:rPr>
          <w:lang w:val="en-US"/>
        </w:rPr>
        <w:t>Small D. Fighting addiction's death row: British Columbia Supreme Court Justice Ian Pitfield shows a measure of legal courage. Harm Reduct J. 2008;5:31.</w:t>
      </w:r>
    </w:p>
    <w:p>
      <w:pPr>
        <w:pStyle w:val="Normal"/>
        <w:spacing w:before="0" w:after="240"/>
        <w:ind w:left="426" w:hanging="426"/>
        <w:rPr/>
      </w:pPr>
      <w:r>
        <w:rPr/>
        <w:t xml:space="preserve">22. Hogg PW. The charter revolution: Is it undemocratic? </w:t>
      </w:r>
      <w:r>
        <w:rPr>
          <w:i/>
          <w:iCs/>
        </w:rPr>
        <w:t>Centre for Constitutional Studies</w:t>
      </w:r>
      <w:r>
        <w:rPr/>
        <w:t xml:space="preserve">. 2001;12:1. Available at: </w:t>
      </w:r>
      <w:hyperlink r:id="rId8" w:tgtFrame="_blank">
        <w:r>
          <w:rPr>
            <w:rStyle w:val="InternetLink"/>
          </w:rPr>
          <w:t>http://www.law.ualberta.ca/centres/ccs/uploads/1-ConstitutionalForum12_1.pdf</w:t>
        </w:r>
      </w:hyperlink>
      <w:r>
        <w:rPr/>
        <w:t xml:space="preserve"> (accessed 02/29/2010).</w:t>
      </w:r>
    </w:p>
    <w:p>
      <w:pPr>
        <w:pStyle w:val="Normal"/>
        <w:spacing w:before="0" w:after="240"/>
        <w:ind w:left="426" w:hanging="426"/>
        <w:rPr/>
      </w:pPr>
      <w:r>
        <w:rPr/>
        <w:t xml:space="preserve">23. </w:t>
      </w:r>
      <w:r>
        <w:rPr>
          <w:i/>
          <w:iCs/>
          <w:lang w:val="en-US"/>
        </w:rPr>
        <w:t>PHS Community Services Society v. Canada (Attorney General),</w:t>
      </w:r>
      <w:r>
        <w:rPr>
          <w:lang w:val="en-US"/>
        </w:rPr>
        <w:t xml:space="preserve"> 2010 BCCA 15</w:t>
      </w:r>
    </w:p>
    <w:p>
      <w:pPr>
        <w:pStyle w:val="Normal"/>
        <w:spacing w:before="0" w:after="240"/>
        <w:rPr>
          <w:lang w:val="en-US"/>
        </w:rPr>
      </w:pPr>
      <w:r>
        <w:rPr>
          <w:lang w:val="en-US"/>
        </w:rPr>
      </w:r>
    </w:p>
    <w:p>
      <w:pPr>
        <w:pStyle w:val="Normal"/>
        <w:spacing w:lineRule="auto" w:line="480"/>
        <w:rPr/>
      </w:pPr>
      <w:r>
        <w:rPr/>
      </w:r>
    </w:p>
    <w:sectPr>
      <w:footerReference w:type="default" r:id="rId9"/>
      <w:footerReference w:type="first" r:id="rId10"/>
      <w:type w:val="nextPage"/>
      <w:pgSz w:w="12240" w:h="15840"/>
      <w:pgMar w:left="1418" w:right="1418" w:header="0" w:top="1418" w:footer="720" w:bottom="1418"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Palatino Linotype">
    <w:altName w:val="Palatino"/>
    <w:charset w:val="00"/>
    <w:family w:val="roman"/>
    <w:pitch w:val="variable"/>
  </w:font>
  <w:font w:name="Lucida Grande">
    <w:charset w:val="00"/>
    <w:family w:val="auto"/>
    <w:pitch w:val="variable"/>
  </w:font>
  <w:font w:name="Palatino">
    <w:charset w:val="00"/>
    <w:family w:val="auto"/>
    <w:pitch w:val="variable"/>
  </w:font>
  <w:font w:name="Liberation Sans">
    <w:altName w:val="Arial"/>
    <w:charset w:val="01"/>
    <w:family w:val="swiss"/>
    <w:pitch w:val="variable"/>
  </w:font>
  <w:font w:name="ArialMT">
    <w:altName w:val="Arial"/>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2">
              <wp:simplePos x="0" y="0"/>
              <wp:positionH relativeFrom="margin">
                <wp:align>right</wp:align>
              </wp:positionH>
              <wp:positionV relativeFrom="paragraph">
                <wp:posOffset>635</wp:posOffset>
              </wp:positionV>
              <wp:extent cx="194310" cy="177800"/>
              <wp:effectExtent l="0" t="0" r="0" b="0"/>
              <wp:wrapSquare wrapText="largest"/>
              <wp:docPr id="1" name="Frame1"/>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10</w:t>
                          </w:r>
                          <w:r>
                            <w:fldChar w:fldCharType="end"/>
                          </w:r>
                        </w:p>
                      </w:txbxContent>
                    </wps:txbx>
                    <wps:bodyPr anchor="t">
                      <a:noAutofit/>
                    </wps:bodyPr>
                  </wps:wsp>
                </a:graphicData>
              </a:graphic>
            </wp:anchor>
          </w:drawing>
        </mc:Choice>
        <mc:Fallback>
          <w:pict>
            <v:rect fillcolor="#FFFFFF" style="position:absolute;rotation:0;width:15.3pt;height:14pt;margin-top:0.05pt;mso-position-vertical-relative:text;margin-left:454.9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10</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tabs>
          <w:tab w:val="num" w:pos="1440"/>
        </w:tabs>
        <w:ind w:left="1440" w:hanging="720"/>
      </w:pPr>
      <w:rPr/>
    </w:lvl>
  </w:abstractNum>
  <w:num w:numId="1">
    <w:abstractNumId w:val="1"/>
  </w:num>
  <w:num w:numId="2">
    <w:abstractNumId w:val="2"/>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Palatino Linotype;Palatino" w:hAnsi="Palatino Linotype;Palatino" w:eastAsia="Times New Roman" w:cs="Palatino Linotype;Palatino"/>
      <w:color w:val="auto"/>
      <w:sz w:val="24"/>
      <w:szCs w:val="24"/>
      <w:lang w:val="en-CA"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lang w:val="en-US"/>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EndnoteCharacters">
    <w:name w:val="Endnote Characters"/>
    <w:basedOn w:val="DefaultParagraphFont"/>
    <w:qFormat/>
    <w:rPr>
      <w:vertAlign w:val="superscript"/>
    </w:rPr>
  </w:style>
  <w:style w:type="character" w:styleId="BalloonTextChar">
    <w:name w:val="Balloon Text Char"/>
    <w:basedOn w:val="DefaultParagraphFont"/>
    <w:qFormat/>
    <w:rPr>
      <w:rFonts w:ascii="Lucida Grande" w:hAnsi="Lucida Grande" w:cs="Lucida Grande"/>
      <w:sz w:val="18"/>
      <w:szCs w:val="18"/>
      <w:lang w:val="en-CA"/>
    </w:rPr>
  </w:style>
  <w:style w:type="character" w:styleId="HeaderChar">
    <w:name w:val="Header Char"/>
    <w:basedOn w:val="DefaultParagraphFont"/>
    <w:qFormat/>
    <w:rPr>
      <w:rFonts w:ascii="Palatino Linotype;Palatino" w:hAnsi="Palatino Linotype;Palatino" w:cs="Palatino Linotype;Palatino"/>
      <w:sz w:val="24"/>
      <w:szCs w:val="24"/>
      <w:lang w:val="en-CA"/>
    </w:rPr>
  </w:style>
  <w:style w:type="character" w:styleId="FooterChar">
    <w:name w:val="Footer Char"/>
    <w:basedOn w:val="DefaultParagraphFont"/>
    <w:qFormat/>
    <w:rPr>
      <w:rFonts w:ascii="Palatino Linotype;Palatino" w:hAnsi="Palatino Linotype;Palatino" w:cs="Palatino Linotype;Palatino"/>
      <w:sz w:val="24"/>
      <w:szCs w:val="24"/>
      <w:lang w:val="en-CA"/>
    </w:rPr>
  </w:style>
  <w:style w:type="character" w:styleId="CommentReference">
    <w:name w:val="Comment Reference"/>
    <w:basedOn w:val="DefaultParagraphFont"/>
    <w:qFormat/>
    <w:rPr>
      <w:sz w:val="18"/>
      <w:szCs w:val="18"/>
    </w:rPr>
  </w:style>
  <w:style w:type="character" w:styleId="CommentTextChar">
    <w:name w:val="Comment Text Char"/>
    <w:basedOn w:val="DefaultParagraphFont"/>
    <w:qFormat/>
    <w:rPr>
      <w:rFonts w:ascii="Palatino Linotype;Palatino" w:hAnsi="Palatino Linotype;Palatino" w:cs="Palatino Linotype;Palatino"/>
      <w:sz w:val="24"/>
      <w:szCs w:val="24"/>
      <w:lang w:val="en-CA"/>
    </w:rPr>
  </w:style>
  <w:style w:type="character" w:styleId="CommentSubjectChar">
    <w:name w:val="Comment Subject Char"/>
    <w:basedOn w:val="CommentTextChar"/>
    <w:qFormat/>
    <w:rPr>
      <w:b/>
      <w:bCs/>
    </w:rPr>
  </w:style>
  <w:style w:type="character" w:styleId="FootnoteTextChar">
    <w:name w:val="Footnote Text Char"/>
    <w:basedOn w:val="DefaultParagraphFont"/>
    <w:qFormat/>
    <w:rPr>
      <w:rFonts w:ascii="Palatino Linotype;Palatino" w:hAnsi="Palatino Linotype;Palatino" w:cs="Palatino Linotype;Palatino"/>
      <w:sz w:val="24"/>
      <w:szCs w:val="24"/>
      <w:lang w:val="en-CA"/>
    </w:rPr>
  </w:style>
  <w:style w:type="character" w:styleId="FootnoteCharacters">
    <w:name w:val="Footnote Characters"/>
    <w:basedOn w:val="DefaultParagraphFont"/>
    <w:qFormat/>
    <w:rPr>
      <w:vertAlign w:val="superscript"/>
    </w:rPr>
  </w:style>
  <w:style w:type="character" w:styleId="Heading1Char">
    <w:name w:val="Heading 1 Char"/>
    <w:basedOn w:val="DefaultParagraphFont"/>
    <w:qFormat/>
    <w:rPr>
      <w:rFonts w:ascii="Arial" w:hAnsi="Arial" w:cs="Arial"/>
      <w:b/>
      <w:bCs/>
      <w:sz w:val="32"/>
      <w:szCs w:val="32"/>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PageNumber">
    <w:name w:val="Page Number"/>
    <w:basedOn w:val="DefaultParagraphFont"/>
    <w:rPr/>
  </w:style>
  <w:style w:type="character" w:styleId="BodyTextChar">
    <w:name w:val="Body Text Char"/>
    <w:basedOn w:val="DefaultParagraphFont"/>
    <w:qFormat/>
    <w:rPr>
      <w:rFonts w:ascii="Palatino" w:hAnsi="Palatino" w:cs="Palatino"/>
      <w:sz w:val="24"/>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before="0" w:after="120"/>
    </w:pPr>
    <w:rPr>
      <w:rFonts w:ascii="Palatino" w:hAnsi="Palatino" w:cs="Palatino"/>
      <w:szCs w:val="20"/>
      <w:lang w:val="en-US"/>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Endnote">
    <w:name w:val="Endnote"/>
    <w:basedOn w:val="Normal"/>
    <w:pPr/>
    <w:rPr>
      <w:sz w:val="20"/>
      <w:szCs w:val="20"/>
    </w:rPr>
  </w:style>
  <w:style w:type="paragraph" w:styleId="NormalWeb">
    <w:name w:val="Normal (Web)"/>
    <w:basedOn w:val="Normal"/>
    <w:qFormat/>
    <w:pPr>
      <w:spacing w:before="280" w:after="280"/>
    </w:pPr>
    <w:rPr>
      <w:rFonts w:ascii="Times New Roman" w:hAnsi="Times New Roman" w:cs="Times New Roman"/>
      <w:lang w:val="en-US"/>
    </w:rPr>
  </w:style>
  <w:style w:type="paragraph" w:styleId="BalloonText">
    <w:name w:val="Balloon Text"/>
    <w:basedOn w:val="Normal"/>
    <w:qFormat/>
    <w:pPr/>
    <w:rPr>
      <w:rFonts w:ascii="Lucida Grande" w:hAnsi="Lucida Grande" w:cs="Lucida Grande"/>
      <w:sz w:val="18"/>
      <w:szCs w:val="1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sz w:val="20"/>
      <w:szCs w:val="20"/>
    </w:rPr>
  </w:style>
  <w:style w:type="paragraph" w:styleId="Footnote">
    <w:name w:val="Footnote"/>
    <w:basedOn w:val="Normal"/>
    <w:pPr/>
    <w:rPr/>
  </w:style>
  <w:style w:type="paragraph" w:styleId="TextBodyIndent">
    <w:name w:val="Text Body Indent"/>
    <w:basedOn w:val="Normal"/>
    <w:pPr>
      <w:widowControl w:val="false"/>
      <w:spacing w:lineRule="auto" w:line="480" w:before="120" w:after="120"/>
      <w:ind w:firstLine="720"/>
      <w:jc w:val="both"/>
    </w:pPr>
    <w:rPr>
      <w:rFonts w:ascii="Palatino" w:hAnsi="Palatino" w:eastAsia="SimSun;宋体" w:cs="Palatino"/>
      <w:szCs w:val="20"/>
      <w:lang w:val="en-GB"/>
    </w:rPr>
  </w:style>
  <w:style w:type="paragraph" w:styleId="FrameContents">
    <w:name w:val="Frame Contents"/>
    <w:basedOn w:val="Normal"/>
    <w:qFormat/>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Case_citation" TargetMode="External"/><Relationship Id="rId3" Type="http://schemas.openxmlformats.org/officeDocument/2006/relationships/hyperlink" Target="http://en.wikipedia.org/wiki/Abortion" TargetMode="External"/><Relationship Id="rId4" Type="http://schemas.openxmlformats.org/officeDocument/2006/relationships/hyperlink" Target="http://en.wikipedia.org/wiki/Criminal_Code_of_Canada" TargetMode="External"/><Relationship Id="rId5" Type="http://schemas.openxmlformats.org/officeDocument/2006/relationships/hyperlink" Target="http://www.nsscm.ca/files/POSITION_ON_SUPERVISED_CONSUMPTION_SITES.pdf" TargetMode="External"/><Relationship Id="rId6" Type="http://schemas.openxmlformats.org/officeDocument/2006/relationships/hyperlink" Target="http://ca.news.yahoo.com/s/capress/100209/national/injection_site_appeal" TargetMode="External"/><Relationship Id="rId7" Type="http://schemas.openxmlformats.org/officeDocument/2006/relationships/hyperlink" Target="http://vancouver.ca/police/assets/pdf/reports-policies/vpd-policy-drug.pdf" TargetMode="External"/><Relationship Id="rId8" Type="http://schemas.openxmlformats.org/officeDocument/2006/relationships/hyperlink" Target="http://www.law.ualberta.ca/centres/ccs/uploads/1-ConstitutionalForum12_1.pdf"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2010-03-26T14:40:00Z</dcterms:created>
  <dc:creator>Kora DeBeck</dc:creator>
  <dc:language>en-CA</dc:language>
  <cp:lastModifiedBy>Kora</cp:lastModifiedBy>
  <cp:lastPrinted>2010-03-09T17:43:00Z</cp:lastPrinted>
  <dcterms:modified xsi:type="dcterms:W3CDTF">2010-03-26T17:56:00Z</dcterms:modified>
  <cp:revision>3</cp:revision>
  <dc:title>-growing interest in kT</dc:title>
</cp:coreProperties>
</file>