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notes.xml" ContentType="application/vnd.openxmlformats-officedocument.wordprocessingml.footnotes+xml"/>
  <Override PartName="/word/header1.xml" ContentType="application/vnd.openxmlformats-officedocument.wordprocessingml.header+xml"/>
  <Override PartName="/word/media/image3.png" ContentType="image/png"/>
  <Override PartName="/word/media/image2.png" ContentType="image/png"/>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3"/>
        <w:numPr>
          <w:ilvl w:val="2"/>
          <w:numId w:val="1"/>
        </w:numPr>
        <w:spacing w:before="240" w:after="60"/>
        <w:rPr>
          <w:rFonts w:ascii="Arial Black" w:hAnsi="Arial Black" w:cs="Arial Black"/>
          <w:b w:val="false"/>
          <w:b w:val="false"/>
          <w:sz w:val="24"/>
        </w:rPr>
      </w:pPr>
      <w:r>
        <w:rPr>
          <w:rFonts w:cs="Arial Black" w:ascii="Arial Black" w:hAnsi="Arial Black"/>
          <w:b w:val="false"/>
          <w:sz w:val="24"/>
        </w:rPr>
      </w:r>
    </w:p>
    <w:p>
      <w:pPr>
        <w:pStyle w:val="Heading3"/>
        <w:numPr>
          <w:ilvl w:val="2"/>
          <w:numId w:val="1"/>
        </w:numPr>
        <w:rPr>
          <w:rFonts w:ascii="Arial Black" w:hAnsi="Arial Black" w:cs="Arial Black"/>
          <w:b w:val="false"/>
          <w:b w:val="false"/>
          <w:sz w:val="24"/>
        </w:rPr>
      </w:pPr>
      <w:r>
        <w:rPr>
          <w:rFonts w:cs="Arial Black" w:ascii="Arial Black" w:hAnsi="Arial Black"/>
          <w:b w:val="false"/>
          <w:sz w:val="24"/>
        </w:rPr>
      </w:r>
    </w:p>
    <w:p>
      <w:pPr>
        <w:pStyle w:val="Heading3"/>
        <w:numPr>
          <w:ilvl w:val="2"/>
          <w:numId w:val="1"/>
        </w:numPr>
        <w:rPr>
          <w:rFonts w:ascii="Arial Black" w:hAnsi="Arial Black" w:cs="Arial Black"/>
          <w:b w:val="false"/>
          <w:b w:val="false"/>
          <w:sz w:val="24"/>
        </w:rPr>
      </w:pPr>
      <w:r>
        <w:rPr>
          <w:rFonts w:cs="Arial Black" w:ascii="Arial Black" w:hAnsi="Arial Black"/>
          <w:b w:val="false"/>
          <w:sz w:val="24"/>
        </w:rPr>
      </w:r>
    </w:p>
    <w:p>
      <w:pPr>
        <w:pStyle w:val="Heading3"/>
        <w:numPr>
          <w:ilvl w:val="2"/>
          <w:numId w:val="1"/>
        </w:numPr>
        <w:rPr>
          <w:rFonts w:ascii="Arial Black" w:hAnsi="Arial Black" w:cs="Arial Black"/>
          <w:b w:val="false"/>
          <w:b w:val="false"/>
          <w:sz w:val="24"/>
        </w:rPr>
      </w:pPr>
      <w:r>
        <w:rPr>
          <w:rFonts w:cs="Arial Black" w:ascii="Arial Black" w:hAnsi="Arial Black"/>
          <w:b w:val="false"/>
          <w:sz w:val="24"/>
        </w:rPr>
      </w:r>
    </w:p>
    <w:p>
      <w:pPr>
        <w:pStyle w:val="Heading3"/>
        <w:numPr>
          <w:ilvl w:val="2"/>
          <w:numId w:val="1"/>
        </w:numPr>
        <w:rPr>
          <w:rFonts w:ascii="Arial Black" w:hAnsi="Arial Black" w:cs="Arial Black"/>
          <w:b w:val="false"/>
          <w:b w:val="false"/>
          <w:sz w:val="24"/>
        </w:rPr>
      </w:pPr>
      <w:r>
        <w:rPr>
          <w:rFonts w:cs="Arial Black" w:ascii="Arial Black" w:hAnsi="Arial Black"/>
          <w:b w:val="false"/>
          <w:sz w:val="24"/>
        </w:rPr>
      </w:r>
    </w:p>
    <w:p>
      <w:pPr>
        <w:pStyle w:val="Heading1"/>
        <w:numPr>
          <w:ilvl w:val="0"/>
          <w:numId w:val="1"/>
        </w:numPr>
        <w:rPr>
          <w:sz w:val="28"/>
        </w:rPr>
      </w:pPr>
      <w:r>
        <w:rPr>
          <w:sz w:val="28"/>
        </w:rPr>
        <w:t xml:space="preserve">Vulnerability to severe trauma: A spatial perspective </w:t>
      </w:r>
    </w:p>
    <w:p>
      <w:pPr>
        <w:pStyle w:val="Normal"/>
        <w:rPr>
          <w:rFonts w:ascii="Times" w:hAnsi="Times" w:cs="Times"/>
          <w:sz w:val="18"/>
        </w:rPr>
      </w:pPr>
      <w:r>
        <w:rPr>
          <w:rFonts w:cs="Times" w:ascii="Times" w:hAnsi="Times"/>
          <w:sz w:val="18"/>
        </w:rPr>
        <w:t>N Schuurman</w:t>
      </w:r>
      <w:r>
        <w:rPr>
          <w:rFonts w:cs="Times" w:ascii="Times" w:hAnsi="Times"/>
          <w:sz w:val="18"/>
          <w:vertAlign w:val="superscript"/>
        </w:rPr>
        <w:t>1</w:t>
      </w:r>
      <w:r>
        <w:rPr>
          <w:rFonts w:cs="Times" w:ascii="Times" w:hAnsi="Times"/>
          <w:sz w:val="18"/>
        </w:rPr>
        <w:t xml:space="preserve"> NJ Bell</w:t>
      </w:r>
      <w:r>
        <w:rPr>
          <w:rFonts w:cs="Times" w:ascii="Times" w:hAnsi="Times"/>
          <w:sz w:val="18"/>
          <w:vertAlign w:val="superscript"/>
        </w:rPr>
        <w:t>2</w:t>
      </w:r>
      <w:r>
        <w:rPr>
          <w:rFonts w:cs="Times" w:ascii="Times" w:hAnsi="Times"/>
          <w:sz w:val="18"/>
        </w:rPr>
        <w:t xml:space="preserve"> and SM Hameed</w:t>
      </w:r>
      <w:r>
        <w:rPr>
          <w:rFonts w:cs="Times" w:ascii="Times" w:hAnsi="Times"/>
          <w:sz w:val="18"/>
          <w:vertAlign w:val="superscript"/>
        </w:rPr>
        <w:t>3</w:t>
      </w:r>
    </w:p>
    <w:p>
      <w:pPr>
        <w:pStyle w:val="Normal"/>
        <w:rPr>
          <w:rFonts w:ascii="Times" w:hAnsi="Times" w:cs="Times"/>
          <w:sz w:val="18"/>
        </w:rPr>
      </w:pPr>
      <w:r>
        <w:rPr>
          <w:rFonts w:cs="Times" w:ascii="Times" w:hAnsi="Times"/>
          <w:sz w:val="18"/>
        </w:rPr>
      </w:r>
    </w:p>
    <w:p>
      <w:pPr>
        <w:pStyle w:val="Normal"/>
        <w:rPr/>
      </w:pPr>
      <w:r>
        <w:rPr>
          <w:rFonts w:cs="Times" w:ascii="Times" w:hAnsi="Times"/>
          <w:sz w:val="18"/>
        </w:rPr>
        <w:t>1 Associate Professor, Department of Geography, Simon Fraser University</w:t>
      </w:r>
    </w:p>
    <w:p>
      <w:pPr>
        <w:pStyle w:val="Normal"/>
        <w:rPr/>
      </w:pPr>
      <w:r>
        <w:rPr>
          <w:rFonts w:cs="Times" w:ascii="Times" w:hAnsi="Times"/>
          <w:sz w:val="18"/>
        </w:rPr>
        <w:t xml:space="preserve">2 PhD Candidate, Department of Geography, Simon Fraser University </w:t>
      </w:r>
    </w:p>
    <w:p>
      <w:pPr>
        <w:pStyle w:val="Normal"/>
        <w:rPr/>
      </w:pPr>
      <w:r>
        <w:rPr>
          <w:rFonts w:cs="Times" w:ascii="Times" w:hAnsi="Times"/>
          <w:sz w:val="18"/>
        </w:rPr>
        <w:t>3 Assistant Professor of Surgery and Critical Care Medicine, Department of Surgery, University of British Columbia</w:t>
      </w:r>
    </w:p>
    <w:p>
      <w:pPr>
        <w:pStyle w:val="Normal"/>
        <w:rPr>
          <w:rFonts w:ascii="Times" w:hAnsi="Times" w:cs="Times"/>
          <w:sz w:val="18"/>
        </w:rPr>
      </w:pPr>
      <w:r>
        <w:rPr>
          <w:rFonts w:cs="Times" w:ascii="Times" w:hAnsi="Times"/>
          <w:sz w:val="18"/>
        </w:rPr>
      </w:r>
    </w:p>
    <w:p>
      <w:pPr>
        <w:pStyle w:val="Normal"/>
        <w:rPr>
          <w:rFonts w:ascii="Times" w:hAnsi="Times" w:cs="Times"/>
          <w:sz w:val="18"/>
        </w:rPr>
      </w:pPr>
      <w:r>
        <w:rPr>
          <w:rFonts w:cs="Times" w:ascii="Times" w:hAnsi="Times"/>
          <w:sz w:val="18"/>
        </w:rPr>
      </w:r>
    </w:p>
    <w:p>
      <w:pPr>
        <w:pStyle w:val="Normal"/>
        <w:rPr>
          <w:rFonts w:ascii="Times" w:hAnsi="Times" w:cs="Times"/>
          <w:sz w:val="18"/>
        </w:rPr>
      </w:pPr>
      <w:r>
        <w:rPr>
          <w:rFonts w:cs="Times" w:ascii="Times" w:hAnsi="Times"/>
          <w:sz w:val="18"/>
        </w:rPr>
      </w:r>
    </w:p>
    <w:p>
      <w:pPr>
        <w:pStyle w:val="Normal"/>
        <w:rPr>
          <w:rFonts w:ascii="Times" w:hAnsi="Times" w:cs="Times"/>
          <w:sz w:val="18"/>
        </w:rPr>
      </w:pPr>
      <w:r>
        <w:rPr>
          <w:rFonts w:cs="Times" w:ascii="Times" w:hAnsi="Times"/>
          <w:sz w:val="18"/>
        </w:rPr>
      </w:r>
    </w:p>
    <w:p>
      <w:pPr>
        <w:pStyle w:val="Normal"/>
        <w:rPr>
          <w:rFonts w:ascii="Times" w:hAnsi="Times" w:cs="Times"/>
          <w:sz w:val="18"/>
        </w:rPr>
      </w:pPr>
      <w:r>
        <w:rPr>
          <w:rFonts w:cs="Times" w:ascii="Times" w:hAnsi="Times"/>
          <w:sz w:val="18"/>
        </w:rPr>
      </w:r>
    </w:p>
    <w:p>
      <w:pPr>
        <w:pStyle w:val="Normal"/>
        <w:rPr>
          <w:rFonts w:ascii="Times" w:hAnsi="Times" w:cs="Times"/>
          <w:sz w:val="18"/>
        </w:rPr>
      </w:pPr>
      <w:r>
        <w:rPr>
          <w:rFonts w:cs="Times" w:ascii="Times" w:hAnsi="Times"/>
          <w:sz w:val="18"/>
        </w:rPr>
      </w:r>
    </w:p>
    <w:p>
      <w:pPr>
        <w:pStyle w:val="Normal"/>
        <w:rPr>
          <w:rFonts w:ascii="Times" w:hAnsi="Times" w:cs="Times"/>
          <w:sz w:val="18"/>
        </w:rPr>
      </w:pPr>
      <w:r>
        <w:rPr>
          <w:rFonts w:cs="Times" w:ascii="Times" w:hAnsi="Times"/>
          <w:sz w:val="18"/>
        </w:rPr>
      </w:r>
    </w:p>
    <w:p>
      <w:pPr>
        <w:pStyle w:val="Normal"/>
        <w:rPr>
          <w:rFonts w:ascii="Times" w:hAnsi="Times" w:cs="Times"/>
          <w:sz w:val="18"/>
        </w:rPr>
      </w:pPr>
      <w:r>
        <w:rPr>
          <w:rFonts w:cs="Times" w:ascii="Times" w:hAnsi="Times"/>
          <w:sz w:val="18"/>
        </w:rPr>
      </w:r>
    </w:p>
    <w:p>
      <w:pPr>
        <w:pStyle w:val="Normal"/>
        <w:rPr>
          <w:rFonts w:ascii="Times" w:hAnsi="Times" w:cs="Times"/>
          <w:sz w:val="18"/>
        </w:rPr>
      </w:pPr>
      <w:r>
        <w:rPr>
          <w:rFonts w:cs="Times" w:ascii="Times" w:hAnsi="Times"/>
          <w:sz w:val="18"/>
        </w:rPr>
      </w:r>
    </w:p>
    <w:p>
      <w:pPr>
        <w:pStyle w:val="Normal"/>
        <w:rPr>
          <w:rFonts w:ascii="Times" w:hAnsi="Times" w:cs="Times"/>
          <w:sz w:val="18"/>
        </w:rPr>
      </w:pPr>
      <w:r>
        <w:rPr>
          <w:rFonts w:cs="Times" w:ascii="Times" w:hAnsi="Times"/>
          <w:sz w:val="18"/>
        </w:rPr>
      </w:r>
    </w:p>
    <w:p>
      <w:pPr>
        <w:pStyle w:val="Normal"/>
        <w:rPr>
          <w:rFonts w:ascii="Times" w:hAnsi="Times" w:cs="Times"/>
          <w:sz w:val="18"/>
        </w:rPr>
      </w:pPr>
      <w:r>
        <w:rPr>
          <w:rFonts w:cs="Times" w:ascii="Times" w:hAnsi="Times"/>
          <w:sz w:val="18"/>
        </w:rPr>
      </w:r>
    </w:p>
    <w:p>
      <w:pPr>
        <w:pStyle w:val="Normal"/>
        <w:rPr>
          <w:rFonts w:ascii="Times" w:hAnsi="Times" w:cs="Times"/>
          <w:sz w:val="18"/>
        </w:rPr>
      </w:pPr>
      <w:r>
        <w:rPr>
          <w:rFonts w:cs="Times" w:ascii="Times" w:hAnsi="Times"/>
          <w:sz w:val="18"/>
        </w:rPr>
      </w:r>
    </w:p>
    <w:p>
      <w:pPr>
        <w:pStyle w:val="Normal"/>
        <w:rPr>
          <w:rFonts w:ascii="Times" w:hAnsi="Times" w:cs="Times"/>
          <w:sz w:val="18"/>
        </w:rPr>
      </w:pPr>
      <w:r>
        <w:rPr>
          <w:rFonts w:cs="Times" w:ascii="Times" w:hAnsi="Times"/>
          <w:sz w:val="18"/>
        </w:rPr>
      </w:r>
    </w:p>
    <w:p>
      <w:pPr>
        <w:pStyle w:val="Normal"/>
        <w:rPr>
          <w:rFonts w:ascii="Times" w:hAnsi="Times" w:cs="Times"/>
          <w:sz w:val="18"/>
        </w:rPr>
      </w:pPr>
      <w:r>
        <w:rPr>
          <w:rFonts w:cs="Times" w:ascii="Times" w:hAnsi="Times"/>
          <w:sz w:val="18"/>
        </w:rPr>
      </w:r>
    </w:p>
    <w:p>
      <w:pPr>
        <w:pStyle w:val="Normal"/>
        <w:rPr>
          <w:rFonts w:ascii="Times" w:hAnsi="Times" w:cs="Times"/>
          <w:b/>
          <w:b/>
          <w:szCs w:val="24"/>
        </w:rPr>
      </w:pPr>
      <w:r>
        <w:rPr>
          <w:rFonts w:cs="Times" w:ascii="Times" w:hAnsi="Times"/>
          <w:b/>
          <w:szCs w:val="24"/>
        </w:rPr>
        <w:t>Word count: 2987</w:t>
      </w:r>
    </w:p>
    <w:p>
      <w:pPr>
        <w:pStyle w:val="Normal"/>
        <w:rPr>
          <w:rFonts w:ascii="Times" w:hAnsi="Times" w:cs="Times"/>
          <w:b/>
          <w:b/>
          <w:sz w:val="18"/>
          <w:szCs w:val="24"/>
        </w:rPr>
      </w:pPr>
      <w:r>
        <w:rPr>
          <w:rFonts w:cs="Times" w:ascii="Times" w:hAnsi="Times"/>
          <w:b/>
          <w:sz w:val="18"/>
          <w:szCs w:val="24"/>
        </w:rPr>
      </w:r>
    </w:p>
    <w:p>
      <w:pPr>
        <w:pStyle w:val="Normal"/>
        <w:rPr>
          <w:rFonts w:ascii="Times" w:hAnsi="Times" w:cs="Times"/>
          <w:b/>
          <w:b/>
        </w:rPr>
      </w:pPr>
      <w:r>
        <w:rPr>
          <w:rFonts w:cs="Times" w:ascii="Times" w:hAnsi="Times"/>
          <w:b/>
        </w:rPr>
        <w:t>Key words:</w:t>
      </w:r>
    </w:p>
    <w:p>
      <w:pPr>
        <w:pStyle w:val="Normal"/>
        <w:rPr>
          <w:rFonts w:ascii="Times" w:hAnsi="Times" w:cs="Times"/>
        </w:rPr>
      </w:pPr>
      <w:r>
        <w:rPr>
          <w:rFonts w:cs="Times" w:ascii="Times" w:hAnsi="Times"/>
        </w:rPr>
        <w:t>Trauma, injuries, epidemiology, socioeconomic status, geography</w:t>
      </w:r>
    </w:p>
    <w:p>
      <w:pPr>
        <w:pStyle w:val="Normal"/>
        <w:rPr>
          <w:rFonts w:ascii="Times" w:hAnsi="Times" w:cs="Times"/>
          <w:sz w:val="18"/>
        </w:rPr>
      </w:pPr>
      <w:r>
        <w:rPr>
          <w:rFonts w:cs="Times" w:ascii="Times" w:hAnsi="Times"/>
          <w:sz w:val="18"/>
        </w:rPr>
      </w:r>
    </w:p>
    <w:p>
      <w:pPr>
        <w:pStyle w:val="Normal"/>
        <w:rPr>
          <w:rFonts w:ascii="Times" w:hAnsi="Times" w:cs="Times"/>
          <w:sz w:val="18"/>
        </w:rPr>
      </w:pPr>
      <w:r>
        <w:rPr>
          <w:rFonts w:cs="Times" w:ascii="Times" w:hAnsi="Times"/>
          <w:sz w:val="18"/>
        </w:rPr>
      </w:r>
    </w:p>
    <w:p>
      <w:pPr>
        <w:pStyle w:val="Normal"/>
        <w:rPr>
          <w:rFonts w:ascii="Times" w:hAnsi="Times" w:cs="Times"/>
          <w:sz w:val="18"/>
        </w:rPr>
      </w:pPr>
      <w:r>
        <w:rPr>
          <w:rFonts w:cs="Times" w:ascii="Times" w:hAnsi="Times"/>
          <w:sz w:val="18"/>
        </w:rPr>
      </w:r>
    </w:p>
    <w:p>
      <w:pPr>
        <w:pStyle w:val="Heading1"/>
        <w:numPr>
          <w:ilvl w:val="0"/>
          <w:numId w:val="1"/>
        </w:numPr>
        <w:rPr/>
      </w:pPr>
      <w:r>
        <w:rPr/>
        <w:t>Address Correspondence to:</w:t>
      </w:r>
    </w:p>
    <w:p>
      <w:pPr>
        <w:pStyle w:val="Heading1"/>
        <w:numPr>
          <w:ilvl w:val="0"/>
          <w:numId w:val="1"/>
        </w:numPr>
        <w:rPr>
          <w:b w:val="false"/>
          <w:b w:val="false"/>
          <w:sz w:val="18"/>
        </w:rPr>
      </w:pPr>
      <w:r>
        <w:rPr>
          <w:b w:val="false"/>
          <w:sz w:val="18"/>
        </w:rPr>
        <w:t>SM Hameed MD MPH</w:t>
      </w:r>
    </w:p>
    <w:p>
      <w:pPr>
        <w:pStyle w:val="Heading1"/>
        <w:numPr>
          <w:ilvl w:val="0"/>
          <w:numId w:val="1"/>
        </w:numPr>
        <w:rPr>
          <w:b w:val="false"/>
          <w:b w:val="false"/>
          <w:sz w:val="18"/>
        </w:rPr>
      </w:pPr>
      <w:r>
        <w:rPr>
          <w:b w:val="false"/>
          <w:sz w:val="18"/>
        </w:rPr>
        <w:t>Trauma Services, Vancouver General Hospital</w:t>
      </w:r>
    </w:p>
    <w:p>
      <w:pPr>
        <w:pStyle w:val="Heading1"/>
        <w:numPr>
          <w:ilvl w:val="0"/>
          <w:numId w:val="1"/>
        </w:numPr>
        <w:rPr>
          <w:b w:val="false"/>
          <w:b w:val="false"/>
          <w:sz w:val="18"/>
        </w:rPr>
      </w:pPr>
      <w:r>
        <w:rPr>
          <w:b w:val="false"/>
          <w:sz w:val="18"/>
        </w:rPr>
        <w:t>855 West 12 Avenue</w:t>
      </w:r>
    </w:p>
    <w:p>
      <w:pPr>
        <w:pStyle w:val="Heading1"/>
        <w:numPr>
          <w:ilvl w:val="0"/>
          <w:numId w:val="1"/>
        </w:numPr>
        <w:rPr>
          <w:b w:val="false"/>
          <w:b w:val="false"/>
          <w:sz w:val="18"/>
        </w:rPr>
      </w:pPr>
      <w:r>
        <w:rPr>
          <w:b w:val="false"/>
          <w:sz w:val="18"/>
        </w:rPr>
        <w:t>Vancouver, BC V5Z 1M9 Canada</w:t>
      </w:r>
    </w:p>
    <w:p>
      <w:pPr>
        <w:pStyle w:val="Heading1"/>
        <w:numPr>
          <w:ilvl w:val="0"/>
          <w:numId w:val="1"/>
        </w:numPr>
        <w:rPr>
          <w:b w:val="false"/>
          <w:b w:val="false"/>
          <w:sz w:val="18"/>
        </w:rPr>
      </w:pPr>
      <w:r>
        <w:rPr>
          <w:b w:val="false"/>
          <w:sz w:val="18"/>
        </w:rPr>
        <w:t>morad.hameed@vch.ca</w:t>
      </w:r>
      <w:r>
        <w:br w:type="page"/>
      </w:r>
    </w:p>
    <w:p>
      <w:pPr>
        <w:pStyle w:val="Heading1"/>
        <w:numPr>
          <w:ilvl w:val="0"/>
          <w:numId w:val="1"/>
        </w:numPr>
        <w:rPr>
          <w:rFonts w:ascii="Times" w:hAnsi="Times" w:cs="Times"/>
          <w:sz w:val="22"/>
        </w:rPr>
      </w:pPr>
      <w:r>
        <w:rPr>
          <w:rFonts w:cs="Times" w:ascii="Times" w:hAnsi="Times"/>
          <w:sz w:val="22"/>
        </w:rPr>
        <w:t>Abstract</w:t>
      </w:r>
    </w:p>
    <w:p>
      <w:pPr>
        <w:pStyle w:val="Para"/>
        <w:spacing w:lineRule="auto" w:line="360"/>
        <w:ind w:hanging="0"/>
        <w:rPr/>
      </w:pPr>
      <w:r>
        <w:rPr>
          <w:rFonts w:cs="Times" w:ascii="Times" w:hAnsi="Times"/>
          <w:b/>
          <w:sz w:val="22"/>
        </w:rPr>
        <w:t xml:space="preserve">Background: </w:t>
      </w:r>
      <w:r>
        <w:rPr>
          <w:rFonts w:cs="Times" w:ascii="Times" w:hAnsi="Times"/>
          <w:sz w:val="22"/>
        </w:rPr>
        <w:t>Trauma is a leading cause of death, potential years of life lost, and health care expenditure in Canada. Injury control is increasingly recognized as a public health priority requiring investment in research and evidence-based action.  In this study, geographic information science (GIS) is applied to characterize the spatial distributions of the major mechanisms of severe trauma and to identify socioeconomic and geographic vulnerabilities to severe injury in a large metropolitan region.</w:t>
      </w:r>
    </w:p>
    <w:p>
      <w:pPr>
        <w:pStyle w:val="Para"/>
        <w:spacing w:lineRule="auto" w:line="360"/>
        <w:ind w:hanging="0"/>
        <w:rPr/>
      </w:pPr>
      <w:r>
        <w:rPr>
          <w:rFonts w:cs="Times" w:ascii="Times" w:hAnsi="Times"/>
          <w:b/>
          <w:sz w:val="22"/>
        </w:rPr>
        <w:t>Methods:</w:t>
      </w:r>
      <w:r>
        <w:rPr>
          <w:rFonts w:cs="Times" w:ascii="Times" w:hAnsi="Times"/>
          <w:sz w:val="22"/>
        </w:rPr>
        <w:t xml:space="preserve"> Data from the British Columbia Trauma Registry and national census data were used to measure population based incidence rates for 4 major mechanisms of severe trauma in Metro Vancouver over a 5 year period (2001-2006). The Vancouver Deprivation Index (VANDIX) was used to assess the impact of socioeconomic deprivation on injury risk. The spatial distribution of injuries was assessed using GIS techniques. Measures of SES and spatial statistics  were used to characterize injury vulnerability.   </w:t>
      </w:r>
    </w:p>
    <w:p>
      <w:pPr>
        <w:pStyle w:val="Para"/>
        <w:spacing w:lineRule="auto" w:line="360"/>
        <w:ind w:hanging="0"/>
        <w:rPr/>
      </w:pPr>
      <w:r>
        <w:rPr>
          <w:rFonts w:cs="Times" w:ascii="Times" w:hAnsi="Times"/>
          <w:b/>
          <w:sz w:val="22"/>
        </w:rPr>
        <w:t xml:space="preserve">Results: </w:t>
      </w:r>
      <w:r>
        <w:rPr>
          <w:rFonts w:cs="Times" w:ascii="Times" w:hAnsi="Times"/>
          <w:sz w:val="22"/>
        </w:rPr>
        <w:t xml:space="preserve">Variations in acute injury rates and patient’s SES quintile were widest for injuries sustained in assaults amongst young and middle aged adults (ages 18 – 54) and pedestrian related injuries amongst the elderly (over 65). Variations in acute injury rates and socio-economic quintile rankings were much smaller between all age groups for motor vehicle crashes and falls. Although there was no spatial dependency between adjacent large area administrative boundaries, at the neighbourhood level trauma cases were highly clustered suggesting a strong association between neigbourhood and vulnerability to severe injury. </w:t>
      </w:r>
    </w:p>
    <w:p>
      <w:pPr>
        <w:pStyle w:val="Para"/>
        <w:spacing w:lineRule="auto" w:line="360"/>
        <w:ind w:hanging="0"/>
        <w:rPr/>
      </w:pPr>
      <w:r>
        <w:rPr>
          <w:rFonts w:cs="Times" w:ascii="Times" w:hAnsi="Times"/>
          <w:b/>
          <w:sz w:val="22"/>
        </w:rPr>
        <w:t>Discussion:</w:t>
      </w:r>
      <w:r>
        <w:rPr>
          <w:rFonts w:cs="Times" w:ascii="Times" w:hAnsi="Times"/>
          <w:sz w:val="22"/>
        </w:rPr>
        <w:t xml:space="preserve"> SES and geography are strong predictors of risk of severe injuries from assault and pedestrian trauma. GIS is a potentially valuable tool for identification of vulnerability, communication, and development of targeted injury control policy. </w:t>
      </w:r>
    </w:p>
    <w:p>
      <w:pPr>
        <w:pStyle w:val="Para"/>
        <w:spacing w:lineRule="auto" w:line="360"/>
        <w:ind w:hanging="0"/>
        <w:rPr>
          <w:rFonts w:ascii="Times" w:hAnsi="Times" w:eastAsia="Times" w:cs="Times"/>
          <w:sz w:val="22"/>
        </w:rPr>
      </w:pPr>
      <w:r>
        <w:rPr>
          <w:rFonts w:eastAsia="Times" w:cs="Times" w:ascii="Times" w:hAnsi="Times"/>
          <w:sz w:val="22"/>
        </w:rPr>
        <w:t xml:space="preserve"> </w:t>
      </w:r>
      <w:r>
        <w:br w:type="page"/>
      </w:r>
    </w:p>
    <w:p>
      <w:pPr>
        <w:pStyle w:val="Para"/>
        <w:spacing w:lineRule="auto" w:line="360"/>
        <w:ind w:hanging="0"/>
        <w:rPr>
          <w:rFonts w:ascii="Times" w:hAnsi="Times" w:cs="Times"/>
          <w:b/>
          <w:b/>
          <w:sz w:val="22"/>
        </w:rPr>
      </w:pPr>
      <w:r>
        <w:rPr>
          <w:rFonts w:cs="Times" w:ascii="Times" w:hAnsi="Times"/>
          <w:b/>
          <w:sz w:val="22"/>
        </w:rPr>
        <w:t>Introduction</w:t>
      </w:r>
    </w:p>
    <w:p>
      <w:pPr>
        <w:pStyle w:val="TextBody"/>
        <w:spacing w:lineRule="auto" w:line="360"/>
        <w:ind w:right="-630" w:firstLine="720"/>
        <w:rPr/>
      </w:pPr>
      <w:r>
        <w:rPr>
          <w:rFonts w:cs="Times" w:ascii="Times" w:hAnsi="Times"/>
          <w:sz w:val="22"/>
        </w:rPr>
        <w:t xml:space="preserve">Trauma is the leading cause death and potential years of life lost in the first four decades of life in North America and around the world </w:t>
      </w:r>
      <w:r>
        <w:fldChar w:fldCharType="begin"/>
      </w:r>
      <w:r>
        <w:instrText> ADDIN EN.CITE &lt;EndNote&gt;&lt;Cite&gt;&lt;Year&gt;2001&lt;/Year&gt;&lt;RecNum&gt;1&lt;/RecNum&gt;&lt;record&gt;&lt;rec-number&gt;1&lt;/rec-number&gt;&lt;ref-type name="Journal Article"&gt;17&lt;/ref-type&gt;&lt;contributors&gt;&lt;/contributors&gt;&lt;titles&gt;&lt;title&gt;National Trauma Registry Report - Hospital Injury Admissions 1998/1999&lt;/title&gt;&lt;/titles&gt;&lt;dates&gt;&lt;year&gt;2001&lt;/year&gt;&lt;/dates&gt;&lt;urls&gt;&lt;related-urls&gt;&lt;url&gt;http://secure.cihi.ca/cihiweb/dispPage.jsp?cw_page=AR_26_E&lt;/url&gt;&lt;/related-urls&gt;&lt;/urls&gt;&lt;/record&gt;&lt;/Cite&gt;&lt;/EndNote&gt;</w:instrText>
      </w:r>
      <w:r>
        <w:fldChar w:fldCharType="separate"/>
      </w:r>
      <w:bookmarkStart w:id="0" w:name="__Fieldmark__154_1322453857"/>
      <w:r>
        <w:rPr>
          <w:rFonts w:cs="Times" w:ascii="Times" w:hAnsi="Times"/>
          <w:sz w:val="22"/>
        </w:rPr>
        <w:t>[1]</w:t>
      </w:r>
      <w:r>
        <w:rPr>
          <w:rFonts w:cs="Times" w:ascii="Times" w:hAnsi="Times"/>
          <w:sz w:val="22"/>
        </w:rPr>
      </w:r>
      <w:r>
        <w:fldChar w:fldCharType="end"/>
      </w:r>
      <w:bookmarkEnd w:id="0"/>
      <w:r>
        <w:rPr>
          <w:rFonts w:cs="Times" w:ascii="Times" w:hAnsi="Times"/>
          <w:sz w:val="22"/>
        </w:rPr>
        <w:t xml:space="preserve">. </w:t>
      </w:r>
      <w:r>
        <w:rPr>
          <w:rFonts w:eastAsia="Times" w:cs="Times" w:ascii="Times" w:hAnsi="Times"/>
          <w:sz w:val="22"/>
        </w:rPr>
        <w:t>In Canada in 1998, the economic burden of injury was estimated at $12.7 billion, or just under $400 per capita.  Between April 1, 1998 and March 31, 1999, there were 195,116 acute care hospital admissions due to injury, accounting for 7% of all hospitalizations.  During the same period, individuals under the age of 45 represented almost half (47%) of all injury admissions.</w:t>
      </w:r>
      <w:r>
        <w:fldChar w:fldCharType="begin"/>
      </w:r>
      <w:r>
        <w:instrText> ADDIN EN.CITE &lt;EndNote&gt;&lt;Cite&gt;&lt;Year&gt;2001&lt;/Year&gt;&lt;RecNum&gt;1&lt;/RecNum&gt;&lt;record&gt;&lt;rec-number&gt;1&lt;/rec-number&gt;&lt;ref-type name="Journal Article"&gt;17&lt;/ref-type&gt;&lt;contributors&gt;&lt;/contributors&gt;&lt;titles&gt;&lt;title&gt;National Trauma Registry Report - Hospital Injury Admissions 1998/1999&lt;/title&gt;&lt;/titles&gt;&lt;dates&gt;&lt;year&gt;2001&lt;/year&gt;&lt;/dates&gt;&lt;urls&gt;&lt;related-urls&gt;&lt;url&gt;http://secure.cihi.ca/cihiweb/dispPage.jsp?cw_page=AR_26_E&lt;/url&gt;&lt;/related-urls&gt;&lt;/urls&gt;&lt;/record&gt;&lt;/Cite&gt;&lt;/EndNote&gt;</w:instrText>
      </w:r>
      <w:r>
        <w:fldChar w:fldCharType="separate"/>
      </w:r>
      <w:bookmarkStart w:id="1" w:name="__Fieldmark__155_1322453857"/>
      <w:r>
        <w:rPr>
          <w:rFonts w:eastAsia="Times" w:cs="Times" w:ascii="Times" w:hAnsi="Times"/>
          <w:sz w:val="22"/>
        </w:rPr>
        <w:t>[1]</w:t>
      </w:r>
      <w:r>
        <w:rPr>
          <w:rFonts w:eastAsia="Times" w:cs="Times" w:ascii="Times" w:hAnsi="Times"/>
          <w:sz w:val="22"/>
        </w:rPr>
      </w:r>
      <w:r>
        <w:fldChar w:fldCharType="end"/>
      </w:r>
      <w:bookmarkEnd w:id="1"/>
      <w:r>
        <w:rPr>
          <w:rFonts w:eastAsia="Times" w:cs="Times" w:ascii="Times" w:hAnsi="Times"/>
          <w:sz w:val="22"/>
        </w:rPr>
        <w:t xml:space="preserve"> </w:t>
      </w:r>
    </w:p>
    <w:p>
      <w:pPr>
        <w:pStyle w:val="TextBody"/>
        <w:spacing w:lineRule="auto" w:line="360"/>
        <w:ind w:right="-630" w:firstLine="720"/>
        <w:rPr/>
      </w:pPr>
      <w:r>
        <w:rPr>
          <w:rFonts w:cs="Times" w:ascii="Times" w:hAnsi="Times"/>
          <w:sz w:val="22"/>
        </w:rPr>
        <w:t xml:space="preserve">Although advances in trauma prevention, pre-hospital care, shock resuscitation, operative technique, critical care medicine, and rehabilitation have been shown to reduce morbidity and mortality resulting from severe trauma, injury rates have remained high, and some populations remain particularly vulnerable to the risks and consequences of injury. More refined understanding of the impact of geographic and societal factors on trauma risk and outcome may result in the development of health policy that effectively reduces the tremendous burden of injury </w:t>
      </w:r>
      <w:r>
        <w:fldChar w:fldCharType="begin"/>
      </w:r>
      <w:r>
        <w:instrText> ADDIN EN.CITE &lt;EndNote&gt;&lt;Cite&gt;&lt;Author&gt;National Scientific Advisory Committee&lt;/Author&gt;&lt;Year&gt;2004&lt;/Year&gt;&lt;RecNum&gt;75&lt;/RecNum&gt;&lt;record&gt;&lt;rec-number&gt;75&lt;/rec-number&gt;&lt;ref-type name="Report"&gt;27&lt;/ref-type&gt;&lt;contributors&gt;&lt;authors&gt;&lt;author&gt;National Scientific Advisory Committee,&lt;/author&gt;&lt;/authors&gt;&lt;/contributors&gt;&lt;titles&gt;&lt;title&gt;Listening for Direction on Injury: Final Report&lt;/title&gt;&lt;/titles&gt;&lt;dates&gt;&lt;year&gt;2004&lt;/year&gt;&lt;/dates&gt;&lt;publisher&gt;CIHR&lt;/publisher&gt;&lt;urls&gt;&lt;related-urls&gt;&lt;url&gt;http://www.injurypreventionstrategy.ca/downloads/LFDI_FinalReport.pdf&lt;/url&gt;&lt;/related-urls&gt;&lt;/urls&gt;&lt;/record&gt;&lt;/Cite&gt;&lt;/EndNote&gt;</w:instrText>
      </w:r>
      <w:r>
        <w:fldChar w:fldCharType="separate"/>
      </w:r>
      <w:bookmarkStart w:id="2" w:name="__Fieldmark__156_1322453857"/>
      <w:r>
        <w:rPr>
          <w:rFonts w:cs="Times" w:ascii="Times" w:hAnsi="Times"/>
          <w:sz w:val="22"/>
        </w:rPr>
        <w:t>[2]</w:t>
      </w:r>
      <w:r>
        <w:rPr>
          <w:rFonts w:cs="Times" w:ascii="Times" w:hAnsi="Times"/>
          <w:sz w:val="22"/>
        </w:rPr>
      </w:r>
      <w:r>
        <w:fldChar w:fldCharType="end"/>
      </w:r>
      <w:bookmarkEnd w:id="2"/>
      <w:r>
        <w:rPr>
          <w:rFonts w:cs="Times" w:ascii="Times" w:hAnsi="Times"/>
          <w:sz w:val="22"/>
        </w:rPr>
        <w:t xml:space="preserve">. </w:t>
      </w:r>
    </w:p>
    <w:p>
      <w:pPr>
        <w:pStyle w:val="Para"/>
        <w:spacing w:lineRule="auto" w:line="360"/>
        <w:rPr/>
      </w:pPr>
      <w:r>
        <w:rPr>
          <w:rFonts w:cs="Times" w:ascii="Times" w:hAnsi="Times"/>
          <w:sz w:val="22"/>
        </w:rPr>
        <w:t xml:space="preserve">In the past two decades, geographic information science (GIS) has made important contributions in public health analysis, emerging as a valuable tool for the prediction of pathogen dissemination </w:t>
      </w:r>
      <w:r>
        <w:fldChar w:fldCharType="begin"/>
      </w:r>
      <w:r>
        <w:instrText> ADDIN EN.CITE &lt;EndNote&gt;&lt;Cite&gt;&lt;Author&gt;Beck&lt;/Author&gt;&lt;Year&gt;1994&lt;/Year&gt;&lt;RecNum&gt;6&lt;/RecNum&gt;&lt;record&gt;&lt;rec-number&gt;6&lt;/rec-number&gt;&lt;ref-type name="Journal Article"&gt;17&lt;/ref-type&gt;&lt;contributors&gt;&lt;authors&gt;&lt;author&gt;Beck, L.R.&lt;/author&gt;&lt;author&gt;Rodrigues, M.H.&lt;/author&gt;&lt;author&gt;Dister, S.W.&lt;/author&gt;&lt;author&gt;Rodrigues, A.D.&lt;/author&gt;&lt;author&gt;Rejmankova, E.&lt;/author&gt;&lt;author&gt;Ulloa A, et al&lt;/author&gt;&lt;/authors&gt;&lt;/contributors&gt;&lt;titles&gt;&lt;title&gt;Remote sensing as a landscape epidemiologic tool to identify villages at high risk for malaria transmission&lt;/title&gt;&lt;secondary-title&gt;American Journal of Tropical Medicine and Hygiene&lt;/secondary-title&gt;&lt;/titles&gt;&lt;periodical&gt;&lt;full-title&gt;American Journal of Tropical Medicine and Hygiene&lt;/full-title&gt;&lt;/periodical&gt;&lt;pages&gt;271-280&lt;/pages&gt;&lt;volume&gt;51&lt;/volume&gt;&lt;dates&gt;&lt;year&gt;1994&lt;/year&gt;&lt;/dates&gt;&lt;urls&gt;&lt;/urls&gt;&lt;/record&gt;&lt;/Cite&gt;&lt;Cite&gt;&lt;Author&gt;Chadee&lt;/Author&gt;&lt;Year&gt;2005&lt;/Year&gt;&lt;RecNum&gt;7&lt;/RecNum&gt;&lt;record&gt;&lt;rec-number&gt;7&lt;/rec-number&gt;&lt;ref-type name="Journal Article"&gt;17&lt;/ref-type&gt;&lt;contributors&gt;&lt;authors&gt;&lt;author&gt;Chadee, D.D.&lt;/author&gt;&lt;author&gt;Williams, F.L.R.&lt;/author&gt;&lt;author&gt;Kitron, U.D.&lt;/author&gt;&lt;/authors&gt;&lt;/contributors&gt;&lt;titles&gt;&lt;title&gt;Impact of vector control on dengue fever outbreak in Trinidad, West Indies, in 1998.&lt;/title&gt;&lt;secondary-title&gt;Tropical Medicine &amp;amp; International Health&lt;/secondary-title&gt;&lt;/titles&gt;&lt;periodical&gt;&lt;full-title&gt;Tropical Medicine &amp;amp; International Health&lt;/full-title&gt;&lt;/periodical&gt;&lt;pages&gt;748-754&lt;/pages&gt;&lt;volume&gt;10&lt;/volume&gt;&lt;number&gt;8&lt;/number&gt;&lt;dates&gt;&lt;year&gt;2005&lt;/year&gt;&lt;/dates&gt;&lt;urls&gt;&lt;/urls&gt;&lt;/record&gt;&lt;/Cite&gt;&lt;Cite&gt;&lt;Author&gt;Dragicevic&lt;/Author&gt;&lt;Year&gt;2004&lt;/Year&gt;&lt;RecNum&gt;10&lt;/RecNum&gt;&lt;record&gt;&lt;rec-number&gt;10&lt;/rec-number&gt;&lt;ref-type name="Journal Article"&gt;17&lt;/ref-type&gt;&lt;contributors&gt;&lt;authors&gt;&lt;author&gt;Dragicevic, Suzanna&lt;/author&gt;&lt;author&gt;Schuurman, Nadine&lt;/author&gt;&lt;author&gt;Fitzgerald, Mark&lt;/author&gt;&lt;/authors&gt;&lt;/contributors&gt;&lt;titles&gt;&lt;title&gt;The Utility of Exploratory Spatial Data Analysis in the Study of Tuberculosis Incidences in an Urban Canadian Population&lt;/title&gt;&lt;secondary-title&gt;Cartographica &lt;/secondary-title&gt;&lt;/titles&gt;&lt;periodical&gt;&lt;full-title&gt;Cartographica&lt;/full-title&gt;&lt;/periodical&gt;&lt;pages&gt;29-40&lt;/pages&gt;&lt;volume&gt;39&lt;/volume&gt;&lt;number&gt;2&lt;/number&gt;&lt;dates&gt;&lt;year&gt;2004&lt;/year&gt;&lt;/dates&gt;&lt;urls&gt;&lt;/urls&gt;&lt;/record&gt;&lt;/Cite&gt;&lt;Cite&gt;&lt;Author&gt;Glass&lt;/Author&gt;&lt;Year&gt;1995&lt;/Year&gt;&lt;RecNum&gt;8&lt;/RecNum&gt;&lt;record&gt;&lt;rec-number&gt;8&lt;/rec-number&gt;&lt;ref-type name="Journal Article"&gt;17&lt;/ref-type&gt;&lt;contributors&gt;&lt;authors&gt;&lt;author&gt;Glass, G.E.&lt;/author&gt;&lt;author&gt;Schwartz, B.S.&lt;/author&gt;&lt;author&gt;Morgan, J.M. III&lt;/author&gt;&lt;author&gt;Jonson, D.T.&lt;/author&gt;&lt;author&gt;Noy, P.M.&lt;/author&gt;&lt;author&gt;Israel, E.&lt;/author&gt;&lt;/authors&gt;&lt;/contributors&gt;&lt;titles&gt;&lt;title&gt;Environmental risk factors for Lyme disease identified with geographic information systems&lt;/title&gt;&lt;secondary-title&gt;American Journal of Public Health&lt;/secondary-title&gt;&lt;/titles&gt;&lt;periodical&gt;&lt;full-title&gt;American Journal of Public Health&lt;/full-title&gt;&lt;/periodical&gt;&lt;pages&gt;944-948&lt;/pages&gt;&lt;volume&gt;85&lt;/volume&gt;&lt;dates&gt;&lt;year&gt;1995&lt;/year&gt;&lt;/dates&gt;&lt;urls&gt;&lt;/urls&gt;&lt;/record&gt;&lt;/Cite&gt;&lt;/EndNote&gt;</w:instrText>
      </w:r>
      <w:r>
        <w:fldChar w:fldCharType="separate"/>
      </w:r>
      <w:bookmarkStart w:id="3" w:name="__Fieldmark__157_1322453857"/>
      <w:r>
        <w:rPr>
          <w:rFonts w:cs="Times" w:ascii="Times" w:hAnsi="Times"/>
          <w:sz w:val="22"/>
        </w:rPr>
        <w:t>[3-6]</w:t>
      </w:r>
      <w:r>
        <w:rPr>
          <w:rFonts w:cs="Times" w:ascii="Times" w:hAnsi="Times"/>
          <w:sz w:val="22"/>
        </w:rPr>
      </w:r>
      <w:r>
        <w:fldChar w:fldCharType="end"/>
      </w:r>
      <w:bookmarkEnd w:id="3"/>
      <w:r>
        <w:rPr>
          <w:rFonts w:cs="Times" w:ascii="Times" w:hAnsi="Times"/>
          <w:sz w:val="22"/>
        </w:rPr>
        <w:t xml:space="preserve">, location-allocation of health and emergency services </w:t>
      </w:r>
      <w:r>
        <w:fldChar w:fldCharType="begin"/>
      </w:r>
      <w:r>
        <w:instrText> ADDIN EN.CITE &lt;EndNote&gt;&lt;Cite&gt;&lt;Author&gt;Conner&lt;/Author&gt;&lt;Year&gt;1994&lt;/Year&gt;&lt;RecNum&gt;1&lt;/RecNum&gt;&lt;record&gt;&lt;rec-number&gt;1&lt;/rec-number&gt;&lt;ref-type name="Journal Article"&gt;17&lt;/ref-type&gt;&lt;contributors&gt;&lt;authors&gt;&lt;author&gt;Conner, R.A.&lt;/author&gt;&lt;author&gt;Kralewski, J.E.&lt;/author&gt;&lt;author&gt;Hillson, S.D.&lt;/author&gt;&lt;/authors&gt;&lt;/contributors&gt;&lt;titles&gt;&lt;title&gt;Measuring Geographic Access to Health Care in Rural Areas&lt;/title&gt;&lt;secondary-title&gt;Medical Care Research and Review&lt;/secondary-title&gt;&lt;/titles&gt;&lt;periodical&gt;&lt;full-title&gt;Medical Care Research and Review&lt;/full-title&gt;&lt;/periodical&gt;&lt;pages&gt;337-377&lt;/pages&gt;&lt;volume&gt;51&lt;/volume&gt;&lt;number&gt;3&lt;/number&gt;&lt;dates&gt;&lt;year&gt;1994&lt;/year&gt;&lt;/dates&gt;&lt;label&gt;GIS &amp;amp; Catchments&lt;/label&gt;&lt;urls&gt;&lt;/urls&gt;&lt;/record&gt;&lt;/Cite&gt;&lt;Cite&gt;&lt;Author&gt;Luo&lt;/Author&gt;&lt;Year&gt;2003&lt;/Year&gt;&lt;RecNum&gt;2&lt;/RecNum&gt;&lt;record&gt;&lt;rec-number&gt;2&lt;/rec-number&gt;&lt;ref-type name="Journal Article"&gt;17&lt;/ref-type&gt;&lt;contributors&gt;&lt;authors&gt;&lt;author&gt;Luo, W.&lt;/author&gt;&lt;author&gt;Wang, F.&lt;/author&gt;&lt;/authors&gt;&lt;/contributors&gt;&lt;auth-address&gt;W. Luo, Department of Geography, Northern Illinois University, DeKalb, IL 60115-2854&lt;/auth-address&gt;&lt;titles&gt;&lt;title&gt;Measures of spatial accessibility to health care in a GIS environment: Synthesis and a case study in the Chicago region&lt;/title&gt;&lt;secondary-title&gt;Environment and Planning B: Planning and Design&lt;/secondary-title&gt;&lt;/titles&gt;&lt;periodical&gt;&lt;full-title&gt;Environment and Planning B: Planning and Design&lt;/full-title&gt;&lt;/periodical&gt;&lt;pages&gt;865-884&lt;/pages&gt;&lt;volume&gt;30&lt;/volume&gt;&lt;number&gt;6&lt;/number&gt;&lt;keywords&gt;&lt;keyword&gt;Spatial Analysis, Location Theory -- 70.2.2&lt;/keyword&gt;&lt;keyword&gt;Geographic: Chicago&lt;/keyword&gt;&lt;keyword&gt;travel time&lt;/keyword&gt;&lt;/keywords&gt;&lt;dates&gt;&lt;year&gt;2003&lt;/year&gt;&lt;/dates&gt;&lt;accession-num&gt;2572286&lt;/accession-num&gt;&lt;label&gt;GIS &amp;amp; Catchments&lt;/label&gt;&lt;urls&gt;&lt;/urls&gt;&lt;/record&gt;&lt;/Cite&gt;&lt;Cite&gt;&lt;Author&gt;Walsh&lt;/Author&gt;&lt;Year&gt;1995&lt;/Year&gt;&lt;RecNum&gt;3&lt;/RecNum&gt;&lt;record&gt;&lt;rec-number&gt;3&lt;/rec-number&gt;&lt;ref-type name="Conference Proceedings"&gt;10&lt;/ref-type&gt;&lt;contributors&gt;&lt;authors&gt;&lt;author&gt;Walsh, Stephen J.&lt;/author&gt;&lt;author&gt;Gesler, Wilbert M.&lt;/author&gt;&lt;author&gt;Page, Philip H.&lt;/author&gt;&lt;author&gt;Crawford, Thomas W.1&lt;/author&gt;&lt;/authors&gt;&lt;/contributors&gt;&lt;titles&gt;&lt;title&gt;Health Care Accessibility: Comparison of Network Analysis and Indices of Hospital Service Areas&lt;/title&gt;&lt;secondary-title&gt;GIS/LIS &amp;apos;95&lt;/secondary-title&gt;&lt;/titles&gt;&lt;dates&gt;&lt;year&gt;1995&lt;/year&gt;&lt;/dates&gt;&lt;pub-location&gt;Nashville, Tennessee&lt;/pub-location&gt;&lt;label&gt;GIS &amp;amp; Catchments&lt;/label&gt;&lt;urls&gt;&lt;/urls&gt;&lt;/record&gt;&lt;/Cite&gt;&lt;/EndNote&gt;</w:instrText>
      </w:r>
      <w:r>
        <w:fldChar w:fldCharType="separate"/>
      </w:r>
      <w:bookmarkStart w:id="4" w:name="__Fieldmark__158_1322453857"/>
      <w:r>
        <w:rPr>
          <w:rFonts w:cs="Times" w:ascii="Times" w:hAnsi="Times"/>
          <w:sz w:val="22"/>
        </w:rPr>
        <w:t>[7-9]</w:t>
      </w:r>
      <w:r>
        <w:rPr>
          <w:rFonts w:cs="Times" w:ascii="Times" w:hAnsi="Times"/>
          <w:sz w:val="22"/>
        </w:rPr>
      </w:r>
      <w:r>
        <w:fldChar w:fldCharType="end"/>
      </w:r>
      <w:bookmarkEnd w:id="4"/>
      <w:r>
        <w:rPr>
          <w:rFonts w:cs="Times" w:ascii="Times" w:hAnsi="Times"/>
          <w:sz w:val="22"/>
        </w:rPr>
        <w:t xml:space="preserve">, and the assessment of environmental effects on health </w:t>
      </w:r>
      <w:r>
        <w:fldChar w:fldCharType="begin"/>
      </w:r>
      <w:r>
        <w:instrText> ADDIN EN.CITE &lt;EndNote&gt;&lt;Cite&gt;&lt;Author&gt;Brody&lt;/Author&gt;&lt;Year&gt;2002&lt;/Year&gt;&lt;RecNum&gt;11&lt;/RecNum&gt;&lt;record&gt;&lt;rec-number&gt;11&lt;/rec-number&gt;&lt;ref-type name="Journal Article"&gt;17&lt;/ref-type&gt;&lt;contributors&gt;&lt;authors&gt;&lt;author&gt;Brody, J.G.&lt;/author&gt;&lt;author&gt;Vorhees, D.J.&lt;/author&gt;&lt;author&gt;Melly, S.J.&lt;/author&gt;&lt;author&gt;Swedis, S.R.&lt;/author&gt;&lt;author&gt;Drivas, P.J.&lt;/author&gt;&lt;author&gt;Rude, R.A.&lt;/author&gt;&lt;/authors&gt;&lt;/contributors&gt;&lt;titles&gt;&lt;title&gt;Using GIS and historical records to reconstruct residential exposure to large-scale pesticide application&lt;/title&gt;&lt;secondary-title&gt;Journal of Exposure Analysis &amp;amp; Environmental Epidemiology&lt;/secondary-title&gt;&lt;/titles&gt;&lt;periodical&gt;&lt;full-title&gt;Journal of Exposure Analysis &amp;amp; Environmental Epidemiology&lt;/full-title&gt;&lt;/periodical&gt;&lt;pages&gt;64-80&lt;/pages&gt;&lt;volume&gt;12&lt;/volume&gt;&lt;number&gt;1&lt;/number&gt;&lt;dates&gt;&lt;year&gt;2002&lt;/year&gt;&lt;/dates&gt;&lt;urls&gt;&lt;/urls&gt;&lt;/record&gt;&lt;/Cite&gt;&lt;Cite&gt;&lt;Author&gt;Hellström&lt;/Author&gt;&lt;Year&gt;2006&lt;/Year&gt;&lt;RecNum&gt;12&lt;/RecNum&gt;&lt;record&gt;&lt;rec-number&gt;12&lt;/rec-number&gt;&lt;ref-type name="Journal Article"&gt;17&lt;/ref-type&gt;&lt;contributors&gt;&lt;authors&gt;&lt;author&gt;Hellström, Lennart&lt;/author&gt;&lt;author&gt;Järup, Lars&lt;/author&gt;&lt;author&gt;Persson, Bodil&lt;/author&gt;&lt;author&gt;Axelson, Olav&lt;/author&gt;&lt;/authors&gt;&lt;/contributors&gt;&lt;titles&gt;&lt;title&gt;Using environmental concentrations of cadmium and lead to assess human exposure and dose&lt;/title&gt;&lt;secondary-title&gt;Journal of Exposure Analysis &amp;amp; Environmental Epidemiology&lt;/secondary-title&gt;&lt;/titles&gt;&lt;periodical&gt;&lt;full-title&gt;Journal of Exposure Analysis &amp;amp; Environmental Epidemiology&lt;/full-title&gt;&lt;/periodical&gt;&lt;pages&gt;416-423&lt;/pages&gt;&lt;volume&gt;14&lt;/volume&gt;&lt;number&gt;5&lt;/number&gt;&lt;dates&gt;&lt;year&gt;2006&lt;/year&gt;&lt;/dates&gt;&lt;urls&gt;&lt;/urls&gt;&lt;/record&gt;&lt;/Cite&gt;&lt;/EndNote&gt;</w:instrText>
      </w:r>
      <w:r>
        <w:fldChar w:fldCharType="separate"/>
      </w:r>
      <w:bookmarkStart w:id="5" w:name="__Fieldmark__159_1322453857"/>
      <w:r>
        <w:rPr>
          <w:rFonts w:cs="Times" w:ascii="Times" w:hAnsi="Times"/>
          <w:sz w:val="22"/>
        </w:rPr>
        <w:t>[10, 11]</w:t>
      </w:r>
      <w:r>
        <w:rPr>
          <w:rFonts w:cs="Times" w:ascii="Times" w:hAnsi="Times"/>
          <w:sz w:val="22"/>
        </w:rPr>
      </w:r>
      <w:r>
        <w:fldChar w:fldCharType="end"/>
      </w:r>
      <w:bookmarkEnd w:id="5"/>
      <w:r>
        <w:rPr>
          <w:rFonts w:cs="Times" w:ascii="Times" w:hAnsi="Times"/>
          <w:sz w:val="22"/>
        </w:rPr>
        <w:t xml:space="preserve">. Over the same period, researchers have produced substantial evidence of a social gradient for a variety of health outcomes, rising from systematic differences in income, education, employment conditions, unemployment, and family structure </w:t>
      </w:r>
      <w:r>
        <w:fldChar w:fldCharType="begin"/>
      </w:r>
      <w:r>
        <w:instrText> ADDIN EN.CITE &lt;EndNote&gt;&lt;Cite&gt;&lt;Author&gt;Dunn&lt;/Author&gt;&lt;Year&gt;2002&lt;/Year&gt;&lt;RecNum&gt;21&lt;/RecNum&gt;&lt;record&gt;&lt;rec-number&gt;21&lt;/rec-number&gt;&lt;ref-type name='Journal Article'&gt;17&lt;/ref-type&gt;&lt;contributors&gt;&lt;authors&gt;&lt;author&gt;Dunn, J. R.&lt;/author&gt;&lt;/authors&gt;&lt;/contributors&gt;&lt;titles&gt;&lt;title&gt;Housing and inequalities in health: a study of socioeconomic dimensions of housing and self reported health from a survey of Vancouver residents&lt;/title&gt;&lt;secondary-title&gt;Journal of Epidemiology &amp;amp; Community Health&lt;/secondary-title&gt;&lt;/titles&gt;&lt;periodical&gt;&lt;full-title&gt;Journal of Epidemiology &amp;amp; Community Health&lt;/full-title&gt;&lt;/periodical&gt;&lt;pages&gt;671-81&lt;/pages&gt;&lt;volume&gt;56&lt;/volume&gt;&lt;number&gt;9&lt;/number&gt;&lt;keywords&gt;&lt;keyword&gt;Adolescence&lt;/keyword&gt;&lt;keyword&gt;Adult&lt;/keyword&gt;&lt;keyword&gt;Aged&lt;/keyword&gt;&lt;keyword&gt;British Columbia&lt;/keyword&gt;&lt;keyword&gt;Cross-Sectional Studies&lt;/keyword&gt;&lt;keyword&gt;Female&lt;/keyword&gt;&lt;keyword&gt;*Health Status&lt;/keyword&gt;&lt;keyword&gt;Indicators&lt;/keyword&gt;&lt;keyword&gt;Housekeeping&lt;/keyword&gt;&lt;keyword&gt;*Housing&lt;/keyword&gt;&lt;keyword&gt;Human&lt;/keyword&gt;&lt;keyword&gt;Income&lt;/keyword&gt;&lt;keyword&gt;Logistic Models&lt;/keyword&gt;&lt;keyword&gt;Male&lt;/keyword&gt;&lt;keyword&gt;Mental Disorders/et [Etiology]&lt;/keyword&gt;&lt;keyword&gt;Middle Age&lt;/keyword&gt;&lt;keyword&gt;Quality of Life&lt;/keyword&gt;&lt;keyword&gt;Residence Characteristics&lt;/keyword&gt;&lt;keyword&gt;Social Class&lt;/keyword&gt;&lt;keyword&gt;Social Support&lt;/keyword&gt;&lt;keyword&gt;*Socioeconomic Factors&lt;/keyword&gt;&lt;keyword&gt;Stress, Psychological/et [Etiology]&lt;/keyword&gt;&lt;/keywords&gt;&lt;dates&gt;&lt;year&gt;2002&lt;/year&gt;&lt;/dates&gt;&lt;label&gt;inequalities and health&lt;/label&gt;&lt;urls&gt;&lt;/urls&gt;&lt;/record&gt;&lt;/Cite&gt;&lt;Cite&gt;&lt;Author&gt;Frohlich&lt;/Author&gt;&lt;Year&gt;1996&lt;/Year&gt;&lt;RecNum&gt;31&lt;/RecNum&gt;&lt;record&gt;&lt;rec-number&gt;31&lt;/rec-number&gt;&lt;ref-type name='Journal Article'&gt;17&lt;/ref-type&gt;&lt;contributors&gt;&lt;authors&gt;&lt;author&gt;Frohlich, Katherine L. &lt;/author&gt;&lt;author&gt;Mustard, Cam&lt;/author&gt;&lt;/authors&gt;&lt;/contributors&gt;&lt;titles&gt;&lt;title&gt;A regional comparison of socioeconomic and health indices in a Canadian province&lt;/title&gt;&lt;secondary-title&gt;Social Science &amp;amp; Medicine&lt;/secondary-title&gt;&lt;/titles&gt;&lt;periodical&gt;&lt;full-title&gt;Social Science &amp;amp; Medicine&lt;/full-title&gt;&lt;/periodical&gt;&lt;pages&gt;1273-1281&lt;/pages&gt;&lt;volume&gt;42&lt;/volume&gt;&lt;number&gt;9&lt;/number&gt;&lt;keywords&gt;&lt;keyword&gt;Canada, Deprivation indicies, health service utilization, socioeconomic and health indicies&lt;/keyword&gt;&lt;/keywords&gt;&lt;dates&gt;&lt;year&gt;1996&lt;/year&gt;&lt;/dates&gt;&lt;label&gt;GIS Indicies&amp;#xD;Deprivation Index&amp;#xD;urban structure&lt;/label&gt;&lt;urls&gt;&lt;/urls&gt;&lt;/record&gt;&lt;/Cite&gt;&lt;Cite&gt;&lt;Author&gt;Heaney&lt;/Author&gt;&lt;Year&gt;2002&lt;/Year&gt;&lt;RecNum&gt;38&lt;/RecNum&gt;&lt;record&gt;&lt;rec-number&gt;38&lt;/rec-number&gt;&lt;ref-type name='Journal Article'&gt;17&lt;/ref-type&gt;&lt;contributors&gt;&lt;authors&gt;&lt;author&gt;Heaney, Dominic C&lt;/author&gt;&lt;author&gt;MacDonald, Bridget K&lt;/author&gt;&lt;author&gt;Everitt, Alex&lt;/author&gt;&lt;author&gt;Stevenson, Simon&lt;/author&gt;&lt;author&gt;Leonardi, Giovanni S&lt;/author&gt;&lt;author&gt;Wilkinson, Paul&lt;/author&gt;&lt;author&gt;Sander, Josemir W&lt;/author&gt;&lt;/authors&gt;&lt;/contributors&gt;&lt;titles&gt;&lt;title&gt;Socioeconomic variation in incidence of epilepsy: prospective community based study in south east England&lt;/title&gt;&lt;secondary-title&gt;BMJ&lt;/secondary-title&gt;&lt;alt-title&gt;BMJ&lt;/alt-title&gt;&lt;/titles&gt;&lt;periodical&gt;&lt;full-title&gt;BMJ&lt;/full-title&gt;&lt;/periodical&gt;&lt;alt-periodical&gt;&lt;full-title&gt;BMJ&lt;/full-title&gt;&lt;/alt-periodical&gt;&lt;pages&gt;1013-1016&lt;/pages&gt;&lt;volume&gt;325&lt;/volume&gt;&lt;number&gt;7371&lt;/number&gt;&lt;dates&gt;&lt;year&gt;2002&lt;/year&gt;&lt;pub-dates&gt;&lt;date&gt;November 2, 2002&lt;/date&gt;&lt;/pub-dates&gt;&lt;/dates&gt;&lt;label&gt;UK - Carstairs&lt;/label&gt;&lt;urls&gt;&lt;related-urls&gt;&lt;url&gt;http://bmj.bmjjournals.com/cgi/content/abstract/325/7371/1013&lt;/url&gt;&lt;/related-urls&gt;&lt;/urls&gt;&lt;/record&gt;&lt;/Cite&gt;&lt;Cite&gt;&lt;Author&gt;Davey Smith&lt;/Author&gt;&lt;Year&gt;1990&lt;/Year&gt;&lt;RecNum&gt;157&lt;/RecNum&gt;&lt;record&gt;&lt;rec-number&gt;157&lt;/rec-number&gt;&lt;ref-type name='Journal Article'&gt;17&lt;/ref-type&gt;&lt;contributors&gt;&lt;authors&gt;&lt;author&gt;Davey Smith, G&lt;/author&gt;&lt;/authors&gt;&lt;/contributors&gt;&lt;titles&gt;&lt;title&gt;The Black Report on Socioeconomic Inequalities in Health 10 Years On&lt;/title&gt;&lt;secondary-title&gt;BMJ&lt;/secondary-title&gt;&lt;/titles&gt;&lt;periodical&gt;&lt;full-title&gt;BMJ&lt;/full-title&gt;&lt;/periodical&gt;&lt;pages&gt;373-377&lt;/pages&gt;&lt;volume&gt;301&lt;/volume&gt;&lt;keywords&gt;&lt;keyword&gt;Reviewed: NO&lt;/keyword&gt;&lt;/keywords&gt;&lt;dates&gt;&lt;year&gt;1990&lt;/year&gt;&lt;/dates&gt;&lt;label&gt;I / H&lt;/label&gt;&lt;urls&gt;&lt;/urls&gt;&lt;/record&gt;&lt;/Cite&gt;&lt;Cite&gt;&lt;Author&gt;Roos&lt;/Author&gt;&lt;Year&gt;2004&lt;/Year&gt;&lt;RecNum&gt;267&lt;/RecNum&gt;&lt;record&gt;&lt;rec-number&gt;267&lt;/rec-number&gt;&lt;ref-type name='Journal Article'&gt;17&lt;/ref-type&gt;&lt;contributors&gt;&lt;authors&gt;&lt;author&gt;Roos, L.L.&lt;/author&gt;&lt;author&gt;Magoon, J.&lt;/author&gt;&lt;author&gt;Gupta, S.&lt;/author&gt;&lt;author&gt;Chateau, D.&lt;/author&gt;&lt;author&gt;Veugelers, P.J.&lt;/author&gt;&lt;/authors&gt;&lt;/contributors&gt;&lt;titles&gt;&lt;title&gt;Socioeconomic determinants of mortality in two Canadian provinces: multilevel modelling and neighborhood context&lt;/title&gt;&lt;secondary-title&gt;Social Science &amp;amp; Medicine&lt;/secondary-title&gt;&lt;/titles&gt;&lt;periodical&gt;&lt;full-title&gt;Social Science &amp;amp; Medicine&lt;/full-title&gt;&lt;/periodical&gt;&lt;pages&gt;1435-1447&lt;/pages&gt;&lt;volume&gt;59&lt;/volume&gt;&lt;number&gt;7&lt;/number&gt;&lt;dates&gt;&lt;year&gt;2004&lt;/year&gt;&lt;/dates&gt;&lt;urls&gt;&lt;/urls&gt;&lt;/record&gt;&lt;/Cite&gt;&lt;Cite&gt;&lt;Author&gt;Singh&lt;/Author&gt;&lt;Year&gt;2004&lt;/Year&gt;&lt;RecNum&gt;268&lt;/RecNum&gt;&lt;record&gt;&lt;rec-number&gt;268&lt;/rec-number&gt;&lt;ref-type name='Journal Article'&gt;17&lt;/ref-type&gt;&lt;contributors&gt;&lt;authors&gt;&lt;author&gt;Singh, S.M.&lt;/author&gt;&lt;author&gt;Paszat, L.F.&lt;/author&gt;&lt;author&gt;Li, C.&lt;/author&gt;&lt;author&gt;He, J.&lt;/author&gt;&lt;author&gt;Vinden, C.&lt;/author&gt;&lt;author&gt;Rabeneck, L.&lt;/author&gt;&lt;/authors&gt;&lt;/contributors&gt;&lt;titles&gt;&lt;title&gt;Association of socioeconomic status and receipt of colorectal cancer investigations: a population-based retrospective cohort study&lt;/title&gt;&lt;secondary-title&gt;CMAJ&lt;/secondary-title&gt;&lt;/titles&gt;&lt;periodical&gt;&lt;full-title&gt;CMAJ&lt;/full-title&gt;&lt;/periodical&gt;&lt;pages&gt;461-465&lt;/pages&gt;&lt;volume&gt;171&lt;/volume&gt;&lt;number&gt;5&lt;/number&gt;&lt;dates&gt;&lt;year&gt;2004&lt;/year&gt;&lt;/dates&gt;&lt;urls&gt;&lt;/urls&gt;&lt;/record&gt;&lt;/Cite&gt;&lt;Cite&gt;&lt;Author&gt;Singh&lt;/Author&gt;&lt;Year&gt;2002&lt;/Year&gt;&lt;RecNum&gt;219&lt;/RecNum&gt;&lt;record&gt;&lt;rec-number&gt;219&lt;/rec-number&gt;&lt;ref-type name='Journal Article'&gt;17&lt;/ref-type&gt;&lt;contributors&gt;&lt;authors&gt;&lt;author&gt;Singh, G. K.&lt;/author&gt;&lt;author&gt;Siahpush, M.&lt;/author&gt;&lt;/authors&gt;&lt;/contributors&gt;&lt;titles&gt;&lt;title&gt;Increasing inequalities in all-cause and cardiovascular mortality among US adults aged 25-64 years by area socioeconomic status, 1969-1998&lt;/title&gt;&lt;secondary-title&gt;International Journal of Epidemiology&lt;/secondary-title&gt;&lt;/titles&gt;&lt;periodical&gt;&lt;full-title&gt;International Journal of Epidemiology&lt;/full-title&gt;&lt;/periodical&gt;&lt;pages&gt;600-13&lt;/pages&gt;&lt;volume&gt;31&lt;/volume&gt;&lt;number&gt;3&lt;/number&gt;&lt;keywords&gt;&lt;keyword&gt;Reviewed: NO&lt;/keyword&gt;&lt;/keywords&gt;&lt;dates&gt;&lt;year&gt;2002&lt;/year&gt;&lt;/dates&gt;&lt;label&gt;I / H&lt;/label&gt;&lt;urls&gt;&lt;/urls&gt;&lt;/record&gt;&lt;/Cite&gt;&lt;Cite&gt;&lt;Author&gt;Evans&lt;/Author&gt;&lt;Year&gt;1994&lt;/Year&gt;&lt;RecNum&gt;31&lt;/RecNum&gt;&lt;record&gt;&lt;rec-number&gt;31&lt;/rec-number&gt;&lt;ref-type name="Edited Book"&gt;28&lt;/ref-type&gt;&lt;contributors&gt;&lt;authors&gt;&lt;author&gt;Evans, R. G.&lt;/author&gt;&lt;author&gt;Barer, M. L.&lt;/author&gt;&lt;author&gt;Marmor, T. R.&lt;/author&gt;&lt;/authors&gt;&lt;/contributors&gt;&lt;titles&gt;&lt;title&gt;Why are Some People Healthy and Others Not? The Determinants of Health of Populations&lt;/title&gt;&lt;/titles&gt;&lt;dates&gt;&lt;year&gt;1994&lt;/year&gt;&lt;/dates&gt;&lt;pub-location&gt;New York&lt;/pub-location&gt;&lt;publisher&gt;Aldine de Gruyter&lt;/publisher&gt;&lt;label&gt;CPHI&lt;/label&gt;&lt;urls&gt;&lt;/urls&gt;&lt;/record&gt;&lt;/Cite&gt;&lt;Cite&gt;&lt;Author&gt;Kawachi&lt;/Author&gt;&lt;Year&gt;2003&lt;/Year&gt;&lt;RecNum&gt;32&lt;/RecNum&gt;&lt;record&gt;&lt;rec-number&gt;32&lt;/rec-number&gt;&lt;ref-type name="Book"&gt;6&lt;/ref-type&gt;&lt;contributors&gt;&lt;authors&gt;&lt;author&gt;Kawachi, I.&lt;/author&gt;&lt;author&gt;Berkman, L.F.&lt;/author&gt;&lt;/authors&gt;&lt;secondary-authors&gt;&lt;author&gt;Kawachi, I.&lt;/author&gt;&lt;author&gt;Berkman, L.F.&lt;/author&gt;&lt;/secondary-authors&gt;&lt;/contributors&gt;&lt;titles&gt;&lt;title&gt;Neighborhoods and health&lt;/title&gt;&lt;/titles&gt;&lt;dates&gt;&lt;year&gt;2003&lt;/year&gt;&lt;/dates&gt;&lt;pub-location&gt;Oxford&lt;/pub-location&gt;&lt;publisher&gt;Oxford University Press&lt;/publisher&gt;&lt;urls&gt;&lt;/urls&gt;&lt;/record&gt;&lt;/Cite&gt;&lt;Cite&gt;&lt;Author&gt;Keating&lt;/Author&gt;&lt;Year&gt;1999&lt;/Year&gt;&lt;RecNum&gt;33&lt;/RecNum&gt;&lt;record&gt;&lt;rec-number&gt;33&lt;/rec-number&gt;&lt;ref-type name="Edited Book"&gt;28&lt;/ref-type&gt;&lt;contributors&gt;&lt;authors&gt;&lt;author&gt;Keating, D. R.&lt;/author&gt;&lt;author&gt;Hertzman, C.&lt;/author&gt;&lt;/authors&gt;&lt;/contributors&gt;&lt;titles&gt;&lt;title&gt;Developmental health and the wealth of nations&lt;/title&gt;&lt;/titles&gt;&lt;keywords&gt;&lt;keyword&gt;Reviewed: NO&lt;/keyword&gt;&lt;/keywords&gt;&lt;dates&gt;&lt;year&gt;1999&lt;/year&gt;&lt;/dates&gt;&lt;pub-location&gt;New York&lt;/pub-location&gt;&lt;publisher&gt;Guilford&lt;/publisher&gt;&lt;label&gt;I / H&lt;/label&gt;&lt;urls&gt;&lt;/urls&gt;&lt;/record&gt;&lt;/Cite&gt;&lt;Cite&gt;&lt;Author&gt;Marmot&lt;/Author&gt;&lt;Year&gt;1991&lt;/Year&gt;&lt;RecNum&gt;34&lt;/RecNum&gt;&lt;record&gt;&lt;rec-number&gt;34&lt;/rec-number&gt;&lt;ref-type name="Journal Article"&gt;17&lt;/ref-type&gt;&lt;contributors&gt;&lt;authors&gt;&lt;author&gt;Marmot, M.&lt;/author&gt;&lt;author&gt;G. Smith&lt;/author&gt;&lt;author&gt;S. Stansfeld &lt;/author&gt;&lt;author&gt;C. Patel&lt;/author&gt;&lt;author&gt;F. North &lt;/author&gt;&lt;author&gt;J. Head&lt;/author&gt;&lt;author&gt;L White&lt;/author&gt;&lt;author&gt;E. Brunner &lt;/author&gt;&lt;author&gt;A. Feeney&lt;/author&gt;&lt;/authors&gt;&lt;/contributors&gt;&lt;titles&gt;&lt;title&gt;Health inequalities among British Civil Servants: The Whitehall II Study&lt;/title&gt;&lt;secondary-title&gt;The Lancet&lt;/secondary-title&gt;&lt;/titles&gt;&lt;periodical&gt;&lt;full-title&gt;The Lancet&lt;/full-title&gt;&lt;/periodical&gt;&lt;pages&gt;1387-1393&lt;/pages&gt;&lt;volume&gt;337&lt;/volume&gt;&lt;keywords&gt;&lt;keyword&gt;Reviewed: NO&lt;/keyword&gt;&lt;/keywords&gt;&lt;dates&gt;&lt;year&gt;1991&lt;/year&gt;&lt;/dates&gt;&lt;label&gt;I / H&lt;/label&gt;&lt;urls&gt;&lt;/urls&gt;&lt;/record&gt;&lt;/Cite&gt;&lt;Cite&gt;&lt;Author&gt;Marmot&lt;/Author&gt;&lt;Year&gt;1986&lt;/Year&gt;&lt;RecNum&gt;35&lt;/RecNum&gt;&lt;record&gt;&lt;rec-number&gt;35&lt;/rec-number&gt;&lt;ref-type name="Book Section"&gt;5&lt;/ref-type&gt;&lt;contributors&gt;&lt;authors&gt;&lt;author&gt;Marmot, M.G.&lt;/author&gt;&lt;/authors&gt;&lt;secondary-authors&gt;&lt;author&gt;Wilkinson, R.G.&lt;/author&gt;&lt;/secondary-authors&gt;&lt;/contributors&gt;&lt;titles&gt;&lt;title&gt;Social Inequalities in Mortality: The Social Environment&lt;/title&gt;&lt;secondary-title&gt;Class and Health: Research and Longitudinal Data&lt;/secondary-title&gt;&lt;/titles&gt;&lt;pages&gt;21-33&lt;/pages&gt;&lt;dates&gt;&lt;year&gt;1986&lt;/year&gt;&lt;/dates&gt;&lt;pub-location&gt;London&lt;/pub-location&gt;&lt;publisher&gt;Tavistock&lt;/publisher&gt;&lt;urls&gt;&lt;/urls&gt;&lt;/record&gt;&lt;/Cite&gt;&lt;Cite&gt;&lt;Author&gt;Marmot&lt;/Author&gt;&lt;Year&gt;1993&lt;/Year&gt;&lt;RecNum&gt;36&lt;/RecNum&gt;&lt;record&gt;&lt;rec-number&gt;36&lt;/rec-number&gt;&lt;ref-type name="Conference Proceedings"&gt;10&lt;/ref-type&gt;&lt;contributors&gt;&lt;authors&gt;&lt;author&gt;Marmot, M.G.&lt;/author&gt;&lt;/authors&gt;&lt;/contributors&gt;&lt;titles&gt;&lt;title&gt;Social differentials in health within and between populations&lt;/title&gt;&lt;secondary-title&gt;Proceedings of the 11th Honda Foundation Discoveries Symposium, Prosperity, Health and Well-being&lt;/secondary-title&gt;&lt;/titles&gt;&lt;dates&gt;&lt;year&gt;1993&lt;/year&gt;&lt;/dates&gt;&lt;pub-location&gt;Toronto&lt;/pub-location&gt;&lt;publisher&gt;Canadian Institute for Advanced Research&lt;/publisher&gt;&lt;urls&gt;&lt;/urls&gt;&lt;/record&gt;&lt;/Cite&gt;&lt;Cite&gt;&lt;Author&gt;Townsend&lt;/Author&gt;&lt;Year&gt;1986&lt;/Year&gt;&lt;RecNum&gt;30&lt;/RecNum&gt;&lt;record&gt;&lt;rec-number&gt;30&lt;/rec-number&gt;&lt;ref-type name="Edited Book"&gt;28&lt;/ref-type&gt;&lt;contributors&gt;&lt;authors&gt;&lt;author&gt;Townsend, P.&lt;/author&gt;&lt;author&gt;Davidson, N.&lt;/author&gt;&lt;author&gt;Whitehead, M.&lt;/author&gt;&lt;/authors&gt;&lt;/contributors&gt;&lt;titles&gt;&lt;title&gt;Inequalities in Health: The Black Report and the Health Divide&lt;/title&gt;&lt;/titles&gt;&lt;dates&gt;&lt;year&gt;1986&lt;/year&gt;&lt;/dates&gt;&lt;pub-location&gt;Harmondsworth&lt;/pub-location&gt;&lt;publisher&gt;Penguin Books&lt;/publisher&gt;&lt;urls&gt;&lt;/urls&gt;&lt;/record&gt;&lt;/Cite&gt;&lt;Cite&gt;&lt;Author&gt;Odoi&lt;/Author&gt;&lt;Year&gt;2005&lt;/Year&gt;&lt;RecNum&gt;16&lt;/RecNum&gt;&lt;record&gt;&lt;rec-number&gt;16&lt;/rec-number&gt;&lt;ref-type name="Journal Article"&gt;17&lt;/ref-type&gt;&lt;contributors&gt;&lt;authors&gt;&lt;author&gt;Odoi, A.&lt;/author&gt;&lt;author&gt;Wray, R.&lt;/author&gt;&lt;author&gt;Emo, M. &lt;/author&gt;&lt;author&gt;Birch, S.&lt;/author&gt;&lt;author&gt;Hutchison, B. &lt;/author&gt;&lt;author&gt;Eyles, J.&lt;/author&gt;&lt;author&gt;Abernathy, T.&lt;/author&gt;&lt;/authors&gt;&lt;/contributors&gt;&lt;titles&gt;&lt;title&gt;Inequalities in neighbourhood socioeconomic characteristics: potential evidence-base for neighbourhood health planning&lt;/title&gt;&lt;secondary-title&gt;International Journal of Health Geographics&lt;/secondary-title&gt;&lt;/titles&gt;&lt;periodical&gt;&lt;full-title&gt;International Journal of Health Geographics&lt;/full-title&gt;&lt;/periodical&gt;&lt;pages&gt;1-15&lt;/pages&gt;&lt;volume&gt;4&lt;/volume&gt;&lt;number&gt;20&lt;/number&gt;&lt;dates&gt;&lt;year&gt;2005&lt;/year&gt;&lt;/dates&gt;&lt;urls&gt;&lt;/urls&gt;&lt;/record&gt;&lt;/Cite&gt;&lt;/EndNote&gt;</w:instrText>
      </w:r>
      <w:r>
        <w:fldChar w:fldCharType="separate"/>
      </w:r>
      <w:bookmarkStart w:id="6" w:name="__Fieldmark__160_1322453857"/>
      <w:r>
        <w:rPr>
          <w:rFonts w:cs="Times" w:ascii="Times" w:hAnsi="Times"/>
          <w:sz w:val="22"/>
        </w:rPr>
        <w:t>[12-26]</w:t>
      </w:r>
      <w:r>
        <w:rPr>
          <w:rFonts w:cs="Times" w:ascii="Times" w:hAnsi="Times"/>
          <w:sz w:val="22"/>
        </w:rPr>
      </w:r>
      <w:r>
        <w:fldChar w:fldCharType="end"/>
      </w:r>
      <w:bookmarkEnd w:id="6"/>
      <w:r>
        <w:rPr>
          <w:rFonts w:cs="Times" w:ascii="Times" w:hAnsi="Times"/>
          <w:sz w:val="22"/>
        </w:rPr>
        <w:t xml:space="preserve">. GIS mapping technology has been employed for illustrating spatial patterns of social gradients in health outcomes </w:t>
      </w:r>
      <w:r>
        <w:fldChar w:fldCharType="begin"/>
      </w:r>
      <w:r>
        <w:instrText> ADDIN EN.CITE &lt;EndNote&gt;&lt;Cite&gt;&lt;Author&gt;Pampalon&lt;/Author&gt;&lt;Year&gt;2000&lt;/Year&gt;&lt;RecNum&gt;66&lt;/RecNum&gt;&lt;record&gt;&lt;rec-number&gt;66&lt;/rec-number&gt;&lt;ref-type name="Journal Article"&gt;17&lt;/ref-type&gt;&lt;contributors&gt;&lt;authors&gt;&lt;author&gt;Pampalon, Robert&lt;/author&gt;&lt;author&gt;Raymond, Guy&lt;/author&gt;&lt;/authors&gt;&lt;/contributors&gt;&lt;titles&gt;&lt;title&gt;A Deprivation Index for Health and Welfare Planning in Quebec&lt;/title&gt;&lt;secondary-title&gt;Chronic Diseases in Canada&lt;/secondary-title&gt;&lt;/titles&gt;&lt;periodical&gt;&lt;full-title&gt;Chronic Diseases in Canada&lt;/full-title&gt;&lt;/periodical&gt;&lt;pages&gt;104-113&lt;/pages&gt;&lt;volume&gt;21&lt;/volume&gt;&lt;number&gt;3&lt;/number&gt;&lt;keywords&gt;&lt;keyword&gt;Reviewed: Yes&lt;/keyword&gt;&lt;/keywords&gt;&lt;dates&gt;&lt;year&gt;2000&lt;/year&gt;&lt;/dates&gt;&lt;label&gt;I / H&lt;/label&gt;&lt;urls&gt;&lt;related-urls&gt;&lt;url&gt;http://www.hc-sc.gc.ca/pphb-dgspsp/publicat/cdic-mcc/21-3/b_e.html&lt;/url&gt;&lt;/related-urls&gt;&lt;/urls&gt;&lt;/record&gt;&lt;/Cite&gt;&lt;/EndNote&gt;</w:instrText>
      </w:r>
      <w:r>
        <w:fldChar w:fldCharType="separate"/>
      </w:r>
      <w:bookmarkStart w:id="7" w:name="__Fieldmark__161_1322453857"/>
      <w:r>
        <w:rPr>
          <w:rFonts w:cs="Times" w:ascii="Times" w:hAnsi="Times"/>
          <w:sz w:val="22"/>
        </w:rPr>
        <w:t>[27]</w:t>
      </w:r>
      <w:r>
        <w:rPr>
          <w:rFonts w:cs="Times" w:ascii="Times" w:hAnsi="Times"/>
          <w:sz w:val="22"/>
        </w:rPr>
      </w:r>
      <w:r>
        <w:fldChar w:fldCharType="end"/>
      </w:r>
      <w:bookmarkEnd w:id="7"/>
      <w:r>
        <w:rPr>
          <w:rFonts w:cs="Times" w:ascii="Times" w:hAnsi="Times"/>
          <w:sz w:val="22"/>
        </w:rPr>
        <w:t xml:space="preserve"> but perhaps not utilized the full analytical capabilities of this technology. This study measures the impact of societal and geographic factors on injury risk and illustrates the analytical potential of GIS for refining our understanding of community-specific determinants of injury. </w:t>
        <w:tab/>
      </w:r>
      <w:r>
        <w:br w:type="page"/>
      </w:r>
    </w:p>
    <w:p>
      <w:pPr>
        <w:pStyle w:val="Normal"/>
        <w:keepNext/>
        <w:spacing w:lineRule="auto" w:line="360" w:before="120" w:after="120"/>
        <w:rPr>
          <w:rFonts w:ascii="Times" w:hAnsi="Times" w:cs="Times"/>
          <w:b/>
          <w:b/>
          <w:sz w:val="22"/>
        </w:rPr>
      </w:pPr>
      <w:r>
        <w:rPr>
          <w:rFonts w:cs="Times" w:ascii="Times" w:hAnsi="Times"/>
          <w:b/>
          <w:sz w:val="22"/>
        </w:rPr>
        <w:t>Methods</w:t>
      </w:r>
    </w:p>
    <w:p>
      <w:pPr>
        <w:pStyle w:val="Para"/>
        <w:spacing w:lineRule="auto" w:line="360"/>
        <w:ind w:hanging="0"/>
        <w:rPr>
          <w:rFonts w:ascii="Times" w:hAnsi="Times" w:cs="Times"/>
          <w:sz w:val="22"/>
          <w:u w:val="single"/>
        </w:rPr>
      </w:pPr>
      <w:r>
        <w:rPr>
          <w:rFonts w:cs="Times" w:ascii="Times" w:hAnsi="Times"/>
          <w:sz w:val="22"/>
          <w:u w:val="single"/>
        </w:rPr>
        <w:t>Study population</w:t>
      </w:r>
    </w:p>
    <w:p>
      <w:pPr>
        <w:pStyle w:val="Normal"/>
        <w:spacing w:lineRule="auto" w:line="360"/>
        <w:rPr/>
      </w:pPr>
      <w:r>
        <w:rPr>
          <w:rFonts w:cs="Times" w:ascii="Times" w:hAnsi="Times"/>
          <w:sz w:val="22"/>
        </w:rPr>
        <w:t>Metro Vancouver is a partnership of 21 municipalities and one electoral area with a combined population of over 2 million (</w:t>
      </w:r>
      <w:hyperlink r:id="rId2">
        <w:r>
          <w:rPr>
            <w:rStyle w:val="InternetLink"/>
            <w:rFonts w:cs="Times" w:ascii="Times" w:hAnsi="Times"/>
            <w:sz w:val="22"/>
          </w:rPr>
          <w:t>www.gvrd.bc.ca</w:t>
        </w:r>
      </w:hyperlink>
      <w:r>
        <w:rPr>
          <w:rFonts w:cs="Times" w:ascii="Times" w:hAnsi="Times"/>
          <w:sz w:val="22"/>
        </w:rPr>
        <w:t xml:space="preserve">) in the Canadian province of British Columbia (BC). The region is a large and diverse urban area with high population density and an integrated system of trauma triage and treatment. Although there are numerous hospitals in the area, severely injured patients are, for the most part, transported to one of 4 trauma receiving hospitals. Data from patients admitted with severe injuries (Injury Severity Score </w:t>
      </w:r>
      <w:r>
        <w:rPr>
          <w:rFonts w:cs="Times" w:ascii="Times" w:hAnsi="Times"/>
          <w:sz w:val="22"/>
          <w:u w:val="single"/>
        </w:rPr>
        <w:t>&gt;</w:t>
      </w:r>
      <w:r>
        <w:rPr>
          <w:rFonts w:cs="Times" w:ascii="Times" w:hAnsi="Times"/>
          <w:sz w:val="22"/>
        </w:rPr>
        <w:t xml:space="preserve"> 12 or 2 or more days in hospital) to any of these hospitals are included in the British Columbia Trauma Registry (BCTR). </w:t>
      </w:r>
    </w:p>
    <w:p>
      <w:pPr>
        <w:pStyle w:val="Heading7"/>
        <w:numPr>
          <w:ilvl w:val="6"/>
          <w:numId w:val="1"/>
        </w:numPr>
        <w:spacing w:lineRule="auto" w:line="360"/>
        <w:rPr>
          <w:rFonts w:ascii="Times" w:hAnsi="Times" w:cs="Times"/>
          <w:sz w:val="22"/>
        </w:rPr>
      </w:pPr>
      <w:r>
        <w:rPr>
          <w:rFonts w:cs="Times" w:ascii="Times" w:hAnsi="Times"/>
          <w:sz w:val="22"/>
        </w:rPr>
      </w:r>
    </w:p>
    <w:p>
      <w:pPr>
        <w:pStyle w:val="Normal"/>
        <w:spacing w:lineRule="auto" w:line="360"/>
        <w:rPr/>
      </w:pPr>
      <w:r>
        <w:rPr>
          <w:rFonts w:cs="Times" w:ascii="Times" w:hAnsi="Times"/>
          <w:sz w:val="22"/>
        </w:rPr>
        <w:t xml:space="preserve">The study cohort was considered to be all adults (age </w:t>
      </w:r>
      <w:r>
        <w:rPr>
          <w:rFonts w:cs="Times" w:ascii="Times" w:hAnsi="Times"/>
          <w:sz w:val="22"/>
          <w:u w:val="single"/>
        </w:rPr>
        <w:t>&gt;</w:t>
      </w:r>
      <w:r>
        <w:rPr>
          <w:rFonts w:cs="Times" w:ascii="Times" w:hAnsi="Times"/>
          <w:sz w:val="22"/>
        </w:rPr>
        <w:t xml:space="preserve"> 18) with home addresses within the boundaries of Metro Vancouver. Data on the outcome of interest, severe trauma among residents of Metro Vancouver, were derived from the BCTR. The analysis focused on four injury mechanisms, including assault, pedestrian trauma, motor vehicle crashes (MVCs) and falls over the past 5 years (2001-2006). ICD-10 classification coding was used to determine injury mechanism. </w:t>
      </w:r>
    </w:p>
    <w:p>
      <w:pPr>
        <w:pStyle w:val="Para"/>
        <w:spacing w:lineRule="auto" w:line="360"/>
        <w:ind w:hanging="0"/>
        <w:rPr>
          <w:rFonts w:ascii="Times" w:hAnsi="Times" w:cs="Times"/>
          <w:sz w:val="22"/>
        </w:rPr>
      </w:pPr>
      <w:r>
        <w:rPr>
          <w:rFonts w:cs="Times" w:ascii="Times" w:hAnsi="Times"/>
          <w:sz w:val="22"/>
        </w:rPr>
      </w:r>
    </w:p>
    <w:p>
      <w:pPr>
        <w:pStyle w:val="Para"/>
        <w:spacing w:lineRule="auto" w:line="360"/>
        <w:ind w:hanging="0"/>
        <w:rPr>
          <w:rFonts w:ascii="Times" w:hAnsi="Times" w:cs="Times"/>
          <w:sz w:val="22"/>
          <w:u w:val="single"/>
        </w:rPr>
      </w:pPr>
      <w:r>
        <w:rPr>
          <w:rFonts w:cs="Times" w:ascii="Times" w:hAnsi="Times"/>
          <w:sz w:val="22"/>
          <w:u w:val="single"/>
        </w:rPr>
        <w:t>Measurement of socioeconomic status</w:t>
      </w:r>
    </w:p>
    <w:p>
      <w:pPr>
        <w:pStyle w:val="Para"/>
        <w:spacing w:lineRule="auto" w:line="360"/>
        <w:ind w:hanging="0"/>
        <w:rPr/>
      </w:pPr>
      <w:r>
        <w:rPr>
          <w:rFonts w:cs="Times" w:ascii="Times" w:hAnsi="Times"/>
          <w:sz w:val="22"/>
        </w:rPr>
        <w:tab/>
        <w:t xml:space="preserve">Neighbourhood SES was modeled using socio-economic data obtained from the 2001 Canadian Census. The proxy measure of socio-economic inequality was modeled using the </w:t>
      </w:r>
      <w:r>
        <w:rPr>
          <w:rFonts w:cs="Times" w:ascii="Times" w:hAnsi="Times"/>
          <w:i/>
          <w:sz w:val="22"/>
        </w:rPr>
        <w:t xml:space="preserve">Vancouver Area Neighbourhood Deprivation Index </w:t>
      </w:r>
      <w:r>
        <w:rPr>
          <w:rFonts w:cs="Times" w:ascii="Times" w:hAnsi="Times"/>
          <w:sz w:val="22"/>
        </w:rPr>
        <w:t xml:space="preserve">(VANDIX). The VANDIX was previously constructed by the authors for the purpose of measuring the influence of the socio-economic factors that shape health outcomes throughout British Columbia </w:t>
      </w:r>
      <w:r>
        <w:fldChar w:fldCharType="begin"/>
      </w:r>
      <w:r>
        <w:instrText> ADDIN EN.CITE &lt;EndNote&gt;&lt;Cite&gt;&lt;Author&gt;Bell&lt;/Author&gt;&lt;Year&gt;accepted 2007&lt;/Year&gt;&lt;RecNum&gt;42&lt;/RecNum&gt;&lt;record&gt;&lt;rec-number&gt;42&lt;/rec-number&gt;&lt;ref-type name="Journal Article"&gt;17&lt;/ref-type&gt;&lt;contributors&gt;&lt;authors&gt;&lt;author&gt;Bell, Nathaniel&lt;/author&gt;&lt;author&gt;Schuurman, Nadine&lt;/author&gt;&lt;author&gt;Oliver, Lisa&lt;/author&gt;&lt;author&gt;Hayes, Michael V.&lt;/author&gt;&lt;/authors&gt;&lt;/contributors&gt;&lt;titles&gt;&lt;title&gt;Towards the Construction of Place-Specific Measures of Deprivation: A Case Study from the Vancouver Metropolitan Area&lt;/title&gt;&lt;secondary-title&gt;The Canadian Geographer&lt;/secondary-title&gt;&lt;/titles&gt;&lt;periodical&gt;&lt;full-title&gt;The Canadian Geographer&lt;/full-title&gt;&lt;/periodical&gt;&lt;dates&gt;&lt;year&gt;accepted 2007&lt;/year&gt;&lt;/dates&gt;&lt;urls&gt;&lt;/urls&gt;&lt;/record&gt;&lt;/Cite&gt;&lt;/EndNote&gt;</w:instrText>
      </w:r>
      <w:r>
        <w:fldChar w:fldCharType="separate"/>
      </w:r>
      <w:bookmarkStart w:id="8" w:name="__Fieldmark__162_1322453857"/>
      <w:r>
        <w:rPr>
          <w:rFonts w:cs="Times" w:ascii="Times" w:hAnsi="Times"/>
          <w:sz w:val="22"/>
        </w:rPr>
        <w:t>[28]</w:t>
      </w:r>
      <w:r>
        <w:rPr>
          <w:rFonts w:cs="Times" w:ascii="Times" w:hAnsi="Times"/>
          <w:sz w:val="22"/>
        </w:rPr>
      </w:r>
      <w:r>
        <w:fldChar w:fldCharType="end"/>
      </w:r>
      <w:bookmarkEnd w:id="8"/>
      <w:r>
        <w:rPr>
          <w:rFonts w:cs="Times" w:ascii="Times" w:hAnsi="Times"/>
          <w:sz w:val="22"/>
        </w:rPr>
        <w:t xml:space="preserve">. Briefly, the VANDIX was constructed from a survey of British Columbia’s Medical Health Officers (MHOs) between the months of June and August, 2005. Because socio-economic deprivation can be linked to multiple aspects of social and material inequality the survey included a number of SES variables taken from previously constructed deprivation indices in the UK in addition to more specific variables specific to the health and well-being of Canadians </w:t>
      </w:r>
      <w:r>
        <w:fldChar w:fldCharType="begin"/>
      </w:r>
      <w:r>
        <w:instrText> ADDIN EN.CITE &lt;EndNote&gt;&lt;Cite&gt;&lt;Author&gt;Frohlich&lt;/Author&gt;&lt;Year&gt;1996&lt;/Year&gt;&lt;RecNum&gt;14&lt;/RecNum&gt;&lt;record&gt;&lt;rec-number&gt;14&lt;/rec-number&gt;&lt;ref-type name="Journal Article"&gt;17&lt;/ref-type&gt;&lt;contributors&gt;&lt;authors&gt;&lt;author&gt;Frohlich, Katherine L. &lt;/author&gt;&lt;author&gt;Mustard, Cam&lt;/author&gt;&lt;/authors&gt;&lt;/contributors&gt;&lt;titles&gt;&lt;title&gt;A regional comparison of socioeconomic and health indices in a Canadian province&lt;/title&gt;&lt;secondary-title&gt;Social Science &amp;amp; Medicine&lt;/secondary-title&gt;&lt;/titles&gt;&lt;periodical&gt;&lt;full-title&gt;Social Science &amp;amp; Medicine&lt;/full-title&gt;&lt;/periodical&gt;&lt;pages&gt;1273-1281&lt;/pages&gt;&lt;volume&gt;42&lt;/volume&gt;&lt;number&gt;9&lt;/number&gt;&lt;keywords&gt;&lt;keyword&gt;Canada, Deprivation indicies, health service utilization, socioeconomic and health indicies&lt;/keyword&gt;&lt;/keywords&gt;&lt;dates&gt;&lt;year&gt;1996&lt;/year&gt;&lt;/dates&gt;&lt;label&gt;GIS Indicies&amp;#xD;Deprivation Index&amp;#xD;urban structure&lt;/label&gt;&lt;urls&gt;&lt;/urls&gt;&lt;/record&gt;&lt;/Cite&gt;&lt;Cite&gt;&lt;Author&gt;Langlois&lt;/Author&gt;&lt;Year&gt;2001&lt;/Year&gt;&lt;RecNum&gt;38&lt;/RecNum&gt;&lt;record&gt;&lt;rec-number&gt;38&lt;/rec-number&gt;&lt;ref-type name="Journal Article"&gt;17&lt;/ref-type&gt;&lt;contributors&gt;&lt;authors&gt;&lt;author&gt;Langlois, A.&lt;/author&gt;&lt;author&gt;Kitchen, P.&lt;/author&gt;&lt;/authors&gt;&lt;/contributors&gt;&lt;titles&gt;&lt;title&gt;Identifying and Measuring Dimensions of Urban Deprivation in Montreal: An Analysis of the 1996 Census Data&lt;/title&gt;&lt;secondary-title&gt;Urban Studies&lt;/secondary-title&gt;&lt;/titles&gt;&lt;periodical&gt;&lt;full-title&gt;Urban Studies&lt;/full-title&gt;&lt;/periodical&gt;&lt;pages&gt;119-139&lt;/pages&gt;&lt;volume&gt;38&lt;/volume&gt;&lt;number&gt;1&lt;/number&gt;&lt;dates&gt;&lt;year&gt;2001&lt;/year&gt;&lt;/dates&gt;&lt;label&gt;Deprivation Index&lt;/label&gt;&lt;urls&gt;&lt;/urls&gt;&lt;/record&gt;&lt;/Cite&gt;&lt;Cite&gt;&lt;Author&gt;Pampalon&lt;/Author&gt;&lt;Year&gt;2000&lt;/Year&gt;&lt;RecNum&gt;21&lt;/RecNum&gt;&lt;record&gt;&lt;rec-number&gt;21&lt;/rec-number&gt;&lt;ref-type name="Journal Article"&gt;17&lt;/ref-type&gt;&lt;contributors&gt;&lt;authors&gt;&lt;author&gt;Pampalon, Robert&lt;/author&gt;&lt;author&gt;Raymond, Guy&lt;/author&gt;&lt;/authors&gt;&lt;/contributors&gt;&lt;titles&gt;&lt;title&gt;A Deprivation Index for Health and Welfare Planning in Quebec&lt;/title&gt;&lt;secondary-title&gt;Chronic Diseases in Canada&lt;/secondary-title&gt;&lt;/titles&gt;&lt;periodical&gt;&lt;full-title&gt;Chronic Diseases in Canada&lt;/full-title&gt;&lt;/periodical&gt;&lt;pages&gt;104-113&lt;/pages&gt;&lt;volume&gt;21&lt;/volume&gt;&lt;number&gt;3&lt;/number&gt;&lt;keywords&gt;&lt;keyword&gt;Reviewed: Yes&lt;/keyword&gt;&lt;/keywords&gt;&lt;dates&gt;&lt;year&gt;2000&lt;/year&gt;&lt;/dates&gt;&lt;label&gt;I / H&lt;/label&gt;&lt;urls&gt;&lt;related-urls&gt;&lt;url&gt;http://www.hc-sc.gc.ca/pphb-dgspsp/publicat/cdic-mcc/21-3/b_e.html&lt;/url&gt;&lt;/related-urls&gt;&lt;/urls&gt;&lt;/record&gt;&lt;/Cite&gt;&lt;/EndNote&gt;</w:instrText>
      </w:r>
      <w:r>
        <w:fldChar w:fldCharType="separate"/>
      </w:r>
      <w:bookmarkStart w:id="9" w:name="__Fieldmark__163_1322453857"/>
      <w:r>
        <w:rPr>
          <w:rFonts w:cs="Times" w:ascii="Times" w:hAnsi="Times"/>
          <w:sz w:val="22"/>
        </w:rPr>
        <w:t>[13, 27, 29]</w:t>
      </w:r>
      <w:r>
        <w:rPr>
          <w:rFonts w:cs="Times" w:ascii="Times" w:hAnsi="Times"/>
          <w:sz w:val="22"/>
        </w:rPr>
      </w:r>
      <w:r>
        <w:fldChar w:fldCharType="end"/>
      </w:r>
      <w:bookmarkEnd w:id="9"/>
      <w:r>
        <w:rPr>
          <w:rFonts w:cs="Times" w:ascii="Times" w:hAnsi="Times"/>
          <w:sz w:val="22"/>
        </w:rPr>
        <w:t xml:space="preserve">. A total of 21 variables obtained from the 2001 Canadian Census were included in the original questionnaire. MHOs were asked to rank each variable according to its importance in characterizing relative health outcomes. The final index was constructed using the frequency of their response scores (see table 1). A core portion of the survey included variables related secondary and post secondary education, unemployment rates and employment ratios, in addition to average income. Family demographics, such as lone parent families and household overcrowding, were also included. Other variables included immigration and spoken language, mobility, and marital status. </w:t>
      </w:r>
    </w:p>
    <w:p>
      <w:pPr>
        <w:pStyle w:val="Para"/>
        <w:spacing w:lineRule="auto" w:line="360"/>
        <w:ind w:hanging="0"/>
        <w:rPr>
          <w:rFonts w:ascii="Times" w:hAnsi="Times" w:cs="Times"/>
          <w:sz w:val="22"/>
        </w:rPr>
      </w:pPr>
      <w:r>
        <w:rPr>
          <w:rFonts w:cs="Times" w:ascii="Times" w:hAnsi="Times"/>
          <w:sz w:val="22"/>
        </w:rPr>
      </w:r>
    </w:p>
    <w:p>
      <w:pPr>
        <w:pStyle w:val="Para"/>
        <w:spacing w:lineRule="auto" w:line="360"/>
        <w:ind w:hanging="0"/>
        <w:rPr>
          <w:rFonts w:ascii="Times" w:hAnsi="Times" w:cs="Times"/>
          <w:sz w:val="22"/>
          <w:u w:val="single"/>
        </w:rPr>
      </w:pPr>
      <w:r>
        <w:rPr>
          <w:rFonts w:cs="Times" w:ascii="Times" w:hAnsi="Times"/>
          <w:sz w:val="22"/>
          <w:u w:val="single"/>
        </w:rPr>
        <w:t>Spatial analysis</w:t>
      </w:r>
    </w:p>
    <w:p>
      <w:pPr>
        <w:pStyle w:val="Normal"/>
        <w:spacing w:lineRule="auto" w:line="360"/>
        <w:ind w:firstLine="720"/>
        <w:rPr/>
      </w:pPr>
      <w:r>
        <w:rPr>
          <w:rFonts w:cs="Times" w:ascii="Times" w:hAnsi="Times"/>
          <w:sz w:val="22"/>
        </w:rPr>
        <w:t xml:space="preserve">Using GIS, each census spatial unit was linked to attribute types using a </w:t>
      </w:r>
      <w:r>
        <w:rPr>
          <w:rFonts w:cs="Times" w:ascii="Times" w:hAnsi="Times"/>
          <w:i/>
          <w:sz w:val="22"/>
        </w:rPr>
        <w:t>census unique identifier</w:t>
      </w:r>
      <w:r>
        <w:rPr>
          <w:rFonts w:cs="Times" w:ascii="Times" w:hAnsi="Times"/>
          <w:sz w:val="22"/>
        </w:rPr>
        <w:t xml:space="preserve">, which is a uniquely defined administrative identification number assigned for both spatial and tabular data. Raw rates for each SES variable were assigned to each census unit. The variables were then standardized using z-scores and multiplied by the corresponding weight originally assigned in the VANDIX using the </w:t>
      </w:r>
      <w:r>
        <w:rPr>
          <w:rFonts w:cs="Times" w:ascii="Times" w:hAnsi="Times"/>
          <w:i/>
          <w:sz w:val="22"/>
        </w:rPr>
        <w:t>field calculator</w:t>
      </w:r>
      <w:r>
        <w:rPr>
          <w:rFonts w:cs="Times" w:ascii="Times" w:hAnsi="Times"/>
          <w:sz w:val="22"/>
        </w:rPr>
        <w:t>, which is part of ArcGIS</w:t>
      </w:r>
      <w:r>
        <w:rPr>
          <w:rFonts w:cs="Times" w:ascii="Times" w:hAnsi="Times"/>
          <w:sz w:val="22"/>
          <w:vertAlign w:val="superscript"/>
        </w:rPr>
        <w:t>©</w:t>
      </w:r>
      <w:r>
        <w:rPr>
          <w:rFonts w:cs="Times" w:ascii="Times" w:hAnsi="Times"/>
          <w:sz w:val="22"/>
        </w:rPr>
        <w:t xml:space="preserve"> software package produced by the </w:t>
      </w:r>
      <w:r>
        <w:rPr>
          <w:rFonts w:cs="Times" w:ascii="Times" w:hAnsi="Times"/>
          <w:i/>
          <w:sz w:val="22"/>
        </w:rPr>
        <w:t xml:space="preserve">Environmental Systems Research Institute </w:t>
      </w:r>
      <w:r>
        <w:rPr>
          <w:rFonts w:cs="Times" w:ascii="Times" w:hAnsi="Times"/>
          <w:sz w:val="22"/>
        </w:rPr>
        <w:t xml:space="preserve">(ESRI). Standardized z-scores are one of many ways to construct deprivation indices, which can also include log transformations, Principal Component or Factor Analysis </w:t>
      </w:r>
      <w:r>
        <w:fldChar w:fldCharType="begin"/>
      </w:r>
      <w:r>
        <w:instrText> ADDIN EN.CITE &lt;EndNote&gt;&lt;Cite&gt;&lt;Author&gt;Frohlich&lt;/Author&gt;&lt;Year&gt;1996&lt;/Year&gt;&lt;RecNum&gt;14&lt;/RecNum&gt;&lt;record&gt;&lt;rec-number&gt;14&lt;/rec-number&gt;&lt;ref-type name="Journal Article"&gt;17&lt;/ref-type&gt;&lt;contributors&gt;&lt;authors&gt;&lt;author&gt;Frohlich, Katherine L. &lt;/author&gt;&lt;author&gt;Mustard, Cam&lt;/author&gt;&lt;/authors&gt;&lt;/contributors&gt;&lt;titles&gt;&lt;title&gt;A regional comparison of socioeconomic and health indices in a Canadian province&lt;/title&gt;&lt;secondary-title&gt;Social Science &amp;amp; Medicine&lt;/secondary-title&gt;&lt;/titles&gt;&lt;periodical&gt;&lt;full-title&gt;Social Science &amp;amp; Medicine&lt;/full-title&gt;&lt;/periodical&gt;&lt;pages&gt;1273-1281&lt;/pages&gt;&lt;volume&gt;42&lt;/volume&gt;&lt;number&gt;9&lt;/number&gt;&lt;keywords&gt;&lt;keyword&gt;Canada, Deprivation indicies, health service utilization, socioeconomic and health indicies&lt;/keyword&gt;&lt;/keywords&gt;&lt;dates&gt;&lt;year&gt;1996&lt;/year&gt;&lt;/dates&gt;&lt;label&gt;GIS Indicies&amp;#xD;Deprivation Index&amp;#xD;urban structure&lt;/label&gt;&lt;urls&gt;&lt;/urls&gt;&lt;/record&gt;&lt;/Cite&gt;&lt;Cite&gt;&lt;Author&gt;Langlois&lt;/Author&gt;&lt;Year&gt;2001&lt;/Year&gt;&lt;RecNum&gt;38&lt;/RecNum&gt;&lt;record&gt;&lt;rec-number&gt;38&lt;/rec-number&gt;&lt;ref-type name="Journal Article"&gt;17&lt;/ref-type&gt;&lt;contributors&gt;&lt;authors&gt;&lt;author&gt;Langlois, A.&lt;/author&gt;&lt;author&gt;Kitchen, P.&lt;/author&gt;&lt;/authors&gt;&lt;/contributors&gt;&lt;titles&gt;&lt;title&gt;Identifying and Measuring Dimensions of Urban Deprivation in Montreal: An Analysis of the 1996 Census Data&lt;/title&gt;&lt;secondary-title&gt;Urban Studies&lt;/secondary-title&gt;&lt;/titles&gt;&lt;periodical&gt;&lt;full-title&gt;Urban Studies&lt;/full-title&gt;&lt;/periodical&gt;&lt;pages&gt;119-139&lt;/pages&gt;&lt;volume&gt;38&lt;/volume&gt;&lt;number&gt;1&lt;/number&gt;&lt;dates&gt;&lt;year&gt;2001&lt;/year&gt;&lt;/dates&gt;&lt;label&gt;Deprivation Index&lt;/label&gt;&lt;urls&gt;&lt;/urls&gt;&lt;/record&gt;&lt;/Cite&gt;&lt;Cite&gt;&lt;Author&gt;Pampalon&lt;/Author&gt;&lt;Year&gt;2000&lt;/Year&gt;&lt;RecNum&gt;21&lt;/RecNum&gt;&lt;record&gt;&lt;rec-number&gt;21&lt;/rec-number&gt;&lt;ref-type name="Journal Article"&gt;17&lt;/ref-type&gt;&lt;contributors&gt;&lt;authors&gt;&lt;author&gt;Pampalon, Robert&lt;/author&gt;&lt;author&gt;Raymond, Guy&lt;/author&gt;&lt;/authors&gt;&lt;/contributors&gt;&lt;titles&gt;&lt;title&gt;A Deprivation Index for Health and Welfare Planning in Quebec&lt;/title&gt;&lt;secondary-title&gt;Chronic Diseases in Canada&lt;/secondary-title&gt;&lt;/titles&gt;&lt;periodical&gt;&lt;full-title&gt;Chronic Diseases in Canada&lt;/full-title&gt;&lt;/periodical&gt;&lt;pages&gt;104-113&lt;/pages&gt;&lt;volume&gt;21&lt;/volume&gt;&lt;number&gt;3&lt;/number&gt;&lt;keywords&gt;&lt;keyword&gt;Reviewed: Yes&lt;/keyword&gt;&lt;/keywords&gt;&lt;dates&gt;&lt;year&gt;2000&lt;/year&gt;&lt;/dates&gt;&lt;label&gt;I / H&lt;/label&gt;&lt;urls&gt;&lt;related-urls&gt;&lt;url&gt;http://www.hc-sc.gc.ca/pphb-dgspsp/publicat/cdic-mcc/21-3/b_e.html&lt;/url&gt;&lt;/related-urls&gt;&lt;/urls&gt;&lt;/record&gt;&lt;/Cite&gt;&lt;/EndNote&gt;</w:instrText>
      </w:r>
      <w:r>
        <w:fldChar w:fldCharType="separate"/>
      </w:r>
      <w:bookmarkStart w:id="10" w:name="__Fieldmark__164_1322453857"/>
      <w:r>
        <w:rPr>
          <w:rFonts w:cs="Times" w:ascii="Times" w:hAnsi="Times"/>
          <w:sz w:val="22"/>
        </w:rPr>
        <w:t>[13, 27, 29]</w:t>
      </w:r>
      <w:r>
        <w:rPr>
          <w:rFonts w:cs="Times" w:ascii="Times" w:hAnsi="Times"/>
          <w:sz w:val="22"/>
        </w:rPr>
      </w:r>
      <w:r>
        <w:fldChar w:fldCharType="end"/>
      </w:r>
      <w:bookmarkEnd w:id="10"/>
      <w:r>
        <w:rPr>
          <w:rFonts w:cs="Times" w:ascii="Times" w:hAnsi="Times"/>
          <w:sz w:val="22"/>
        </w:rPr>
        <w:t xml:space="preserve">. Census units with population counts less than 250 residents were filtered from the database in order to suppress data in areas with low population counts. Trauma cases within these units were also filtered. Due to the data restrictions associated with the census and to avoid ecological fallacy, SES data from the census were age-standardized by population group – but not by individual variables.  </w:t>
      </w:r>
    </w:p>
    <w:p>
      <w:pPr>
        <w:pStyle w:val="Para"/>
        <w:spacing w:lineRule="auto" w:line="360"/>
        <w:ind w:hanging="0"/>
        <w:rPr>
          <w:rFonts w:ascii="Times" w:hAnsi="Times" w:cs="Times"/>
          <w:sz w:val="22"/>
        </w:rPr>
      </w:pPr>
      <w:r>
        <w:rPr>
          <w:rFonts w:cs="Times" w:ascii="Times" w:hAnsi="Times"/>
          <w:sz w:val="22"/>
        </w:rPr>
        <w:tab/>
        <w:t xml:space="preserve">Only assault cases were examined using a spatial clustering test. This test for spatial dependency was conducted at three scales using </w:t>
      </w:r>
      <w:r>
        <w:rPr>
          <w:rFonts w:cs="Times" w:ascii="Times" w:hAnsi="Times"/>
          <w:i/>
          <w:sz w:val="22"/>
        </w:rPr>
        <w:t xml:space="preserve">Moran’s I </w:t>
      </w:r>
      <w:r>
        <w:fldChar w:fldCharType="begin"/>
      </w:r>
      <w:r>
        <w:instrText> ADDIN EN.CITE &lt;EndNote&gt;&lt;Cite&gt;&lt;Author&gt;Moran&lt;/Author&gt;&lt;Year&gt;1948&lt;/Year&gt;&lt;RecNum&gt;50&lt;/RecNum&gt;&lt;record&gt;&lt;rec-number&gt;50&lt;/rec-number&gt;&lt;ref-type name="Journal Article"&gt;17&lt;/ref-type&gt;&lt;contributors&gt;&lt;authors&gt;&lt;author&gt;Moran, P.A.P.&lt;/author&gt;&lt;/authors&gt;&lt;/contributors&gt;&lt;titles&gt;&lt;title&gt;The Interpretation of Statistical Maps&lt;/title&gt;&lt;secondary-title&gt;Journal of the Royal Statistical Society. Series B&lt;/secondary-title&gt;&lt;/titles&gt;&lt;periodical&gt;&lt;full-title&gt;Journal of the Royal Statistical Society. Series B&lt;/full-title&gt;&lt;/periodical&gt;&lt;pages&gt;243-251&lt;/pages&gt;&lt;volume&gt;10&lt;/volume&gt;&lt;number&gt;2&lt;/number&gt;&lt;dates&gt;&lt;year&gt;1948&lt;/year&gt;&lt;/dates&gt;&lt;urls&gt;&lt;/urls&gt;&lt;/record&gt;&lt;/Cite&gt;&lt;/EndNote&gt;</w:instrText>
      </w:r>
      <w:r>
        <w:fldChar w:fldCharType="separate"/>
      </w:r>
      <w:bookmarkStart w:id="11" w:name="__Fieldmark__165_1322453857"/>
      <w:r>
        <w:rPr>
          <w:rFonts w:cs="Times" w:ascii="Times" w:hAnsi="Times"/>
          <w:sz w:val="22"/>
        </w:rPr>
        <w:t>[30]</w:t>
      </w:r>
      <w:r>
        <w:rPr>
          <w:rFonts w:cs="Times" w:ascii="Times" w:hAnsi="Times"/>
          <w:sz w:val="22"/>
        </w:rPr>
      </w:r>
      <w:r>
        <w:fldChar w:fldCharType="end"/>
      </w:r>
      <w:bookmarkEnd w:id="11"/>
      <w:r>
        <w:rPr>
          <w:rFonts w:cs="Times" w:ascii="Times" w:hAnsi="Times"/>
          <w:sz w:val="22"/>
        </w:rPr>
        <w:t>: patient residential postal code, Census Tract and the Local Health Area (LHA) – a sub-division of the regional health authority.</w:t>
      </w:r>
    </w:p>
    <w:p>
      <w:pPr>
        <w:pStyle w:val="Para"/>
        <w:spacing w:lineRule="auto" w:line="360"/>
        <w:ind w:hanging="0"/>
        <w:rPr>
          <w:rFonts w:ascii="Times" w:hAnsi="Times" w:cs="Times"/>
          <w:sz w:val="22"/>
        </w:rPr>
      </w:pPr>
      <w:r>
        <w:rPr>
          <w:rFonts w:cs="Times" w:ascii="Times" w:hAnsi="Times"/>
          <w:sz w:val="22"/>
        </w:rPr>
      </w:r>
    </w:p>
    <w:p>
      <w:pPr>
        <w:pStyle w:val="Para"/>
        <w:spacing w:lineRule="auto" w:line="360"/>
        <w:ind w:hanging="0"/>
        <w:rPr>
          <w:rFonts w:ascii="Times" w:hAnsi="Times" w:cs="Times"/>
          <w:sz w:val="22"/>
        </w:rPr>
      </w:pPr>
      <w:r>
        <w:rPr>
          <w:rFonts w:cs="Times" w:ascii="Times" w:hAnsi="Times"/>
          <w:sz w:val="22"/>
        </w:rPr>
        <w:tab/>
        <w:t>The study was approved by the Clinical Research Ethics Board at the University of British Columbia. It was funded through a team grant from the Michael Smith Foundation for Health Research.</w:t>
      </w:r>
      <w:r>
        <w:br w:type="page"/>
      </w:r>
    </w:p>
    <w:p>
      <w:pPr>
        <w:pStyle w:val="Para"/>
        <w:spacing w:lineRule="auto" w:line="360"/>
        <w:ind w:hanging="0"/>
        <w:rPr>
          <w:rFonts w:ascii="Times" w:hAnsi="Times" w:cs="Times"/>
          <w:sz w:val="22"/>
        </w:rPr>
      </w:pPr>
      <w:r>
        <w:rPr>
          <w:rFonts w:cs="Times" w:ascii="Times" w:hAnsi="Times"/>
          <w:b/>
          <w:sz w:val="22"/>
        </w:rPr>
        <w:t>Results</w:t>
      </w:r>
    </w:p>
    <w:p>
      <w:pPr>
        <w:pStyle w:val="Para"/>
        <w:spacing w:lineRule="auto" w:line="360"/>
        <w:ind w:hanging="0"/>
        <w:rPr>
          <w:rFonts w:ascii="Times" w:hAnsi="Times" w:cs="Times"/>
          <w:sz w:val="22"/>
        </w:rPr>
      </w:pPr>
      <w:r>
        <w:rPr>
          <w:rFonts w:cs="Times" w:ascii="Times" w:hAnsi="Times"/>
          <w:sz w:val="22"/>
        </w:rPr>
        <w:t xml:space="preserve">During the study period, the Metro Vancouver census metropolitan area (CMA) accounted for 404 injuries from assault, 1,084 from MVCs, 1,216 from falls, and 403 pedestrian injuries. All incident cases were then aggregated into their corresponding Census Dissemination Area (DA) administrative boundary to match with socio-economic data. DAs are the smallest unit of dissemination of the Canadian Census. A single DA unit, on average, represents between 400-700 individuals. In 2001 there were nearly 4,000 DAs in the Vancouver CMA, representing just fewer than 2 million people, which in 2001 was slightly more than half of the total population of province. </w:t>
      </w:r>
    </w:p>
    <w:p>
      <w:pPr>
        <w:pStyle w:val="Para"/>
        <w:spacing w:lineRule="auto" w:line="360"/>
        <w:ind w:hanging="0"/>
        <w:rPr>
          <w:rFonts w:ascii="Times" w:hAnsi="Times" w:cs="Times"/>
          <w:sz w:val="22"/>
        </w:rPr>
      </w:pPr>
      <w:r>
        <w:rPr>
          <w:rFonts w:cs="Times" w:ascii="Times" w:hAnsi="Times"/>
          <w:sz w:val="22"/>
        </w:rPr>
      </w:r>
    </w:p>
    <w:p>
      <w:pPr>
        <w:pStyle w:val="Para"/>
        <w:spacing w:lineRule="auto" w:line="360"/>
        <w:ind w:hanging="0"/>
        <w:rPr>
          <w:rFonts w:ascii="Times" w:hAnsi="Times" w:cs="Times"/>
          <w:sz w:val="22"/>
          <w:u w:val="single"/>
        </w:rPr>
      </w:pPr>
      <w:r>
        <w:rPr>
          <w:rFonts w:cs="Times" w:ascii="Times" w:hAnsi="Times"/>
          <w:sz w:val="22"/>
          <w:u w:val="single"/>
        </w:rPr>
        <w:t>The spatial epidemiology of assault-related injury</w:t>
      </w:r>
    </w:p>
    <w:p>
      <w:pPr>
        <w:pStyle w:val="Para"/>
        <w:spacing w:lineRule="auto" w:line="360"/>
        <w:rPr/>
      </w:pPr>
      <w:r>
        <w:rPr>
          <w:rFonts w:cs="Times" w:ascii="Times" w:hAnsi="Times"/>
          <w:sz w:val="22"/>
        </w:rPr>
        <w:t xml:space="preserve">Age-standardized incidence rates (per 100,000) by age group for specific trauma incidents in the Vancouver CMA by socio-economic quintile are reported in table 2. Variation in prevalence rates of patient’s socio-economic quintile and assault injuries were sharpest for young adults aged 15 – 44, with step-wise increase from least to most deprived SES quintiles, the widest occurring for adults aged 35-44. In this age group rates increased from 4.7 per 100,000 in the least deprived socio-economic quintile to over 70 per 100,000 in the most deprived quintile. Prevalence rates of assault injuries decreased with age across all SES classes, with the largest drop in rates occurring in adults 55 and older. These results are consistent with previous research conducted by Williams et al </w:t>
      </w:r>
      <w:r>
        <w:fldChar w:fldCharType="begin"/>
      </w:r>
      <w:r>
        <w:instrText> ADDIN EN.CITE &lt;EndNote&gt;&lt;Cite&gt;&lt;Author&gt;Williams&lt;/Author&gt;&lt;Year&gt;1997&lt;/Year&gt;&lt;RecNum&gt;43&lt;/RecNum&gt;&lt;record&gt;&lt;rec-number&gt;43&lt;/rec-number&gt;&lt;ref-type name="Journal Article"&gt;17&lt;/ref-type&gt;&lt;contributors&gt;&lt;authors&gt;&lt;author&gt;Williams, J.M.&lt;/author&gt;&lt;author&gt;Currie, C.E.&lt;/author&gt;&lt;author&gt;Wright, P.&lt;/author&gt;&lt;author&gt;Elton, R.A.&lt;/author&gt;&lt;author&gt;Beattie, T.F.&lt;/author&gt;&lt;/authors&gt;&lt;/contributors&gt;&lt;titles&gt;&lt;title&gt;Socioeconomic status and adlescent injuries&lt;/title&gt;&lt;secondary-title&gt;Social Science &amp;amp; Medicine&lt;/secondary-title&gt;&lt;/titles&gt;&lt;periodical&gt;&lt;full-title&gt;Social Science &amp;amp; Medicine&lt;/full-title&gt;&lt;/periodical&gt;&lt;pages&gt;1881-1891&lt;/pages&gt;&lt;volume&gt;44&lt;/volume&gt;&lt;dates&gt;&lt;year&gt;1997&lt;/year&gt;&lt;/dates&gt;&lt;urls&gt;&lt;/urls&gt;&lt;/record&gt;&lt;/Cite&gt;&lt;/EndNote&gt;</w:instrText>
      </w:r>
      <w:r>
        <w:fldChar w:fldCharType="separate"/>
      </w:r>
      <w:bookmarkStart w:id="12" w:name="__Fieldmark__166_1322453857"/>
      <w:r>
        <w:rPr>
          <w:rFonts w:cs="Times" w:ascii="Times" w:hAnsi="Times"/>
          <w:sz w:val="22"/>
        </w:rPr>
        <w:t>[31]</w:t>
      </w:r>
      <w:r>
        <w:rPr>
          <w:rFonts w:cs="Times" w:ascii="Times" w:hAnsi="Times"/>
          <w:sz w:val="22"/>
        </w:rPr>
      </w:r>
      <w:r>
        <w:fldChar w:fldCharType="end"/>
      </w:r>
      <w:bookmarkEnd w:id="12"/>
      <w:r>
        <w:rPr>
          <w:rFonts w:cs="Times" w:ascii="Times" w:hAnsi="Times"/>
          <w:sz w:val="22"/>
        </w:rPr>
        <w:t xml:space="preserve"> and Durkin </w:t>
      </w:r>
      <w:r>
        <w:fldChar w:fldCharType="begin"/>
      </w:r>
      <w:r>
        <w:instrText> ADDIN EN.CITE &lt;EndNote&gt;&lt;Cite&gt;&lt;Author&gt;Durkin&lt;/Author&gt;&lt;Year&gt;1994&lt;/Year&gt;&lt;RecNum&gt;49&lt;/RecNum&gt;&lt;record&gt;&lt;rec-number&gt;49&lt;/rec-number&gt;&lt;ref-type name="Journal Article"&gt;17&lt;/ref-type&gt;&lt;contributors&gt;&lt;authors&gt;&lt;author&gt;Durkin, Maureen S.&lt;/author&gt;&lt;author&gt;Davidson, Leslie L.&lt;/author&gt;&lt;author&gt;Kuhn, Louise&lt;/author&gt;&lt;author&gt;O&amp;apos;Conner, Patricia&lt;/author&gt;&lt;author&gt;Barlow, Barbara&lt;/author&gt;&lt;/authors&gt;&lt;/contributors&gt;&lt;titles&gt;&lt;title&gt;Low-Income Neighborhoods and the Risk of Severe Pediatric Injury: A Small-Area Analysis in Northern Manhattan&lt;/title&gt;&lt;secondary-title&gt;American Journal of Public Health&lt;/secondary-title&gt;&lt;/titles&gt;&lt;periodical&gt;&lt;full-title&gt;American Journal of Public Health&lt;/full-title&gt;&lt;/periodical&gt;&lt;pages&gt;587-592&lt;/pages&gt;&lt;volume&gt;84&lt;/volume&gt;&lt;number&gt;4&lt;/number&gt;&lt;dates&gt;&lt;year&gt;1994&lt;/year&gt;&lt;/dates&gt;&lt;urls&gt;&lt;/urls&gt;&lt;/record&gt;&lt;/Cite&gt;&lt;/EndNote&gt;</w:instrText>
      </w:r>
      <w:r>
        <w:fldChar w:fldCharType="separate"/>
      </w:r>
      <w:bookmarkStart w:id="13" w:name="__Fieldmark__167_1322453857"/>
      <w:r>
        <w:rPr>
          <w:rFonts w:cs="Times" w:ascii="Times" w:hAnsi="Times"/>
          <w:sz w:val="22"/>
        </w:rPr>
        <w:t>[32]</w:t>
      </w:r>
      <w:r>
        <w:rPr>
          <w:rFonts w:cs="Times" w:ascii="Times" w:hAnsi="Times"/>
          <w:sz w:val="22"/>
        </w:rPr>
      </w:r>
      <w:r>
        <w:fldChar w:fldCharType="end"/>
      </w:r>
      <w:bookmarkEnd w:id="13"/>
      <w:r>
        <w:rPr>
          <w:rFonts w:cs="Times" w:ascii="Times" w:hAnsi="Times"/>
          <w:sz w:val="22"/>
        </w:rPr>
        <w:t xml:space="preserve"> in which assault patterns were more common among adolescents of lower SES, although these trends in Vancouver extend far past adolescence and into middle-age populations. Across all SES classes these trends decreased across age groups as age increased. The gradient between SES and rates of injury, however, remained. Figure 1 illustrates that the concentration of injury based on assault, amongst elsewhere, is highest in Vancouver’s Downtown Eastside – Canada’s poorest postal code and lowest in West Vancouver – one of Canada’s richest postal codes. </w:t>
      </w:r>
      <w:r>
        <w:br w:type="page"/>
      </w:r>
    </w:p>
    <w:p>
      <w:pPr>
        <w:pStyle w:val="Para"/>
        <w:spacing w:lineRule="auto" w:line="360"/>
        <w:ind w:hanging="0"/>
        <w:rPr>
          <w:rFonts w:ascii="Times" w:hAnsi="Times" w:cs="Times"/>
          <w:sz w:val="22"/>
        </w:rPr>
      </w:pPr>
      <w:r>
        <w:rPr>
          <w:rFonts w:cs="Times" w:ascii="Times" w:hAnsi="Times"/>
          <w:sz w:val="22"/>
        </w:rPr>
      </w:r>
    </w:p>
    <w:p>
      <w:pPr>
        <w:pStyle w:val="Heading2"/>
        <w:numPr>
          <w:ilvl w:val="1"/>
          <w:numId w:val="1"/>
        </w:numPr>
        <w:rPr/>
      </w:pPr>
      <w:r>
        <w:rPr>
          <w:i w:val="false"/>
          <w:sz w:val="16"/>
        </w:rPr>
        <w:t>Table 1</w:t>
      </w:r>
      <w:r>
        <w:rPr>
          <w:b w:val="false"/>
          <w:i w:val="false"/>
          <w:sz w:val="16"/>
        </w:rPr>
        <w:t>: shows the seven variables selected by British Columbia’s MHOs for the VANDIX.</w:t>
      </w:r>
      <w:r>
        <w:rPr/>
        <w:t xml:space="preserve"> </w:t>
      </w:r>
      <w:r>
        <w:rPr>
          <w:b w:val="false"/>
          <w:i w:val="false"/>
          <w:sz w:val="16"/>
        </w:rPr>
        <w:t xml:space="preserve">The original MHO variable rankings are proportional to the number of strongly agree and agree responses from the survey. </w:t>
      </w:r>
    </w:p>
    <w:p>
      <w:pPr>
        <w:pStyle w:val="Normal"/>
        <w:rPr>
          <w:b/>
          <w:b/>
          <w:i/>
          <w:i/>
          <w:sz w:val="16"/>
        </w:rPr>
      </w:pPr>
      <w:r>
        <w:rPr>
          <w:b/>
          <w:i/>
          <w:sz w:val="16"/>
        </w:rPr>
      </w:r>
    </w:p>
    <w:tbl>
      <w:tblPr>
        <w:tblW w:w="9235" w:type="dxa"/>
        <w:jc w:val="left"/>
        <w:tblInd w:w="0" w:type="dxa"/>
        <w:tblBorders>
          <w:top w:val="single" w:sz="4" w:space="0" w:color="000000"/>
          <w:bottom w:val="single" w:sz="8" w:space="0" w:color="000000"/>
          <w:insideH w:val="single" w:sz="8" w:space="0" w:color="000000"/>
        </w:tblBorders>
        <w:tblCellMar>
          <w:top w:w="0" w:type="dxa"/>
          <w:left w:w="108" w:type="dxa"/>
          <w:bottom w:w="0" w:type="dxa"/>
          <w:right w:w="108" w:type="dxa"/>
        </w:tblCellMar>
      </w:tblPr>
      <w:tblGrid>
        <w:gridCol w:w="973"/>
        <w:gridCol w:w="979"/>
        <w:gridCol w:w="1226"/>
        <w:gridCol w:w="1801"/>
        <w:gridCol w:w="1622"/>
        <w:gridCol w:w="1258"/>
        <w:gridCol w:w="1376"/>
      </w:tblGrid>
      <w:tr>
        <w:trPr>
          <w:tblHeader w:val="true"/>
          <w:trHeight w:val="500" w:hRule="atLeast"/>
        </w:trPr>
        <w:tc>
          <w:tcPr>
            <w:tcW w:w="3178" w:type="dxa"/>
            <w:gridSpan w:val="3"/>
            <w:tcBorders>
              <w:top w:val="single" w:sz="4" w:space="0" w:color="000000"/>
              <w:bottom w:val="single" w:sz="8" w:space="0" w:color="000000"/>
              <w:insideH w:val="single" w:sz="8" w:space="0" w:color="000000"/>
            </w:tcBorders>
            <w:shd w:fill="auto" w:val="clear"/>
            <w:vAlign w:val="center"/>
          </w:tcPr>
          <w:p>
            <w:pPr>
              <w:pStyle w:val="Normal"/>
              <w:rPr>
                <w:rFonts w:ascii="Arial" w:hAnsi="Arial" w:cs="Arial"/>
                <w:b/>
                <w:b/>
                <w:sz w:val="16"/>
              </w:rPr>
            </w:pPr>
            <w:r>
              <w:rPr>
                <w:rFonts w:cs="Arial" w:ascii="Arial" w:hAnsi="Arial"/>
                <w:b/>
                <w:sz w:val="16"/>
              </w:rPr>
              <w:t>SES Variable Constructs</w:t>
            </w:r>
          </w:p>
        </w:tc>
        <w:tc>
          <w:tcPr>
            <w:tcW w:w="1801" w:type="dxa"/>
            <w:tcBorders>
              <w:top w:val="single" w:sz="4" w:space="0" w:color="000000"/>
              <w:bottom w:val="single" w:sz="8" w:space="0" w:color="000000"/>
              <w:insideH w:val="single" w:sz="8" w:space="0" w:color="000000"/>
            </w:tcBorders>
            <w:shd w:fill="auto" w:val="clear"/>
            <w:vAlign w:val="center"/>
          </w:tcPr>
          <w:p>
            <w:pPr>
              <w:pStyle w:val="Normal"/>
              <w:jc w:val="center"/>
              <w:rPr>
                <w:rFonts w:ascii="Arial" w:hAnsi="Arial" w:cs="Arial"/>
                <w:b/>
                <w:b/>
                <w:sz w:val="16"/>
              </w:rPr>
            </w:pPr>
            <w:r>
              <w:rPr>
                <w:rFonts w:cs="Arial" w:ascii="Arial" w:hAnsi="Arial"/>
                <w:b/>
                <w:sz w:val="16"/>
              </w:rPr>
              <w:t>Strongly Agree Responses</w:t>
            </w:r>
          </w:p>
        </w:tc>
        <w:tc>
          <w:tcPr>
            <w:tcW w:w="1622" w:type="dxa"/>
            <w:tcBorders>
              <w:top w:val="single" w:sz="4" w:space="0" w:color="000000"/>
              <w:bottom w:val="single" w:sz="8" w:space="0" w:color="000000"/>
              <w:insideH w:val="single" w:sz="8" w:space="0" w:color="000000"/>
            </w:tcBorders>
            <w:shd w:fill="auto" w:val="clear"/>
            <w:vAlign w:val="center"/>
          </w:tcPr>
          <w:p>
            <w:pPr>
              <w:pStyle w:val="Normal"/>
              <w:jc w:val="center"/>
              <w:rPr>
                <w:rFonts w:ascii="Arial" w:hAnsi="Arial" w:cs="Arial"/>
                <w:b/>
                <w:b/>
                <w:sz w:val="16"/>
              </w:rPr>
            </w:pPr>
            <w:r>
              <w:rPr>
                <w:rFonts w:cs="Arial" w:ascii="Arial" w:hAnsi="Arial"/>
                <w:b/>
                <w:sz w:val="16"/>
              </w:rPr>
              <w:t>Agree Responses</w:t>
            </w:r>
          </w:p>
        </w:tc>
        <w:tc>
          <w:tcPr>
            <w:tcW w:w="1258" w:type="dxa"/>
            <w:tcBorders>
              <w:top w:val="single" w:sz="4" w:space="0" w:color="000000"/>
              <w:bottom w:val="single" w:sz="8" w:space="0" w:color="000000"/>
              <w:insideH w:val="single" w:sz="8" w:space="0" w:color="000000"/>
            </w:tcBorders>
            <w:shd w:fill="auto" w:val="clear"/>
            <w:vAlign w:val="center"/>
          </w:tcPr>
          <w:p>
            <w:pPr>
              <w:pStyle w:val="Normal"/>
              <w:jc w:val="center"/>
              <w:rPr>
                <w:rFonts w:ascii="Arial" w:hAnsi="Arial" w:cs="Arial"/>
                <w:b/>
                <w:b/>
                <w:sz w:val="16"/>
              </w:rPr>
            </w:pPr>
            <w:r>
              <w:rPr>
                <w:rFonts w:cs="Arial" w:ascii="Arial" w:hAnsi="Arial"/>
                <w:b/>
                <w:sz w:val="16"/>
              </w:rPr>
              <w:t>Rank</w:t>
            </w:r>
          </w:p>
        </w:tc>
        <w:tc>
          <w:tcPr>
            <w:tcW w:w="1376" w:type="dxa"/>
            <w:tcBorders>
              <w:top w:val="single" w:sz="4" w:space="0" w:color="000000"/>
              <w:bottom w:val="single" w:sz="8" w:space="0" w:color="000000"/>
              <w:insideH w:val="single" w:sz="8" w:space="0" w:color="000000"/>
            </w:tcBorders>
            <w:shd w:fill="auto" w:val="clear"/>
            <w:vAlign w:val="center"/>
          </w:tcPr>
          <w:p>
            <w:pPr>
              <w:pStyle w:val="Normal"/>
              <w:jc w:val="center"/>
              <w:rPr>
                <w:rFonts w:ascii="Arial" w:hAnsi="Arial" w:cs="Arial"/>
                <w:b/>
                <w:b/>
                <w:sz w:val="16"/>
              </w:rPr>
            </w:pPr>
            <w:r>
              <w:rPr>
                <w:rFonts w:cs="Arial" w:ascii="Arial" w:hAnsi="Arial"/>
                <w:b/>
                <w:sz w:val="16"/>
              </w:rPr>
              <w:t>Weight </w:t>
            </w:r>
            <w:r>
              <w:rPr>
                <w:rFonts w:cs="Arial" w:ascii="Arial" w:hAnsi="Arial"/>
                <w:b/>
                <w:sz w:val="16"/>
                <w:vertAlign w:val="superscript"/>
              </w:rPr>
              <w:t>(%)</w:t>
            </w:r>
          </w:p>
        </w:tc>
      </w:tr>
      <w:tr>
        <w:trPr>
          <w:trHeight w:val="260" w:hRule="atLeast"/>
        </w:trPr>
        <w:tc>
          <w:tcPr>
            <w:tcW w:w="3178" w:type="dxa"/>
            <w:gridSpan w:val="3"/>
            <w:tcBorders/>
            <w:shd w:fill="auto" w:val="clear"/>
            <w:vAlign w:val="bottom"/>
          </w:tcPr>
          <w:p>
            <w:pPr>
              <w:pStyle w:val="Normal"/>
              <w:rPr>
                <w:rFonts w:ascii="Arial" w:hAnsi="Arial" w:cs="Arial"/>
                <w:b/>
                <w:b/>
                <w:sz w:val="16"/>
              </w:rPr>
            </w:pPr>
            <w:r>
              <w:rPr>
                <w:rFonts w:cs="Arial" w:ascii="Arial" w:hAnsi="Arial"/>
                <w:b/>
                <w:sz w:val="16"/>
              </w:rPr>
              <w:t>Material Wealth</w:t>
            </w:r>
          </w:p>
        </w:tc>
        <w:tc>
          <w:tcPr>
            <w:tcW w:w="1801" w:type="dxa"/>
            <w:tcBorders/>
            <w:shd w:fill="auto" w:val="clear"/>
            <w:vAlign w:val="bottom"/>
          </w:tcPr>
          <w:p>
            <w:pPr>
              <w:pStyle w:val="Normal"/>
              <w:snapToGrid w:val="false"/>
              <w:jc w:val="center"/>
              <w:rPr>
                <w:rFonts w:ascii="Arial" w:hAnsi="Arial" w:cs="Arial"/>
                <w:b/>
                <w:b/>
                <w:i/>
                <w:i/>
                <w:sz w:val="16"/>
              </w:rPr>
            </w:pPr>
            <w:r>
              <w:rPr>
                <w:rFonts w:cs="Arial" w:ascii="Arial" w:hAnsi="Arial"/>
                <w:b/>
                <w:i/>
                <w:sz w:val="16"/>
              </w:rPr>
            </w:r>
          </w:p>
        </w:tc>
        <w:tc>
          <w:tcPr>
            <w:tcW w:w="1622" w:type="dxa"/>
            <w:tcBorders/>
            <w:shd w:fill="auto" w:val="clear"/>
            <w:vAlign w:val="bottom"/>
          </w:tcPr>
          <w:p>
            <w:pPr>
              <w:pStyle w:val="Normal"/>
              <w:snapToGrid w:val="false"/>
              <w:jc w:val="center"/>
              <w:rPr>
                <w:rFonts w:ascii="Arial" w:hAnsi="Arial" w:cs="Arial"/>
                <w:i/>
                <w:i/>
                <w:sz w:val="16"/>
              </w:rPr>
            </w:pPr>
            <w:r>
              <w:rPr>
                <w:rFonts w:cs="Arial" w:ascii="Arial" w:hAnsi="Arial"/>
                <w:i/>
                <w:sz w:val="16"/>
              </w:rPr>
            </w:r>
          </w:p>
        </w:tc>
        <w:tc>
          <w:tcPr>
            <w:tcW w:w="1258" w:type="dxa"/>
            <w:tcBorders/>
            <w:shd w:fill="auto" w:val="clear"/>
            <w:vAlign w:val="bottom"/>
          </w:tcPr>
          <w:p>
            <w:pPr>
              <w:pStyle w:val="Normal"/>
              <w:snapToGrid w:val="false"/>
              <w:jc w:val="center"/>
              <w:rPr>
                <w:rFonts w:ascii="Arial" w:hAnsi="Arial" w:cs="Arial"/>
                <w:i/>
                <w:i/>
                <w:sz w:val="16"/>
              </w:rPr>
            </w:pPr>
            <w:r>
              <w:rPr>
                <w:rFonts w:cs="Arial" w:ascii="Arial" w:hAnsi="Arial"/>
                <w:i/>
                <w:sz w:val="16"/>
              </w:rPr>
            </w:r>
          </w:p>
        </w:tc>
        <w:tc>
          <w:tcPr>
            <w:tcW w:w="1376" w:type="dxa"/>
            <w:tcBorders/>
            <w:shd w:fill="auto" w:val="clear"/>
            <w:vAlign w:val="bottom"/>
          </w:tcPr>
          <w:p>
            <w:pPr>
              <w:pStyle w:val="Normal"/>
              <w:snapToGrid w:val="false"/>
              <w:jc w:val="center"/>
              <w:rPr>
                <w:rFonts w:ascii="Arial" w:hAnsi="Arial" w:cs="Arial"/>
                <w:i/>
                <w:i/>
                <w:sz w:val="16"/>
              </w:rPr>
            </w:pPr>
            <w:r>
              <w:rPr>
                <w:rFonts w:cs="Arial" w:ascii="Arial" w:hAnsi="Arial"/>
                <w:i/>
                <w:sz w:val="16"/>
              </w:rPr>
            </w:r>
          </w:p>
        </w:tc>
      </w:tr>
      <w:tr>
        <w:trPr>
          <w:trHeight w:val="260" w:hRule="atLeast"/>
        </w:trPr>
        <w:tc>
          <w:tcPr>
            <w:tcW w:w="3178" w:type="dxa"/>
            <w:gridSpan w:val="3"/>
            <w:tcBorders/>
            <w:shd w:fill="auto" w:val="clear"/>
            <w:vAlign w:val="bottom"/>
          </w:tcPr>
          <w:p>
            <w:pPr>
              <w:pStyle w:val="Normal"/>
              <w:rPr>
                <w:rFonts w:ascii="Arial" w:hAnsi="Arial" w:cs="Arial"/>
                <w:sz w:val="16"/>
              </w:rPr>
            </w:pPr>
            <w:r>
              <w:rPr>
                <w:rFonts w:eastAsia="Arial" w:cs="Arial" w:ascii="Arial" w:hAnsi="Arial"/>
                <w:sz w:val="16"/>
              </w:rPr>
              <w:t xml:space="preserve">    </w:t>
            </w:r>
            <w:r>
              <w:rPr>
                <w:rFonts w:cs="Arial" w:ascii="Arial" w:hAnsi="Arial"/>
                <w:sz w:val="16"/>
              </w:rPr>
              <w:t>Average Income</w:t>
            </w:r>
          </w:p>
        </w:tc>
        <w:tc>
          <w:tcPr>
            <w:tcW w:w="1801" w:type="dxa"/>
            <w:tcBorders/>
            <w:shd w:fill="auto" w:val="clear"/>
            <w:vAlign w:val="bottom"/>
          </w:tcPr>
          <w:p>
            <w:pPr>
              <w:pStyle w:val="Normal"/>
              <w:jc w:val="center"/>
              <w:rPr>
                <w:rFonts w:ascii="Arial" w:hAnsi="Arial" w:cs="Arial"/>
                <w:sz w:val="16"/>
              </w:rPr>
            </w:pPr>
            <w:r>
              <w:rPr>
                <w:rFonts w:cs="Arial" w:ascii="Arial" w:hAnsi="Arial"/>
                <w:sz w:val="16"/>
              </w:rPr>
              <w:t>2</w:t>
            </w:r>
          </w:p>
        </w:tc>
        <w:tc>
          <w:tcPr>
            <w:tcW w:w="1622" w:type="dxa"/>
            <w:tcBorders/>
            <w:shd w:fill="auto" w:val="clear"/>
            <w:vAlign w:val="bottom"/>
          </w:tcPr>
          <w:p>
            <w:pPr>
              <w:pStyle w:val="Normal"/>
              <w:jc w:val="center"/>
              <w:rPr>
                <w:rFonts w:ascii="Arial" w:hAnsi="Arial" w:cs="Arial"/>
                <w:sz w:val="16"/>
              </w:rPr>
            </w:pPr>
            <w:r>
              <w:rPr>
                <w:rFonts w:cs="Arial" w:ascii="Arial" w:hAnsi="Arial"/>
                <w:sz w:val="16"/>
              </w:rPr>
              <w:t>6</w:t>
            </w:r>
          </w:p>
        </w:tc>
        <w:tc>
          <w:tcPr>
            <w:tcW w:w="1258" w:type="dxa"/>
            <w:tcBorders/>
            <w:shd w:fill="auto" w:val="clear"/>
            <w:vAlign w:val="bottom"/>
          </w:tcPr>
          <w:p>
            <w:pPr>
              <w:pStyle w:val="Normal"/>
              <w:jc w:val="center"/>
              <w:rPr>
                <w:rFonts w:ascii="Arial" w:hAnsi="Arial" w:cs="Arial"/>
                <w:sz w:val="16"/>
              </w:rPr>
            </w:pPr>
            <w:r>
              <w:rPr>
                <w:rFonts w:cs="Arial" w:ascii="Arial" w:hAnsi="Arial"/>
                <w:sz w:val="16"/>
              </w:rPr>
              <w:t>5.5</w:t>
            </w:r>
          </w:p>
        </w:tc>
        <w:tc>
          <w:tcPr>
            <w:tcW w:w="1376" w:type="dxa"/>
            <w:tcBorders/>
            <w:shd w:fill="auto" w:val="clear"/>
            <w:vAlign w:val="bottom"/>
          </w:tcPr>
          <w:p>
            <w:pPr>
              <w:pStyle w:val="Normal"/>
              <w:jc w:val="center"/>
              <w:rPr>
                <w:rFonts w:ascii="Arial" w:hAnsi="Arial" w:cs="Arial"/>
                <w:sz w:val="16"/>
              </w:rPr>
            </w:pPr>
            <w:r>
              <w:rPr>
                <w:rFonts w:cs="Arial" w:ascii="Arial" w:hAnsi="Arial"/>
                <w:sz w:val="16"/>
              </w:rPr>
              <w:t>0.089</w:t>
            </w:r>
          </w:p>
        </w:tc>
      </w:tr>
      <w:tr>
        <w:trPr>
          <w:trHeight w:val="101" w:hRule="exact"/>
        </w:trPr>
        <w:tc>
          <w:tcPr>
            <w:tcW w:w="3178" w:type="dxa"/>
            <w:gridSpan w:val="3"/>
            <w:tcBorders/>
            <w:shd w:fill="auto" w:val="clear"/>
            <w:vAlign w:val="bottom"/>
          </w:tcPr>
          <w:p>
            <w:pPr>
              <w:pStyle w:val="Normal"/>
              <w:jc w:val="center"/>
              <w:rPr>
                <w:rFonts w:ascii="Arial" w:hAnsi="Arial" w:cs="Arial"/>
                <w:sz w:val="16"/>
              </w:rPr>
            </w:pPr>
            <w:r>
              <w:rPr>
                <w:rFonts w:cs="Arial" w:ascii="Arial" w:hAnsi="Arial"/>
                <w:sz w:val="16"/>
              </w:rPr>
              <w:t> </w:t>
            </w:r>
          </w:p>
        </w:tc>
        <w:tc>
          <w:tcPr>
            <w:tcW w:w="1801" w:type="dxa"/>
            <w:tcBorders/>
            <w:shd w:fill="auto" w:val="clear"/>
            <w:vAlign w:val="bottom"/>
          </w:tcPr>
          <w:p>
            <w:pPr>
              <w:pStyle w:val="Normal"/>
              <w:jc w:val="center"/>
              <w:rPr>
                <w:rFonts w:ascii="Arial" w:hAnsi="Arial" w:cs="Arial"/>
                <w:sz w:val="16"/>
              </w:rPr>
            </w:pPr>
            <w:r>
              <w:rPr>
                <w:rFonts w:cs="Arial" w:ascii="Arial" w:hAnsi="Arial"/>
                <w:sz w:val="16"/>
              </w:rPr>
              <w:t> </w:t>
            </w:r>
          </w:p>
        </w:tc>
        <w:tc>
          <w:tcPr>
            <w:tcW w:w="1622" w:type="dxa"/>
            <w:tcBorders/>
            <w:shd w:fill="auto" w:val="clear"/>
            <w:vAlign w:val="bottom"/>
          </w:tcPr>
          <w:p>
            <w:pPr>
              <w:pStyle w:val="Normal"/>
              <w:jc w:val="center"/>
              <w:rPr>
                <w:rFonts w:ascii="Arial" w:hAnsi="Arial" w:cs="Arial"/>
                <w:sz w:val="16"/>
              </w:rPr>
            </w:pPr>
            <w:r>
              <w:rPr>
                <w:rFonts w:cs="Arial" w:ascii="Arial" w:hAnsi="Arial"/>
                <w:sz w:val="16"/>
              </w:rPr>
              <w:t> </w:t>
            </w:r>
          </w:p>
        </w:tc>
        <w:tc>
          <w:tcPr>
            <w:tcW w:w="1258" w:type="dxa"/>
            <w:tcBorders/>
            <w:shd w:fill="auto" w:val="clear"/>
            <w:vAlign w:val="bottom"/>
          </w:tcPr>
          <w:p>
            <w:pPr>
              <w:pStyle w:val="Normal"/>
              <w:jc w:val="center"/>
              <w:rPr>
                <w:rFonts w:ascii="Arial" w:hAnsi="Arial" w:cs="Arial"/>
                <w:sz w:val="16"/>
              </w:rPr>
            </w:pPr>
            <w:r>
              <w:rPr>
                <w:rFonts w:cs="Arial" w:ascii="Arial" w:hAnsi="Arial"/>
                <w:sz w:val="16"/>
              </w:rPr>
              <w:t> </w:t>
            </w:r>
          </w:p>
        </w:tc>
        <w:tc>
          <w:tcPr>
            <w:tcW w:w="1376" w:type="dxa"/>
            <w:tcBorders/>
            <w:shd w:fill="auto" w:val="clear"/>
            <w:vAlign w:val="bottom"/>
          </w:tcPr>
          <w:p>
            <w:pPr>
              <w:pStyle w:val="Normal"/>
              <w:jc w:val="center"/>
              <w:rPr>
                <w:rFonts w:ascii="Arial" w:hAnsi="Arial" w:cs="Arial"/>
                <w:sz w:val="16"/>
              </w:rPr>
            </w:pPr>
            <w:r>
              <w:rPr>
                <w:rFonts w:cs="Arial" w:ascii="Arial" w:hAnsi="Arial"/>
                <w:sz w:val="16"/>
              </w:rPr>
              <w:t> </w:t>
            </w:r>
          </w:p>
        </w:tc>
      </w:tr>
      <w:tr>
        <w:trPr>
          <w:trHeight w:val="260" w:hRule="atLeast"/>
        </w:trPr>
        <w:tc>
          <w:tcPr>
            <w:tcW w:w="3178" w:type="dxa"/>
            <w:gridSpan w:val="3"/>
            <w:tcBorders/>
            <w:shd w:fill="auto" w:val="clear"/>
            <w:vAlign w:val="bottom"/>
          </w:tcPr>
          <w:p>
            <w:pPr>
              <w:pStyle w:val="Normal"/>
              <w:rPr>
                <w:rFonts w:ascii="Arial" w:hAnsi="Arial" w:cs="Arial"/>
                <w:b/>
                <w:b/>
                <w:sz w:val="16"/>
              </w:rPr>
            </w:pPr>
            <w:r>
              <w:rPr>
                <w:rFonts w:cs="Arial" w:ascii="Arial" w:hAnsi="Arial"/>
                <w:b/>
                <w:sz w:val="16"/>
              </w:rPr>
              <w:t>Housing</w:t>
            </w:r>
          </w:p>
        </w:tc>
        <w:tc>
          <w:tcPr>
            <w:tcW w:w="1801" w:type="dxa"/>
            <w:tcBorders/>
            <w:shd w:fill="auto" w:val="clear"/>
            <w:vAlign w:val="bottom"/>
          </w:tcPr>
          <w:p>
            <w:pPr>
              <w:pStyle w:val="Normal"/>
              <w:snapToGrid w:val="false"/>
              <w:jc w:val="center"/>
              <w:rPr>
                <w:rFonts w:ascii="Arial" w:hAnsi="Arial" w:cs="Arial"/>
                <w:b/>
                <w:b/>
                <w:sz w:val="16"/>
              </w:rPr>
            </w:pPr>
            <w:r>
              <w:rPr>
                <w:rFonts w:cs="Arial" w:ascii="Arial" w:hAnsi="Arial"/>
                <w:b/>
                <w:sz w:val="16"/>
              </w:rPr>
            </w:r>
          </w:p>
        </w:tc>
        <w:tc>
          <w:tcPr>
            <w:tcW w:w="1622" w:type="dxa"/>
            <w:tcBorders/>
            <w:shd w:fill="auto" w:val="clear"/>
            <w:vAlign w:val="bottom"/>
          </w:tcPr>
          <w:p>
            <w:pPr>
              <w:pStyle w:val="Normal"/>
              <w:snapToGrid w:val="false"/>
              <w:jc w:val="center"/>
              <w:rPr>
                <w:rFonts w:ascii="Arial" w:hAnsi="Arial" w:cs="Arial"/>
                <w:sz w:val="16"/>
              </w:rPr>
            </w:pPr>
            <w:r>
              <w:rPr>
                <w:rFonts w:cs="Arial" w:ascii="Arial" w:hAnsi="Arial"/>
                <w:sz w:val="16"/>
              </w:rPr>
            </w:r>
          </w:p>
        </w:tc>
        <w:tc>
          <w:tcPr>
            <w:tcW w:w="1258" w:type="dxa"/>
            <w:tcBorders/>
            <w:shd w:fill="auto" w:val="clear"/>
            <w:vAlign w:val="bottom"/>
          </w:tcPr>
          <w:p>
            <w:pPr>
              <w:pStyle w:val="Normal"/>
              <w:snapToGrid w:val="false"/>
              <w:jc w:val="center"/>
              <w:rPr>
                <w:rFonts w:ascii="Arial" w:hAnsi="Arial" w:cs="Arial"/>
                <w:sz w:val="16"/>
              </w:rPr>
            </w:pPr>
            <w:r>
              <w:rPr>
                <w:rFonts w:cs="Arial" w:ascii="Arial" w:hAnsi="Arial"/>
                <w:sz w:val="16"/>
              </w:rPr>
            </w:r>
          </w:p>
        </w:tc>
        <w:tc>
          <w:tcPr>
            <w:tcW w:w="1376" w:type="dxa"/>
            <w:tcBorders/>
            <w:shd w:fill="auto" w:val="clear"/>
            <w:vAlign w:val="bottom"/>
          </w:tcPr>
          <w:p>
            <w:pPr>
              <w:pStyle w:val="Normal"/>
              <w:snapToGrid w:val="false"/>
              <w:jc w:val="center"/>
              <w:rPr>
                <w:rFonts w:ascii="Arial" w:hAnsi="Arial" w:cs="Arial"/>
                <w:sz w:val="16"/>
              </w:rPr>
            </w:pPr>
            <w:r>
              <w:rPr>
                <w:rFonts w:cs="Arial" w:ascii="Arial" w:hAnsi="Arial"/>
                <w:sz w:val="16"/>
              </w:rPr>
            </w:r>
          </w:p>
        </w:tc>
      </w:tr>
      <w:tr>
        <w:trPr>
          <w:trHeight w:val="260" w:hRule="atLeast"/>
        </w:trPr>
        <w:tc>
          <w:tcPr>
            <w:tcW w:w="3178" w:type="dxa"/>
            <w:gridSpan w:val="3"/>
            <w:tcBorders/>
            <w:shd w:fill="auto" w:val="clear"/>
            <w:vAlign w:val="bottom"/>
          </w:tcPr>
          <w:p>
            <w:pPr>
              <w:pStyle w:val="Normal"/>
              <w:rPr>
                <w:rFonts w:ascii="Arial" w:hAnsi="Arial" w:cs="Arial"/>
                <w:sz w:val="16"/>
              </w:rPr>
            </w:pPr>
            <w:r>
              <w:rPr>
                <w:rFonts w:eastAsia="Arial" w:cs="Arial" w:ascii="Arial" w:hAnsi="Arial"/>
                <w:sz w:val="16"/>
              </w:rPr>
              <w:t xml:space="preserve">    </w:t>
            </w:r>
            <w:r>
              <w:rPr>
                <w:rFonts w:cs="Arial" w:ascii="Arial" w:hAnsi="Arial"/>
                <w:sz w:val="16"/>
              </w:rPr>
              <w:t>Home Ownership</w:t>
            </w:r>
          </w:p>
        </w:tc>
        <w:tc>
          <w:tcPr>
            <w:tcW w:w="1801" w:type="dxa"/>
            <w:tcBorders/>
            <w:shd w:fill="auto" w:val="clear"/>
            <w:vAlign w:val="bottom"/>
          </w:tcPr>
          <w:p>
            <w:pPr>
              <w:pStyle w:val="Normal"/>
              <w:jc w:val="center"/>
              <w:rPr>
                <w:rFonts w:ascii="Arial" w:hAnsi="Arial" w:cs="Arial"/>
                <w:sz w:val="16"/>
              </w:rPr>
            </w:pPr>
            <w:r>
              <w:rPr>
                <w:rFonts w:cs="Arial" w:ascii="Arial" w:hAnsi="Arial"/>
                <w:sz w:val="16"/>
              </w:rPr>
              <w:t>2</w:t>
            </w:r>
          </w:p>
        </w:tc>
        <w:tc>
          <w:tcPr>
            <w:tcW w:w="1622" w:type="dxa"/>
            <w:tcBorders/>
            <w:shd w:fill="auto" w:val="clear"/>
            <w:vAlign w:val="bottom"/>
          </w:tcPr>
          <w:p>
            <w:pPr>
              <w:pStyle w:val="Normal"/>
              <w:jc w:val="center"/>
              <w:rPr>
                <w:rFonts w:ascii="Arial" w:hAnsi="Arial" w:cs="Arial"/>
                <w:sz w:val="16"/>
              </w:rPr>
            </w:pPr>
            <w:r>
              <w:rPr>
                <w:rFonts w:cs="Arial" w:ascii="Arial" w:hAnsi="Arial"/>
                <w:sz w:val="16"/>
              </w:rPr>
              <w:t>6</w:t>
            </w:r>
          </w:p>
        </w:tc>
        <w:tc>
          <w:tcPr>
            <w:tcW w:w="1258" w:type="dxa"/>
            <w:tcBorders/>
            <w:shd w:fill="auto" w:val="clear"/>
            <w:vAlign w:val="bottom"/>
          </w:tcPr>
          <w:p>
            <w:pPr>
              <w:pStyle w:val="Normal"/>
              <w:jc w:val="center"/>
              <w:rPr>
                <w:rFonts w:ascii="Arial" w:hAnsi="Arial" w:cs="Arial"/>
                <w:sz w:val="16"/>
              </w:rPr>
            </w:pPr>
            <w:r>
              <w:rPr>
                <w:rFonts w:cs="Arial" w:ascii="Arial" w:hAnsi="Arial"/>
                <w:sz w:val="16"/>
              </w:rPr>
              <w:t>5.5</w:t>
            </w:r>
          </w:p>
        </w:tc>
        <w:tc>
          <w:tcPr>
            <w:tcW w:w="1376" w:type="dxa"/>
            <w:tcBorders/>
            <w:shd w:fill="auto" w:val="clear"/>
            <w:vAlign w:val="bottom"/>
          </w:tcPr>
          <w:p>
            <w:pPr>
              <w:pStyle w:val="Normal"/>
              <w:jc w:val="center"/>
              <w:rPr>
                <w:rFonts w:ascii="Arial" w:hAnsi="Arial" w:cs="Arial"/>
                <w:sz w:val="16"/>
              </w:rPr>
            </w:pPr>
            <w:r>
              <w:rPr>
                <w:rFonts w:cs="Arial" w:ascii="Arial" w:hAnsi="Arial"/>
                <w:sz w:val="16"/>
              </w:rPr>
              <w:t>0.089</w:t>
            </w:r>
          </w:p>
        </w:tc>
      </w:tr>
      <w:tr>
        <w:trPr>
          <w:trHeight w:val="144" w:hRule="exact"/>
        </w:trPr>
        <w:tc>
          <w:tcPr>
            <w:tcW w:w="3178" w:type="dxa"/>
            <w:gridSpan w:val="3"/>
            <w:tcBorders/>
            <w:shd w:fill="auto" w:val="clear"/>
            <w:vAlign w:val="bottom"/>
          </w:tcPr>
          <w:p>
            <w:pPr>
              <w:pStyle w:val="Normal"/>
              <w:jc w:val="center"/>
              <w:rPr>
                <w:rFonts w:ascii="Arial" w:hAnsi="Arial" w:cs="Arial"/>
                <w:sz w:val="16"/>
              </w:rPr>
            </w:pPr>
            <w:r>
              <w:rPr>
                <w:rFonts w:cs="Arial" w:ascii="Arial" w:hAnsi="Arial"/>
                <w:sz w:val="16"/>
              </w:rPr>
              <w:t> </w:t>
            </w:r>
          </w:p>
        </w:tc>
        <w:tc>
          <w:tcPr>
            <w:tcW w:w="1801" w:type="dxa"/>
            <w:tcBorders/>
            <w:shd w:fill="auto" w:val="clear"/>
            <w:vAlign w:val="bottom"/>
          </w:tcPr>
          <w:p>
            <w:pPr>
              <w:pStyle w:val="Normal"/>
              <w:jc w:val="center"/>
              <w:rPr>
                <w:rFonts w:ascii="Arial" w:hAnsi="Arial" w:cs="Arial"/>
                <w:sz w:val="16"/>
              </w:rPr>
            </w:pPr>
            <w:r>
              <w:rPr>
                <w:rFonts w:cs="Arial" w:ascii="Arial" w:hAnsi="Arial"/>
                <w:sz w:val="16"/>
              </w:rPr>
              <w:t> </w:t>
            </w:r>
          </w:p>
        </w:tc>
        <w:tc>
          <w:tcPr>
            <w:tcW w:w="1622" w:type="dxa"/>
            <w:tcBorders/>
            <w:shd w:fill="auto" w:val="clear"/>
            <w:vAlign w:val="bottom"/>
          </w:tcPr>
          <w:p>
            <w:pPr>
              <w:pStyle w:val="Normal"/>
              <w:jc w:val="center"/>
              <w:rPr>
                <w:rFonts w:ascii="Arial" w:hAnsi="Arial" w:cs="Arial"/>
                <w:sz w:val="16"/>
              </w:rPr>
            </w:pPr>
            <w:r>
              <w:rPr>
                <w:rFonts w:cs="Arial" w:ascii="Arial" w:hAnsi="Arial"/>
                <w:sz w:val="16"/>
              </w:rPr>
              <w:t> </w:t>
            </w:r>
          </w:p>
        </w:tc>
        <w:tc>
          <w:tcPr>
            <w:tcW w:w="1258" w:type="dxa"/>
            <w:tcBorders/>
            <w:shd w:fill="auto" w:val="clear"/>
            <w:vAlign w:val="bottom"/>
          </w:tcPr>
          <w:p>
            <w:pPr>
              <w:pStyle w:val="Normal"/>
              <w:jc w:val="center"/>
              <w:rPr>
                <w:rFonts w:ascii="Arial" w:hAnsi="Arial" w:cs="Arial"/>
                <w:sz w:val="16"/>
              </w:rPr>
            </w:pPr>
            <w:r>
              <w:rPr>
                <w:rFonts w:cs="Arial" w:ascii="Arial" w:hAnsi="Arial"/>
                <w:sz w:val="16"/>
              </w:rPr>
              <w:t> </w:t>
            </w:r>
          </w:p>
        </w:tc>
        <w:tc>
          <w:tcPr>
            <w:tcW w:w="1376" w:type="dxa"/>
            <w:tcBorders/>
            <w:shd w:fill="auto" w:val="clear"/>
            <w:vAlign w:val="bottom"/>
          </w:tcPr>
          <w:p>
            <w:pPr>
              <w:pStyle w:val="Normal"/>
              <w:jc w:val="center"/>
              <w:rPr>
                <w:rFonts w:ascii="Arial" w:hAnsi="Arial" w:cs="Arial"/>
                <w:sz w:val="16"/>
              </w:rPr>
            </w:pPr>
            <w:r>
              <w:rPr>
                <w:rFonts w:cs="Arial" w:ascii="Arial" w:hAnsi="Arial"/>
                <w:sz w:val="16"/>
              </w:rPr>
              <w:t> </w:t>
            </w:r>
          </w:p>
        </w:tc>
      </w:tr>
      <w:tr>
        <w:trPr>
          <w:trHeight w:val="260" w:hRule="atLeast"/>
        </w:trPr>
        <w:tc>
          <w:tcPr>
            <w:tcW w:w="3178" w:type="dxa"/>
            <w:gridSpan w:val="3"/>
            <w:tcBorders/>
            <w:shd w:fill="auto" w:val="clear"/>
            <w:vAlign w:val="bottom"/>
          </w:tcPr>
          <w:p>
            <w:pPr>
              <w:pStyle w:val="Normal"/>
              <w:rPr>
                <w:rFonts w:ascii="Arial" w:hAnsi="Arial" w:cs="Arial"/>
                <w:b/>
                <w:b/>
                <w:sz w:val="16"/>
              </w:rPr>
            </w:pPr>
            <w:r>
              <w:rPr>
                <w:rFonts w:cs="Arial" w:ascii="Arial" w:hAnsi="Arial"/>
                <w:b/>
                <w:sz w:val="16"/>
              </w:rPr>
              <w:t>Demographics</w:t>
            </w:r>
          </w:p>
        </w:tc>
        <w:tc>
          <w:tcPr>
            <w:tcW w:w="1801" w:type="dxa"/>
            <w:tcBorders/>
            <w:shd w:fill="auto" w:val="clear"/>
            <w:vAlign w:val="bottom"/>
          </w:tcPr>
          <w:p>
            <w:pPr>
              <w:pStyle w:val="Normal"/>
              <w:snapToGrid w:val="false"/>
              <w:jc w:val="center"/>
              <w:rPr>
                <w:rFonts w:ascii="Arial" w:hAnsi="Arial" w:cs="Arial"/>
                <w:b/>
                <w:b/>
                <w:sz w:val="16"/>
              </w:rPr>
            </w:pPr>
            <w:r>
              <w:rPr>
                <w:rFonts w:cs="Arial" w:ascii="Arial" w:hAnsi="Arial"/>
                <w:b/>
                <w:sz w:val="16"/>
              </w:rPr>
            </w:r>
          </w:p>
        </w:tc>
        <w:tc>
          <w:tcPr>
            <w:tcW w:w="1622" w:type="dxa"/>
            <w:tcBorders/>
            <w:shd w:fill="auto" w:val="clear"/>
            <w:vAlign w:val="bottom"/>
          </w:tcPr>
          <w:p>
            <w:pPr>
              <w:pStyle w:val="Normal"/>
              <w:snapToGrid w:val="false"/>
              <w:jc w:val="center"/>
              <w:rPr>
                <w:rFonts w:ascii="Arial" w:hAnsi="Arial" w:cs="Arial"/>
                <w:sz w:val="16"/>
              </w:rPr>
            </w:pPr>
            <w:r>
              <w:rPr>
                <w:rFonts w:cs="Arial" w:ascii="Arial" w:hAnsi="Arial"/>
                <w:sz w:val="16"/>
              </w:rPr>
            </w:r>
          </w:p>
        </w:tc>
        <w:tc>
          <w:tcPr>
            <w:tcW w:w="1258" w:type="dxa"/>
            <w:tcBorders/>
            <w:shd w:fill="auto" w:val="clear"/>
            <w:vAlign w:val="bottom"/>
          </w:tcPr>
          <w:p>
            <w:pPr>
              <w:pStyle w:val="Normal"/>
              <w:snapToGrid w:val="false"/>
              <w:jc w:val="center"/>
              <w:rPr>
                <w:rFonts w:ascii="Arial" w:hAnsi="Arial" w:cs="Arial"/>
                <w:sz w:val="16"/>
              </w:rPr>
            </w:pPr>
            <w:r>
              <w:rPr>
                <w:rFonts w:cs="Arial" w:ascii="Arial" w:hAnsi="Arial"/>
                <w:sz w:val="16"/>
              </w:rPr>
            </w:r>
          </w:p>
        </w:tc>
        <w:tc>
          <w:tcPr>
            <w:tcW w:w="1376" w:type="dxa"/>
            <w:tcBorders/>
            <w:shd w:fill="auto" w:val="clear"/>
            <w:vAlign w:val="bottom"/>
          </w:tcPr>
          <w:p>
            <w:pPr>
              <w:pStyle w:val="Normal"/>
              <w:snapToGrid w:val="false"/>
              <w:jc w:val="center"/>
              <w:rPr>
                <w:rFonts w:ascii="Arial" w:hAnsi="Arial" w:cs="Arial"/>
                <w:sz w:val="16"/>
              </w:rPr>
            </w:pPr>
            <w:r>
              <w:rPr>
                <w:rFonts w:cs="Arial" w:ascii="Arial" w:hAnsi="Arial"/>
                <w:sz w:val="16"/>
              </w:rPr>
            </w:r>
          </w:p>
        </w:tc>
      </w:tr>
      <w:tr>
        <w:trPr>
          <w:trHeight w:val="260" w:hRule="atLeast"/>
        </w:trPr>
        <w:tc>
          <w:tcPr>
            <w:tcW w:w="3178" w:type="dxa"/>
            <w:gridSpan w:val="3"/>
            <w:tcBorders/>
            <w:shd w:fill="auto" w:val="clear"/>
            <w:vAlign w:val="bottom"/>
          </w:tcPr>
          <w:p>
            <w:pPr>
              <w:pStyle w:val="Normal"/>
              <w:rPr>
                <w:rFonts w:ascii="Arial" w:hAnsi="Arial" w:cs="Arial"/>
                <w:sz w:val="16"/>
              </w:rPr>
            </w:pPr>
            <w:r>
              <w:rPr>
                <w:rFonts w:eastAsia="Arial" w:cs="Arial" w:ascii="Arial" w:hAnsi="Arial"/>
                <w:sz w:val="16"/>
              </w:rPr>
              <w:t xml:space="preserve">    </w:t>
            </w:r>
            <w:r>
              <w:rPr>
                <w:rFonts w:cs="Arial" w:ascii="Arial" w:hAnsi="Arial"/>
                <w:sz w:val="16"/>
              </w:rPr>
              <w:t>Single Parent Family</w:t>
            </w:r>
          </w:p>
        </w:tc>
        <w:tc>
          <w:tcPr>
            <w:tcW w:w="1801" w:type="dxa"/>
            <w:tcBorders/>
            <w:shd w:fill="auto" w:val="clear"/>
            <w:vAlign w:val="bottom"/>
          </w:tcPr>
          <w:p>
            <w:pPr>
              <w:pStyle w:val="Normal"/>
              <w:jc w:val="center"/>
              <w:rPr>
                <w:rFonts w:ascii="Arial" w:hAnsi="Arial" w:cs="Arial"/>
                <w:sz w:val="16"/>
              </w:rPr>
            </w:pPr>
            <w:r>
              <w:rPr>
                <w:rFonts w:cs="Arial" w:ascii="Arial" w:hAnsi="Arial"/>
                <w:sz w:val="16"/>
              </w:rPr>
              <w:t>4</w:t>
            </w:r>
          </w:p>
        </w:tc>
        <w:tc>
          <w:tcPr>
            <w:tcW w:w="1622" w:type="dxa"/>
            <w:tcBorders/>
            <w:shd w:fill="auto" w:val="clear"/>
            <w:vAlign w:val="bottom"/>
          </w:tcPr>
          <w:p>
            <w:pPr>
              <w:pStyle w:val="Normal"/>
              <w:jc w:val="center"/>
              <w:rPr>
                <w:rFonts w:ascii="Arial" w:hAnsi="Arial" w:cs="Arial"/>
                <w:sz w:val="16"/>
              </w:rPr>
            </w:pPr>
            <w:r>
              <w:rPr>
                <w:rFonts w:cs="Arial" w:ascii="Arial" w:hAnsi="Arial"/>
                <w:sz w:val="16"/>
              </w:rPr>
              <w:t>4</w:t>
            </w:r>
          </w:p>
        </w:tc>
        <w:tc>
          <w:tcPr>
            <w:tcW w:w="1258" w:type="dxa"/>
            <w:tcBorders/>
            <w:shd w:fill="auto" w:val="clear"/>
            <w:vAlign w:val="bottom"/>
          </w:tcPr>
          <w:p>
            <w:pPr>
              <w:pStyle w:val="Normal"/>
              <w:jc w:val="center"/>
              <w:rPr>
                <w:rFonts w:ascii="Arial" w:hAnsi="Arial" w:cs="Arial"/>
                <w:sz w:val="16"/>
              </w:rPr>
            </w:pPr>
            <w:r>
              <w:rPr>
                <w:rFonts w:cs="Arial" w:ascii="Arial" w:hAnsi="Arial"/>
                <w:sz w:val="16"/>
              </w:rPr>
              <w:t>4</w:t>
            </w:r>
          </w:p>
        </w:tc>
        <w:tc>
          <w:tcPr>
            <w:tcW w:w="1376" w:type="dxa"/>
            <w:tcBorders/>
            <w:shd w:fill="auto" w:val="clear"/>
            <w:vAlign w:val="bottom"/>
          </w:tcPr>
          <w:p>
            <w:pPr>
              <w:pStyle w:val="Normal"/>
              <w:jc w:val="center"/>
              <w:rPr>
                <w:rFonts w:ascii="Arial" w:hAnsi="Arial" w:cs="Arial"/>
                <w:sz w:val="16"/>
              </w:rPr>
            </w:pPr>
            <w:r>
              <w:rPr>
                <w:rFonts w:cs="Arial" w:ascii="Arial" w:hAnsi="Arial"/>
                <w:sz w:val="16"/>
              </w:rPr>
              <w:t>0.143</w:t>
            </w:r>
          </w:p>
        </w:tc>
      </w:tr>
      <w:tr>
        <w:trPr>
          <w:trHeight w:val="101" w:hRule="exact"/>
        </w:trPr>
        <w:tc>
          <w:tcPr>
            <w:tcW w:w="3178" w:type="dxa"/>
            <w:gridSpan w:val="3"/>
            <w:tcBorders/>
            <w:shd w:fill="auto" w:val="clear"/>
            <w:vAlign w:val="bottom"/>
          </w:tcPr>
          <w:p>
            <w:pPr>
              <w:pStyle w:val="Normal"/>
              <w:jc w:val="center"/>
              <w:rPr>
                <w:rFonts w:ascii="Arial" w:hAnsi="Arial" w:cs="Arial"/>
                <w:sz w:val="16"/>
              </w:rPr>
            </w:pPr>
            <w:r>
              <w:rPr>
                <w:rFonts w:cs="Arial" w:ascii="Arial" w:hAnsi="Arial"/>
                <w:sz w:val="16"/>
              </w:rPr>
              <w:t> </w:t>
            </w:r>
          </w:p>
        </w:tc>
        <w:tc>
          <w:tcPr>
            <w:tcW w:w="1801" w:type="dxa"/>
            <w:tcBorders/>
            <w:shd w:fill="auto" w:val="clear"/>
            <w:vAlign w:val="bottom"/>
          </w:tcPr>
          <w:p>
            <w:pPr>
              <w:pStyle w:val="Normal"/>
              <w:jc w:val="center"/>
              <w:rPr>
                <w:rFonts w:ascii="Arial" w:hAnsi="Arial" w:cs="Arial"/>
                <w:sz w:val="16"/>
              </w:rPr>
            </w:pPr>
            <w:r>
              <w:rPr>
                <w:rFonts w:cs="Arial" w:ascii="Arial" w:hAnsi="Arial"/>
                <w:sz w:val="16"/>
              </w:rPr>
              <w:t> </w:t>
            </w:r>
          </w:p>
        </w:tc>
        <w:tc>
          <w:tcPr>
            <w:tcW w:w="1622" w:type="dxa"/>
            <w:tcBorders/>
            <w:shd w:fill="auto" w:val="clear"/>
            <w:vAlign w:val="bottom"/>
          </w:tcPr>
          <w:p>
            <w:pPr>
              <w:pStyle w:val="Normal"/>
              <w:jc w:val="center"/>
              <w:rPr>
                <w:rFonts w:ascii="Arial" w:hAnsi="Arial" w:cs="Arial"/>
                <w:sz w:val="16"/>
              </w:rPr>
            </w:pPr>
            <w:r>
              <w:rPr>
                <w:rFonts w:cs="Arial" w:ascii="Arial" w:hAnsi="Arial"/>
                <w:sz w:val="16"/>
              </w:rPr>
              <w:t> </w:t>
            </w:r>
          </w:p>
        </w:tc>
        <w:tc>
          <w:tcPr>
            <w:tcW w:w="1258" w:type="dxa"/>
            <w:tcBorders/>
            <w:shd w:fill="auto" w:val="clear"/>
            <w:vAlign w:val="bottom"/>
          </w:tcPr>
          <w:p>
            <w:pPr>
              <w:pStyle w:val="Normal"/>
              <w:jc w:val="center"/>
              <w:rPr>
                <w:rFonts w:ascii="Arial" w:hAnsi="Arial" w:cs="Arial"/>
                <w:sz w:val="16"/>
              </w:rPr>
            </w:pPr>
            <w:r>
              <w:rPr>
                <w:rFonts w:cs="Arial" w:ascii="Arial" w:hAnsi="Arial"/>
                <w:sz w:val="16"/>
              </w:rPr>
              <w:t> </w:t>
            </w:r>
          </w:p>
        </w:tc>
        <w:tc>
          <w:tcPr>
            <w:tcW w:w="1376" w:type="dxa"/>
            <w:tcBorders/>
            <w:shd w:fill="auto" w:val="clear"/>
            <w:vAlign w:val="bottom"/>
          </w:tcPr>
          <w:p>
            <w:pPr>
              <w:pStyle w:val="Normal"/>
              <w:jc w:val="center"/>
              <w:rPr>
                <w:rFonts w:ascii="Arial" w:hAnsi="Arial" w:cs="Arial"/>
                <w:sz w:val="16"/>
              </w:rPr>
            </w:pPr>
            <w:r>
              <w:rPr>
                <w:rFonts w:cs="Arial" w:ascii="Arial" w:hAnsi="Arial"/>
                <w:sz w:val="16"/>
              </w:rPr>
              <w:t> </w:t>
            </w:r>
          </w:p>
        </w:tc>
      </w:tr>
      <w:tr>
        <w:trPr>
          <w:trHeight w:val="260" w:hRule="atLeast"/>
        </w:trPr>
        <w:tc>
          <w:tcPr>
            <w:tcW w:w="3178" w:type="dxa"/>
            <w:gridSpan w:val="3"/>
            <w:tcBorders/>
            <w:shd w:fill="auto" w:val="clear"/>
            <w:vAlign w:val="bottom"/>
          </w:tcPr>
          <w:p>
            <w:pPr>
              <w:pStyle w:val="Normal"/>
              <w:rPr>
                <w:rFonts w:ascii="Arial" w:hAnsi="Arial" w:cs="Arial"/>
                <w:b/>
                <w:b/>
                <w:sz w:val="16"/>
              </w:rPr>
            </w:pPr>
            <w:r>
              <w:rPr>
                <w:rFonts w:cs="Arial" w:ascii="Arial" w:hAnsi="Arial"/>
                <w:b/>
                <w:sz w:val="16"/>
              </w:rPr>
              <w:t>Education</w:t>
            </w:r>
          </w:p>
        </w:tc>
        <w:tc>
          <w:tcPr>
            <w:tcW w:w="1801" w:type="dxa"/>
            <w:tcBorders/>
            <w:shd w:fill="auto" w:val="clear"/>
            <w:vAlign w:val="bottom"/>
          </w:tcPr>
          <w:p>
            <w:pPr>
              <w:pStyle w:val="Normal"/>
              <w:snapToGrid w:val="false"/>
              <w:jc w:val="center"/>
              <w:rPr>
                <w:rFonts w:ascii="Arial" w:hAnsi="Arial" w:cs="Arial"/>
                <w:b/>
                <w:b/>
                <w:sz w:val="16"/>
              </w:rPr>
            </w:pPr>
            <w:r>
              <w:rPr>
                <w:rFonts w:cs="Arial" w:ascii="Arial" w:hAnsi="Arial"/>
                <w:b/>
                <w:sz w:val="16"/>
              </w:rPr>
            </w:r>
          </w:p>
        </w:tc>
        <w:tc>
          <w:tcPr>
            <w:tcW w:w="1622" w:type="dxa"/>
            <w:tcBorders/>
            <w:shd w:fill="auto" w:val="clear"/>
            <w:vAlign w:val="bottom"/>
          </w:tcPr>
          <w:p>
            <w:pPr>
              <w:pStyle w:val="Normal"/>
              <w:snapToGrid w:val="false"/>
              <w:jc w:val="center"/>
              <w:rPr>
                <w:rFonts w:ascii="Arial" w:hAnsi="Arial" w:cs="Arial"/>
                <w:sz w:val="16"/>
              </w:rPr>
            </w:pPr>
            <w:r>
              <w:rPr>
                <w:rFonts w:cs="Arial" w:ascii="Arial" w:hAnsi="Arial"/>
                <w:sz w:val="16"/>
              </w:rPr>
            </w:r>
          </w:p>
        </w:tc>
        <w:tc>
          <w:tcPr>
            <w:tcW w:w="1258" w:type="dxa"/>
            <w:tcBorders/>
            <w:shd w:fill="auto" w:val="clear"/>
            <w:vAlign w:val="bottom"/>
          </w:tcPr>
          <w:p>
            <w:pPr>
              <w:pStyle w:val="Normal"/>
              <w:snapToGrid w:val="false"/>
              <w:jc w:val="center"/>
              <w:rPr>
                <w:rFonts w:ascii="Arial" w:hAnsi="Arial" w:cs="Arial"/>
                <w:sz w:val="16"/>
              </w:rPr>
            </w:pPr>
            <w:r>
              <w:rPr>
                <w:rFonts w:cs="Arial" w:ascii="Arial" w:hAnsi="Arial"/>
                <w:sz w:val="16"/>
              </w:rPr>
            </w:r>
          </w:p>
        </w:tc>
        <w:tc>
          <w:tcPr>
            <w:tcW w:w="1376" w:type="dxa"/>
            <w:tcBorders/>
            <w:shd w:fill="auto" w:val="clear"/>
            <w:vAlign w:val="bottom"/>
          </w:tcPr>
          <w:p>
            <w:pPr>
              <w:pStyle w:val="Normal"/>
              <w:snapToGrid w:val="false"/>
              <w:jc w:val="center"/>
              <w:rPr>
                <w:rFonts w:ascii="Arial" w:hAnsi="Arial" w:cs="Arial"/>
                <w:sz w:val="16"/>
              </w:rPr>
            </w:pPr>
            <w:r>
              <w:rPr>
                <w:rFonts w:cs="Arial" w:ascii="Arial" w:hAnsi="Arial"/>
                <w:sz w:val="16"/>
              </w:rPr>
            </w:r>
          </w:p>
        </w:tc>
      </w:tr>
      <w:tr>
        <w:trPr>
          <w:trHeight w:val="260" w:hRule="atLeast"/>
        </w:trPr>
        <w:tc>
          <w:tcPr>
            <w:tcW w:w="3178" w:type="dxa"/>
            <w:gridSpan w:val="3"/>
            <w:tcBorders/>
            <w:shd w:fill="auto" w:val="clear"/>
            <w:vAlign w:val="bottom"/>
          </w:tcPr>
          <w:p>
            <w:pPr>
              <w:pStyle w:val="Normal"/>
              <w:rPr>
                <w:rFonts w:ascii="Arial" w:hAnsi="Arial" w:cs="Arial"/>
                <w:sz w:val="16"/>
              </w:rPr>
            </w:pPr>
            <w:r>
              <w:rPr>
                <w:rFonts w:eastAsia="Arial" w:cs="Arial" w:ascii="Arial" w:hAnsi="Arial"/>
                <w:sz w:val="16"/>
              </w:rPr>
              <w:t xml:space="preserve">    </w:t>
            </w:r>
            <w:r>
              <w:rPr>
                <w:rFonts w:cs="Arial" w:ascii="Arial" w:hAnsi="Arial"/>
                <w:sz w:val="16"/>
              </w:rPr>
              <w:t>No High school Completion</w:t>
            </w:r>
          </w:p>
        </w:tc>
        <w:tc>
          <w:tcPr>
            <w:tcW w:w="1801" w:type="dxa"/>
            <w:tcBorders/>
            <w:shd w:fill="auto" w:val="clear"/>
            <w:vAlign w:val="bottom"/>
          </w:tcPr>
          <w:p>
            <w:pPr>
              <w:pStyle w:val="Normal"/>
              <w:jc w:val="center"/>
              <w:rPr>
                <w:rFonts w:ascii="Arial" w:hAnsi="Arial" w:cs="Arial"/>
                <w:sz w:val="16"/>
              </w:rPr>
            </w:pPr>
            <w:r>
              <w:rPr>
                <w:rFonts w:cs="Arial" w:ascii="Arial" w:hAnsi="Arial"/>
                <w:sz w:val="16"/>
              </w:rPr>
              <w:t>6</w:t>
            </w:r>
          </w:p>
        </w:tc>
        <w:tc>
          <w:tcPr>
            <w:tcW w:w="1622" w:type="dxa"/>
            <w:tcBorders/>
            <w:shd w:fill="auto" w:val="clear"/>
            <w:vAlign w:val="bottom"/>
          </w:tcPr>
          <w:p>
            <w:pPr>
              <w:pStyle w:val="Normal"/>
              <w:jc w:val="center"/>
              <w:rPr>
                <w:rFonts w:ascii="Arial" w:hAnsi="Arial" w:cs="Arial"/>
                <w:sz w:val="16"/>
              </w:rPr>
            </w:pPr>
            <w:r>
              <w:rPr>
                <w:rFonts w:cs="Arial" w:ascii="Arial" w:hAnsi="Arial"/>
                <w:sz w:val="16"/>
              </w:rPr>
              <w:t>4</w:t>
            </w:r>
          </w:p>
        </w:tc>
        <w:tc>
          <w:tcPr>
            <w:tcW w:w="1258" w:type="dxa"/>
            <w:tcBorders/>
            <w:shd w:fill="auto" w:val="clear"/>
            <w:vAlign w:val="bottom"/>
          </w:tcPr>
          <w:p>
            <w:pPr>
              <w:pStyle w:val="Normal"/>
              <w:jc w:val="center"/>
              <w:rPr>
                <w:rFonts w:ascii="Arial" w:hAnsi="Arial" w:cs="Arial"/>
                <w:sz w:val="16"/>
              </w:rPr>
            </w:pPr>
            <w:r>
              <w:rPr>
                <w:rFonts w:cs="Arial" w:ascii="Arial" w:hAnsi="Arial"/>
                <w:sz w:val="16"/>
              </w:rPr>
              <w:t>1</w:t>
            </w:r>
          </w:p>
        </w:tc>
        <w:tc>
          <w:tcPr>
            <w:tcW w:w="1376" w:type="dxa"/>
            <w:tcBorders/>
            <w:shd w:fill="auto" w:val="clear"/>
            <w:vAlign w:val="bottom"/>
          </w:tcPr>
          <w:p>
            <w:pPr>
              <w:pStyle w:val="Normal"/>
              <w:jc w:val="center"/>
              <w:rPr>
                <w:rFonts w:ascii="Arial" w:hAnsi="Arial" w:cs="Arial"/>
                <w:sz w:val="16"/>
              </w:rPr>
            </w:pPr>
            <w:r>
              <w:rPr>
                <w:rFonts w:cs="Arial" w:ascii="Arial" w:hAnsi="Arial"/>
                <w:sz w:val="16"/>
              </w:rPr>
              <w:t>0.250</w:t>
            </w:r>
          </w:p>
        </w:tc>
      </w:tr>
      <w:tr>
        <w:trPr>
          <w:trHeight w:val="260" w:hRule="atLeast"/>
        </w:trPr>
        <w:tc>
          <w:tcPr>
            <w:tcW w:w="3178" w:type="dxa"/>
            <w:gridSpan w:val="3"/>
            <w:tcBorders/>
            <w:shd w:fill="auto" w:val="clear"/>
            <w:vAlign w:val="bottom"/>
          </w:tcPr>
          <w:p>
            <w:pPr>
              <w:pStyle w:val="Normal"/>
              <w:rPr>
                <w:rFonts w:ascii="Arial" w:hAnsi="Arial" w:cs="Arial"/>
                <w:sz w:val="16"/>
              </w:rPr>
            </w:pPr>
            <w:r>
              <w:rPr>
                <w:rFonts w:eastAsia="Arial" w:cs="Arial" w:ascii="Arial" w:hAnsi="Arial"/>
                <w:sz w:val="16"/>
              </w:rPr>
              <w:t xml:space="preserve">    </w:t>
            </w:r>
            <w:r>
              <w:rPr>
                <w:rFonts w:cs="Arial" w:ascii="Arial" w:hAnsi="Arial"/>
                <w:sz w:val="16"/>
              </w:rPr>
              <w:t>With a University Degree</w:t>
            </w:r>
          </w:p>
        </w:tc>
        <w:tc>
          <w:tcPr>
            <w:tcW w:w="1801" w:type="dxa"/>
            <w:tcBorders/>
            <w:shd w:fill="auto" w:val="clear"/>
            <w:vAlign w:val="bottom"/>
          </w:tcPr>
          <w:p>
            <w:pPr>
              <w:pStyle w:val="Normal"/>
              <w:jc w:val="center"/>
              <w:rPr>
                <w:rFonts w:ascii="Arial" w:hAnsi="Arial" w:cs="Arial"/>
                <w:sz w:val="16"/>
              </w:rPr>
            </w:pPr>
            <w:r>
              <w:rPr>
                <w:rFonts w:cs="Arial" w:ascii="Arial" w:hAnsi="Arial"/>
                <w:sz w:val="16"/>
              </w:rPr>
              <w:t>5</w:t>
            </w:r>
          </w:p>
        </w:tc>
        <w:tc>
          <w:tcPr>
            <w:tcW w:w="1622" w:type="dxa"/>
            <w:tcBorders/>
            <w:shd w:fill="auto" w:val="clear"/>
            <w:vAlign w:val="bottom"/>
          </w:tcPr>
          <w:p>
            <w:pPr>
              <w:pStyle w:val="Normal"/>
              <w:jc w:val="center"/>
              <w:rPr>
                <w:rFonts w:ascii="Arial" w:hAnsi="Arial" w:cs="Arial"/>
                <w:sz w:val="16"/>
              </w:rPr>
            </w:pPr>
            <w:r>
              <w:rPr>
                <w:rFonts w:cs="Arial" w:ascii="Arial" w:hAnsi="Arial"/>
                <w:sz w:val="16"/>
              </w:rPr>
              <w:t>3</w:t>
            </w:r>
          </w:p>
        </w:tc>
        <w:tc>
          <w:tcPr>
            <w:tcW w:w="1258" w:type="dxa"/>
            <w:tcBorders/>
            <w:shd w:fill="auto" w:val="clear"/>
            <w:vAlign w:val="bottom"/>
          </w:tcPr>
          <w:p>
            <w:pPr>
              <w:pStyle w:val="Normal"/>
              <w:jc w:val="center"/>
              <w:rPr>
                <w:rFonts w:ascii="Arial" w:hAnsi="Arial" w:cs="Arial"/>
                <w:sz w:val="16"/>
              </w:rPr>
            </w:pPr>
            <w:r>
              <w:rPr>
                <w:rFonts w:cs="Arial" w:ascii="Arial" w:hAnsi="Arial"/>
                <w:sz w:val="16"/>
              </w:rPr>
              <w:t>3</w:t>
            </w:r>
          </w:p>
        </w:tc>
        <w:tc>
          <w:tcPr>
            <w:tcW w:w="1376" w:type="dxa"/>
            <w:tcBorders/>
            <w:shd w:fill="auto" w:val="clear"/>
            <w:vAlign w:val="bottom"/>
          </w:tcPr>
          <w:p>
            <w:pPr>
              <w:pStyle w:val="Normal"/>
              <w:jc w:val="center"/>
              <w:rPr>
                <w:rFonts w:ascii="Arial" w:hAnsi="Arial" w:cs="Arial"/>
                <w:sz w:val="16"/>
              </w:rPr>
            </w:pPr>
            <w:r>
              <w:rPr>
                <w:rFonts w:cs="Arial" w:ascii="Arial" w:hAnsi="Arial"/>
                <w:sz w:val="16"/>
              </w:rPr>
              <w:t>0.179</w:t>
            </w:r>
          </w:p>
        </w:tc>
      </w:tr>
      <w:tr>
        <w:trPr>
          <w:trHeight w:val="101" w:hRule="exact"/>
        </w:trPr>
        <w:tc>
          <w:tcPr>
            <w:tcW w:w="973" w:type="dxa"/>
            <w:tcBorders/>
            <w:shd w:fill="auto" w:val="clear"/>
            <w:vAlign w:val="bottom"/>
          </w:tcPr>
          <w:p>
            <w:pPr>
              <w:pStyle w:val="Normal"/>
              <w:rPr>
                <w:rFonts w:ascii="Arial" w:hAnsi="Arial" w:cs="Arial"/>
                <w:sz w:val="16"/>
              </w:rPr>
            </w:pPr>
            <w:r>
              <w:rPr>
                <w:rFonts w:cs="Arial" w:ascii="Arial" w:hAnsi="Arial"/>
                <w:sz w:val="16"/>
              </w:rPr>
              <w:t> </w:t>
            </w:r>
          </w:p>
        </w:tc>
        <w:tc>
          <w:tcPr>
            <w:tcW w:w="979" w:type="dxa"/>
            <w:tcBorders/>
            <w:shd w:fill="auto" w:val="clear"/>
            <w:vAlign w:val="bottom"/>
          </w:tcPr>
          <w:p>
            <w:pPr>
              <w:pStyle w:val="Normal"/>
              <w:rPr>
                <w:rFonts w:ascii="Arial" w:hAnsi="Arial" w:cs="Arial"/>
                <w:sz w:val="16"/>
              </w:rPr>
            </w:pPr>
            <w:r>
              <w:rPr>
                <w:rFonts w:cs="Arial" w:ascii="Arial" w:hAnsi="Arial"/>
                <w:sz w:val="16"/>
              </w:rPr>
              <w:t> </w:t>
            </w:r>
          </w:p>
        </w:tc>
        <w:tc>
          <w:tcPr>
            <w:tcW w:w="1226" w:type="dxa"/>
            <w:tcBorders/>
            <w:shd w:fill="auto" w:val="clear"/>
            <w:vAlign w:val="bottom"/>
          </w:tcPr>
          <w:p>
            <w:pPr>
              <w:pStyle w:val="Normal"/>
              <w:rPr>
                <w:rFonts w:ascii="Arial" w:hAnsi="Arial" w:cs="Arial"/>
                <w:sz w:val="16"/>
              </w:rPr>
            </w:pPr>
            <w:r>
              <w:rPr>
                <w:rFonts w:cs="Arial" w:ascii="Arial" w:hAnsi="Arial"/>
                <w:sz w:val="16"/>
              </w:rPr>
              <w:t> </w:t>
            </w:r>
          </w:p>
        </w:tc>
        <w:tc>
          <w:tcPr>
            <w:tcW w:w="1801" w:type="dxa"/>
            <w:tcBorders/>
            <w:shd w:fill="auto" w:val="clear"/>
            <w:vAlign w:val="bottom"/>
          </w:tcPr>
          <w:p>
            <w:pPr>
              <w:pStyle w:val="Normal"/>
              <w:jc w:val="center"/>
              <w:rPr>
                <w:rFonts w:ascii="Arial" w:hAnsi="Arial" w:cs="Arial"/>
                <w:sz w:val="16"/>
              </w:rPr>
            </w:pPr>
            <w:r>
              <w:rPr>
                <w:rFonts w:cs="Arial" w:ascii="Arial" w:hAnsi="Arial"/>
                <w:sz w:val="16"/>
              </w:rPr>
              <w:t> </w:t>
            </w:r>
          </w:p>
        </w:tc>
        <w:tc>
          <w:tcPr>
            <w:tcW w:w="1622" w:type="dxa"/>
            <w:tcBorders/>
            <w:shd w:fill="auto" w:val="clear"/>
            <w:vAlign w:val="bottom"/>
          </w:tcPr>
          <w:p>
            <w:pPr>
              <w:pStyle w:val="Normal"/>
              <w:jc w:val="center"/>
              <w:rPr>
                <w:rFonts w:ascii="Arial" w:hAnsi="Arial" w:cs="Arial"/>
                <w:sz w:val="16"/>
              </w:rPr>
            </w:pPr>
            <w:r>
              <w:rPr>
                <w:rFonts w:cs="Arial" w:ascii="Arial" w:hAnsi="Arial"/>
                <w:sz w:val="16"/>
              </w:rPr>
              <w:t> </w:t>
            </w:r>
          </w:p>
        </w:tc>
        <w:tc>
          <w:tcPr>
            <w:tcW w:w="1258" w:type="dxa"/>
            <w:tcBorders/>
            <w:shd w:fill="auto" w:val="clear"/>
            <w:vAlign w:val="bottom"/>
          </w:tcPr>
          <w:p>
            <w:pPr>
              <w:pStyle w:val="Normal"/>
              <w:jc w:val="center"/>
              <w:rPr>
                <w:rFonts w:ascii="Arial" w:hAnsi="Arial" w:cs="Arial"/>
                <w:sz w:val="16"/>
              </w:rPr>
            </w:pPr>
            <w:r>
              <w:rPr>
                <w:rFonts w:cs="Arial" w:ascii="Arial" w:hAnsi="Arial"/>
                <w:sz w:val="16"/>
              </w:rPr>
              <w:t> </w:t>
            </w:r>
          </w:p>
        </w:tc>
        <w:tc>
          <w:tcPr>
            <w:tcW w:w="1376" w:type="dxa"/>
            <w:tcBorders/>
            <w:shd w:fill="auto" w:val="clear"/>
            <w:vAlign w:val="bottom"/>
          </w:tcPr>
          <w:p>
            <w:pPr>
              <w:pStyle w:val="Normal"/>
              <w:jc w:val="center"/>
              <w:rPr>
                <w:rFonts w:ascii="Arial" w:hAnsi="Arial" w:cs="Arial"/>
                <w:sz w:val="16"/>
              </w:rPr>
            </w:pPr>
            <w:r>
              <w:rPr>
                <w:rFonts w:cs="Arial" w:ascii="Arial" w:hAnsi="Arial"/>
                <w:sz w:val="16"/>
              </w:rPr>
              <w:t> </w:t>
            </w:r>
          </w:p>
        </w:tc>
      </w:tr>
      <w:tr>
        <w:trPr>
          <w:trHeight w:val="260" w:hRule="atLeast"/>
        </w:trPr>
        <w:tc>
          <w:tcPr>
            <w:tcW w:w="3178" w:type="dxa"/>
            <w:gridSpan w:val="3"/>
            <w:tcBorders/>
            <w:shd w:fill="auto" w:val="clear"/>
            <w:vAlign w:val="bottom"/>
          </w:tcPr>
          <w:p>
            <w:pPr>
              <w:pStyle w:val="Normal"/>
              <w:rPr>
                <w:rFonts w:ascii="Arial" w:hAnsi="Arial" w:cs="Arial"/>
                <w:b/>
                <w:b/>
                <w:sz w:val="16"/>
              </w:rPr>
            </w:pPr>
            <w:r>
              <w:rPr>
                <w:rFonts w:cs="Arial" w:ascii="Arial" w:hAnsi="Arial"/>
                <w:b/>
                <w:sz w:val="16"/>
              </w:rPr>
              <w:t>Employment</w:t>
            </w:r>
          </w:p>
        </w:tc>
        <w:tc>
          <w:tcPr>
            <w:tcW w:w="1801" w:type="dxa"/>
            <w:tcBorders/>
            <w:shd w:fill="auto" w:val="clear"/>
            <w:vAlign w:val="bottom"/>
          </w:tcPr>
          <w:p>
            <w:pPr>
              <w:pStyle w:val="Normal"/>
              <w:snapToGrid w:val="false"/>
              <w:jc w:val="center"/>
              <w:rPr>
                <w:rFonts w:ascii="Arial" w:hAnsi="Arial" w:cs="Arial"/>
                <w:b/>
                <w:b/>
                <w:sz w:val="16"/>
              </w:rPr>
            </w:pPr>
            <w:r>
              <w:rPr>
                <w:rFonts w:cs="Arial" w:ascii="Arial" w:hAnsi="Arial"/>
                <w:b/>
                <w:sz w:val="16"/>
              </w:rPr>
            </w:r>
          </w:p>
        </w:tc>
        <w:tc>
          <w:tcPr>
            <w:tcW w:w="1622" w:type="dxa"/>
            <w:tcBorders/>
            <w:shd w:fill="auto" w:val="clear"/>
            <w:vAlign w:val="bottom"/>
          </w:tcPr>
          <w:p>
            <w:pPr>
              <w:pStyle w:val="Normal"/>
              <w:snapToGrid w:val="false"/>
              <w:jc w:val="center"/>
              <w:rPr>
                <w:rFonts w:ascii="Arial" w:hAnsi="Arial" w:cs="Arial"/>
                <w:sz w:val="16"/>
              </w:rPr>
            </w:pPr>
            <w:r>
              <w:rPr>
                <w:rFonts w:cs="Arial" w:ascii="Arial" w:hAnsi="Arial"/>
                <w:sz w:val="16"/>
              </w:rPr>
            </w:r>
          </w:p>
        </w:tc>
        <w:tc>
          <w:tcPr>
            <w:tcW w:w="1258" w:type="dxa"/>
            <w:tcBorders/>
            <w:shd w:fill="auto" w:val="clear"/>
            <w:vAlign w:val="bottom"/>
          </w:tcPr>
          <w:p>
            <w:pPr>
              <w:pStyle w:val="Normal"/>
              <w:snapToGrid w:val="false"/>
              <w:jc w:val="center"/>
              <w:rPr>
                <w:rFonts w:ascii="Arial" w:hAnsi="Arial" w:cs="Arial"/>
                <w:sz w:val="16"/>
              </w:rPr>
            </w:pPr>
            <w:r>
              <w:rPr>
                <w:rFonts w:cs="Arial" w:ascii="Arial" w:hAnsi="Arial"/>
                <w:sz w:val="16"/>
              </w:rPr>
            </w:r>
          </w:p>
        </w:tc>
        <w:tc>
          <w:tcPr>
            <w:tcW w:w="1376" w:type="dxa"/>
            <w:tcBorders/>
            <w:shd w:fill="auto" w:val="clear"/>
            <w:vAlign w:val="bottom"/>
          </w:tcPr>
          <w:p>
            <w:pPr>
              <w:pStyle w:val="Normal"/>
              <w:snapToGrid w:val="false"/>
              <w:jc w:val="center"/>
              <w:rPr>
                <w:rFonts w:ascii="Arial" w:hAnsi="Arial" w:cs="Arial"/>
                <w:sz w:val="16"/>
              </w:rPr>
            </w:pPr>
            <w:r>
              <w:rPr>
                <w:rFonts w:cs="Arial" w:ascii="Arial" w:hAnsi="Arial"/>
                <w:sz w:val="16"/>
              </w:rPr>
            </w:r>
          </w:p>
        </w:tc>
      </w:tr>
      <w:tr>
        <w:trPr>
          <w:trHeight w:val="260" w:hRule="atLeast"/>
        </w:trPr>
        <w:tc>
          <w:tcPr>
            <w:tcW w:w="3178" w:type="dxa"/>
            <w:gridSpan w:val="3"/>
            <w:tcBorders/>
            <w:shd w:fill="auto" w:val="clear"/>
            <w:vAlign w:val="bottom"/>
          </w:tcPr>
          <w:p>
            <w:pPr>
              <w:pStyle w:val="Normal"/>
              <w:rPr>
                <w:rFonts w:ascii="Arial" w:hAnsi="Arial" w:cs="Arial"/>
                <w:sz w:val="16"/>
              </w:rPr>
            </w:pPr>
            <w:r>
              <w:rPr>
                <w:rFonts w:eastAsia="Arial" w:cs="Arial" w:ascii="Arial" w:hAnsi="Arial"/>
                <w:sz w:val="16"/>
              </w:rPr>
              <w:t xml:space="preserve">    </w:t>
            </w:r>
            <w:r>
              <w:rPr>
                <w:rFonts w:cs="Arial" w:ascii="Arial" w:hAnsi="Arial"/>
                <w:sz w:val="16"/>
              </w:rPr>
              <w:t>Employment Ratio</w:t>
            </w:r>
          </w:p>
        </w:tc>
        <w:tc>
          <w:tcPr>
            <w:tcW w:w="1801" w:type="dxa"/>
            <w:tcBorders/>
            <w:shd w:fill="auto" w:val="clear"/>
            <w:vAlign w:val="bottom"/>
          </w:tcPr>
          <w:p>
            <w:pPr>
              <w:pStyle w:val="Normal"/>
              <w:jc w:val="center"/>
              <w:rPr>
                <w:rFonts w:ascii="Arial" w:hAnsi="Arial" w:cs="Arial"/>
                <w:sz w:val="16"/>
              </w:rPr>
            </w:pPr>
            <w:r>
              <w:rPr>
                <w:rFonts w:cs="Arial" w:ascii="Arial" w:hAnsi="Arial"/>
                <w:sz w:val="16"/>
              </w:rPr>
              <w:t>4</w:t>
            </w:r>
          </w:p>
        </w:tc>
        <w:tc>
          <w:tcPr>
            <w:tcW w:w="1622" w:type="dxa"/>
            <w:tcBorders/>
            <w:shd w:fill="auto" w:val="clear"/>
            <w:vAlign w:val="bottom"/>
          </w:tcPr>
          <w:p>
            <w:pPr>
              <w:pStyle w:val="Normal"/>
              <w:jc w:val="center"/>
              <w:rPr>
                <w:rFonts w:ascii="Arial" w:hAnsi="Arial" w:cs="Arial"/>
                <w:sz w:val="16"/>
              </w:rPr>
            </w:pPr>
            <w:r>
              <w:rPr>
                <w:rFonts w:cs="Arial" w:ascii="Arial" w:hAnsi="Arial"/>
                <w:sz w:val="16"/>
              </w:rPr>
              <w:t>3</w:t>
            </w:r>
          </w:p>
        </w:tc>
        <w:tc>
          <w:tcPr>
            <w:tcW w:w="1258" w:type="dxa"/>
            <w:tcBorders/>
            <w:shd w:fill="auto" w:val="clear"/>
            <w:vAlign w:val="bottom"/>
          </w:tcPr>
          <w:p>
            <w:pPr>
              <w:pStyle w:val="Normal"/>
              <w:jc w:val="center"/>
              <w:rPr>
                <w:rFonts w:ascii="Arial" w:hAnsi="Arial" w:cs="Arial"/>
                <w:sz w:val="16"/>
              </w:rPr>
            </w:pPr>
            <w:r>
              <w:rPr>
                <w:rFonts w:cs="Arial" w:ascii="Arial" w:hAnsi="Arial"/>
                <w:sz w:val="16"/>
              </w:rPr>
              <w:t>7</w:t>
            </w:r>
          </w:p>
        </w:tc>
        <w:tc>
          <w:tcPr>
            <w:tcW w:w="1376" w:type="dxa"/>
            <w:tcBorders/>
            <w:shd w:fill="auto" w:val="clear"/>
            <w:vAlign w:val="bottom"/>
          </w:tcPr>
          <w:p>
            <w:pPr>
              <w:pStyle w:val="Normal"/>
              <w:jc w:val="center"/>
              <w:rPr>
                <w:rFonts w:ascii="Arial" w:hAnsi="Arial" w:cs="Arial"/>
                <w:sz w:val="16"/>
              </w:rPr>
            </w:pPr>
            <w:r>
              <w:rPr>
                <w:rFonts w:cs="Arial" w:ascii="Arial" w:hAnsi="Arial"/>
                <w:sz w:val="16"/>
              </w:rPr>
              <w:t>0.036</w:t>
            </w:r>
          </w:p>
        </w:tc>
      </w:tr>
      <w:tr>
        <w:trPr>
          <w:trHeight w:val="260" w:hRule="atLeast"/>
        </w:trPr>
        <w:tc>
          <w:tcPr>
            <w:tcW w:w="3178" w:type="dxa"/>
            <w:gridSpan w:val="3"/>
            <w:tcBorders/>
            <w:shd w:fill="auto" w:val="clear"/>
            <w:vAlign w:val="bottom"/>
          </w:tcPr>
          <w:p>
            <w:pPr>
              <w:pStyle w:val="Normal"/>
              <w:rPr>
                <w:rFonts w:ascii="Arial" w:hAnsi="Arial" w:cs="Arial"/>
                <w:sz w:val="16"/>
              </w:rPr>
            </w:pPr>
            <w:r>
              <w:rPr>
                <w:rFonts w:eastAsia="Arial" w:cs="Arial" w:ascii="Arial" w:hAnsi="Arial"/>
                <w:sz w:val="16"/>
              </w:rPr>
              <w:t xml:space="preserve">    </w:t>
            </w:r>
            <w:r>
              <w:rPr>
                <w:rFonts w:cs="Arial" w:ascii="Arial" w:hAnsi="Arial"/>
                <w:sz w:val="16"/>
              </w:rPr>
              <w:t>Unemployment Rate</w:t>
            </w:r>
          </w:p>
        </w:tc>
        <w:tc>
          <w:tcPr>
            <w:tcW w:w="1801" w:type="dxa"/>
            <w:tcBorders/>
            <w:shd w:fill="auto" w:val="clear"/>
            <w:vAlign w:val="bottom"/>
          </w:tcPr>
          <w:p>
            <w:pPr>
              <w:pStyle w:val="Normal"/>
              <w:jc w:val="center"/>
              <w:rPr>
                <w:rFonts w:ascii="Arial" w:hAnsi="Arial" w:cs="Arial"/>
                <w:sz w:val="16"/>
              </w:rPr>
            </w:pPr>
            <w:r>
              <w:rPr>
                <w:rFonts w:cs="Arial" w:ascii="Arial" w:hAnsi="Arial"/>
                <w:sz w:val="16"/>
              </w:rPr>
              <w:t>6</w:t>
            </w:r>
          </w:p>
        </w:tc>
        <w:tc>
          <w:tcPr>
            <w:tcW w:w="1622" w:type="dxa"/>
            <w:tcBorders/>
            <w:shd w:fill="auto" w:val="clear"/>
            <w:vAlign w:val="bottom"/>
          </w:tcPr>
          <w:p>
            <w:pPr>
              <w:pStyle w:val="Normal"/>
              <w:jc w:val="center"/>
              <w:rPr>
                <w:rFonts w:ascii="Arial" w:hAnsi="Arial" w:cs="Arial"/>
                <w:sz w:val="16"/>
              </w:rPr>
            </w:pPr>
            <w:r>
              <w:rPr>
                <w:rFonts w:cs="Arial" w:ascii="Arial" w:hAnsi="Arial"/>
                <w:sz w:val="16"/>
              </w:rPr>
              <w:t>3</w:t>
            </w:r>
          </w:p>
        </w:tc>
        <w:tc>
          <w:tcPr>
            <w:tcW w:w="1258" w:type="dxa"/>
            <w:tcBorders/>
            <w:shd w:fill="auto" w:val="clear"/>
            <w:vAlign w:val="bottom"/>
          </w:tcPr>
          <w:p>
            <w:pPr>
              <w:pStyle w:val="Normal"/>
              <w:jc w:val="center"/>
              <w:rPr>
                <w:rFonts w:ascii="Arial" w:hAnsi="Arial" w:cs="Arial"/>
                <w:sz w:val="16"/>
              </w:rPr>
            </w:pPr>
            <w:r>
              <w:rPr>
                <w:rFonts w:cs="Arial" w:ascii="Arial" w:hAnsi="Arial"/>
                <w:sz w:val="16"/>
              </w:rPr>
              <w:t>2</w:t>
            </w:r>
          </w:p>
        </w:tc>
        <w:tc>
          <w:tcPr>
            <w:tcW w:w="1376" w:type="dxa"/>
            <w:tcBorders/>
            <w:shd w:fill="auto" w:val="clear"/>
            <w:vAlign w:val="bottom"/>
          </w:tcPr>
          <w:p>
            <w:pPr>
              <w:pStyle w:val="Normal"/>
              <w:jc w:val="center"/>
              <w:rPr>
                <w:rFonts w:ascii="Arial" w:hAnsi="Arial" w:cs="Arial"/>
                <w:sz w:val="16"/>
              </w:rPr>
            </w:pPr>
            <w:r>
              <w:rPr>
                <w:rFonts w:cs="Arial" w:ascii="Arial" w:hAnsi="Arial"/>
                <w:sz w:val="16"/>
              </w:rPr>
              <w:t>0.214</w:t>
            </w:r>
          </w:p>
        </w:tc>
      </w:tr>
      <w:tr>
        <w:trPr>
          <w:trHeight w:val="101" w:hRule="exact"/>
          <w:cantSplit w:val="true"/>
        </w:trPr>
        <w:tc>
          <w:tcPr>
            <w:tcW w:w="973" w:type="dxa"/>
            <w:tcBorders>
              <w:bottom w:val="single" w:sz="8" w:space="0" w:color="000000"/>
              <w:insideH w:val="single" w:sz="8" w:space="0" w:color="000000"/>
            </w:tcBorders>
            <w:shd w:fill="auto" w:val="clear"/>
            <w:vAlign w:val="bottom"/>
          </w:tcPr>
          <w:p>
            <w:pPr>
              <w:pStyle w:val="Normal"/>
              <w:rPr>
                <w:rFonts w:ascii="Arial" w:hAnsi="Arial" w:cs="Arial"/>
                <w:i/>
                <w:i/>
                <w:sz w:val="16"/>
              </w:rPr>
            </w:pPr>
            <w:r>
              <w:rPr>
                <w:rFonts w:cs="Arial" w:ascii="Arial" w:hAnsi="Arial"/>
                <w:i/>
                <w:sz w:val="16"/>
              </w:rPr>
              <w:t> </w:t>
            </w:r>
          </w:p>
        </w:tc>
        <w:tc>
          <w:tcPr>
            <w:tcW w:w="979" w:type="dxa"/>
            <w:tcBorders>
              <w:bottom w:val="single" w:sz="8" w:space="0" w:color="000000"/>
              <w:insideH w:val="single" w:sz="8" w:space="0" w:color="000000"/>
            </w:tcBorders>
            <w:shd w:fill="auto" w:val="clear"/>
            <w:vAlign w:val="bottom"/>
          </w:tcPr>
          <w:p>
            <w:pPr>
              <w:pStyle w:val="Normal"/>
              <w:rPr>
                <w:rFonts w:ascii="Arial" w:hAnsi="Arial" w:cs="Arial"/>
                <w:i/>
                <w:i/>
                <w:sz w:val="16"/>
              </w:rPr>
            </w:pPr>
            <w:r>
              <w:rPr>
                <w:rFonts w:cs="Arial" w:ascii="Arial" w:hAnsi="Arial"/>
                <w:i/>
                <w:sz w:val="16"/>
              </w:rPr>
              <w:t> </w:t>
            </w:r>
          </w:p>
        </w:tc>
        <w:tc>
          <w:tcPr>
            <w:tcW w:w="1226" w:type="dxa"/>
            <w:tcBorders>
              <w:bottom w:val="single" w:sz="8" w:space="0" w:color="000000"/>
              <w:insideH w:val="single" w:sz="8" w:space="0" w:color="000000"/>
            </w:tcBorders>
            <w:shd w:fill="auto" w:val="clear"/>
            <w:vAlign w:val="bottom"/>
          </w:tcPr>
          <w:p>
            <w:pPr>
              <w:pStyle w:val="Normal"/>
              <w:rPr>
                <w:rFonts w:ascii="Arial" w:hAnsi="Arial" w:cs="Arial"/>
                <w:i/>
                <w:i/>
                <w:sz w:val="16"/>
              </w:rPr>
            </w:pPr>
            <w:r>
              <w:rPr>
                <w:rFonts w:cs="Arial" w:ascii="Arial" w:hAnsi="Arial"/>
                <w:i/>
                <w:sz w:val="16"/>
              </w:rPr>
              <w:t> </w:t>
            </w:r>
          </w:p>
        </w:tc>
        <w:tc>
          <w:tcPr>
            <w:tcW w:w="1801" w:type="dxa"/>
            <w:tcBorders>
              <w:bottom w:val="single" w:sz="8" w:space="0" w:color="000000"/>
              <w:insideH w:val="single" w:sz="8" w:space="0" w:color="000000"/>
            </w:tcBorders>
            <w:shd w:fill="auto" w:val="clear"/>
            <w:vAlign w:val="bottom"/>
          </w:tcPr>
          <w:p>
            <w:pPr>
              <w:pStyle w:val="Normal"/>
              <w:jc w:val="center"/>
              <w:rPr>
                <w:rFonts w:ascii="Arial" w:hAnsi="Arial" w:cs="Arial"/>
                <w:i/>
                <w:i/>
                <w:sz w:val="16"/>
              </w:rPr>
            </w:pPr>
            <w:r>
              <w:rPr>
                <w:rFonts w:cs="Arial" w:ascii="Arial" w:hAnsi="Arial"/>
                <w:i/>
                <w:sz w:val="16"/>
              </w:rPr>
              <w:t> </w:t>
            </w:r>
          </w:p>
        </w:tc>
        <w:tc>
          <w:tcPr>
            <w:tcW w:w="1622" w:type="dxa"/>
            <w:tcBorders>
              <w:bottom w:val="single" w:sz="8" w:space="0" w:color="000000"/>
              <w:insideH w:val="single" w:sz="8" w:space="0" w:color="000000"/>
            </w:tcBorders>
            <w:shd w:fill="auto" w:val="clear"/>
            <w:vAlign w:val="bottom"/>
          </w:tcPr>
          <w:p>
            <w:pPr>
              <w:pStyle w:val="Normal"/>
              <w:jc w:val="center"/>
              <w:rPr>
                <w:rFonts w:ascii="Arial" w:hAnsi="Arial" w:cs="Arial"/>
                <w:i/>
                <w:i/>
                <w:sz w:val="16"/>
              </w:rPr>
            </w:pPr>
            <w:r>
              <w:rPr>
                <w:rFonts w:cs="Arial" w:ascii="Arial" w:hAnsi="Arial"/>
                <w:i/>
                <w:sz w:val="16"/>
              </w:rPr>
              <w:t> </w:t>
            </w:r>
          </w:p>
        </w:tc>
        <w:tc>
          <w:tcPr>
            <w:tcW w:w="1258" w:type="dxa"/>
            <w:tcBorders>
              <w:bottom w:val="single" w:sz="8" w:space="0" w:color="000000"/>
              <w:insideH w:val="single" w:sz="8" w:space="0" w:color="000000"/>
            </w:tcBorders>
            <w:shd w:fill="auto" w:val="clear"/>
            <w:vAlign w:val="bottom"/>
          </w:tcPr>
          <w:p>
            <w:pPr>
              <w:pStyle w:val="Normal"/>
              <w:jc w:val="center"/>
              <w:rPr>
                <w:rFonts w:ascii="Arial" w:hAnsi="Arial" w:cs="Arial"/>
                <w:i/>
                <w:i/>
                <w:sz w:val="16"/>
              </w:rPr>
            </w:pPr>
            <w:r>
              <w:rPr>
                <w:rFonts w:cs="Arial" w:ascii="Arial" w:hAnsi="Arial"/>
                <w:i/>
                <w:sz w:val="16"/>
              </w:rPr>
              <w:t> </w:t>
            </w:r>
          </w:p>
        </w:tc>
        <w:tc>
          <w:tcPr>
            <w:tcW w:w="1376" w:type="dxa"/>
            <w:tcBorders>
              <w:bottom w:val="single" w:sz="8" w:space="0" w:color="000000"/>
              <w:insideH w:val="single" w:sz="8" w:space="0" w:color="000000"/>
            </w:tcBorders>
            <w:shd w:fill="auto" w:val="clear"/>
            <w:vAlign w:val="bottom"/>
          </w:tcPr>
          <w:p>
            <w:pPr>
              <w:pStyle w:val="Normal"/>
              <w:jc w:val="center"/>
              <w:rPr>
                <w:rFonts w:ascii="Arial" w:hAnsi="Arial" w:cs="Arial"/>
                <w:i/>
                <w:i/>
                <w:sz w:val="16"/>
              </w:rPr>
            </w:pPr>
            <w:r>
              <w:rPr>
                <w:rFonts w:cs="Arial" w:ascii="Arial" w:hAnsi="Arial"/>
                <w:i/>
                <w:sz w:val="16"/>
              </w:rPr>
              <w:t> </w:t>
            </w:r>
          </w:p>
        </w:tc>
      </w:tr>
    </w:tbl>
    <w:p>
      <w:pPr>
        <w:pStyle w:val="Normal"/>
        <w:spacing w:lineRule="auto" w:line="360"/>
        <w:rPr>
          <w:b/>
          <w:b/>
          <w:sz w:val="16"/>
        </w:rPr>
      </w:pPr>
      <w:r>
        <w:rPr>
          <w:b/>
          <w:sz w:val="16"/>
        </w:rPr>
      </w:r>
    </w:p>
    <w:p>
      <w:pPr>
        <w:pStyle w:val="Normal"/>
        <w:spacing w:lineRule="auto" w:line="360"/>
        <w:rPr>
          <w:b/>
          <w:b/>
          <w:sz w:val="16"/>
        </w:rPr>
      </w:pPr>
      <w:r>
        <w:rPr>
          <w:b/>
          <w:sz w:val="16"/>
        </w:rPr>
      </w:r>
    </w:p>
    <w:p>
      <w:pPr>
        <w:pStyle w:val="Normal"/>
        <w:spacing w:lineRule="auto" w:line="360"/>
        <w:rPr>
          <w:sz w:val="22"/>
        </w:rPr>
      </w:pPr>
      <w:r>
        <w:rPr>
          <w:sz w:val="22"/>
        </w:rPr>
        <w:tab/>
      </w:r>
    </w:p>
    <w:p>
      <w:pPr>
        <w:pStyle w:val="Normal"/>
        <w:keepNext/>
        <w:spacing w:lineRule="auto" w:line="360"/>
        <w:rPr>
          <w:rFonts w:ascii="Arial Black" w:hAnsi="Arial Black" w:cs="Arial Black"/>
          <w:sz w:val="22"/>
        </w:rPr>
      </w:pPr>
      <w:r>
        <w:rPr>
          <w:rFonts w:cs="Arial Black" w:ascii="Arial Black" w:hAnsi="Arial Black"/>
          <w:sz w:val="22"/>
        </w:rPr>
      </w:r>
    </w:p>
    <w:p>
      <w:pPr>
        <w:pStyle w:val="Normal"/>
        <w:spacing w:lineRule="auto" w:line="360"/>
        <w:rPr>
          <w:rFonts w:ascii="Arial Black" w:hAnsi="Arial Black" w:cs="Arial Black"/>
          <w:sz w:val="22"/>
        </w:rPr>
      </w:pPr>
      <w:r>
        <w:rPr>
          <w:rFonts w:cs="Arial Black" w:ascii="Arial Black" w:hAnsi="Arial Black"/>
          <w:sz w:val="22"/>
        </w:rPr>
      </w:r>
      <w:r>
        <w:br w:type="page"/>
      </w:r>
    </w:p>
    <w:p>
      <w:pPr>
        <w:pStyle w:val="Normal"/>
        <w:rPr/>
      </w:pPr>
      <w:r>
        <w:rPr>
          <w:rFonts w:cs="Arial" w:ascii="Arial" w:hAnsi="Arial"/>
          <w:b/>
          <w:sz w:val="16"/>
        </w:rPr>
        <w:t>Table 2</w:t>
      </w:r>
      <w:r>
        <w:rPr>
          <w:rFonts w:cs="Arial" w:ascii="Arial" w:hAnsi="Arial"/>
          <w:sz w:val="16"/>
        </w:rPr>
        <w:t>: Age-standardized incidence rates per 100,000 for persons aged 15 - over 65 years in Vancouver CMA, 2001 - 2006 by socio-economic quintile</w:t>
      </w:r>
    </w:p>
    <w:p>
      <w:pPr>
        <w:pStyle w:val="Normal"/>
        <w:rPr>
          <w:rFonts w:ascii="Arial" w:hAnsi="Arial" w:cs="Arial"/>
          <w:b/>
          <w:b/>
          <w:sz w:val="16"/>
        </w:rPr>
      </w:pPr>
      <w:r>
        <w:rPr>
          <w:rFonts w:cs="Arial" w:ascii="Arial" w:hAnsi="Arial"/>
          <w:b/>
          <w:sz w:val="16"/>
        </w:rPr>
      </w:r>
    </w:p>
    <w:tbl>
      <w:tblPr>
        <w:tblW w:w="9123" w:type="dxa"/>
        <w:jc w:val="left"/>
        <w:tblInd w:w="0" w:type="dxa"/>
        <w:tblBorders>
          <w:top w:val="single" w:sz="4" w:space="0" w:color="000000"/>
        </w:tblBorders>
        <w:tblCellMar>
          <w:top w:w="0" w:type="dxa"/>
          <w:left w:w="108" w:type="dxa"/>
          <w:bottom w:w="0" w:type="dxa"/>
          <w:right w:w="108" w:type="dxa"/>
        </w:tblCellMar>
      </w:tblPr>
      <w:tblGrid>
        <w:gridCol w:w="2622"/>
        <w:gridCol w:w="1037"/>
        <w:gridCol w:w="324"/>
        <w:gridCol w:w="917"/>
        <w:gridCol w:w="324"/>
        <w:gridCol w:w="750"/>
        <w:gridCol w:w="261"/>
        <w:gridCol w:w="750"/>
        <w:gridCol w:w="261"/>
        <w:gridCol w:w="777"/>
        <w:gridCol w:w="261"/>
        <w:gridCol w:w="839"/>
      </w:tblGrid>
      <w:tr>
        <w:trPr>
          <w:trHeight w:val="300" w:hRule="atLeast"/>
        </w:trPr>
        <w:tc>
          <w:tcPr>
            <w:tcW w:w="2622" w:type="dxa"/>
            <w:tcBorders>
              <w:top w:val="single" w:sz="4" w:space="0" w:color="000000"/>
            </w:tcBorders>
            <w:shd w:fill="auto" w:val="clear"/>
            <w:vAlign w:val="bottom"/>
          </w:tcPr>
          <w:p>
            <w:pPr>
              <w:pStyle w:val="Normal"/>
              <w:snapToGrid w:val="false"/>
              <w:rPr>
                <w:rFonts w:ascii="Arial" w:hAnsi="Arial" w:cs="Arial"/>
                <w:sz w:val="16"/>
              </w:rPr>
            </w:pPr>
            <w:r>
              <w:rPr>
                <w:rFonts w:cs="Arial" w:ascii="Arial" w:hAnsi="Arial"/>
                <w:sz w:val="16"/>
              </w:rPr>
            </w:r>
          </w:p>
        </w:tc>
        <w:tc>
          <w:tcPr>
            <w:tcW w:w="6501" w:type="dxa"/>
            <w:gridSpan w:val="11"/>
            <w:tcBorders>
              <w:top w:val="single" w:sz="4" w:space="0" w:color="000000"/>
            </w:tcBorders>
            <w:shd w:fill="auto" w:val="clear"/>
            <w:vAlign w:val="center"/>
          </w:tcPr>
          <w:p>
            <w:pPr>
              <w:pStyle w:val="Normal"/>
              <w:jc w:val="center"/>
              <w:rPr>
                <w:rFonts w:ascii="Arial" w:hAnsi="Arial" w:cs="Arial"/>
                <w:sz w:val="16"/>
              </w:rPr>
            </w:pPr>
            <w:r>
              <w:rPr>
                <w:rFonts w:cs="Arial" w:ascii="Arial" w:hAnsi="Arial"/>
                <w:sz w:val="16"/>
              </w:rPr>
              <w:t>Rate per 100,000 persons</w:t>
            </w:r>
          </w:p>
        </w:tc>
      </w:tr>
      <w:tr>
        <w:trPr>
          <w:trHeight w:val="113" w:hRule="exact"/>
        </w:trPr>
        <w:tc>
          <w:tcPr>
            <w:tcW w:w="2622" w:type="dxa"/>
            <w:tcBorders/>
            <w:shd w:fill="auto" w:val="clear"/>
            <w:vAlign w:val="bottom"/>
          </w:tcPr>
          <w:p>
            <w:pPr>
              <w:pStyle w:val="Normal"/>
              <w:snapToGrid w:val="false"/>
              <w:rPr>
                <w:rFonts w:ascii="Arial" w:hAnsi="Arial" w:cs="Arial"/>
                <w:sz w:val="16"/>
              </w:rPr>
            </w:pPr>
            <w:r>
              <w:rPr>
                <w:rFonts w:cs="Arial" w:ascii="Arial" w:hAnsi="Arial"/>
                <w:sz w:val="16"/>
              </w:rPr>
            </w:r>
          </w:p>
        </w:tc>
        <w:tc>
          <w:tcPr>
            <w:tcW w:w="1037" w:type="dxa"/>
            <w:tcBorders/>
            <w:shd w:fill="auto" w:val="clear"/>
            <w:vAlign w:val="bottom"/>
          </w:tcPr>
          <w:p>
            <w:pPr>
              <w:pStyle w:val="Normal"/>
              <w:snapToGrid w:val="false"/>
              <w:rPr>
                <w:rFonts w:ascii="Arial" w:hAnsi="Arial" w:cs="Arial"/>
                <w:sz w:val="16"/>
              </w:rPr>
            </w:pPr>
            <w:r>
              <w:rPr>
                <w:rFonts w:cs="Arial" w:ascii="Arial" w:hAnsi="Arial"/>
                <w:sz w:val="16"/>
              </w:rPr>
            </w:r>
          </w:p>
        </w:tc>
        <w:tc>
          <w:tcPr>
            <w:tcW w:w="324" w:type="dxa"/>
            <w:tcBorders/>
            <w:shd w:fill="auto" w:val="clear"/>
            <w:vAlign w:val="bottom"/>
          </w:tcPr>
          <w:p>
            <w:pPr>
              <w:pStyle w:val="Normal"/>
              <w:snapToGrid w:val="false"/>
              <w:rPr>
                <w:rFonts w:ascii="Arial" w:hAnsi="Arial" w:cs="Arial"/>
                <w:sz w:val="16"/>
              </w:rPr>
            </w:pPr>
            <w:r>
              <w:rPr>
                <w:rFonts w:cs="Arial" w:ascii="Arial" w:hAnsi="Arial"/>
                <w:sz w:val="16"/>
              </w:rPr>
            </w:r>
          </w:p>
        </w:tc>
        <w:tc>
          <w:tcPr>
            <w:tcW w:w="917" w:type="dxa"/>
            <w:tcBorders/>
            <w:shd w:fill="auto" w:val="clear"/>
            <w:vAlign w:val="bottom"/>
          </w:tcPr>
          <w:p>
            <w:pPr>
              <w:pStyle w:val="Normal"/>
              <w:snapToGrid w:val="false"/>
              <w:rPr>
                <w:rFonts w:ascii="Arial" w:hAnsi="Arial" w:cs="Arial"/>
                <w:sz w:val="16"/>
              </w:rPr>
            </w:pPr>
            <w:r>
              <w:rPr>
                <w:rFonts w:cs="Arial" w:ascii="Arial" w:hAnsi="Arial"/>
                <w:sz w:val="16"/>
              </w:rPr>
            </w:r>
          </w:p>
        </w:tc>
        <w:tc>
          <w:tcPr>
            <w:tcW w:w="324" w:type="dxa"/>
            <w:tcBorders/>
            <w:shd w:fill="auto" w:val="clear"/>
            <w:vAlign w:val="bottom"/>
          </w:tcPr>
          <w:p>
            <w:pPr>
              <w:pStyle w:val="Normal"/>
              <w:snapToGrid w:val="false"/>
              <w:rPr>
                <w:rFonts w:ascii="Arial" w:hAnsi="Arial" w:cs="Arial"/>
                <w:sz w:val="16"/>
              </w:rPr>
            </w:pPr>
            <w:r>
              <w:rPr>
                <w:rFonts w:cs="Arial" w:ascii="Arial" w:hAnsi="Arial"/>
                <w:sz w:val="16"/>
              </w:rPr>
            </w:r>
          </w:p>
        </w:tc>
        <w:tc>
          <w:tcPr>
            <w:tcW w:w="750" w:type="dxa"/>
            <w:tcBorders/>
            <w:shd w:fill="auto" w:val="clear"/>
            <w:vAlign w:val="bottom"/>
          </w:tcPr>
          <w:p>
            <w:pPr>
              <w:pStyle w:val="Normal"/>
              <w:snapToGrid w:val="false"/>
              <w:rPr>
                <w:rFonts w:ascii="Arial" w:hAnsi="Arial" w:cs="Arial"/>
                <w:sz w:val="16"/>
              </w:rPr>
            </w:pPr>
            <w:r>
              <w:rPr>
                <w:rFonts w:cs="Arial" w:ascii="Arial" w:hAnsi="Arial"/>
                <w:sz w:val="16"/>
              </w:rPr>
            </w:r>
          </w:p>
        </w:tc>
        <w:tc>
          <w:tcPr>
            <w:tcW w:w="261" w:type="dxa"/>
            <w:tcBorders/>
            <w:shd w:fill="auto" w:val="clear"/>
            <w:vAlign w:val="bottom"/>
          </w:tcPr>
          <w:p>
            <w:pPr>
              <w:pStyle w:val="Normal"/>
              <w:snapToGrid w:val="false"/>
              <w:rPr>
                <w:rFonts w:ascii="Arial" w:hAnsi="Arial" w:cs="Arial"/>
                <w:sz w:val="16"/>
              </w:rPr>
            </w:pPr>
            <w:r>
              <w:rPr>
                <w:rFonts w:cs="Arial" w:ascii="Arial" w:hAnsi="Arial"/>
                <w:sz w:val="16"/>
              </w:rPr>
            </w:r>
          </w:p>
        </w:tc>
        <w:tc>
          <w:tcPr>
            <w:tcW w:w="750" w:type="dxa"/>
            <w:tcBorders/>
            <w:shd w:fill="auto" w:val="clear"/>
            <w:vAlign w:val="bottom"/>
          </w:tcPr>
          <w:p>
            <w:pPr>
              <w:pStyle w:val="Normal"/>
              <w:snapToGrid w:val="false"/>
              <w:rPr>
                <w:rFonts w:ascii="Arial" w:hAnsi="Arial" w:cs="Arial"/>
                <w:sz w:val="16"/>
              </w:rPr>
            </w:pPr>
            <w:r>
              <w:rPr>
                <w:rFonts w:cs="Arial" w:ascii="Arial" w:hAnsi="Arial"/>
                <w:sz w:val="16"/>
              </w:rPr>
            </w:r>
          </w:p>
        </w:tc>
        <w:tc>
          <w:tcPr>
            <w:tcW w:w="261" w:type="dxa"/>
            <w:tcBorders/>
            <w:shd w:fill="auto" w:val="clear"/>
            <w:vAlign w:val="bottom"/>
          </w:tcPr>
          <w:p>
            <w:pPr>
              <w:pStyle w:val="Normal"/>
              <w:snapToGrid w:val="false"/>
              <w:rPr>
                <w:rFonts w:ascii="Arial" w:hAnsi="Arial" w:cs="Arial"/>
                <w:sz w:val="16"/>
              </w:rPr>
            </w:pPr>
            <w:r>
              <w:rPr>
                <w:rFonts w:cs="Arial" w:ascii="Arial" w:hAnsi="Arial"/>
                <w:sz w:val="16"/>
              </w:rPr>
            </w:r>
          </w:p>
        </w:tc>
        <w:tc>
          <w:tcPr>
            <w:tcW w:w="777" w:type="dxa"/>
            <w:tcBorders/>
            <w:shd w:fill="auto" w:val="clear"/>
            <w:vAlign w:val="bottom"/>
          </w:tcPr>
          <w:p>
            <w:pPr>
              <w:pStyle w:val="Normal"/>
              <w:snapToGrid w:val="false"/>
              <w:rPr>
                <w:rFonts w:ascii="Arial" w:hAnsi="Arial" w:cs="Arial"/>
                <w:sz w:val="16"/>
              </w:rPr>
            </w:pPr>
            <w:r>
              <w:rPr>
                <w:rFonts w:cs="Arial" w:ascii="Arial" w:hAnsi="Arial"/>
                <w:sz w:val="16"/>
              </w:rPr>
            </w:r>
          </w:p>
        </w:tc>
        <w:tc>
          <w:tcPr>
            <w:tcW w:w="261" w:type="dxa"/>
            <w:tcBorders/>
            <w:shd w:fill="auto" w:val="clear"/>
            <w:vAlign w:val="bottom"/>
          </w:tcPr>
          <w:p>
            <w:pPr>
              <w:pStyle w:val="Normal"/>
              <w:snapToGrid w:val="false"/>
              <w:rPr>
                <w:rFonts w:ascii="Arial" w:hAnsi="Arial" w:cs="Arial"/>
                <w:sz w:val="16"/>
              </w:rPr>
            </w:pPr>
            <w:r>
              <w:rPr>
                <w:rFonts w:cs="Arial" w:ascii="Arial" w:hAnsi="Arial"/>
                <w:sz w:val="16"/>
              </w:rPr>
            </w:r>
          </w:p>
        </w:tc>
        <w:tc>
          <w:tcPr>
            <w:tcW w:w="839" w:type="dxa"/>
            <w:tcBorders/>
            <w:shd w:fill="auto" w:val="clear"/>
            <w:vAlign w:val="bottom"/>
          </w:tcPr>
          <w:p>
            <w:pPr>
              <w:pStyle w:val="Normal"/>
              <w:snapToGrid w:val="false"/>
              <w:rPr>
                <w:rFonts w:ascii="Arial" w:hAnsi="Arial" w:cs="Arial"/>
                <w:sz w:val="16"/>
              </w:rPr>
            </w:pPr>
            <w:r>
              <w:rPr>
                <w:rFonts w:cs="Arial" w:ascii="Arial" w:hAnsi="Arial"/>
                <w:sz w:val="16"/>
              </w:rPr>
            </w:r>
          </w:p>
        </w:tc>
      </w:tr>
      <w:tr>
        <w:trPr>
          <w:trHeight w:val="225" w:hRule="atLeast"/>
        </w:trPr>
        <w:tc>
          <w:tcPr>
            <w:tcW w:w="2622" w:type="dxa"/>
            <w:tcBorders/>
            <w:shd w:fill="auto" w:val="clear"/>
            <w:vAlign w:val="bottom"/>
          </w:tcPr>
          <w:p>
            <w:pPr>
              <w:pStyle w:val="Normal"/>
              <w:snapToGrid w:val="false"/>
              <w:rPr>
                <w:rFonts w:ascii="Arial" w:hAnsi="Arial" w:cs="Arial"/>
                <w:sz w:val="16"/>
              </w:rPr>
            </w:pPr>
            <w:r>
              <w:rPr>
                <w:rFonts w:cs="Arial" w:ascii="Arial" w:hAnsi="Arial"/>
                <w:sz w:val="16"/>
              </w:rPr>
            </w:r>
          </w:p>
        </w:tc>
        <w:tc>
          <w:tcPr>
            <w:tcW w:w="1037" w:type="dxa"/>
            <w:tcBorders/>
            <w:shd w:fill="auto" w:val="clear"/>
            <w:vAlign w:val="bottom"/>
          </w:tcPr>
          <w:p>
            <w:pPr>
              <w:pStyle w:val="Normal"/>
              <w:jc w:val="center"/>
              <w:rPr>
                <w:rFonts w:ascii="Arial" w:hAnsi="Arial" w:cs="Arial"/>
                <w:b/>
                <w:b/>
                <w:sz w:val="16"/>
              </w:rPr>
            </w:pPr>
            <w:r>
              <w:rPr>
                <w:rFonts w:cs="Arial" w:ascii="Arial" w:hAnsi="Arial"/>
                <w:b/>
                <w:sz w:val="16"/>
              </w:rPr>
              <w:t>15 - 24</w:t>
            </w:r>
            <w:r>
              <w:rPr>
                <w:rFonts w:cs="Arial" w:ascii="Arial" w:hAnsi="Arial"/>
                <w:sz w:val="16"/>
                <w:vertAlign w:val="superscript"/>
              </w:rPr>
              <w:t>†</w:t>
            </w:r>
          </w:p>
        </w:tc>
        <w:tc>
          <w:tcPr>
            <w:tcW w:w="324" w:type="dxa"/>
            <w:tcBorders/>
            <w:shd w:fill="auto" w:val="clear"/>
            <w:vAlign w:val="bottom"/>
          </w:tcPr>
          <w:p>
            <w:pPr>
              <w:pStyle w:val="Normal"/>
              <w:snapToGrid w:val="false"/>
              <w:jc w:val="center"/>
              <w:rPr>
                <w:rFonts w:ascii="Arial" w:hAnsi="Arial" w:cs="Arial"/>
                <w:b/>
                <w:b/>
                <w:sz w:val="16"/>
              </w:rPr>
            </w:pPr>
            <w:r>
              <w:rPr>
                <w:rFonts w:cs="Arial" w:ascii="Arial" w:hAnsi="Arial"/>
                <w:b/>
                <w:sz w:val="16"/>
              </w:rPr>
            </w:r>
          </w:p>
        </w:tc>
        <w:tc>
          <w:tcPr>
            <w:tcW w:w="917" w:type="dxa"/>
            <w:tcBorders/>
            <w:shd w:fill="auto" w:val="clear"/>
            <w:vAlign w:val="bottom"/>
          </w:tcPr>
          <w:p>
            <w:pPr>
              <w:pStyle w:val="Normal"/>
              <w:jc w:val="center"/>
              <w:rPr>
                <w:rFonts w:ascii="Arial" w:hAnsi="Arial" w:cs="Arial"/>
                <w:b/>
                <w:b/>
                <w:sz w:val="16"/>
              </w:rPr>
            </w:pPr>
            <w:r>
              <w:rPr>
                <w:rFonts w:cs="Arial" w:ascii="Arial" w:hAnsi="Arial"/>
                <w:b/>
                <w:sz w:val="16"/>
              </w:rPr>
              <w:t>25 - 34</w:t>
            </w:r>
          </w:p>
        </w:tc>
        <w:tc>
          <w:tcPr>
            <w:tcW w:w="324" w:type="dxa"/>
            <w:tcBorders/>
            <w:shd w:fill="auto" w:val="clear"/>
            <w:vAlign w:val="bottom"/>
          </w:tcPr>
          <w:p>
            <w:pPr>
              <w:pStyle w:val="Normal"/>
              <w:snapToGrid w:val="false"/>
              <w:jc w:val="center"/>
              <w:rPr>
                <w:rFonts w:ascii="Arial" w:hAnsi="Arial" w:cs="Arial"/>
                <w:b/>
                <w:b/>
                <w:sz w:val="16"/>
              </w:rPr>
            </w:pPr>
            <w:r>
              <w:rPr>
                <w:rFonts w:cs="Arial" w:ascii="Arial" w:hAnsi="Arial"/>
                <w:b/>
                <w:sz w:val="16"/>
              </w:rPr>
            </w:r>
          </w:p>
        </w:tc>
        <w:tc>
          <w:tcPr>
            <w:tcW w:w="750" w:type="dxa"/>
            <w:tcBorders/>
            <w:shd w:fill="auto" w:val="clear"/>
            <w:vAlign w:val="bottom"/>
          </w:tcPr>
          <w:p>
            <w:pPr>
              <w:pStyle w:val="Normal"/>
              <w:jc w:val="center"/>
              <w:rPr>
                <w:rFonts w:ascii="Arial" w:hAnsi="Arial" w:cs="Arial"/>
                <w:b/>
                <w:b/>
                <w:sz w:val="16"/>
              </w:rPr>
            </w:pPr>
            <w:r>
              <w:rPr>
                <w:rFonts w:cs="Arial" w:ascii="Arial" w:hAnsi="Arial"/>
                <w:b/>
                <w:sz w:val="16"/>
              </w:rPr>
              <w:t>35 - 44</w:t>
            </w:r>
          </w:p>
        </w:tc>
        <w:tc>
          <w:tcPr>
            <w:tcW w:w="261" w:type="dxa"/>
            <w:tcBorders/>
            <w:shd w:fill="auto" w:val="clear"/>
            <w:vAlign w:val="bottom"/>
          </w:tcPr>
          <w:p>
            <w:pPr>
              <w:pStyle w:val="Normal"/>
              <w:snapToGrid w:val="false"/>
              <w:jc w:val="center"/>
              <w:rPr>
                <w:rFonts w:ascii="Arial" w:hAnsi="Arial" w:cs="Arial"/>
                <w:b/>
                <w:b/>
                <w:sz w:val="16"/>
              </w:rPr>
            </w:pPr>
            <w:r>
              <w:rPr>
                <w:rFonts w:cs="Arial" w:ascii="Arial" w:hAnsi="Arial"/>
                <w:b/>
                <w:sz w:val="16"/>
              </w:rPr>
            </w:r>
          </w:p>
        </w:tc>
        <w:tc>
          <w:tcPr>
            <w:tcW w:w="750" w:type="dxa"/>
            <w:tcBorders/>
            <w:shd w:fill="auto" w:val="clear"/>
            <w:vAlign w:val="bottom"/>
          </w:tcPr>
          <w:p>
            <w:pPr>
              <w:pStyle w:val="Normal"/>
              <w:jc w:val="center"/>
              <w:rPr>
                <w:rFonts w:ascii="Arial" w:hAnsi="Arial" w:cs="Arial"/>
                <w:b/>
                <w:b/>
                <w:sz w:val="16"/>
              </w:rPr>
            </w:pPr>
            <w:r>
              <w:rPr>
                <w:rFonts w:cs="Arial" w:ascii="Arial" w:hAnsi="Arial"/>
                <w:b/>
                <w:sz w:val="16"/>
              </w:rPr>
              <w:t>45 - 54</w:t>
            </w:r>
          </w:p>
        </w:tc>
        <w:tc>
          <w:tcPr>
            <w:tcW w:w="261" w:type="dxa"/>
            <w:tcBorders/>
            <w:shd w:fill="auto" w:val="clear"/>
            <w:vAlign w:val="bottom"/>
          </w:tcPr>
          <w:p>
            <w:pPr>
              <w:pStyle w:val="Normal"/>
              <w:snapToGrid w:val="false"/>
              <w:jc w:val="center"/>
              <w:rPr>
                <w:rFonts w:ascii="Arial" w:hAnsi="Arial" w:cs="Arial"/>
                <w:b/>
                <w:b/>
                <w:sz w:val="16"/>
              </w:rPr>
            </w:pPr>
            <w:r>
              <w:rPr>
                <w:rFonts w:cs="Arial" w:ascii="Arial" w:hAnsi="Arial"/>
                <w:b/>
                <w:sz w:val="16"/>
              </w:rPr>
            </w:r>
          </w:p>
        </w:tc>
        <w:tc>
          <w:tcPr>
            <w:tcW w:w="777" w:type="dxa"/>
            <w:tcBorders/>
            <w:shd w:fill="auto" w:val="clear"/>
            <w:vAlign w:val="bottom"/>
          </w:tcPr>
          <w:p>
            <w:pPr>
              <w:pStyle w:val="Normal"/>
              <w:jc w:val="center"/>
              <w:rPr>
                <w:rFonts w:ascii="Arial" w:hAnsi="Arial" w:cs="Arial"/>
                <w:b/>
                <w:b/>
                <w:sz w:val="16"/>
              </w:rPr>
            </w:pPr>
            <w:r>
              <w:rPr>
                <w:rFonts w:cs="Arial" w:ascii="Arial" w:hAnsi="Arial"/>
                <w:b/>
                <w:sz w:val="16"/>
              </w:rPr>
              <w:t>55 - 64</w:t>
            </w:r>
          </w:p>
        </w:tc>
        <w:tc>
          <w:tcPr>
            <w:tcW w:w="261" w:type="dxa"/>
            <w:tcBorders/>
            <w:shd w:fill="auto" w:val="clear"/>
            <w:vAlign w:val="bottom"/>
          </w:tcPr>
          <w:p>
            <w:pPr>
              <w:pStyle w:val="Normal"/>
              <w:snapToGrid w:val="false"/>
              <w:jc w:val="center"/>
              <w:rPr>
                <w:rFonts w:ascii="Arial" w:hAnsi="Arial" w:cs="Arial"/>
                <w:b/>
                <w:b/>
                <w:sz w:val="16"/>
              </w:rPr>
            </w:pPr>
            <w:r>
              <w:rPr>
                <w:rFonts w:cs="Arial" w:ascii="Arial" w:hAnsi="Arial"/>
                <w:b/>
                <w:sz w:val="16"/>
              </w:rPr>
            </w:r>
          </w:p>
        </w:tc>
        <w:tc>
          <w:tcPr>
            <w:tcW w:w="839" w:type="dxa"/>
            <w:tcBorders/>
            <w:shd w:fill="auto" w:val="clear"/>
            <w:vAlign w:val="bottom"/>
          </w:tcPr>
          <w:p>
            <w:pPr>
              <w:pStyle w:val="Normal"/>
              <w:jc w:val="center"/>
              <w:rPr>
                <w:rFonts w:ascii="Arial" w:hAnsi="Arial" w:cs="Arial"/>
                <w:b/>
                <w:b/>
                <w:sz w:val="16"/>
              </w:rPr>
            </w:pPr>
            <w:r>
              <w:rPr>
                <w:rFonts w:cs="Arial" w:ascii="Arial" w:hAnsi="Arial"/>
                <w:b/>
                <w:sz w:val="16"/>
              </w:rPr>
              <w:t>65 +</w:t>
            </w:r>
          </w:p>
        </w:tc>
      </w:tr>
      <w:tr>
        <w:trPr>
          <w:trHeight w:val="113" w:hRule="exact"/>
        </w:trPr>
        <w:tc>
          <w:tcPr>
            <w:tcW w:w="2622" w:type="dxa"/>
            <w:tcBorders>
              <w:bottom w:val="single" w:sz="4" w:space="0" w:color="000000"/>
              <w:insideH w:val="single" w:sz="4" w:space="0" w:color="000000"/>
            </w:tcBorders>
            <w:shd w:fill="auto" w:val="clear"/>
            <w:vAlign w:val="bottom"/>
          </w:tcPr>
          <w:p>
            <w:pPr>
              <w:pStyle w:val="Normal"/>
              <w:rPr>
                <w:rFonts w:ascii="Arial" w:hAnsi="Arial" w:cs="Arial"/>
                <w:sz w:val="16"/>
              </w:rPr>
            </w:pPr>
            <w:r>
              <w:rPr>
                <w:rFonts w:cs="Arial" w:ascii="Arial" w:hAnsi="Arial"/>
                <w:sz w:val="16"/>
              </w:rPr>
              <w:t> </w:t>
            </w:r>
          </w:p>
        </w:tc>
        <w:tc>
          <w:tcPr>
            <w:tcW w:w="1037" w:type="dxa"/>
            <w:tcBorders>
              <w:bottom w:val="single" w:sz="4" w:space="0" w:color="000000"/>
              <w:insideH w:val="single" w:sz="4" w:space="0" w:color="000000"/>
            </w:tcBorders>
            <w:shd w:fill="auto" w:val="clear"/>
            <w:vAlign w:val="bottom"/>
          </w:tcPr>
          <w:p>
            <w:pPr>
              <w:pStyle w:val="Normal"/>
              <w:rPr>
                <w:rFonts w:ascii="Arial" w:hAnsi="Arial" w:cs="Arial"/>
                <w:sz w:val="16"/>
              </w:rPr>
            </w:pPr>
            <w:r>
              <w:rPr>
                <w:rFonts w:cs="Arial" w:ascii="Arial" w:hAnsi="Arial"/>
                <w:sz w:val="16"/>
              </w:rPr>
              <w:t> </w:t>
            </w:r>
          </w:p>
        </w:tc>
        <w:tc>
          <w:tcPr>
            <w:tcW w:w="324" w:type="dxa"/>
            <w:tcBorders>
              <w:bottom w:val="single" w:sz="4" w:space="0" w:color="000000"/>
              <w:insideH w:val="single" w:sz="4" w:space="0" w:color="000000"/>
            </w:tcBorders>
            <w:shd w:fill="auto" w:val="clear"/>
            <w:vAlign w:val="bottom"/>
          </w:tcPr>
          <w:p>
            <w:pPr>
              <w:pStyle w:val="Normal"/>
              <w:rPr>
                <w:rFonts w:ascii="Arial" w:hAnsi="Arial" w:cs="Arial"/>
                <w:sz w:val="16"/>
              </w:rPr>
            </w:pPr>
            <w:r>
              <w:rPr>
                <w:rFonts w:cs="Arial" w:ascii="Arial" w:hAnsi="Arial"/>
                <w:sz w:val="16"/>
              </w:rPr>
              <w:t> </w:t>
            </w:r>
          </w:p>
        </w:tc>
        <w:tc>
          <w:tcPr>
            <w:tcW w:w="917" w:type="dxa"/>
            <w:tcBorders>
              <w:bottom w:val="single" w:sz="4" w:space="0" w:color="000000"/>
              <w:insideH w:val="single" w:sz="4" w:space="0" w:color="000000"/>
            </w:tcBorders>
            <w:shd w:fill="auto" w:val="clear"/>
            <w:vAlign w:val="bottom"/>
          </w:tcPr>
          <w:p>
            <w:pPr>
              <w:pStyle w:val="Normal"/>
              <w:rPr>
                <w:rFonts w:ascii="Arial" w:hAnsi="Arial" w:cs="Arial"/>
                <w:sz w:val="16"/>
              </w:rPr>
            </w:pPr>
            <w:r>
              <w:rPr>
                <w:rFonts w:cs="Arial" w:ascii="Arial" w:hAnsi="Arial"/>
                <w:sz w:val="16"/>
              </w:rPr>
              <w:t> </w:t>
            </w:r>
          </w:p>
        </w:tc>
        <w:tc>
          <w:tcPr>
            <w:tcW w:w="324" w:type="dxa"/>
            <w:tcBorders>
              <w:bottom w:val="single" w:sz="4" w:space="0" w:color="000000"/>
              <w:insideH w:val="single" w:sz="4" w:space="0" w:color="000000"/>
            </w:tcBorders>
            <w:shd w:fill="auto" w:val="clear"/>
            <w:vAlign w:val="bottom"/>
          </w:tcPr>
          <w:p>
            <w:pPr>
              <w:pStyle w:val="Normal"/>
              <w:rPr>
                <w:rFonts w:ascii="Arial" w:hAnsi="Arial" w:cs="Arial"/>
                <w:sz w:val="16"/>
              </w:rPr>
            </w:pPr>
            <w:r>
              <w:rPr>
                <w:rFonts w:cs="Arial" w:ascii="Arial" w:hAnsi="Arial"/>
                <w:sz w:val="16"/>
              </w:rPr>
              <w:t> </w:t>
            </w:r>
          </w:p>
        </w:tc>
        <w:tc>
          <w:tcPr>
            <w:tcW w:w="750" w:type="dxa"/>
            <w:tcBorders>
              <w:bottom w:val="single" w:sz="4" w:space="0" w:color="000000"/>
              <w:insideH w:val="single" w:sz="4" w:space="0" w:color="000000"/>
            </w:tcBorders>
            <w:shd w:fill="auto" w:val="clear"/>
            <w:vAlign w:val="bottom"/>
          </w:tcPr>
          <w:p>
            <w:pPr>
              <w:pStyle w:val="Normal"/>
              <w:rPr>
                <w:rFonts w:ascii="Arial" w:hAnsi="Arial" w:cs="Arial"/>
                <w:sz w:val="16"/>
              </w:rPr>
            </w:pPr>
            <w:r>
              <w:rPr>
                <w:rFonts w:cs="Arial" w:ascii="Arial" w:hAnsi="Arial"/>
                <w:sz w:val="16"/>
              </w:rPr>
              <w:t> </w:t>
            </w:r>
          </w:p>
        </w:tc>
        <w:tc>
          <w:tcPr>
            <w:tcW w:w="261" w:type="dxa"/>
            <w:tcBorders>
              <w:bottom w:val="single" w:sz="4" w:space="0" w:color="000000"/>
              <w:insideH w:val="single" w:sz="4" w:space="0" w:color="000000"/>
            </w:tcBorders>
            <w:shd w:fill="auto" w:val="clear"/>
            <w:vAlign w:val="bottom"/>
          </w:tcPr>
          <w:p>
            <w:pPr>
              <w:pStyle w:val="Normal"/>
              <w:rPr>
                <w:rFonts w:ascii="Arial" w:hAnsi="Arial" w:cs="Arial"/>
                <w:sz w:val="16"/>
              </w:rPr>
            </w:pPr>
            <w:r>
              <w:rPr>
                <w:rFonts w:cs="Arial" w:ascii="Arial" w:hAnsi="Arial"/>
                <w:sz w:val="16"/>
              </w:rPr>
              <w:t> </w:t>
            </w:r>
          </w:p>
        </w:tc>
        <w:tc>
          <w:tcPr>
            <w:tcW w:w="750" w:type="dxa"/>
            <w:tcBorders>
              <w:bottom w:val="single" w:sz="4" w:space="0" w:color="000000"/>
              <w:insideH w:val="single" w:sz="4" w:space="0" w:color="000000"/>
            </w:tcBorders>
            <w:shd w:fill="auto" w:val="clear"/>
            <w:vAlign w:val="bottom"/>
          </w:tcPr>
          <w:p>
            <w:pPr>
              <w:pStyle w:val="Normal"/>
              <w:rPr>
                <w:rFonts w:ascii="Arial" w:hAnsi="Arial" w:cs="Arial"/>
                <w:sz w:val="16"/>
              </w:rPr>
            </w:pPr>
            <w:r>
              <w:rPr>
                <w:rFonts w:cs="Arial" w:ascii="Arial" w:hAnsi="Arial"/>
                <w:sz w:val="16"/>
              </w:rPr>
              <w:t> </w:t>
            </w:r>
          </w:p>
        </w:tc>
        <w:tc>
          <w:tcPr>
            <w:tcW w:w="261" w:type="dxa"/>
            <w:tcBorders>
              <w:bottom w:val="single" w:sz="4" w:space="0" w:color="000000"/>
              <w:insideH w:val="single" w:sz="4" w:space="0" w:color="000000"/>
            </w:tcBorders>
            <w:shd w:fill="auto" w:val="clear"/>
            <w:vAlign w:val="bottom"/>
          </w:tcPr>
          <w:p>
            <w:pPr>
              <w:pStyle w:val="Normal"/>
              <w:rPr>
                <w:rFonts w:ascii="Arial" w:hAnsi="Arial" w:cs="Arial"/>
                <w:sz w:val="16"/>
              </w:rPr>
            </w:pPr>
            <w:r>
              <w:rPr>
                <w:rFonts w:cs="Arial" w:ascii="Arial" w:hAnsi="Arial"/>
                <w:sz w:val="16"/>
              </w:rPr>
              <w:t> </w:t>
            </w:r>
          </w:p>
        </w:tc>
        <w:tc>
          <w:tcPr>
            <w:tcW w:w="777" w:type="dxa"/>
            <w:tcBorders>
              <w:bottom w:val="single" w:sz="4" w:space="0" w:color="000000"/>
              <w:insideH w:val="single" w:sz="4" w:space="0" w:color="000000"/>
            </w:tcBorders>
            <w:shd w:fill="auto" w:val="clear"/>
            <w:vAlign w:val="bottom"/>
          </w:tcPr>
          <w:p>
            <w:pPr>
              <w:pStyle w:val="Normal"/>
              <w:rPr>
                <w:rFonts w:ascii="Arial" w:hAnsi="Arial" w:cs="Arial"/>
                <w:sz w:val="16"/>
              </w:rPr>
            </w:pPr>
            <w:r>
              <w:rPr>
                <w:rFonts w:cs="Arial" w:ascii="Arial" w:hAnsi="Arial"/>
                <w:sz w:val="16"/>
              </w:rPr>
              <w:t> </w:t>
            </w:r>
          </w:p>
        </w:tc>
        <w:tc>
          <w:tcPr>
            <w:tcW w:w="261" w:type="dxa"/>
            <w:tcBorders>
              <w:bottom w:val="single" w:sz="4" w:space="0" w:color="000000"/>
              <w:insideH w:val="single" w:sz="4" w:space="0" w:color="000000"/>
            </w:tcBorders>
            <w:shd w:fill="auto" w:val="clear"/>
            <w:vAlign w:val="bottom"/>
          </w:tcPr>
          <w:p>
            <w:pPr>
              <w:pStyle w:val="Normal"/>
              <w:rPr>
                <w:rFonts w:ascii="Arial" w:hAnsi="Arial" w:cs="Arial"/>
                <w:sz w:val="16"/>
              </w:rPr>
            </w:pPr>
            <w:r>
              <w:rPr>
                <w:rFonts w:cs="Arial" w:ascii="Arial" w:hAnsi="Arial"/>
                <w:sz w:val="16"/>
              </w:rPr>
              <w:t> </w:t>
            </w:r>
          </w:p>
        </w:tc>
        <w:tc>
          <w:tcPr>
            <w:tcW w:w="839" w:type="dxa"/>
            <w:tcBorders>
              <w:bottom w:val="single" w:sz="4" w:space="0" w:color="000000"/>
              <w:insideH w:val="single" w:sz="4" w:space="0" w:color="000000"/>
            </w:tcBorders>
            <w:shd w:fill="auto" w:val="clear"/>
            <w:vAlign w:val="bottom"/>
          </w:tcPr>
          <w:p>
            <w:pPr>
              <w:pStyle w:val="Normal"/>
              <w:rPr>
                <w:rFonts w:ascii="Arial" w:hAnsi="Arial" w:cs="Arial"/>
                <w:sz w:val="16"/>
              </w:rPr>
            </w:pPr>
            <w:r>
              <w:rPr>
                <w:rFonts w:cs="Arial" w:ascii="Arial" w:hAnsi="Arial"/>
                <w:sz w:val="16"/>
              </w:rPr>
              <w:t> </w:t>
            </w:r>
          </w:p>
        </w:tc>
      </w:tr>
      <w:tr>
        <w:trPr>
          <w:trHeight w:val="113" w:hRule="exact"/>
        </w:trPr>
        <w:tc>
          <w:tcPr>
            <w:tcW w:w="2622" w:type="dxa"/>
            <w:tcBorders/>
            <w:shd w:fill="auto" w:val="clear"/>
            <w:vAlign w:val="bottom"/>
          </w:tcPr>
          <w:p>
            <w:pPr>
              <w:pStyle w:val="Normal"/>
              <w:snapToGrid w:val="false"/>
              <w:rPr>
                <w:rFonts w:ascii="Arial" w:hAnsi="Arial" w:cs="Arial"/>
                <w:sz w:val="16"/>
              </w:rPr>
            </w:pPr>
            <w:r>
              <w:rPr>
                <w:rFonts w:cs="Arial" w:ascii="Arial" w:hAnsi="Arial"/>
                <w:sz w:val="16"/>
              </w:rPr>
            </w:r>
          </w:p>
        </w:tc>
        <w:tc>
          <w:tcPr>
            <w:tcW w:w="1037" w:type="dxa"/>
            <w:tcBorders/>
            <w:shd w:fill="auto" w:val="clear"/>
            <w:vAlign w:val="bottom"/>
          </w:tcPr>
          <w:p>
            <w:pPr>
              <w:pStyle w:val="Normal"/>
              <w:snapToGrid w:val="false"/>
              <w:rPr>
                <w:rFonts w:ascii="Arial" w:hAnsi="Arial" w:cs="Arial"/>
                <w:sz w:val="16"/>
              </w:rPr>
            </w:pPr>
            <w:r>
              <w:rPr>
                <w:rFonts w:cs="Arial" w:ascii="Arial" w:hAnsi="Arial"/>
                <w:sz w:val="16"/>
              </w:rPr>
            </w:r>
          </w:p>
        </w:tc>
        <w:tc>
          <w:tcPr>
            <w:tcW w:w="324" w:type="dxa"/>
            <w:tcBorders/>
            <w:shd w:fill="auto" w:val="clear"/>
            <w:vAlign w:val="bottom"/>
          </w:tcPr>
          <w:p>
            <w:pPr>
              <w:pStyle w:val="Normal"/>
              <w:snapToGrid w:val="false"/>
              <w:rPr>
                <w:rFonts w:ascii="Arial" w:hAnsi="Arial" w:cs="Arial"/>
                <w:sz w:val="16"/>
              </w:rPr>
            </w:pPr>
            <w:r>
              <w:rPr>
                <w:rFonts w:cs="Arial" w:ascii="Arial" w:hAnsi="Arial"/>
                <w:sz w:val="16"/>
              </w:rPr>
            </w:r>
          </w:p>
        </w:tc>
        <w:tc>
          <w:tcPr>
            <w:tcW w:w="917" w:type="dxa"/>
            <w:tcBorders/>
            <w:shd w:fill="auto" w:val="clear"/>
            <w:vAlign w:val="bottom"/>
          </w:tcPr>
          <w:p>
            <w:pPr>
              <w:pStyle w:val="Normal"/>
              <w:snapToGrid w:val="false"/>
              <w:rPr>
                <w:rFonts w:ascii="Arial" w:hAnsi="Arial" w:cs="Arial"/>
                <w:sz w:val="16"/>
              </w:rPr>
            </w:pPr>
            <w:r>
              <w:rPr>
                <w:rFonts w:cs="Arial" w:ascii="Arial" w:hAnsi="Arial"/>
                <w:sz w:val="16"/>
              </w:rPr>
            </w:r>
          </w:p>
        </w:tc>
        <w:tc>
          <w:tcPr>
            <w:tcW w:w="324" w:type="dxa"/>
            <w:tcBorders/>
            <w:shd w:fill="auto" w:val="clear"/>
            <w:vAlign w:val="bottom"/>
          </w:tcPr>
          <w:p>
            <w:pPr>
              <w:pStyle w:val="Normal"/>
              <w:snapToGrid w:val="false"/>
              <w:rPr>
                <w:rFonts w:ascii="Arial" w:hAnsi="Arial" w:cs="Arial"/>
                <w:sz w:val="16"/>
              </w:rPr>
            </w:pPr>
            <w:r>
              <w:rPr>
                <w:rFonts w:cs="Arial" w:ascii="Arial" w:hAnsi="Arial"/>
                <w:sz w:val="16"/>
              </w:rPr>
            </w:r>
          </w:p>
        </w:tc>
        <w:tc>
          <w:tcPr>
            <w:tcW w:w="750" w:type="dxa"/>
            <w:tcBorders/>
            <w:shd w:fill="auto" w:val="clear"/>
            <w:vAlign w:val="bottom"/>
          </w:tcPr>
          <w:p>
            <w:pPr>
              <w:pStyle w:val="Normal"/>
              <w:snapToGrid w:val="false"/>
              <w:rPr>
                <w:rFonts w:ascii="Arial" w:hAnsi="Arial" w:cs="Arial"/>
                <w:sz w:val="16"/>
              </w:rPr>
            </w:pPr>
            <w:r>
              <w:rPr>
                <w:rFonts w:cs="Arial" w:ascii="Arial" w:hAnsi="Arial"/>
                <w:sz w:val="16"/>
              </w:rPr>
            </w:r>
          </w:p>
        </w:tc>
        <w:tc>
          <w:tcPr>
            <w:tcW w:w="261" w:type="dxa"/>
            <w:tcBorders/>
            <w:shd w:fill="auto" w:val="clear"/>
            <w:vAlign w:val="bottom"/>
          </w:tcPr>
          <w:p>
            <w:pPr>
              <w:pStyle w:val="Normal"/>
              <w:snapToGrid w:val="false"/>
              <w:rPr>
                <w:rFonts w:ascii="Arial" w:hAnsi="Arial" w:cs="Arial"/>
                <w:sz w:val="16"/>
              </w:rPr>
            </w:pPr>
            <w:r>
              <w:rPr>
                <w:rFonts w:cs="Arial" w:ascii="Arial" w:hAnsi="Arial"/>
                <w:sz w:val="16"/>
              </w:rPr>
            </w:r>
          </w:p>
        </w:tc>
        <w:tc>
          <w:tcPr>
            <w:tcW w:w="750" w:type="dxa"/>
            <w:tcBorders/>
            <w:shd w:fill="auto" w:val="clear"/>
            <w:vAlign w:val="bottom"/>
          </w:tcPr>
          <w:p>
            <w:pPr>
              <w:pStyle w:val="Normal"/>
              <w:snapToGrid w:val="false"/>
              <w:rPr>
                <w:rFonts w:ascii="Arial" w:hAnsi="Arial" w:cs="Arial"/>
                <w:sz w:val="16"/>
              </w:rPr>
            </w:pPr>
            <w:r>
              <w:rPr>
                <w:rFonts w:cs="Arial" w:ascii="Arial" w:hAnsi="Arial"/>
                <w:sz w:val="16"/>
              </w:rPr>
            </w:r>
          </w:p>
        </w:tc>
        <w:tc>
          <w:tcPr>
            <w:tcW w:w="261" w:type="dxa"/>
            <w:tcBorders/>
            <w:shd w:fill="auto" w:val="clear"/>
            <w:vAlign w:val="bottom"/>
          </w:tcPr>
          <w:p>
            <w:pPr>
              <w:pStyle w:val="Normal"/>
              <w:snapToGrid w:val="false"/>
              <w:rPr>
                <w:rFonts w:ascii="Arial" w:hAnsi="Arial" w:cs="Arial"/>
                <w:sz w:val="16"/>
              </w:rPr>
            </w:pPr>
            <w:r>
              <w:rPr>
                <w:rFonts w:cs="Arial" w:ascii="Arial" w:hAnsi="Arial"/>
                <w:sz w:val="16"/>
              </w:rPr>
            </w:r>
          </w:p>
        </w:tc>
        <w:tc>
          <w:tcPr>
            <w:tcW w:w="777" w:type="dxa"/>
            <w:tcBorders/>
            <w:shd w:fill="auto" w:val="clear"/>
            <w:vAlign w:val="bottom"/>
          </w:tcPr>
          <w:p>
            <w:pPr>
              <w:pStyle w:val="Normal"/>
              <w:snapToGrid w:val="false"/>
              <w:rPr>
                <w:rFonts w:ascii="Arial" w:hAnsi="Arial" w:cs="Arial"/>
                <w:sz w:val="16"/>
              </w:rPr>
            </w:pPr>
            <w:r>
              <w:rPr>
                <w:rFonts w:cs="Arial" w:ascii="Arial" w:hAnsi="Arial"/>
                <w:sz w:val="16"/>
              </w:rPr>
            </w:r>
          </w:p>
        </w:tc>
        <w:tc>
          <w:tcPr>
            <w:tcW w:w="261" w:type="dxa"/>
            <w:tcBorders/>
            <w:shd w:fill="auto" w:val="clear"/>
            <w:vAlign w:val="bottom"/>
          </w:tcPr>
          <w:p>
            <w:pPr>
              <w:pStyle w:val="Normal"/>
              <w:snapToGrid w:val="false"/>
              <w:rPr>
                <w:rFonts w:ascii="Arial" w:hAnsi="Arial" w:cs="Arial"/>
                <w:sz w:val="16"/>
              </w:rPr>
            </w:pPr>
            <w:r>
              <w:rPr>
                <w:rFonts w:cs="Arial" w:ascii="Arial" w:hAnsi="Arial"/>
                <w:sz w:val="16"/>
              </w:rPr>
            </w:r>
          </w:p>
        </w:tc>
        <w:tc>
          <w:tcPr>
            <w:tcW w:w="839" w:type="dxa"/>
            <w:tcBorders/>
            <w:shd w:fill="auto" w:val="clear"/>
            <w:vAlign w:val="bottom"/>
          </w:tcPr>
          <w:p>
            <w:pPr>
              <w:pStyle w:val="Normal"/>
              <w:snapToGrid w:val="false"/>
              <w:rPr>
                <w:rFonts w:ascii="Arial" w:hAnsi="Arial" w:cs="Arial"/>
                <w:sz w:val="16"/>
              </w:rPr>
            </w:pPr>
            <w:r>
              <w:rPr>
                <w:rFonts w:cs="Arial" w:ascii="Arial" w:hAnsi="Arial"/>
                <w:sz w:val="16"/>
              </w:rPr>
            </w:r>
          </w:p>
        </w:tc>
      </w:tr>
      <w:tr>
        <w:trPr>
          <w:trHeight w:val="225" w:hRule="atLeast"/>
        </w:trPr>
        <w:tc>
          <w:tcPr>
            <w:tcW w:w="2622" w:type="dxa"/>
            <w:tcBorders/>
            <w:shd w:fill="auto" w:val="clear"/>
            <w:vAlign w:val="bottom"/>
          </w:tcPr>
          <w:p>
            <w:pPr>
              <w:pStyle w:val="Normal"/>
              <w:rPr>
                <w:rFonts w:ascii="Arial" w:hAnsi="Arial" w:cs="Arial"/>
                <w:b/>
                <w:b/>
                <w:sz w:val="16"/>
              </w:rPr>
            </w:pPr>
            <w:r>
              <w:rPr>
                <w:rFonts w:cs="Arial" w:ascii="Arial" w:hAnsi="Arial"/>
                <w:b/>
                <w:sz w:val="16"/>
              </w:rPr>
              <w:t>Assaults</w:t>
            </w:r>
          </w:p>
        </w:tc>
        <w:tc>
          <w:tcPr>
            <w:tcW w:w="1037" w:type="dxa"/>
            <w:tcBorders/>
            <w:shd w:fill="auto" w:val="clear"/>
            <w:vAlign w:val="bottom"/>
          </w:tcPr>
          <w:p>
            <w:pPr>
              <w:pStyle w:val="Normal"/>
              <w:ind w:firstLine="124"/>
              <w:rPr>
                <w:rFonts w:ascii="Arial" w:hAnsi="Arial" w:cs="Arial"/>
                <w:b/>
                <w:b/>
                <w:sz w:val="16"/>
              </w:rPr>
            </w:pPr>
            <w:r>
              <w:rPr>
                <w:rFonts w:cs="Arial" w:ascii="Arial" w:hAnsi="Arial"/>
                <w:b/>
                <w:sz w:val="16"/>
              </w:rPr>
              <w:t>44.3</w:t>
            </w:r>
            <w:r>
              <w:rPr>
                <w:rFonts w:cs="Arial" w:ascii="Arial" w:hAnsi="Arial"/>
                <w:b/>
                <w:sz w:val="16"/>
                <w:vertAlign w:val="superscript"/>
              </w:rPr>
              <w:t>c</w:t>
            </w:r>
          </w:p>
        </w:tc>
        <w:tc>
          <w:tcPr>
            <w:tcW w:w="324" w:type="dxa"/>
            <w:tcBorders/>
            <w:shd w:fill="auto" w:val="clear"/>
            <w:vAlign w:val="bottom"/>
          </w:tcPr>
          <w:p>
            <w:pPr>
              <w:pStyle w:val="Normal"/>
              <w:snapToGrid w:val="false"/>
              <w:ind w:firstLine="124"/>
              <w:rPr>
                <w:rFonts w:ascii="Arial" w:hAnsi="Arial" w:cs="Arial"/>
                <w:b/>
                <w:b/>
                <w:sz w:val="16"/>
              </w:rPr>
            </w:pPr>
            <w:r>
              <w:rPr>
                <w:rFonts w:cs="Arial" w:ascii="Arial" w:hAnsi="Arial"/>
                <w:b/>
                <w:sz w:val="16"/>
              </w:rPr>
            </w:r>
          </w:p>
        </w:tc>
        <w:tc>
          <w:tcPr>
            <w:tcW w:w="917" w:type="dxa"/>
            <w:tcBorders/>
            <w:shd w:fill="auto" w:val="clear"/>
            <w:vAlign w:val="bottom"/>
          </w:tcPr>
          <w:p>
            <w:pPr>
              <w:pStyle w:val="Normal"/>
              <w:ind w:firstLine="124"/>
              <w:rPr>
                <w:rFonts w:ascii="Arial" w:hAnsi="Arial" w:cs="Arial"/>
                <w:b/>
                <w:b/>
                <w:sz w:val="16"/>
              </w:rPr>
            </w:pPr>
            <w:r>
              <w:rPr>
                <w:rFonts w:cs="Arial" w:ascii="Arial" w:hAnsi="Arial"/>
                <w:b/>
                <w:sz w:val="16"/>
              </w:rPr>
              <w:t>30.7</w:t>
            </w:r>
            <w:r>
              <w:rPr>
                <w:rFonts w:cs="Arial" w:ascii="Arial" w:hAnsi="Arial"/>
                <w:b/>
                <w:sz w:val="16"/>
                <w:vertAlign w:val="superscript"/>
              </w:rPr>
              <w:t>c</w:t>
            </w:r>
          </w:p>
        </w:tc>
        <w:tc>
          <w:tcPr>
            <w:tcW w:w="324" w:type="dxa"/>
            <w:tcBorders/>
            <w:shd w:fill="auto" w:val="clear"/>
            <w:vAlign w:val="bottom"/>
          </w:tcPr>
          <w:p>
            <w:pPr>
              <w:pStyle w:val="Normal"/>
              <w:snapToGrid w:val="false"/>
              <w:ind w:firstLine="124"/>
              <w:rPr>
                <w:rFonts w:ascii="Arial" w:hAnsi="Arial" w:cs="Arial"/>
                <w:b/>
                <w:b/>
                <w:sz w:val="16"/>
              </w:rPr>
            </w:pPr>
            <w:r>
              <w:rPr>
                <w:rFonts w:cs="Arial" w:ascii="Arial" w:hAnsi="Arial"/>
                <w:b/>
                <w:sz w:val="16"/>
              </w:rPr>
            </w:r>
          </w:p>
        </w:tc>
        <w:tc>
          <w:tcPr>
            <w:tcW w:w="750" w:type="dxa"/>
            <w:tcBorders/>
            <w:shd w:fill="auto" w:val="clear"/>
            <w:vAlign w:val="bottom"/>
          </w:tcPr>
          <w:p>
            <w:pPr>
              <w:pStyle w:val="Normal"/>
              <w:ind w:firstLine="124"/>
              <w:rPr>
                <w:rFonts w:ascii="Arial" w:hAnsi="Arial" w:cs="Arial"/>
                <w:b/>
                <w:b/>
                <w:sz w:val="16"/>
              </w:rPr>
            </w:pPr>
            <w:r>
              <w:rPr>
                <w:rFonts w:cs="Arial" w:ascii="Arial" w:hAnsi="Arial"/>
                <w:b/>
                <w:sz w:val="16"/>
              </w:rPr>
              <w:t>24.7</w:t>
            </w:r>
            <w:r>
              <w:rPr>
                <w:rFonts w:cs="Arial" w:ascii="Arial" w:hAnsi="Arial"/>
                <w:b/>
                <w:sz w:val="16"/>
                <w:vertAlign w:val="superscript"/>
              </w:rPr>
              <w:t>c</w:t>
            </w:r>
          </w:p>
        </w:tc>
        <w:tc>
          <w:tcPr>
            <w:tcW w:w="261" w:type="dxa"/>
            <w:tcBorders/>
            <w:shd w:fill="auto" w:val="clear"/>
            <w:vAlign w:val="bottom"/>
          </w:tcPr>
          <w:p>
            <w:pPr>
              <w:pStyle w:val="Normal"/>
              <w:snapToGrid w:val="false"/>
              <w:ind w:firstLine="124"/>
              <w:rPr>
                <w:rFonts w:ascii="Arial" w:hAnsi="Arial" w:cs="Arial"/>
                <w:b/>
                <w:b/>
                <w:sz w:val="16"/>
              </w:rPr>
            </w:pPr>
            <w:r>
              <w:rPr>
                <w:rFonts w:cs="Arial" w:ascii="Arial" w:hAnsi="Arial"/>
                <w:b/>
                <w:sz w:val="16"/>
              </w:rPr>
            </w:r>
          </w:p>
        </w:tc>
        <w:tc>
          <w:tcPr>
            <w:tcW w:w="750" w:type="dxa"/>
            <w:tcBorders/>
            <w:shd w:fill="auto" w:val="clear"/>
            <w:vAlign w:val="bottom"/>
          </w:tcPr>
          <w:p>
            <w:pPr>
              <w:pStyle w:val="Normal"/>
              <w:ind w:firstLine="124"/>
              <w:rPr>
                <w:rFonts w:ascii="Arial" w:hAnsi="Arial" w:cs="Arial"/>
                <w:b/>
                <w:b/>
                <w:sz w:val="16"/>
              </w:rPr>
            </w:pPr>
            <w:r>
              <w:rPr>
                <w:rFonts w:cs="Arial" w:ascii="Arial" w:hAnsi="Arial"/>
                <w:b/>
                <w:sz w:val="16"/>
              </w:rPr>
              <w:t>19.4</w:t>
            </w:r>
            <w:r>
              <w:rPr>
                <w:rFonts w:cs="Arial" w:ascii="Arial" w:hAnsi="Arial"/>
                <w:b/>
                <w:sz w:val="16"/>
                <w:vertAlign w:val="superscript"/>
              </w:rPr>
              <w:t>c</w:t>
            </w:r>
          </w:p>
        </w:tc>
        <w:tc>
          <w:tcPr>
            <w:tcW w:w="261" w:type="dxa"/>
            <w:tcBorders/>
            <w:shd w:fill="auto" w:val="clear"/>
            <w:vAlign w:val="bottom"/>
          </w:tcPr>
          <w:p>
            <w:pPr>
              <w:pStyle w:val="Normal"/>
              <w:snapToGrid w:val="false"/>
              <w:ind w:firstLine="124"/>
              <w:rPr>
                <w:rFonts w:ascii="Arial" w:hAnsi="Arial" w:cs="Arial"/>
                <w:b/>
                <w:b/>
                <w:sz w:val="16"/>
              </w:rPr>
            </w:pPr>
            <w:r>
              <w:rPr>
                <w:rFonts w:cs="Arial" w:ascii="Arial" w:hAnsi="Arial"/>
                <w:b/>
                <w:sz w:val="16"/>
              </w:rPr>
            </w:r>
          </w:p>
        </w:tc>
        <w:tc>
          <w:tcPr>
            <w:tcW w:w="777" w:type="dxa"/>
            <w:tcBorders/>
            <w:shd w:fill="auto" w:val="clear"/>
            <w:vAlign w:val="bottom"/>
          </w:tcPr>
          <w:p>
            <w:pPr>
              <w:pStyle w:val="Normal"/>
              <w:ind w:firstLine="124"/>
              <w:rPr>
                <w:rFonts w:ascii="Arial" w:hAnsi="Arial" w:cs="Arial"/>
                <w:b/>
                <w:b/>
                <w:sz w:val="16"/>
              </w:rPr>
            </w:pPr>
            <w:r>
              <w:rPr>
                <w:rFonts w:cs="Arial" w:ascii="Arial" w:hAnsi="Arial"/>
                <w:b/>
                <w:sz w:val="16"/>
              </w:rPr>
              <w:t>15.6</w:t>
            </w:r>
            <w:r>
              <w:rPr>
                <w:rFonts w:cs="Arial" w:ascii="Arial" w:hAnsi="Arial"/>
                <w:b/>
                <w:sz w:val="16"/>
                <w:vertAlign w:val="superscript"/>
              </w:rPr>
              <w:t>b</w:t>
            </w:r>
          </w:p>
        </w:tc>
        <w:tc>
          <w:tcPr>
            <w:tcW w:w="261" w:type="dxa"/>
            <w:tcBorders/>
            <w:shd w:fill="auto" w:val="clear"/>
            <w:vAlign w:val="bottom"/>
          </w:tcPr>
          <w:p>
            <w:pPr>
              <w:pStyle w:val="Normal"/>
              <w:snapToGrid w:val="false"/>
              <w:ind w:firstLine="124"/>
              <w:rPr>
                <w:rFonts w:ascii="Arial" w:hAnsi="Arial" w:cs="Arial"/>
                <w:b/>
                <w:b/>
                <w:sz w:val="16"/>
              </w:rPr>
            </w:pPr>
            <w:r>
              <w:rPr>
                <w:rFonts w:cs="Arial" w:ascii="Arial" w:hAnsi="Arial"/>
                <w:b/>
                <w:sz w:val="16"/>
              </w:rPr>
            </w:r>
          </w:p>
        </w:tc>
        <w:tc>
          <w:tcPr>
            <w:tcW w:w="839" w:type="dxa"/>
            <w:tcBorders/>
            <w:shd w:fill="auto" w:val="clear"/>
            <w:vAlign w:val="bottom"/>
          </w:tcPr>
          <w:p>
            <w:pPr>
              <w:pStyle w:val="Normal"/>
              <w:ind w:firstLine="124"/>
              <w:rPr>
                <w:rFonts w:ascii="Arial" w:hAnsi="Arial" w:cs="Arial"/>
                <w:b/>
                <w:b/>
                <w:sz w:val="16"/>
              </w:rPr>
            </w:pPr>
            <w:r>
              <w:rPr>
                <w:rFonts w:cs="Arial" w:ascii="Arial" w:hAnsi="Arial"/>
                <w:b/>
                <w:sz w:val="16"/>
              </w:rPr>
              <w:t>5.8</w:t>
            </w:r>
          </w:p>
        </w:tc>
      </w:tr>
      <w:tr>
        <w:trPr>
          <w:trHeight w:val="225" w:hRule="atLeast"/>
        </w:trPr>
        <w:tc>
          <w:tcPr>
            <w:tcW w:w="2622" w:type="dxa"/>
            <w:tcBorders/>
            <w:shd w:fill="auto" w:val="clear"/>
            <w:vAlign w:val="bottom"/>
          </w:tcPr>
          <w:p>
            <w:pPr>
              <w:pStyle w:val="Normal"/>
              <w:ind w:firstLine="38"/>
              <w:rPr>
                <w:rFonts w:ascii="Arial" w:hAnsi="Arial" w:cs="Arial"/>
                <w:sz w:val="16"/>
              </w:rPr>
            </w:pPr>
            <w:r>
              <w:rPr>
                <w:rFonts w:cs="Arial" w:ascii="Arial" w:hAnsi="Arial"/>
                <w:sz w:val="16"/>
              </w:rPr>
              <w:t>SES 1 (least deprived)</w:t>
            </w:r>
          </w:p>
        </w:tc>
        <w:tc>
          <w:tcPr>
            <w:tcW w:w="1037" w:type="dxa"/>
            <w:tcBorders/>
            <w:shd w:fill="auto" w:val="clear"/>
            <w:vAlign w:val="bottom"/>
          </w:tcPr>
          <w:p>
            <w:pPr>
              <w:pStyle w:val="Normal"/>
              <w:ind w:firstLine="38"/>
              <w:rPr>
                <w:rFonts w:ascii="Arial" w:hAnsi="Arial" w:cs="Arial"/>
                <w:sz w:val="16"/>
              </w:rPr>
            </w:pPr>
            <w:r>
              <w:rPr>
                <w:rFonts w:cs="Arial" w:ascii="Arial" w:hAnsi="Arial"/>
                <w:sz w:val="16"/>
              </w:rPr>
              <w:t>30.0</w:t>
            </w:r>
          </w:p>
        </w:tc>
        <w:tc>
          <w:tcPr>
            <w:tcW w:w="324" w:type="dxa"/>
            <w:tcBorders/>
            <w:shd w:fill="auto" w:val="clear"/>
            <w:vAlign w:val="bottom"/>
          </w:tcPr>
          <w:p>
            <w:pPr>
              <w:pStyle w:val="Normal"/>
              <w:snapToGrid w:val="false"/>
              <w:ind w:firstLine="38"/>
              <w:rPr>
                <w:rFonts w:ascii="Arial" w:hAnsi="Arial" w:cs="Arial"/>
                <w:sz w:val="16"/>
              </w:rPr>
            </w:pPr>
            <w:r>
              <w:rPr>
                <w:rFonts w:cs="Arial" w:ascii="Arial" w:hAnsi="Arial"/>
                <w:sz w:val="16"/>
              </w:rPr>
            </w:r>
          </w:p>
        </w:tc>
        <w:tc>
          <w:tcPr>
            <w:tcW w:w="917" w:type="dxa"/>
            <w:tcBorders/>
            <w:shd w:fill="auto" w:val="clear"/>
            <w:vAlign w:val="bottom"/>
          </w:tcPr>
          <w:p>
            <w:pPr>
              <w:pStyle w:val="Normal"/>
              <w:ind w:firstLine="38"/>
              <w:rPr>
                <w:rFonts w:ascii="Arial" w:hAnsi="Arial" w:cs="Arial"/>
                <w:sz w:val="16"/>
              </w:rPr>
            </w:pPr>
            <w:r>
              <w:rPr>
                <w:rFonts w:cs="Arial" w:ascii="Arial" w:hAnsi="Arial"/>
                <w:sz w:val="16"/>
              </w:rPr>
              <w:t>13.4</w:t>
            </w:r>
          </w:p>
        </w:tc>
        <w:tc>
          <w:tcPr>
            <w:tcW w:w="324" w:type="dxa"/>
            <w:tcBorders/>
            <w:shd w:fill="auto" w:val="clear"/>
            <w:vAlign w:val="bottom"/>
          </w:tcPr>
          <w:p>
            <w:pPr>
              <w:pStyle w:val="Normal"/>
              <w:snapToGrid w:val="false"/>
              <w:ind w:firstLine="38"/>
              <w:rPr>
                <w:rFonts w:ascii="Arial" w:hAnsi="Arial" w:cs="Arial"/>
                <w:sz w:val="16"/>
              </w:rPr>
            </w:pPr>
            <w:r>
              <w:rPr>
                <w:rFonts w:cs="Arial" w:ascii="Arial" w:hAnsi="Arial"/>
                <w:sz w:val="16"/>
              </w:rPr>
            </w:r>
          </w:p>
        </w:tc>
        <w:tc>
          <w:tcPr>
            <w:tcW w:w="750" w:type="dxa"/>
            <w:tcBorders/>
            <w:shd w:fill="auto" w:val="clear"/>
            <w:vAlign w:val="bottom"/>
          </w:tcPr>
          <w:p>
            <w:pPr>
              <w:pStyle w:val="Normal"/>
              <w:ind w:firstLine="38"/>
              <w:rPr>
                <w:rFonts w:ascii="Arial" w:hAnsi="Arial" w:cs="Arial"/>
                <w:sz w:val="16"/>
              </w:rPr>
            </w:pPr>
            <w:r>
              <w:rPr>
                <w:rFonts w:cs="Arial" w:ascii="Arial" w:hAnsi="Arial"/>
                <w:sz w:val="16"/>
              </w:rPr>
              <w:t>4.7</w:t>
            </w:r>
          </w:p>
        </w:tc>
        <w:tc>
          <w:tcPr>
            <w:tcW w:w="261" w:type="dxa"/>
            <w:tcBorders/>
            <w:shd w:fill="auto" w:val="clear"/>
            <w:vAlign w:val="bottom"/>
          </w:tcPr>
          <w:p>
            <w:pPr>
              <w:pStyle w:val="Normal"/>
              <w:snapToGrid w:val="false"/>
              <w:ind w:firstLine="38"/>
              <w:rPr>
                <w:rFonts w:ascii="Arial" w:hAnsi="Arial" w:cs="Arial"/>
                <w:sz w:val="16"/>
              </w:rPr>
            </w:pPr>
            <w:r>
              <w:rPr>
                <w:rFonts w:cs="Arial" w:ascii="Arial" w:hAnsi="Arial"/>
                <w:sz w:val="16"/>
              </w:rPr>
            </w:r>
          </w:p>
        </w:tc>
        <w:tc>
          <w:tcPr>
            <w:tcW w:w="750" w:type="dxa"/>
            <w:tcBorders/>
            <w:shd w:fill="auto" w:val="clear"/>
            <w:vAlign w:val="bottom"/>
          </w:tcPr>
          <w:p>
            <w:pPr>
              <w:pStyle w:val="Normal"/>
              <w:ind w:firstLine="38"/>
              <w:rPr>
                <w:rFonts w:ascii="Arial" w:hAnsi="Arial" w:cs="Arial"/>
                <w:sz w:val="16"/>
              </w:rPr>
            </w:pPr>
            <w:r>
              <w:rPr>
                <w:rFonts w:cs="Arial" w:ascii="Arial" w:hAnsi="Arial"/>
                <w:sz w:val="16"/>
              </w:rPr>
              <w:t>2.9</w:t>
            </w:r>
          </w:p>
        </w:tc>
        <w:tc>
          <w:tcPr>
            <w:tcW w:w="261" w:type="dxa"/>
            <w:tcBorders/>
            <w:shd w:fill="auto" w:val="clear"/>
            <w:vAlign w:val="bottom"/>
          </w:tcPr>
          <w:p>
            <w:pPr>
              <w:pStyle w:val="Normal"/>
              <w:snapToGrid w:val="false"/>
              <w:ind w:firstLine="38"/>
              <w:rPr>
                <w:rFonts w:ascii="Arial" w:hAnsi="Arial" w:cs="Arial"/>
                <w:sz w:val="16"/>
              </w:rPr>
            </w:pPr>
            <w:r>
              <w:rPr>
                <w:rFonts w:cs="Arial" w:ascii="Arial" w:hAnsi="Arial"/>
                <w:sz w:val="16"/>
              </w:rPr>
            </w:r>
          </w:p>
        </w:tc>
        <w:tc>
          <w:tcPr>
            <w:tcW w:w="777" w:type="dxa"/>
            <w:tcBorders/>
            <w:shd w:fill="auto" w:val="clear"/>
            <w:vAlign w:val="bottom"/>
          </w:tcPr>
          <w:p>
            <w:pPr>
              <w:pStyle w:val="Normal"/>
              <w:ind w:firstLine="38"/>
              <w:rPr>
                <w:rFonts w:ascii="Arial" w:hAnsi="Arial" w:cs="Arial"/>
                <w:sz w:val="16"/>
              </w:rPr>
            </w:pPr>
            <w:r>
              <w:rPr>
                <w:rFonts w:cs="Arial" w:ascii="Arial" w:hAnsi="Arial"/>
                <w:sz w:val="16"/>
              </w:rPr>
              <w:t>5.0</w:t>
            </w:r>
          </w:p>
        </w:tc>
        <w:tc>
          <w:tcPr>
            <w:tcW w:w="261" w:type="dxa"/>
            <w:tcBorders/>
            <w:shd w:fill="auto" w:val="clear"/>
            <w:vAlign w:val="bottom"/>
          </w:tcPr>
          <w:p>
            <w:pPr>
              <w:pStyle w:val="Normal"/>
              <w:snapToGrid w:val="false"/>
              <w:ind w:firstLine="38"/>
              <w:rPr>
                <w:rFonts w:ascii="Arial" w:hAnsi="Arial" w:cs="Arial"/>
                <w:sz w:val="16"/>
              </w:rPr>
            </w:pPr>
            <w:r>
              <w:rPr>
                <w:rFonts w:cs="Arial" w:ascii="Arial" w:hAnsi="Arial"/>
                <w:sz w:val="16"/>
              </w:rPr>
            </w:r>
          </w:p>
        </w:tc>
        <w:tc>
          <w:tcPr>
            <w:tcW w:w="839" w:type="dxa"/>
            <w:tcBorders/>
            <w:shd w:fill="auto" w:val="clear"/>
            <w:vAlign w:val="bottom"/>
          </w:tcPr>
          <w:p>
            <w:pPr>
              <w:pStyle w:val="Normal"/>
              <w:ind w:firstLine="38"/>
              <w:rPr>
                <w:rFonts w:ascii="Arial" w:hAnsi="Arial" w:cs="Arial"/>
                <w:sz w:val="16"/>
              </w:rPr>
            </w:pPr>
            <w:r>
              <w:rPr>
                <w:rFonts w:cs="Arial" w:ascii="Arial" w:hAnsi="Arial"/>
                <w:sz w:val="16"/>
              </w:rPr>
              <w:t>4.6</w:t>
            </w:r>
          </w:p>
        </w:tc>
      </w:tr>
      <w:tr>
        <w:trPr>
          <w:trHeight w:val="225" w:hRule="atLeast"/>
        </w:trPr>
        <w:tc>
          <w:tcPr>
            <w:tcW w:w="2622" w:type="dxa"/>
            <w:tcBorders/>
            <w:shd w:fill="auto" w:val="clear"/>
            <w:vAlign w:val="bottom"/>
          </w:tcPr>
          <w:p>
            <w:pPr>
              <w:pStyle w:val="Normal"/>
              <w:ind w:firstLine="38"/>
              <w:rPr>
                <w:rFonts w:ascii="Arial" w:hAnsi="Arial" w:cs="Arial"/>
                <w:sz w:val="16"/>
              </w:rPr>
            </w:pPr>
            <w:r>
              <w:rPr>
                <w:rFonts w:cs="Arial" w:ascii="Arial" w:hAnsi="Arial"/>
                <w:sz w:val="16"/>
              </w:rPr>
              <w:t>SES 2</w:t>
            </w:r>
          </w:p>
        </w:tc>
        <w:tc>
          <w:tcPr>
            <w:tcW w:w="1037" w:type="dxa"/>
            <w:tcBorders/>
            <w:shd w:fill="auto" w:val="clear"/>
            <w:vAlign w:val="bottom"/>
          </w:tcPr>
          <w:p>
            <w:pPr>
              <w:pStyle w:val="Normal"/>
              <w:ind w:firstLine="38"/>
              <w:rPr>
                <w:rFonts w:ascii="Arial" w:hAnsi="Arial" w:cs="Arial"/>
                <w:sz w:val="16"/>
              </w:rPr>
            </w:pPr>
            <w:r>
              <w:rPr>
                <w:rFonts w:cs="Arial" w:ascii="Arial" w:hAnsi="Arial"/>
                <w:sz w:val="16"/>
              </w:rPr>
              <w:t>34.6</w:t>
            </w:r>
          </w:p>
        </w:tc>
        <w:tc>
          <w:tcPr>
            <w:tcW w:w="324" w:type="dxa"/>
            <w:tcBorders/>
            <w:shd w:fill="auto" w:val="clear"/>
            <w:vAlign w:val="bottom"/>
          </w:tcPr>
          <w:p>
            <w:pPr>
              <w:pStyle w:val="Normal"/>
              <w:snapToGrid w:val="false"/>
              <w:ind w:firstLine="38"/>
              <w:rPr>
                <w:rFonts w:ascii="Arial" w:hAnsi="Arial" w:cs="Arial"/>
                <w:sz w:val="16"/>
              </w:rPr>
            </w:pPr>
            <w:r>
              <w:rPr>
                <w:rFonts w:cs="Arial" w:ascii="Arial" w:hAnsi="Arial"/>
                <w:sz w:val="16"/>
              </w:rPr>
            </w:r>
          </w:p>
        </w:tc>
        <w:tc>
          <w:tcPr>
            <w:tcW w:w="917" w:type="dxa"/>
            <w:tcBorders/>
            <w:shd w:fill="auto" w:val="clear"/>
            <w:vAlign w:val="bottom"/>
          </w:tcPr>
          <w:p>
            <w:pPr>
              <w:pStyle w:val="Normal"/>
              <w:ind w:firstLine="38"/>
              <w:rPr>
                <w:rFonts w:ascii="Arial" w:hAnsi="Arial" w:cs="Arial"/>
                <w:sz w:val="16"/>
              </w:rPr>
            </w:pPr>
            <w:r>
              <w:rPr>
                <w:rFonts w:cs="Arial" w:ascii="Arial" w:hAnsi="Arial"/>
                <w:sz w:val="16"/>
              </w:rPr>
              <w:t>28.6</w:t>
            </w:r>
          </w:p>
        </w:tc>
        <w:tc>
          <w:tcPr>
            <w:tcW w:w="324" w:type="dxa"/>
            <w:tcBorders/>
            <w:shd w:fill="auto" w:val="clear"/>
            <w:vAlign w:val="bottom"/>
          </w:tcPr>
          <w:p>
            <w:pPr>
              <w:pStyle w:val="Normal"/>
              <w:snapToGrid w:val="false"/>
              <w:ind w:firstLine="38"/>
              <w:rPr>
                <w:rFonts w:ascii="Arial" w:hAnsi="Arial" w:cs="Arial"/>
                <w:sz w:val="16"/>
              </w:rPr>
            </w:pPr>
            <w:r>
              <w:rPr>
                <w:rFonts w:cs="Arial" w:ascii="Arial" w:hAnsi="Arial"/>
                <w:sz w:val="16"/>
              </w:rPr>
            </w:r>
          </w:p>
        </w:tc>
        <w:tc>
          <w:tcPr>
            <w:tcW w:w="750" w:type="dxa"/>
            <w:tcBorders/>
            <w:shd w:fill="auto" w:val="clear"/>
            <w:vAlign w:val="bottom"/>
          </w:tcPr>
          <w:p>
            <w:pPr>
              <w:pStyle w:val="Normal"/>
              <w:ind w:firstLine="38"/>
              <w:rPr>
                <w:rFonts w:ascii="Arial" w:hAnsi="Arial" w:cs="Arial"/>
                <w:sz w:val="16"/>
              </w:rPr>
            </w:pPr>
            <w:r>
              <w:rPr>
                <w:rFonts w:cs="Arial" w:ascii="Arial" w:hAnsi="Arial"/>
                <w:sz w:val="16"/>
              </w:rPr>
              <w:t>10.7</w:t>
            </w:r>
          </w:p>
        </w:tc>
        <w:tc>
          <w:tcPr>
            <w:tcW w:w="261" w:type="dxa"/>
            <w:tcBorders/>
            <w:shd w:fill="auto" w:val="clear"/>
            <w:vAlign w:val="bottom"/>
          </w:tcPr>
          <w:p>
            <w:pPr>
              <w:pStyle w:val="Normal"/>
              <w:snapToGrid w:val="false"/>
              <w:ind w:firstLine="38"/>
              <w:rPr>
                <w:rFonts w:ascii="Arial" w:hAnsi="Arial" w:cs="Arial"/>
                <w:sz w:val="16"/>
              </w:rPr>
            </w:pPr>
            <w:r>
              <w:rPr>
                <w:rFonts w:cs="Arial" w:ascii="Arial" w:hAnsi="Arial"/>
                <w:sz w:val="16"/>
              </w:rPr>
            </w:r>
          </w:p>
        </w:tc>
        <w:tc>
          <w:tcPr>
            <w:tcW w:w="750" w:type="dxa"/>
            <w:tcBorders/>
            <w:shd w:fill="auto" w:val="clear"/>
            <w:vAlign w:val="bottom"/>
          </w:tcPr>
          <w:p>
            <w:pPr>
              <w:pStyle w:val="Normal"/>
              <w:ind w:firstLine="38"/>
              <w:rPr>
                <w:rFonts w:ascii="Arial" w:hAnsi="Arial" w:cs="Arial"/>
                <w:sz w:val="16"/>
              </w:rPr>
            </w:pPr>
            <w:r>
              <w:rPr>
                <w:rFonts w:cs="Arial" w:ascii="Arial" w:hAnsi="Arial"/>
                <w:sz w:val="16"/>
              </w:rPr>
              <w:t>14.8</w:t>
            </w:r>
          </w:p>
        </w:tc>
        <w:tc>
          <w:tcPr>
            <w:tcW w:w="261" w:type="dxa"/>
            <w:tcBorders/>
            <w:shd w:fill="auto" w:val="clear"/>
            <w:vAlign w:val="bottom"/>
          </w:tcPr>
          <w:p>
            <w:pPr>
              <w:pStyle w:val="Normal"/>
              <w:snapToGrid w:val="false"/>
              <w:ind w:firstLine="38"/>
              <w:rPr>
                <w:rFonts w:ascii="Arial" w:hAnsi="Arial" w:cs="Arial"/>
                <w:sz w:val="16"/>
              </w:rPr>
            </w:pPr>
            <w:r>
              <w:rPr>
                <w:rFonts w:cs="Arial" w:ascii="Arial" w:hAnsi="Arial"/>
                <w:sz w:val="16"/>
              </w:rPr>
            </w:r>
          </w:p>
        </w:tc>
        <w:tc>
          <w:tcPr>
            <w:tcW w:w="777" w:type="dxa"/>
            <w:tcBorders/>
            <w:shd w:fill="auto" w:val="clear"/>
            <w:vAlign w:val="bottom"/>
          </w:tcPr>
          <w:p>
            <w:pPr>
              <w:pStyle w:val="Normal"/>
              <w:ind w:firstLine="38"/>
              <w:rPr>
                <w:rFonts w:ascii="Arial" w:hAnsi="Arial" w:cs="Arial"/>
                <w:sz w:val="16"/>
              </w:rPr>
            </w:pPr>
            <w:r>
              <w:rPr>
                <w:rFonts w:cs="Arial" w:ascii="Arial" w:hAnsi="Arial"/>
                <w:sz w:val="16"/>
              </w:rPr>
              <w:t>7.9</w:t>
            </w:r>
          </w:p>
        </w:tc>
        <w:tc>
          <w:tcPr>
            <w:tcW w:w="261" w:type="dxa"/>
            <w:tcBorders/>
            <w:shd w:fill="auto" w:val="clear"/>
            <w:vAlign w:val="bottom"/>
          </w:tcPr>
          <w:p>
            <w:pPr>
              <w:pStyle w:val="Normal"/>
              <w:snapToGrid w:val="false"/>
              <w:ind w:firstLine="38"/>
              <w:rPr>
                <w:rFonts w:ascii="Arial" w:hAnsi="Arial" w:cs="Arial"/>
                <w:sz w:val="16"/>
              </w:rPr>
            </w:pPr>
            <w:r>
              <w:rPr>
                <w:rFonts w:cs="Arial" w:ascii="Arial" w:hAnsi="Arial"/>
                <w:sz w:val="16"/>
              </w:rPr>
            </w:r>
          </w:p>
        </w:tc>
        <w:tc>
          <w:tcPr>
            <w:tcW w:w="839" w:type="dxa"/>
            <w:tcBorders/>
            <w:shd w:fill="auto" w:val="clear"/>
            <w:vAlign w:val="bottom"/>
          </w:tcPr>
          <w:p>
            <w:pPr>
              <w:pStyle w:val="Normal"/>
              <w:ind w:firstLine="38"/>
              <w:rPr>
                <w:rFonts w:ascii="Arial" w:hAnsi="Arial" w:cs="Arial"/>
                <w:sz w:val="16"/>
              </w:rPr>
            </w:pPr>
            <w:r>
              <w:rPr>
                <w:rFonts w:cs="Arial" w:ascii="Arial" w:hAnsi="Arial"/>
                <w:sz w:val="16"/>
              </w:rPr>
              <w:t>4.5</w:t>
            </w:r>
          </w:p>
        </w:tc>
      </w:tr>
      <w:tr>
        <w:trPr>
          <w:trHeight w:val="225" w:hRule="atLeast"/>
        </w:trPr>
        <w:tc>
          <w:tcPr>
            <w:tcW w:w="2622" w:type="dxa"/>
            <w:tcBorders/>
            <w:shd w:fill="auto" w:val="clear"/>
            <w:vAlign w:val="bottom"/>
          </w:tcPr>
          <w:p>
            <w:pPr>
              <w:pStyle w:val="Normal"/>
              <w:ind w:firstLine="38"/>
              <w:rPr>
                <w:rFonts w:ascii="Arial" w:hAnsi="Arial" w:cs="Arial"/>
                <w:sz w:val="16"/>
              </w:rPr>
            </w:pPr>
            <w:r>
              <w:rPr>
                <w:rFonts w:cs="Arial" w:ascii="Arial" w:hAnsi="Arial"/>
                <w:sz w:val="16"/>
              </w:rPr>
              <w:t>SES 3</w:t>
            </w:r>
          </w:p>
        </w:tc>
        <w:tc>
          <w:tcPr>
            <w:tcW w:w="1037" w:type="dxa"/>
            <w:tcBorders/>
            <w:shd w:fill="auto" w:val="clear"/>
            <w:vAlign w:val="bottom"/>
          </w:tcPr>
          <w:p>
            <w:pPr>
              <w:pStyle w:val="Normal"/>
              <w:ind w:firstLine="38"/>
              <w:rPr>
                <w:rFonts w:ascii="Arial" w:hAnsi="Arial" w:cs="Arial"/>
                <w:sz w:val="16"/>
              </w:rPr>
            </w:pPr>
            <w:r>
              <w:rPr>
                <w:rFonts w:cs="Arial" w:ascii="Arial" w:hAnsi="Arial"/>
                <w:sz w:val="16"/>
              </w:rPr>
              <w:t>33.2</w:t>
            </w:r>
          </w:p>
        </w:tc>
        <w:tc>
          <w:tcPr>
            <w:tcW w:w="324" w:type="dxa"/>
            <w:tcBorders/>
            <w:shd w:fill="auto" w:val="clear"/>
            <w:vAlign w:val="bottom"/>
          </w:tcPr>
          <w:p>
            <w:pPr>
              <w:pStyle w:val="Normal"/>
              <w:snapToGrid w:val="false"/>
              <w:ind w:firstLine="38"/>
              <w:rPr>
                <w:rFonts w:ascii="Arial" w:hAnsi="Arial" w:cs="Arial"/>
                <w:sz w:val="16"/>
              </w:rPr>
            </w:pPr>
            <w:r>
              <w:rPr>
                <w:rFonts w:cs="Arial" w:ascii="Arial" w:hAnsi="Arial"/>
                <w:sz w:val="16"/>
              </w:rPr>
            </w:r>
          </w:p>
        </w:tc>
        <w:tc>
          <w:tcPr>
            <w:tcW w:w="917" w:type="dxa"/>
            <w:tcBorders/>
            <w:shd w:fill="auto" w:val="clear"/>
            <w:vAlign w:val="bottom"/>
          </w:tcPr>
          <w:p>
            <w:pPr>
              <w:pStyle w:val="Normal"/>
              <w:ind w:firstLine="38"/>
              <w:rPr>
                <w:rFonts w:ascii="Arial" w:hAnsi="Arial" w:cs="Arial"/>
                <w:sz w:val="16"/>
              </w:rPr>
            </w:pPr>
            <w:r>
              <w:rPr>
                <w:rFonts w:cs="Arial" w:ascii="Arial" w:hAnsi="Arial"/>
                <w:sz w:val="16"/>
              </w:rPr>
              <w:t>22.0</w:t>
            </w:r>
          </w:p>
        </w:tc>
        <w:tc>
          <w:tcPr>
            <w:tcW w:w="324" w:type="dxa"/>
            <w:tcBorders/>
            <w:shd w:fill="auto" w:val="clear"/>
            <w:vAlign w:val="bottom"/>
          </w:tcPr>
          <w:p>
            <w:pPr>
              <w:pStyle w:val="Normal"/>
              <w:snapToGrid w:val="false"/>
              <w:ind w:firstLine="38"/>
              <w:rPr>
                <w:rFonts w:ascii="Arial" w:hAnsi="Arial" w:cs="Arial"/>
                <w:sz w:val="16"/>
              </w:rPr>
            </w:pPr>
            <w:r>
              <w:rPr>
                <w:rFonts w:cs="Arial" w:ascii="Arial" w:hAnsi="Arial"/>
                <w:sz w:val="16"/>
              </w:rPr>
            </w:r>
          </w:p>
        </w:tc>
        <w:tc>
          <w:tcPr>
            <w:tcW w:w="750" w:type="dxa"/>
            <w:tcBorders/>
            <w:shd w:fill="auto" w:val="clear"/>
            <w:vAlign w:val="bottom"/>
          </w:tcPr>
          <w:p>
            <w:pPr>
              <w:pStyle w:val="Normal"/>
              <w:ind w:firstLine="38"/>
              <w:rPr>
                <w:rFonts w:ascii="Arial" w:hAnsi="Arial" w:cs="Arial"/>
                <w:sz w:val="16"/>
              </w:rPr>
            </w:pPr>
            <w:r>
              <w:rPr>
                <w:rFonts w:cs="Arial" w:ascii="Arial" w:hAnsi="Arial"/>
                <w:sz w:val="16"/>
              </w:rPr>
              <w:t>16.9</w:t>
            </w:r>
          </w:p>
        </w:tc>
        <w:tc>
          <w:tcPr>
            <w:tcW w:w="261" w:type="dxa"/>
            <w:tcBorders/>
            <w:shd w:fill="auto" w:val="clear"/>
            <w:vAlign w:val="bottom"/>
          </w:tcPr>
          <w:p>
            <w:pPr>
              <w:pStyle w:val="Normal"/>
              <w:snapToGrid w:val="false"/>
              <w:ind w:firstLine="38"/>
              <w:rPr>
                <w:rFonts w:ascii="Arial" w:hAnsi="Arial" w:cs="Arial"/>
                <w:sz w:val="16"/>
              </w:rPr>
            </w:pPr>
            <w:r>
              <w:rPr>
                <w:rFonts w:cs="Arial" w:ascii="Arial" w:hAnsi="Arial"/>
                <w:sz w:val="16"/>
              </w:rPr>
            </w:r>
          </w:p>
        </w:tc>
        <w:tc>
          <w:tcPr>
            <w:tcW w:w="750" w:type="dxa"/>
            <w:tcBorders/>
            <w:shd w:fill="auto" w:val="clear"/>
            <w:vAlign w:val="bottom"/>
          </w:tcPr>
          <w:p>
            <w:pPr>
              <w:pStyle w:val="Normal"/>
              <w:ind w:firstLine="38"/>
              <w:rPr>
                <w:rFonts w:ascii="Arial" w:hAnsi="Arial" w:cs="Arial"/>
                <w:sz w:val="16"/>
              </w:rPr>
            </w:pPr>
            <w:r>
              <w:rPr>
                <w:rFonts w:cs="Arial" w:ascii="Arial" w:hAnsi="Arial"/>
                <w:sz w:val="16"/>
              </w:rPr>
              <w:t>3.3</w:t>
            </w:r>
          </w:p>
        </w:tc>
        <w:tc>
          <w:tcPr>
            <w:tcW w:w="261" w:type="dxa"/>
            <w:tcBorders/>
            <w:shd w:fill="auto" w:val="clear"/>
            <w:vAlign w:val="bottom"/>
          </w:tcPr>
          <w:p>
            <w:pPr>
              <w:pStyle w:val="Normal"/>
              <w:snapToGrid w:val="false"/>
              <w:ind w:firstLine="38"/>
              <w:rPr>
                <w:rFonts w:ascii="Arial" w:hAnsi="Arial" w:cs="Arial"/>
                <w:sz w:val="16"/>
              </w:rPr>
            </w:pPr>
            <w:r>
              <w:rPr>
                <w:rFonts w:cs="Arial" w:ascii="Arial" w:hAnsi="Arial"/>
                <w:sz w:val="16"/>
              </w:rPr>
            </w:r>
          </w:p>
        </w:tc>
        <w:tc>
          <w:tcPr>
            <w:tcW w:w="777" w:type="dxa"/>
            <w:tcBorders/>
            <w:shd w:fill="auto" w:val="clear"/>
            <w:vAlign w:val="bottom"/>
          </w:tcPr>
          <w:p>
            <w:pPr>
              <w:pStyle w:val="Normal"/>
              <w:ind w:firstLine="38"/>
              <w:rPr>
                <w:rFonts w:ascii="Arial" w:hAnsi="Arial" w:cs="Arial"/>
                <w:sz w:val="16"/>
              </w:rPr>
            </w:pPr>
            <w:r>
              <w:rPr>
                <w:rFonts w:cs="Arial" w:ascii="Arial" w:hAnsi="Arial"/>
                <w:sz w:val="16"/>
              </w:rPr>
              <w:t>5.7</w:t>
            </w:r>
          </w:p>
        </w:tc>
        <w:tc>
          <w:tcPr>
            <w:tcW w:w="261" w:type="dxa"/>
            <w:tcBorders/>
            <w:shd w:fill="auto" w:val="clear"/>
            <w:vAlign w:val="bottom"/>
          </w:tcPr>
          <w:p>
            <w:pPr>
              <w:pStyle w:val="Normal"/>
              <w:snapToGrid w:val="false"/>
              <w:ind w:firstLine="38"/>
              <w:rPr>
                <w:rFonts w:ascii="Arial" w:hAnsi="Arial" w:cs="Arial"/>
                <w:sz w:val="16"/>
              </w:rPr>
            </w:pPr>
            <w:r>
              <w:rPr>
                <w:rFonts w:cs="Arial" w:ascii="Arial" w:hAnsi="Arial"/>
                <w:sz w:val="16"/>
              </w:rPr>
            </w:r>
          </w:p>
        </w:tc>
        <w:tc>
          <w:tcPr>
            <w:tcW w:w="839" w:type="dxa"/>
            <w:tcBorders/>
            <w:shd w:fill="auto" w:val="clear"/>
            <w:vAlign w:val="bottom"/>
          </w:tcPr>
          <w:p>
            <w:pPr>
              <w:pStyle w:val="Normal"/>
              <w:ind w:firstLine="38"/>
              <w:rPr>
                <w:rFonts w:ascii="Arial" w:hAnsi="Arial" w:cs="Arial"/>
                <w:sz w:val="16"/>
              </w:rPr>
            </w:pPr>
            <w:r>
              <w:rPr>
                <w:rFonts w:cs="Arial" w:ascii="Arial" w:hAnsi="Arial"/>
                <w:sz w:val="16"/>
              </w:rPr>
              <w:t>6.4</w:t>
            </w:r>
          </w:p>
        </w:tc>
      </w:tr>
      <w:tr>
        <w:trPr>
          <w:trHeight w:val="225" w:hRule="atLeast"/>
        </w:trPr>
        <w:tc>
          <w:tcPr>
            <w:tcW w:w="2622" w:type="dxa"/>
            <w:tcBorders/>
            <w:shd w:fill="auto" w:val="clear"/>
            <w:vAlign w:val="bottom"/>
          </w:tcPr>
          <w:p>
            <w:pPr>
              <w:pStyle w:val="Normal"/>
              <w:ind w:firstLine="38"/>
              <w:rPr>
                <w:rFonts w:ascii="Arial" w:hAnsi="Arial" w:cs="Arial"/>
                <w:sz w:val="16"/>
              </w:rPr>
            </w:pPr>
            <w:r>
              <w:rPr>
                <w:rFonts w:cs="Arial" w:ascii="Arial" w:hAnsi="Arial"/>
                <w:sz w:val="16"/>
              </w:rPr>
              <w:t>SES 4</w:t>
            </w:r>
          </w:p>
        </w:tc>
        <w:tc>
          <w:tcPr>
            <w:tcW w:w="1037" w:type="dxa"/>
            <w:tcBorders/>
            <w:shd w:fill="auto" w:val="clear"/>
            <w:vAlign w:val="bottom"/>
          </w:tcPr>
          <w:p>
            <w:pPr>
              <w:pStyle w:val="Normal"/>
              <w:ind w:firstLine="38"/>
              <w:rPr>
                <w:rFonts w:ascii="Arial" w:hAnsi="Arial" w:cs="Arial"/>
                <w:sz w:val="16"/>
              </w:rPr>
            </w:pPr>
            <w:r>
              <w:rPr>
                <w:rFonts w:cs="Arial" w:ascii="Arial" w:hAnsi="Arial"/>
                <w:sz w:val="16"/>
              </w:rPr>
              <w:t>42.7</w:t>
            </w:r>
          </w:p>
        </w:tc>
        <w:tc>
          <w:tcPr>
            <w:tcW w:w="324" w:type="dxa"/>
            <w:tcBorders/>
            <w:shd w:fill="auto" w:val="clear"/>
            <w:vAlign w:val="bottom"/>
          </w:tcPr>
          <w:p>
            <w:pPr>
              <w:pStyle w:val="Normal"/>
              <w:snapToGrid w:val="false"/>
              <w:ind w:firstLine="38"/>
              <w:rPr>
                <w:rFonts w:ascii="Arial" w:hAnsi="Arial" w:cs="Arial"/>
                <w:sz w:val="16"/>
              </w:rPr>
            </w:pPr>
            <w:r>
              <w:rPr>
                <w:rFonts w:cs="Arial" w:ascii="Arial" w:hAnsi="Arial"/>
                <w:sz w:val="16"/>
              </w:rPr>
            </w:r>
          </w:p>
        </w:tc>
        <w:tc>
          <w:tcPr>
            <w:tcW w:w="917" w:type="dxa"/>
            <w:tcBorders/>
            <w:shd w:fill="auto" w:val="clear"/>
            <w:vAlign w:val="bottom"/>
          </w:tcPr>
          <w:p>
            <w:pPr>
              <w:pStyle w:val="Normal"/>
              <w:ind w:firstLine="38"/>
              <w:rPr>
                <w:rFonts w:ascii="Arial" w:hAnsi="Arial" w:cs="Arial"/>
                <w:sz w:val="16"/>
              </w:rPr>
            </w:pPr>
            <w:r>
              <w:rPr>
                <w:rFonts w:cs="Arial" w:ascii="Arial" w:hAnsi="Arial"/>
                <w:sz w:val="16"/>
              </w:rPr>
              <w:t>26.6</w:t>
            </w:r>
          </w:p>
        </w:tc>
        <w:tc>
          <w:tcPr>
            <w:tcW w:w="324" w:type="dxa"/>
            <w:tcBorders/>
            <w:shd w:fill="auto" w:val="clear"/>
            <w:vAlign w:val="bottom"/>
          </w:tcPr>
          <w:p>
            <w:pPr>
              <w:pStyle w:val="Normal"/>
              <w:snapToGrid w:val="false"/>
              <w:ind w:firstLine="38"/>
              <w:rPr>
                <w:rFonts w:ascii="Arial" w:hAnsi="Arial" w:cs="Arial"/>
                <w:sz w:val="16"/>
              </w:rPr>
            </w:pPr>
            <w:r>
              <w:rPr>
                <w:rFonts w:cs="Arial" w:ascii="Arial" w:hAnsi="Arial"/>
                <w:sz w:val="16"/>
              </w:rPr>
            </w:r>
          </w:p>
        </w:tc>
        <w:tc>
          <w:tcPr>
            <w:tcW w:w="750" w:type="dxa"/>
            <w:tcBorders/>
            <w:shd w:fill="auto" w:val="clear"/>
            <w:vAlign w:val="bottom"/>
          </w:tcPr>
          <w:p>
            <w:pPr>
              <w:pStyle w:val="Normal"/>
              <w:ind w:firstLine="38"/>
              <w:rPr>
                <w:rFonts w:ascii="Arial" w:hAnsi="Arial" w:cs="Arial"/>
                <w:sz w:val="16"/>
              </w:rPr>
            </w:pPr>
            <w:r>
              <w:rPr>
                <w:rFonts w:cs="Arial" w:ascii="Arial" w:hAnsi="Arial"/>
                <w:sz w:val="16"/>
              </w:rPr>
              <w:t>28.4</w:t>
            </w:r>
          </w:p>
        </w:tc>
        <w:tc>
          <w:tcPr>
            <w:tcW w:w="261" w:type="dxa"/>
            <w:tcBorders/>
            <w:shd w:fill="auto" w:val="clear"/>
            <w:vAlign w:val="bottom"/>
          </w:tcPr>
          <w:p>
            <w:pPr>
              <w:pStyle w:val="Normal"/>
              <w:snapToGrid w:val="false"/>
              <w:ind w:firstLine="38"/>
              <w:rPr>
                <w:rFonts w:ascii="Arial" w:hAnsi="Arial" w:cs="Arial"/>
                <w:sz w:val="16"/>
              </w:rPr>
            </w:pPr>
            <w:r>
              <w:rPr>
                <w:rFonts w:cs="Arial" w:ascii="Arial" w:hAnsi="Arial"/>
                <w:sz w:val="16"/>
              </w:rPr>
            </w:r>
          </w:p>
        </w:tc>
        <w:tc>
          <w:tcPr>
            <w:tcW w:w="750" w:type="dxa"/>
            <w:tcBorders/>
            <w:shd w:fill="auto" w:val="clear"/>
            <w:vAlign w:val="bottom"/>
          </w:tcPr>
          <w:p>
            <w:pPr>
              <w:pStyle w:val="Normal"/>
              <w:ind w:firstLine="38"/>
              <w:rPr>
                <w:rFonts w:ascii="Arial" w:hAnsi="Arial" w:cs="Arial"/>
                <w:sz w:val="16"/>
              </w:rPr>
            </w:pPr>
            <w:r>
              <w:rPr>
                <w:rFonts w:cs="Arial" w:ascii="Arial" w:hAnsi="Arial"/>
                <w:sz w:val="16"/>
              </w:rPr>
              <w:t>15.9</w:t>
            </w:r>
          </w:p>
        </w:tc>
        <w:tc>
          <w:tcPr>
            <w:tcW w:w="261" w:type="dxa"/>
            <w:tcBorders/>
            <w:shd w:fill="auto" w:val="clear"/>
            <w:vAlign w:val="bottom"/>
          </w:tcPr>
          <w:p>
            <w:pPr>
              <w:pStyle w:val="Normal"/>
              <w:snapToGrid w:val="false"/>
              <w:ind w:firstLine="38"/>
              <w:rPr>
                <w:rFonts w:ascii="Arial" w:hAnsi="Arial" w:cs="Arial"/>
                <w:sz w:val="16"/>
              </w:rPr>
            </w:pPr>
            <w:r>
              <w:rPr>
                <w:rFonts w:cs="Arial" w:ascii="Arial" w:hAnsi="Arial"/>
                <w:sz w:val="16"/>
              </w:rPr>
            </w:r>
          </w:p>
        </w:tc>
        <w:tc>
          <w:tcPr>
            <w:tcW w:w="777" w:type="dxa"/>
            <w:tcBorders/>
            <w:shd w:fill="auto" w:val="clear"/>
            <w:vAlign w:val="bottom"/>
          </w:tcPr>
          <w:p>
            <w:pPr>
              <w:pStyle w:val="Normal"/>
              <w:ind w:firstLine="38"/>
              <w:rPr>
                <w:rFonts w:ascii="Arial" w:hAnsi="Arial" w:cs="Arial"/>
                <w:sz w:val="16"/>
              </w:rPr>
            </w:pPr>
            <w:r>
              <w:rPr>
                <w:rFonts w:cs="Arial" w:ascii="Arial" w:hAnsi="Arial"/>
                <w:sz w:val="16"/>
              </w:rPr>
              <w:t>26.8</w:t>
            </w:r>
          </w:p>
        </w:tc>
        <w:tc>
          <w:tcPr>
            <w:tcW w:w="261" w:type="dxa"/>
            <w:tcBorders/>
            <w:shd w:fill="auto" w:val="clear"/>
            <w:vAlign w:val="bottom"/>
          </w:tcPr>
          <w:p>
            <w:pPr>
              <w:pStyle w:val="Normal"/>
              <w:snapToGrid w:val="false"/>
              <w:ind w:firstLine="38"/>
              <w:rPr>
                <w:rFonts w:ascii="Arial" w:hAnsi="Arial" w:cs="Arial"/>
                <w:sz w:val="16"/>
              </w:rPr>
            </w:pPr>
            <w:r>
              <w:rPr>
                <w:rFonts w:cs="Arial" w:ascii="Arial" w:hAnsi="Arial"/>
                <w:sz w:val="16"/>
              </w:rPr>
            </w:r>
          </w:p>
        </w:tc>
        <w:tc>
          <w:tcPr>
            <w:tcW w:w="839" w:type="dxa"/>
            <w:tcBorders/>
            <w:shd w:fill="auto" w:val="clear"/>
            <w:vAlign w:val="bottom"/>
          </w:tcPr>
          <w:p>
            <w:pPr>
              <w:pStyle w:val="Normal"/>
              <w:ind w:firstLine="38"/>
              <w:rPr>
                <w:rFonts w:ascii="Arial" w:hAnsi="Arial" w:cs="Arial"/>
                <w:sz w:val="16"/>
              </w:rPr>
            </w:pPr>
            <w:r>
              <w:rPr>
                <w:rFonts w:cs="Arial" w:ascii="Arial" w:hAnsi="Arial"/>
                <w:sz w:val="16"/>
              </w:rPr>
              <w:t>5.9</w:t>
            </w:r>
          </w:p>
        </w:tc>
      </w:tr>
      <w:tr>
        <w:trPr>
          <w:trHeight w:val="225" w:hRule="atLeast"/>
        </w:trPr>
        <w:tc>
          <w:tcPr>
            <w:tcW w:w="2622" w:type="dxa"/>
            <w:tcBorders/>
            <w:shd w:fill="auto" w:val="clear"/>
            <w:vAlign w:val="bottom"/>
          </w:tcPr>
          <w:p>
            <w:pPr>
              <w:pStyle w:val="Normal"/>
              <w:ind w:firstLine="38"/>
              <w:rPr>
                <w:rFonts w:ascii="Arial" w:hAnsi="Arial" w:cs="Arial"/>
                <w:sz w:val="16"/>
              </w:rPr>
            </w:pPr>
            <w:r>
              <w:rPr>
                <w:rFonts w:cs="Arial" w:ascii="Arial" w:hAnsi="Arial"/>
                <w:sz w:val="16"/>
              </w:rPr>
              <w:t>SES 5 (most deprived)</w:t>
            </w:r>
          </w:p>
        </w:tc>
        <w:tc>
          <w:tcPr>
            <w:tcW w:w="1037" w:type="dxa"/>
            <w:tcBorders/>
            <w:shd w:fill="auto" w:val="clear"/>
            <w:vAlign w:val="bottom"/>
          </w:tcPr>
          <w:p>
            <w:pPr>
              <w:pStyle w:val="Normal"/>
              <w:ind w:firstLine="38"/>
              <w:rPr>
                <w:rFonts w:ascii="Arial" w:hAnsi="Arial" w:cs="Arial"/>
                <w:sz w:val="16"/>
              </w:rPr>
            </w:pPr>
            <w:r>
              <w:rPr>
                <w:rFonts w:cs="Arial" w:ascii="Arial" w:hAnsi="Arial"/>
                <w:sz w:val="16"/>
              </w:rPr>
              <w:t>86.5</w:t>
            </w:r>
          </w:p>
        </w:tc>
        <w:tc>
          <w:tcPr>
            <w:tcW w:w="324" w:type="dxa"/>
            <w:tcBorders/>
            <w:shd w:fill="auto" w:val="clear"/>
            <w:vAlign w:val="bottom"/>
          </w:tcPr>
          <w:p>
            <w:pPr>
              <w:pStyle w:val="Normal"/>
              <w:snapToGrid w:val="false"/>
              <w:ind w:firstLine="38"/>
              <w:rPr>
                <w:rFonts w:ascii="Arial" w:hAnsi="Arial" w:cs="Arial"/>
                <w:sz w:val="16"/>
              </w:rPr>
            </w:pPr>
            <w:r>
              <w:rPr>
                <w:rFonts w:cs="Arial" w:ascii="Arial" w:hAnsi="Arial"/>
                <w:sz w:val="16"/>
              </w:rPr>
            </w:r>
          </w:p>
        </w:tc>
        <w:tc>
          <w:tcPr>
            <w:tcW w:w="917" w:type="dxa"/>
            <w:tcBorders/>
            <w:shd w:fill="auto" w:val="clear"/>
            <w:vAlign w:val="bottom"/>
          </w:tcPr>
          <w:p>
            <w:pPr>
              <w:pStyle w:val="Normal"/>
              <w:ind w:firstLine="38"/>
              <w:rPr>
                <w:rFonts w:ascii="Arial" w:hAnsi="Arial" w:cs="Arial"/>
                <w:sz w:val="16"/>
              </w:rPr>
            </w:pPr>
            <w:r>
              <w:rPr>
                <w:rFonts w:cs="Arial" w:ascii="Arial" w:hAnsi="Arial"/>
                <w:sz w:val="16"/>
              </w:rPr>
              <w:t>60.4</w:t>
            </w:r>
          </w:p>
        </w:tc>
        <w:tc>
          <w:tcPr>
            <w:tcW w:w="324" w:type="dxa"/>
            <w:tcBorders/>
            <w:shd w:fill="auto" w:val="clear"/>
            <w:vAlign w:val="bottom"/>
          </w:tcPr>
          <w:p>
            <w:pPr>
              <w:pStyle w:val="Normal"/>
              <w:snapToGrid w:val="false"/>
              <w:ind w:firstLine="38"/>
              <w:rPr>
                <w:rFonts w:ascii="Arial" w:hAnsi="Arial" w:cs="Arial"/>
                <w:sz w:val="16"/>
              </w:rPr>
            </w:pPr>
            <w:r>
              <w:rPr>
                <w:rFonts w:cs="Arial" w:ascii="Arial" w:hAnsi="Arial"/>
                <w:sz w:val="16"/>
              </w:rPr>
            </w:r>
          </w:p>
        </w:tc>
        <w:tc>
          <w:tcPr>
            <w:tcW w:w="750" w:type="dxa"/>
            <w:tcBorders/>
            <w:shd w:fill="auto" w:val="clear"/>
            <w:vAlign w:val="bottom"/>
          </w:tcPr>
          <w:p>
            <w:pPr>
              <w:pStyle w:val="Normal"/>
              <w:ind w:firstLine="38"/>
              <w:rPr>
                <w:rFonts w:ascii="Arial" w:hAnsi="Arial" w:cs="Arial"/>
                <w:sz w:val="16"/>
              </w:rPr>
            </w:pPr>
            <w:r>
              <w:rPr>
                <w:rFonts w:cs="Arial" w:ascii="Arial" w:hAnsi="Arial"/>
                <w:sz w:val="16"/>
              </w:rPr>
              <w:t>64.7</w:t>
            </w:r>
          </w:p>
        </w:tc>
        <w:tc>
          <w:tcPr>
            <w:tcW w:w="261" w:type="dxa"/>
            <w:tcBorders/>
            <w:shd w:fill="auto" w:val="clear"/>
            <w:vAlign w:val="bottom"/>
          </w:tcPr>
          <w:p>
            <w:pPr>
              <w:pStyle w:val="Normal"/>
              <w:snapToGrid w:val="false"/>
              <w:ind w:firstLine="38"/>
              <w:rPr>
                <w:rFonts w:ascii="Arial" w:hAnsi="Arial" w:cs="Arial"/>
                <w:sz w:val="16"/>
              </w:rPr>
            </w:pPr>
            <w:r>
              <w:rPr>
                <w:rFonts w:cs="Arial" w:ascii="Arial" w:hAnsi="Arial"/>
                <w:sz w:val="16"/>
              </w:rPr>
            </w:r>
          </w:p>
        </w:tc>
        <w:tc>
          <w:tcPr>
            <w:tcW w:w="750" w:type="dxa"/>
            <w:tcBorders/>
            <w:shd w:fill="auto" w:val="clear"/>
            <w:vAlign w:val="bottom"/>
          </w:tcPr>
          <w:p>
            <w:pPr>
              <w:pStyle w:val="Normal"/>
              <w:ind w:firstLine="38"/>
              <w:rPr>
                <w:rFonts w:ascii="Arial" w:hAnsi="Arial" w:cs="Arial"/>
                <w:sz w:val="16"/>
              </w:rPr>
            </w:pPr>
            <w:r>
              <w:rPr>
                <w:rFonts w:cs="Arial" w:ascii="Arial" w:hAnsi="Arial"/>
                <w:sz w:val="16"/>
              </w:rPr>
              <w:t>72.1</w:t>
            </w:r>
          </w:p>
        </w:tc>
        <w:tc>
          <w:tcPr>
            <w:tcW w:w="261" w:type="dxa"/>
            <w:tcBorders/>
            <w:shd w:fill="auto" w:val="clear"/>
            <w:vAlign w:val="bottom"/>
          </w:tcPr>
          <w:p>
            <w:pPr>
              <w:pStyle w:val="Normal"/>
              <w:snapToGrid w:val="false"/>
              <w:ind w:firstLine="38"/>
              <w:rPr>
                <w:rFonts w:ascii="Arial" w:hAnsi="Arial" w:cs="Arial"/>
                <w:sz w:val="16"/>
              </w:rPr>
            </w:pPr>
            <w:r>
              <w:rPr>
                <w:rFonts w:cs="Arial" w:ascii="Arial" w:hAnsi="Arial"/>
                <w:sz w:val="16"/>
              </w:rPr>
            </w:r>
          </w:p>
        </w:tc>
        <w:tc>
          <w:tcPr>
            <w:tcW w:w="777" w:type="dxa"/>
            <w:tcBorders/>
            <w:shd w:fill="auto" w:val="clear"/>
            <w:vAlign w:val="bottom"/>
          </w:tcPr>
          <w:p>
            <w:pPr>
              <w:pStyle w:val="Normal"/>
              <w:ind w:firstLine="38"/>
              <w:rPr>
                <w:rFonts w:ascii="Arial" w:hAnsi="Arial" w:cs="Arial"/>
                <w:sz w:val="16"/>
              </w:rPr>
            </w:pPr>
            <w:r>
              <w:rPr>
                <w:rFonts w:cs="Arial" w:ascii="Arial" w:hAnsi="Arial"/>
                <w:sz w:val="16"/>
              </w:rPr>
              <w:t>37.1</w:t>
            </w:r>
          </w:p>
        </w:tc>
        <w:tc>
          <w:tcPr>
            <w:tcW w:w="261" w:type="dxa"/>
            <w:tcBorders/>
            <w:shd w:fill="auto" w:val="clear"/>
            <w:vAlign w:val="bottom"/>
          </w:tcPr>
          <w:p>
            <w:pPr>
              <w:pStyle w:val="Normal"/>
              <w:snapToGrid w:val="false"/>
              <w:ind w:firstLine="38"/>
              <w:rPr>
                <w:rFonts w:ascii="Arial" w:hAnsi="Arial" w:cs="Arial"/>
                <w:sz w:val="16"/>
              </w:rPr>
            </w:pPr>
            <w:r>
              <w:rPr>
                <w:rFonts w:cs="Arial" w:ascii="Arial" w:hAnsi="Arial"/>
                <w:sz w:val="16"/>
              </w:rPr>
            </w:r>
          </w:p>
        </w:tc>
        <w:tc>
          <w:tcPr>
            <w:tcW w:w="839" w:type="dxa"/>
            <w:tcBorders/>
            <w:shd w:fill="auto" w:val="clear"/>
            <w:vAlign w:val="bottom"/>
          </w:tcPr>
          <w:p>
            <w:pPr>
              <w:pStyle w:val="Normal"/>
              <w:ind w:firstLine="38"/>
              <w:rPr>
                <w:rFonts w:ascii="Arial" w:hAnsi="Arial" w:cs="Arial"/>
                <w:sz w:val="16"/>
              </w:rPr>
            </w:pPr>
            <w:r>
              <w:rPr>
                <w:rFonts w:cs="Arial" w:ascii="Arial" w:hAnsi="Arial"/>
                <w:sz w:val="16"/>
              </w:rPr>
              <w:t>7.3</w:t>
            </w:r>
          </w:p>
        </w:tc>
      </w:tr>
      <w:tr>
        <w:trPr>
          <w:trHeight w:val="113" w:hRule="exact"/>
        </w:trPr>
        <w:tc>
          <w:tcPr>
            <w:tcW w:w="2622" w:type="dxa"/>
            <w:tcBorders/>
            <w:shd w:fill="auto" w:val="clear"/>
            <w:vAlign w:val="bottom"/>
          </w:tcPr>
          <w:p>
            <w:pPr>
              <w:pStyle w:val="Normal"/>
              <w:snapToGrid w:val="false"/>
              <w:rPr>
                <w:rFonts w:ascii="Arial" w:hAnsi="Arial" w:cs="Arial"/>
                <w:sz w:val="16"/>
              </w:rPr>
            </w:pPr>
            <w:r>
              <w:rPr>
                <w:rFonts w:cs="Arial" w:ascii="Arial" w:hAnsi="Arial"/>
                <w:sz w:val="16"/>
              </w:rPr>
            </w:r>
          </w:p>
        </w:tc>
        <w:tc>
          <w:tcPr>
            <w:tcW w:w="1037" w:type="dxa"/>
            <w:tcBorders/>
            <w:shd w:fill="auto" w:val="clear"/>
            <w:vAlign w:val="bottom"/>
          </w:tcPr>
          <w:p>
            <w:pPr>
              <w:pStyle w:val="Normal"/>
              <w:snapToGrid w:val="false"/>
              <w:rPr>
                <w:rFonts w:ascii="Arial" w:hAnsi="Arial" w:cs="Arial"/>
                <w:sz w:val="16"/>
              </w:rPr>
            </w:pPr>
            <w:r>
              <w:rPr>
                <w:rFonts w:cs="Arial" w:ascii="Arial" w:hAnsi="Arial"/>
                <w:sz w:val="16"/>
              </w:rPr>
            </w:r>
          </w:p>
        </w:tc>
        <w:tc>
          <w:tcPr>
            <w:tcW w:w="324" w:type="dxa"/>
            <w:tcBorders/>
            <w:shd w:fill="auto" w:val="clear"/>
            <w:vAlign w:val="bottom"/>
          </w:tcPr>
          <w:p>
            <w:pPr>
              <w:pStyle w:val="Normal"/>
              <w:snapToGrid w:val="false"/>
              <w:rPr>
                <w:rFonts w:ascii="Arial" w:hAnsi="Arial" w:cs="Arial"/>
                <w:sz w:val="16"/>
              </w:rPr>
            </w:pPr>
            <w:r>
              <w:rPr>
                <w:rFonts w:cs="Arial" w:ascii="Arial" w:hAnsi="Arial"/>
                <w:sz w:val="16"/>
              </w:rPr>
            </w:r>
          </w:p>
        </w:tc>
        <w:tc>
          <w:tcPr>
            <w:tcW w:w="917" w:type="dxa"/>
            <w:tcBorders/>
            <w:shd w:fill="auto" w:val="clear"/>
            <w:vAlign w:val="bottom"/>
          </w:tcPr>
          <w:p>
            <w:pPr>
              <w:pStyle w:val="Normal"/>
              <w:snapToGrid w:val="false"/>
              <w:rPr>
                <w:rFonts w:ascii="Arial" w:hAnsi="Arial" w:cs="Arial"/>
                <w:sz w:val="16"/>
              </w:rPr>
            </w:pPr>
            <w:r>
              <w:rPr>
                <w:rFonts w:cs="Arial" w:ascii="Arial" w:hAnsi="Arial"/>
                <w:sz w:val="16"/>
              </w:rPr>
            </w:r>
          </w:p>
        </w:tc>
        <w:tc>
          <w:tcPr>
            <w:tcW w:w="324" w:type="dxa"/>
            <w:tcBorders/>
            <w:shd w:fill="auto" w:val="clear"/>
            <w:vAlign w:val="bottom"/>
          </w:tcPr>
          <w:p>
            <w:pPr>
              <w:pStyle w:val="Normal"/>
              <w:snapToGrid w:val="false"/>
              <w:rPr>
                <w:rFonts w:ascii="Arial" w:hAnsi="Arial" w:cs="Arial"/>
                <w:sz w:val="16"/>
              </w:rPr>
            </w:pPr>
            <w:r>
              <w:rPr>
                <w:rFonts w:cs="Arial" w:ascii="Arial" w:hAnsi="Arial"/>
                <w:sz w:val="16"/>
              </w:rPr>
            </w:r>
          </w:p>
        </w:tc>
        <w:tc>
          <w:tcPr>
            <w:tcW w:w="750" w:type="dxa"/>
            <w:tcBorders/>
            <w:shd w:fill="auto" w:val="clear"/>
            <w:vAlign w:val="bottom"/>
          </w:tcPr>
          <w:p>
            <w:pPr>
              <w:pStyle w:val="Normal"/>
              <w:snapToGrid w:val="false"/>
              <w:rPr>
                <w:rFonts w:ascii="Arial" w:hAnsi="Arial" w:cs="Arial"/>
                <w:sz w:val="16"/>
              </w:rPr>
            </w:pPr>
            <w:r>
              <w:rPr>
                <w:rFonts w:cs="Arial" w:ascii="Arial" w:hAnsi="Arial"/>
                <w:sz w:val="16"/>
              </w:rPr>
            </w:r>
          </w:p>
        </w:tc>
        <w:tc>
          <w:tcPr>
            <w:tcW w:w="261" w:type="dxa"/>
            <w:tcBorders/>
            <w:shd w:fill="auto" w:val="clear"/>
            <w:vAlign w:val="bottom"/>
          </w:tcPr>
          <w:p>
            <w:pPr>
              <w:pStyle w:val="Normal"/>
              <w:snapToGrid w:val="false"/>
              <w:rPr>
                <w:rFonts w:ascii="Arial" w:hAnsi="Arial" w:cs="Arial"/>
                <w:sz w:val="16"/>
              </w:rPr>
            </w:pPr>
            <w:r>
              <w:rPr>
                <w:rFonts w:cs="Arial" w:ascii="Arial" w:hAnsi="Arial"/>
                <w:sz w:val="16"/>
              </w:rPr>
            </w:r>
          </w:p>
        </w:tc>
        <w:tc>
          <w:tcPr>
            <w:tcW w:w="750" w:type="dxa"/>
            <w:tcBorders/>
            <w:shd w:fill="auto" w:val="clear"/>
            <w:vAlign w:val="bottom"/>
          </w:tcPr>
          <w:p>
            <w:pPr>
              <w:pStyle w:val="Normal"/>
              <w:snapToGrid w:val="false"/>
              <w:rPr>
                <w:rFonts w:ascii="Arial" w:hAnsi="Arial" w:cs="Arial"/>
                <w:sz w:val="16"/>
              </w:rPr>
            </w:pPr>
            <w:r>
              <w:rPr>
                <w:rFonts w:cs="Arial" w:ascii="Arial" w:hAnsi="Arial"/>
                <w:sz w:val="16"/>
              </w:rPr>
            </w:r>
          </w:p>
        </w:tc>
        <w:tc>
          <w:tcPr>
            <w:tcW w:w="261" w:type="dxa"/>
            <w:tcBorders/>
            <w:shd w:fill="auto" w:val="clear"/>
            <w:vAlign w:val="bottom"/>
          </w:tcPr>
          <w:p>
            <w:pPr>
              <w:pStyle w:val="Normal"/>
              <w:snapToGrid w:val="false"/>
              <w:rPr>
                <w:rFonts w:ascii="Arial" w:hAnsi="Arial" w:cs="Arial"/>
                <w:sz w:val="16"/>
              </w:rPr>
            </w:pPr>
            <w:r>
              <w:rPr>
                <w:rFonts w:cs="Arial" w:ascii="Arial" w:hAnsi="Arial"/>
                <w:sz w:val="16"/>
              </w:rPr>
            </w:r>
          </w:p>
        </w:tc>
        <w:tc>
          <w:tcPr>
            <w:tcW w:w="777" w:type="dxa"/>
            <w:tcBorders/>
            <w:shd w:fill="auto" w:val="clear"/>
            <w:vAlign w:val="bottom"/>
          </w:tcPr>
          <w:p>
            <w:pPr>
              <w:pStyle w:val="Normal"/>
              <w:snapToGrid w:val="false"/>
              <w:rPr>
                <w:rFonts w:ascii="Arial" w:hAnsi="Arial" w:cs="Arial"/>
                <w:sz w:val="16"/>
              </w:rPr>
            </w:pPr>
            <w:r>
              <w:rPr>
                <w:rFonts w:cs="Arial" w:ascii="Arial" w:hAnsi="Arial"/>
                <w:sz w:val="16"/>
              </w:rPr>
            </w:r>
          </w:p>
        </w:tc>
        <w:tc>
          <w:tcPr>
            <w:tcW w:w="261" w:type="dxa"/>
            <w:tcBorders/>
            <w:shd w:fill="auto" w:val="clear"/>
            <w:vAlign w:val="bottom"/>
          </w:tcPr>
          <w:p>
            <w:pPr>
              <w:pStyle w:val="Normal"/>
              <w:snapToGrid w:val="false"/>
              <w:rPr>
                <w:rFonts w:ascii="Arial" w:hAnsi="Arial" w:cs="Arial"/>
                <w:sz w:val="16"/>
              </w:rPr>
            </w:pPr>
            <w:r>
              <w:rPr>
                <w:rFonts w:cs="Arial" w:ascii="Arial" w:hAnsi="Arial"/>
                <w:sz w:val="16"/>
              </w:rPr>
            </w:r>
          </w:p>
        </w:tc>
        <w:tc>
          <w:tcPr>
            <w:tcW w:w="839" w:type="dxa"/>
            <w:tcBorders/>
            <w:shd w:fill="auto" w:val="clear"/>
            <w:vAlign w:val="bottom"/>
          </w:tcPr>
          <w:p>
            <w:pPr>
              <w:pStyle w:val="Normal"/>
              <w:snapToGrid w:val="false"/>
              <w:rPr>
                <w:rFonts w:ascii="Arial" w:hAnsi="Arial" w:cs="Arial"/>
                <w:sz w:val="16"/>
              </w:rPr>
            </w:pPr>
            <w:r>
              <w:rPr>
                <w:rFonts w:cs="Arial" w:ascii="Arial" w:hAnsi="Arial"/>
                <w:sz w:val="16"/>
              </w:rPr>
            </w:r>
          </w:p>
        </w:tc>
      </w:tr>
      <w:tr>
        <w:trPr>
          <w:trHeight w:val="225" w:hRule="atLeast"/>
        </w:trPr>
        <w:tc>
          <w:tcPr>
            <w:tcW w:w="2622" w:type="dxa"/>
            <w:tcBorders/>
            <w:shd w:fill="auto" w:val="clear"/>
            <w:vAlign w:val="bottom"/>
          </w:tcPr>
          <w:p>
            <w:pPr>
              <w:pStyle w:val="Normal"/>
              <w:rPr>
                <w:rFonts w:ascii="Arial" w:hAnsi="Arial" w:cs="Arial"/>
                <w:b/>
                <w:b/>
                <w:sz w:val="16"/>
              </w:rPr>
            </w:pPr>
            <w:r>
              <w:rPr>
                <w:rFonts w:cs="Arial" w:ascii="Arial" w:hAnsi="Arial"/>
                <w:b/>
                <w:sz w:val="16"/>
              </w:rPr>
              <w:t>Motor Vehicle Crashes</w:t>
            </w:r>
          </w:p>
        </w:tc>
        <w:tc>
          <w:tcPr>
            <w:tcW w:w="1037" w:type="dxa"/>
            <w:tcBorders/>
            <w:shd w:fill="auto" w:val="clear"/>
            <w:vAlign w:val="bottom"/>
          </w:tcPr>
          <w:p>
            <w:pPr>
              <w:pStyle w:val="Normal"/>
              <w:ind w:firstLine="124"/>
              <w:rPr>
                <w:rFonts w:ascii="Arial" w:hAnsi="Arial" w:cs="Arial"/>
                <w:b/>
                <w:b/>
                <w:sz w:val="16"/>
              </w:rPr>
            </w:pPr>
            <w:r>
              <w:rPr>
                <w:rFonts w:cs="Arial" w:ascii="Arial" w:hAnsi="Arial"/>
                <w:b/>
                <w:sz w:val="16"/>
              </w:rPr>
              <w:t>101.8</w:t>
            </w:r>
          </w:p>
        </w:tc>
        <w:tc>
          <w:tcPr>
            <w:tcW w:w="324" w:type="dxa"/>
            <w:tcBorders/>
            <w:shd w:fill="auto" w:val="clear"/>
            <w:vAlign w:val="bottom"/>
          </w:tcPr>
          <w:p>
            <w:pPr>
              <w:pStyle w:val="Normal"/>
              <w:snapToGrid w:val="false"/>
              <w:ind w:firstLine="124"/>
              <w:rPr>
                <w:rFonts w:ascii="Arial" w:hAnsi="Arial" w:cs="Arial"/>
                <w:b/>
                <w:b/>
                <w:sz w:val="16"/>
              </w:rPr>
            </w:pPr>
            <w:r>
              <w:rPr>
                <w:rFonts w:cs="Arial" w:ascii="Arial" w:hAnsi="Arial"/>
                <w:b/>
                <w:sz w:val="16"/>
              </w:rPr>
            </w:r>
          </w:p>
        </w:tc>
        <w:tc>
          <w:tcPr>
            <w:tcW w:w="917" w:type="dxa"/>
            <w:tcBorders/>
            <w:shd w:fill="auto" w:val="clear"/>
            <w:vAlign w:val="bottom"/>
          </w:tcPr>
          <w:p>
            <w:pPr>
              <w:pStyle w:val="Normal"/>
              <w:ind w:firstLine="124"/>
              <w:rPr>
                <w:rFonts w:ascii="Arial" w:hAnsi="Arial" w:cs="Arial"/>
                <w:b/>
                <w:b/>
                <w:sz w:val="16"/>
              </w:rPr>
            </w:pPr>
            <w:r>
              <w:rPr>
                <w:rFonts w:cs="Arial" w:ascii="Arial" w:hAnsi="Arial"/>
                <w:b/>
                <w:sz w:val="16"/>
              </w:rPr>
              <w:t>68.4</w:t>
            </w:r>
          </w:p>
        </w:tc>
        <w:tc>
          <w:tcPr>
            <w:tcW w:w="324" w:type="dxa"/>
            <w:tcBorders/>
            <w:shd w:fill="auto" w:val="clear"/>
            <w:vAlign w:val="bottom"/>
          </w:tcPr>
          <w:p>
            <w:pPr>
              <w:pStyle w:val="Normal"/>
              <w:snapToGrid w:val="false"/>
              <w:ind w:firstLine="124"/>
              <w:rPr>
                <w:rFonts w:ascii="Arial" w:hAnsi="Arial" w:cs="Arial"/>
                <w:b/>
                <w:b/>
                <w:sz w:val="16"/>
              </w:rPr>
            </w:pPr>
            <w:r>
              <w:rPr>
                <w:rFonts w:cs="Arial" w:ascii="Arial" w:hAnsi="Arial"/>
                <w:b/>
                <w:sz w:val="16"/>
              </w:rPr>
            </w:r>
          </w:p>
        </w:tc>
        <w:tc>
          <w:tcPr>
            <w:tcW w:w="750" w:type="dxa"/>
            <w:tcBorders/>
            <w:shd w:fill="auto" w:val="clear"/>
            <w:vAlign w:val="bottom"/>
          </w:tcPr>
          <w:p>
            <w:pPr>
              <w:pStyle w:val="Normal"/>
              <w:ind w:firstLine="124"/>
              <w:rPr>
                <w:rFonts w:ascii="Arial" w:hAnsi="Arial" w:cs="Arial"/>
                <w:b/>
                <w:b/>
                <w:sz w:val="16"/>
              </w:rPr>
            </w:pPr>
            <w:r>
              <w:rPr>
                <w:rFonts w:cs="Arial" w:ascii="Arial" w:hAnsi="Arial"/>
                <w:b/>
                <w:sz w:val="16"/>
              </w:rPr>
              <w:t>49.5</w:t>
            </w:r>
          </w:p>
        </w:tc>
        <w:tc>
          <w:tcPr>
            <w:tcW w:w="261" w:type="dxa"/>
            <w:tcBorders/>
            <w:shd w:fill="auto" w:val="clear"/>
            <w:vAlign w:val="bottom"/>
          </w:tcPr>
          <w:p>
            <w:pPr>
              <w:pStyle w:val="Normal"/>
              <w:snapToGrid w:val="false"/>
              <w:ind w:firstLine="124"/>
              <w:rPr>
                <w:rFonts w:ascii="Arial" w:hAnsi="Arial" w:cs="Arial"/>
                <w:b/>
                <w:b/>
                <w:sz w:val="16"/>
              </w:rPr>
            </w:pPr>
            <w:r>
              <w:rPr>
                <w:rFonts w:cs="Arial" w:ascii="Arial" w:hAnsi="Arial"/>
                <w:b/>
                <w:sz w:val="16"/>
              </w:rPr>
            </w:r>
          </w:p>
        </w:tc>
        <w:tc>
          <w:tcPr>
            <w:tcW w:w="750" w:type="dxa"/>
            <w:tcBorders/>
            <w:shd w:fill="auto" w:val="clear"/>
            <w:vAlign w:val="bottom"/>
          </w:tcPr>
          <w:p>
            <w:pPr>
              <w:pStyle w:val="Normal"/>
              <w:ind w:firstLine="124"/>
              <w:rPr>
                <w:rFonts w:ascii="Arial" w:hAnsi="Arial" w:cs="Arial"/>
                <w:b/>
                <w:b/>
                <w:sz w:val="16"/>
              </w:rPr>
            </w:pPr>
            <w:r>
              <w:rPr>
                <w:rFonts w:cs="Arial" w:ascii="Arial" w:hAnsi="Arial"/>
                <w:b/>
                <w:sz w:val="16"/>
              </w:rPr>
              <w:t>57.5</w:t>
            </w:r>
          </w:p>
        </w:tc>
        <w:tc>
          <w:tcPr>
            <w:tcW w:w="261" w:type="dxa"/>
            <w:tcBorders/>
            <w:shd w:fill="auto" w:val="clear"/>
            <w:vAlign w:val="bottom"/>
          </w:tcPr>
          <w:p>
            <w:pPr>
              <w:pStyle w:val="Normal"/>
              <w:snapToGrid w:val="false"/>
              <w:ind w:firstLine="124"/>
              <w:rPr>
                <w:rFonts w:ascii="Arial" w:hAnsi="Arial" w:cs="Arial"/>
                <w:b/>
                <w:b/>
                <w:sz w:val="16"/>
              </w:rPr>
            </w:pPr>
            <w:r>
              <w:rPr>
                <w:rFonts w:cs="Arial" w:ascii="Arial" w:hAnsi="Arial"/>
                <w:b/>
                <w:sz w:val="16"/>
              </w:rPr>
            </w:r>
          </w:p>
        </w:tc>
        <w:tc>
          <w:tcPr>
            <w:tcW w:w="777" w:type="dxa"/>
            <w:tcBorders/>
            <w:shd w:fill="auto" w:val="clear"/>
            <w:vAlign w:val="bottom"/>
          </w:tcPr>
          <w:p>
            <w:pPr>
              <w:pStyle w:val="Normal"/>
              <w:ind w:firstLine="124"/>
              <w:rPr>
                <w:rFonts w:ascii="Arial" w:hAnsi="Arial" w:cs="Arial"/>
                <w:b/>
                <w:b/>
                <w:sz w:val="16"/>
              </w:rPr>
            </w:pPr>
            <w:r>
              <w:rPr>
                <w:rFonts w:cs="Arial" w:ascii="Arial" w:hAnsi="Arial"/>
                <w:b/>
                <w:sz w:val="16"/>
              </w:rPr>
              <w:t>55.1</w:t>
            </w:r>
          </w:p>
        </w:tc>
        <w:tc>
          <w:tcPr>
            <w:tcW w:w="261" w:type="dxa"/>
            <w:tcBorders/>
            <w:shd w:fill="auto" w:val="clear"/>
            <w:vAlign w:val="bottom"/>
          </w:tcPr>
          <w:p>
            <w:pPr>
              <w:pStyle w:val="Normal"/>
              <w:snapToGrid w:val="false"/>
              <w:ind w:firstLine="124"/>
              <w:rPr>
                <w:rFonts w:ascii="Arial" w:hAnsi="Arial" w:cs="Arial"/>
                <w:b/>
                <w:b/>
                <w:sz w:val="16"/>
              </w:rPr>
            </w:pPr>
            <w:r>
              <w:rPr>
                <w:rFonts w:cs="Arial" w:ascii="Arial" w:hAnsi="Arial"/>
                <w:b/>
                <w:sz w:val="16"/>
              </w:rPr>
            </w:r>
          </w:p>
        </w:tc>
        <w:tc>
          <w:tcPr>
            <w:tcW w:w="839" w:type="dxa"/>
            <w:tcBorders/>
            <w:shd w:fill="auto" w:val="clear"/>
            <w:vAlign w:val="bottom"/>
          </w:tcPr>
          <w:p>
            <w:pPr>
              <w:pStyle w:val="Normal"/>
              <w:ind w:firstLine="124"/>
              <w:rPr>
                <w:rFonts w:ascii="Arial" w:hAnsi="Arial" w:cs="Arial"/>
                <w:b/>
                <w:b/>
                <w:sz w:val="16"/>
              </w:rPr>
            </w:pPr>
            <w:r>
              <w:rPr>
                <w:rFonts w:cs="Arial" w:ascii="Arial" w:hAnsi="Arial"/>
                <w:b/>
                <w:sz w:val="16"/>
              </w:rPr>
              <w:t>62.2</w:t>
            </w:r>
          </w:p>
        </w:tc>
      </w:tr>
      <w:tr>
        <w:trPr>
          <w:trHeight w:val="225" w:hRule="atLeast"/>
        </w:trPr>
        <w:tc>
          <w:tcPr>
            <w:tcW w:w="2622" w:type="dxa"/>
            <w:tcBorders/>
            <w:shd w:fill="auto" w:val="clear"/>
            <w:vAlign w:val="bottom"/>
          </w:tcPr>
          <w:p>
            <w:pPr>
              <w:pStyle w:val="Normal"/>
              <w:ind w:firstLine="38"/>
              <w:rPr>
                <w:rFonts w:ascii="Arial" w:hAnsi="Arial" w:cs="Arial"/>
                <w:sz w:val="16"/>
              </w:rPr>
            </w:pPr>
            <w:r>
              <w:rPr>
                <w:rFonts w:cs="Arial" w:ascii="Arial" w:hAnsi="Arial"/>
                <w:sz w:val="16"/>
              </w:rPr>
              <w:t>SES 1 (least deprived)</w:t>
            </w:r>
          </w:p>
        </w:tc>
        <w:tc>
          <w:tcPr>
            <w:tcW w:w="1037" w:type="dxa"/>
            <w:tcBorders/>
            <w:shd w:fill="auto" w:val="clear"/>
            <w:vAlign w:val="bottom"/>
          </w:tcPr>
          <w:p>
            <w:pPr>
              <w:pStyle w:val="Normal"/>
              <w:ind w:firstLine="38"/>
              <w:rPr>
                <w:rFonts w:ascii="Arial" w:hAnsi="Arial" w:cs="Arial"/>
                <w:sz w:val="16"/>
              </w:rPr>
            </w:pPr>
            <w:r>
              <w:rPr>
                <w:rFonts w:cs="Arial" w:ascii="Arial" w:hAnsi="Arial"/>
                <w:sz w:val="16"/>
              </w:rPr>
              <w:t>80.5</w:t>
            </w:r>
          </w:p>
        </w:tc>
        <w:tc>
          <w:tcPr>
            <w:tcW w:w="324" w:type="dxa"/>
            <w:tcBorders/>
            <w:shd w:fill="auto" w:val="clear"/>
            <w:vAlign w:val="bottom"/>
          </w:tcPr>
          <w:p>
            <w:pPr>
              <w:pStyle w:val="Normal"/>
              <w:snapToGrid w:val="false"/>
              <w:ind w:firstLine="38"/>
              <w:rPr>
                <w:rFonts w:ascii="Arial" w:hAnsi="Arial" w:cs="Arial"/>
                <w:sz w:val="16"/>
              </w:rPr>
            </w:pPr>
            <w:r>
              <w:rPr>
                <w:rFonts w:cs="Arial" w:ascii="Arial" w:hAnsi="Arial"/>
                <w:sz w:val="16"/>
              </w:rPr>
            </w:r>
          </w:p>
        </w:tc>
        <w:tc>
          <w:tcPr>
            <w:tcW w:w="917" w:type="dxa"/>
            <w:tcBorders/>
            <w:shd w:fill="auto" w:val="clear"/>
            <w:vAlign w:val="bottom"/>
          </w:tcPr>
          <w:p>
            <w:pPr>
              <w:pStyle w:val="Normal"/>
              <w:ind w:firstLine="38"/>
              <w:rPr>
                <w:rFonts w:ascii="Arial" w:hAnsi="Arial" w:cs="Arial"/>
                <w:sz w:val="16"/>
              </w:rPr>
            </w:pPr>
            <w:r>
              <w:rPr>
                <w:rFonts w:cs="Arial" w:ascii="Arial" w:hAnsi="Arial"/>
                <w:sz w:val="16"/>
              </w:rPr>
              <w:t>67.1</w:t>
            </w:r>
          </w:p>
        </w:tc>
        <w:tc>
          <w:tcPr>
            <w:tcW w:w="324" w:type="dxa"/>
            <w:tcBorders/>
            <w:shd w:fill="auto" w:val="clear"/>
            <w:vAlign w:val="bottom"/>
          </w:tcPr>
          <w:p>
            <w:pPr>
              <w:pStyle w:val="Normal"/>
              <w:snapToGrid w:val="false"/>
              <w:ind w:firstLine="38"/>
              <w:rPr>
                <w:rFonts w:ascii="Arial" w:hAnsi="Arial" w:cs="Arial"/>
                <w:sz w:val="16"/>
              </w:rPr>
            </w:pPr>
            <w:r>
              <w:rPr>
                <w:rFonts w:cs="Arial" w:ascii="Arial" w:hAnsi="Arial"/>
                <w:sz w:val="16"/>
              </w:rPr>
            </w:r>
          </w:p>
        </w:tc>
        <w:tc>
          <w:tcPr>
            <w:tcW w:w="750" w:type="dxa"/>
            <w:tcBorders/>
            <w:shd w:fill="auto" w:val="clear"/>
            <w:vAlign w:val="bottom"/>
          </w:tcPr>
          <w:p>
            <w:pPr>
              <w:pStyle w:val="Normal"/>
              <w:ind w:firstLine="38"/>
              <w:rPr>
                <w:rFonts w:ascii="Arial" w:hAnsi="Arial" w:cs="Arial"/>
                <w:sz w:val="16"/>
              </w:rPr>
            </w:pPr>
            <w:r>
              <w:rPr>
                <w:rFonts w:cs="Arial" w:ascii="Arial" w:hAnsi="Arial"/>
                <w:sz w:val="16"/>
              </w:rPr>
              <w:t>34.4</w:t>
            </w:r>
          </w:p>
        </w:tc>
        <w:tc>
          <w:tcPr>
            <w:tcW w:w="261" w:type="dxa"/>
            <w:tcBorders/>
            <w:shd w:fill="auto" w:val="clear"/>
            <w:vAlign w:val="bottom"/>
          </w:tcPr>
          <w:p>
            <w:pPr>
              <w:pStyle w:val="Normal"/>
              <w:snapToGrid w:val="false"/>
              <w:ind w:firstLine="38"/>
              <w:rPr>
                <w:rFonts w:ascii="Arial" w:hAnsi="Arial" w:cs="Arial"/>
                <w:sz w:val="16"/>
              </w:rPr>
            </w:pPr>
            <w:r>
              <w:rPr>
                <w:rFonts w:cs="Arial" w:ascii="Arial" w:hAnsi="Arial"/>
                <w:sz w:val="16"/>
              </w:rPr>
            </w:r>
          </w:p>
        </w:tc>
        <w:tc>
          <w:tcPr>
            <w:tcW w:w="750" w:type="dxa"/>
            <w:tcBorders/>
            <w:shd w:fill="auto" w:val="clear"/>
            <w:vAlign w:val="bottom"/>
          </w:tcPr>
          <w:p>
            <w:pPr>
              <w:pStyle w:val="Normal"/>
              <w:ind w:firstLine="38"/>
              <w:rPr>
                <w:rFonts w:ascii="Arial" w:hAnsi="Arial" w:cs="Arial"/>
                <w:sz w:val="16"/>
              </w:rPr>
            </w:pPr>
            <w:r>
              <w:rPr>
                <w:rFonts w:cs="Arial" w:ascii="Arial" w:hAnsi="Arial"/>
                <w:sz w:val="16"/>
              </w:rPr>
              <w:t>54.6</w:t>
            </w:r>
          </w:p>
        </w:tc>
        <w:tc>
          <w:tcPr>
            <w:tcW w:w="261" w:type="dxa"/>
            <w:tcBorders/>
            <w:shd w:fill="auto" w:val="clear"/>
            <w:vAlign w:val="bottom"/>
          </w:tcPr>
          <w:p>
            <w:pPr>
              <w:pStyle w:val="Normal"/>
              <w:snapToGrid w:val="false"/>
              <w:ind w:firstLine="38"/>
              <w:rPr>
                <w:rFonts w:ascii="Arial" w:hAnsi="Arial" w:cs="Arial"/>
                <w:sz w:val="16"/>
              </w:rPr>
            </w:pPr>
            <w:r>
              <w:rPr>
                <w:rFonts w:cs="Arial" w:ascii="Arial" w:hAnsi="Arial"/>
                <w:sz w:val="16"/>
              </w:rPr>
            </w:r>
          </w:p>
        </w:tc>
        <w:tc>
          <w:tcPr>
            <w:tcW w:w="777" w:type="dxa"/>
            <w:tcBorders/>
            <w:shd w:fill="auto" w:val="clear"/>
            <w:vAlign w:val="bottom"/>
          </w:tcPr>
          <w:p>
            <w:pPr>
              <w:pStyle w:val="Normal"/>
              <w:ind w:firstLine="38"/>
              <w:rPr>
                <w:rFonts w:ascii="Arial" w:hAnsi="Arial" w:cs="Arial"/>
                <w:sz w:val="16"/>
              </w:rPr>
            </w:pPr>
            <w:r>
              <w:rPr>
                <w:rFonts w:cs="Arial" w:ascii="Arial" w:hAnsi="Arial"/>
                <w:sz w:val="16"/>
              </w:rPr>
              <w:t>30.3</w:t>
            </w:r>
          </w:p>
        </w:tc>
        <w:tc>
          <w:tcPr>
            <w:tcW w:w="261" w:type="dxa"/>
            <w:tcBorders/>
            <w:shd w:fill="auto" w:val="clear"/>
            <w:vAlign w:val="bottom"/>
          </w:tcPr>
          <w:p>
            <w:pPr>
              <w:pStyle w:val="Normal"/>
              <w:snapToGrid w:val="false"/>
              <w:ind w:firstLine="38"/>
              <w:rPr>
                <w:rFonts w:ascii="Arial" w:hAnsi="Arial" w:cs="Arial"/>
                <w:sz w:val="16"/>
              </w:rPr>
            </w:pPr>
            <w:r>
              <w:rPr>
                <w:rFonts w:cs="Arial" w:ascii="Arial" w:hAnsi="Arial"/>
                <w:sz w:val="16"/>
              </w:rPr>
            </w:r>
          </w:p>
        </w:tc>
        <w:tc>
          <w:tcPr>
            <w:tcW w:w="839" w:type="dxa"/>
            <w:tcBorders/>
            <w:shd w:fill="auto" w:val="clear"/>
            <w:vAlign w:val="bottom"/>
          </w:tcPr>
          <w:p>
            <w:pPr>
              <w:pStyle w:val="Normal"/>
              <w:ind w:firstLine="38"/>
              <w:rPr>
                <w:rFonts w:ascii="Arial" w:hAnsi="Arial" w:cs="Arial"/>
                <w:sz w:val="16"/>
              </w:rPr>
            </w:pPr>
            <w:r>
              <w:rPr>
                <w:rFonts w:cs="Arial" w:ascii="Arial" w:hAnsi="Arial"/>
                <w:sz w:val="16"/>
              </w:rPr>
              <w:t>64.3</w:t>
            </w:r>
          </w:p>
        </w:tc>
      </w:tr>
      <w:tr>
        <w:trPr>
          <w:trHeight w:val="225" w:hRule="atLeast"/>
        </w:trPr>
        <w:tc>
          <w:tcPr>
            <w:tcW w:w="2622" w:type="dxa"/>
            <w:tcBorders/>
            <w:shd w:fill="auto" w:val="clear"/>
            <w:vAlign w:val="bottom"/>
          </w:tcPr>
          <w:p>
            <w:pPr>
              <w:pStyle w:val="Normal"/>
              <w:ind w:firstLine="38"/>
              <w:rPr>
                <w:rFonts w:ascii="Arial" w:hAnsi="Arial" w:cs="Arial"/>
                <w:sz w:val="16"/>
              </w:rPr>
            </w:pPr>
            <w:r>
              <w:rPr>
                <w:rFonts w:cs="Arial" w:ascii="Arial" w:hAnsi="Arial"/>
                <w:sz w:val="16"/>
              </w:rPr>
              <w:t>SES 2</w:t>
            </w:r>
          </w:p>
        </w:tc>
        <w:tc>
          <w:tcPr>
            <w:tcW w:w="1037" w:type="dxa"/>
            <w:tcBorders/>
            <w:shd w:fill="auto" w:val="clear"/>
            <w:vAlign w:val="bottom"/>
          </w:tcPr>
          <w:p>
            <w:pPr>
              <w:pStyle w:val="Normal"/>
              <w:ind w:firstLine="38"/>
              <w:rPr>
                <w:rFonts w:ascii="Arial" w:hAnsi="Arial" w:cs="Arial"/>
                <w:sz w:val="16"/>
              </w:rPr>
            </w:pPr>
            <w:r>
              <w:rPr>
                <w:rFonts w:cs="Arial" w:ascii="Arial" w:hAnsi="Arial"/>
                <w:sz w:val="16"/>
              </w:rPr>
              <w:t>129.2</w:t>
            </w:r>
          </w:p>
        </w:tc>
        <w:tc>
          <w:tcPr>
            <w:tcW w:w="324" w:type="dxa"/>
            <w:tcBorders/>
            <w:shd w:fill="auto" w:val="clear"/>
            <w:vAlign w:val="bottom"/>
          </w:tcPr>
          <w:p>
            <w:pPr>
              <w:pStyle w:val="Normal"/>
              <w:snapToGrid w:val="false"/>
              <w:ind w:firstLine="38"/>
              <w:rPr>
                <w:rFonts w:ascii="Arial" w:hAnsi="Arial" w:cs="Arial"/>
                <w:sz w:val="16"/>
              </w:rPr>
            </w:pPr>
            <w:r>
              <w:rPr>
                <w:rFonts w:cs="Arial" w:ascii="Arial" w:hAnsi="Arial"/>
                <w:sz w:val="16"/>
              </w:rPr>
            </w:r>
          </w:p>
        </w:tc>
        <w:tc>
          <w:tcPr>
            <w:tcW w:w="917" w:type="dxa"/>
            <w:tcBorders/>
            <w:shd w:fill="auto" w:val="clear"/>
            <w:vAlign w:val="bottom"/>
          </w:tcPr>
          <w:p>
            <w:pPr>
              <w:pStyle w:val="Normal"/>
              <w:ind w:firstLine="38"/>
              <w:rPr>
                <w:rFonts w:ascii="Arial" w:hAnsi="Arial" w:cs="Arial"/>
                <w:sz w:val="16"/>
              </w:rPr>
            </w:pPr>
            <w:r>
              <w:rPr>
                <w:rFonts w:cs="Arial" w:ascii="Arial" w:hAnsi="Arial"/>
                <w:sz w:val="16"/>
              </w:rPr>
              <w:t>53.9</w:t>
            </w:r>
          </w:p>
        </w:tc>
        <w:tc>
          <w:tcPr>
            <w:tcW w:w="324" w:type="dxa"/>
            <w:tcBorders/>
            <w:shd w:fill="auto" w:val="clear"/>
            <w:vAlign w:val="bottom"/>
          </w:tcPr>
          <w:p>
            <w:pPr>
              <w:pStyle w:val="Normal"/>
              <w:snapToGrid w:val="false"/>
              <w:ind w:firstLine="38"/>
              <w:rPr>
                <w:rFonts w:ascii="Arial" w:hAnsi="Arial" w:cs="Arial"/>
                <w:sz w:val="16"/>
              </w:rPr>
            </w:pPr>
            <w:r>
              <w:rPr>
                <w:rFonts w:cs="Arial" w:ascii="Arial" w:hAnsi="Arial"/>
                <w:sz w:val="16"/>
              </w:rPr>
            </w:r>
          </w:p>
        </w:tc>
        <w:tc>
          <w:tcPr>
            <w:tcW w:w="750" w:type="dxa"/>
            <w:tcBorders/>
            <w:shd w:fill="auto" w:val="clear"/>
            <w:vAlign w:val="bottom"/>
          </w:tcPr>
          <w:p>
            <w:pPr>
              <w:pStyle w:val="Normal"/>
              <w:ind w:firstLine="38"/>
              <w:rPr>
                <w:rFonts w:ascii="Arial" w:hAnsi="Arial" w:cs="Arial"/>
                <w:sz w:val="16"/>
              </w:rPr>
            </w:pPr>
            <w:r>
              <w:rPr>
                <w:rFonts w:cs="Arial" w:ascii="Arial" w:hAnsi="Arial"/>
                <w:sz w:val="16"/>
              </w:rPr>
              <w:t>38.9</w:t>
            </w:r>
          </w:p>
        </w:tc>
        <w:tc>
          <w:tcPr>
            <w:tcW w:w="261" w:type="dxa"/>
            <w:tcBorders/>
            <w:shd w:fill="auto" w:val="clear"/>
            <w:vAlign w:val="bottom"/>
          </w:tcPr>
          <w:p>
            <w:pPr>
              <w:pStyle w:val="Normal"/>
              <w:snapToGrid w:val="false"/>
              <w:ind w:firstLine="38"/>
              <w:rPr>
                <w:rFonts w:ascii="Arial" w:hAnsi="Arial" w:cs="Arial"/>
                <w:sz w:val="16"/>
              </w:rPr>
            </w:pPr>
            <w:r>
              <w:rPr>
                <w:rFonts w:cs="Arial" w:ascii="Arial" w:hAnsi="Arial"/>
                <w:sz w:val="16"/>
              </w:rPr>
            </w:r>
          </w:p>
        </w:tc>
        <w:tc>
          <w:tcPr>
            <w:tcW w:w="750" w:type="dxa"/>
            <w:tcBorders/>
            <w:shd w:fill="auto" w:val="clear"/>
            <w:vAlign w:val="bottom"/>
          </w:tcPr>
          <w:p>
            <w:pPr>
              <w:pStyle w:val="Normal"/>
              <w:ind w:firstLine="38"/>
              <w:rPr>
                <w:rFonts w:ascii="Arial" w:hAnsi="Arial" w:cs="Arial"/>
                <w:sz w:val="16"/>
              </w:rPr>
            </w:pPr>
            <w:r>
              <w:rPr>
                <w:rFonts w:cs="Arial" w:ascii="Arial" w:hAnsi="Arial"/>
                <w:sz w:val="16"/>
              </w:rPr>
              <w:t>56.1</w:t>
            </w:r>
          </w:p>
        </w:tc>
        <w:tc>
          <w:tcPr>
            <w:tcW w:w="261" w:type="dxa"/>
            <w:tcBorders/>
            <w:shd w:fill="auto" w:val="clear"/>
            <w:vAlign w:val="bottom"/>
          </w:tcPr>
          <w:p>
            <w:pPr>
              <w:pStyle w:val="Normal"/>
              <w:snapToGrid w:val="false"/>
              <w:ind w:firstLine="38"/>
              <w:rPr>
                <w:rFonts w:ascii="Arial" w:hAnsi="Arial" w:cs="Arial"/>
                <w:sz w:val="16"/>
              </w:rPr>
            </w:pPr>
            <w:r>
              <w:rPr>
                <w:rFonts w:cs="Arial" w:ascii="Arial" w:hAnsi="Arial"/>
                <w:sz w:val="16"/>
              </w:rPr>
            </w:r>
          </w:p>
        </w:tc>
        <w:tc>
          <w:tcPr>
            <w:tcW w:w="777" w:type="dxa"/>
            <w:tcBorders/>
            <w:shd w:fill="auto" w:val="clear"/>
            <w:vAlign w:val="bottom"/>
          </w:tcPr>
          <w:p>
            <w:pPr>
              <w:pStyle w:val="Normal"/>
              <w:ind w:firstLine="38"/>
              <w:rPr>
                <w:rFonts w:ascii="Arial" w:hAnsi="Arial" w:cs="Arial"/>
                <w:sz w:val="16"/>
              </w:rPr>
            </w:pPr>
            <w:r>
              <w:rPr>
                <w:rFonts w:cs="Arial" w:ascii="Arial" w:hAnsi="Arial"/>
                <w:sz w:val="16"/>
              </w:rPr>
              <w:t>50.0</w:t>
            </w:r>
          </w:p>
        </w:tc>
        <w:tc>
          <w:tcPr>
            <w:tcW w:w="261" w:type="dxa"/>
            <w:tcBorders/>
            <w:shd w:fill="auto" w:val="clear"/>
            <w:vAlign w:val="bottom"/>
          </w:tcPr>
          <w:p>
            <w:pPr>
              <w:pStyle w:val="Normal"/>
              <w:snapToGrid w:val="false"/>
              <w:ind w:firstLine="38"/>
              <w:rPr>
                <w:rFonts w:ascii="Arial" w:hAnsi="Arial" w:cs="Arial"/>
                <w:sz w:val="16"/>
              </w:rPr>
            </w:pPr>
            <w:r>
              <w:rPr>
                <w:rFonts w:cs="Arial" w:ascii="Arial" w:hAnsi="Arial"/>
                <w:sz w:val="16"/>
              </w:rPr>
            </w:r>
          </w:p>
        </w:tc>
        <w:tc>
          <w:tcPr>
            <w:tcW w:w="839" w:type="dxa"/>
            <w:tcBorders/>
            <w:shd w:fill="auto" w:val="clear"/>
            <w:vAlign w:val="bottom"/>
          </w:tcPr>
          <w:p>
            <w:pPr>
              <w:pStyle w:val="Normal"/>
              <w:ind w:firstLine="38"/>
              <w:rPr>
                <w:rFonts w:ascii="Arial" w:hAnsi="Arial" w:cs="Arial"/>
                <w:sz w:val="16"/>
              </w:rPr>
            </w:pPr>
            <w:r>
              <w:rPr>
                <w:rFonts w:cs="Arial" w:ascii="Arial" w:hAnsi="Arial"/>
                <w:sz w:val="16"/>
              </w:rPr>
              <w:t>38.3</w:t>
            </w:r>
          </w:p>
        </w:tc>
      </w:tr>
      <w:tr>
        <w:trPr>
          <w:trHeight w:val="225" w:hRule="atLeast"/>
        </w:trPr>
        <w:tc>
          <w:tcPr>
            <w:tcW w:w="2622" w:type="dxa"/>
            <w:tcBorders/>
            <w:shd w:fill="auto" w:val="clear"/>
            <w:vAlign w:val="bottom"/>
          </w:tcPr>
          <w:p>
            <w:pPr>
              <w:pStyle w:val="Normal"/>
              <w:ind w:firstLine="38"/>
              <w:rPr>
                <w:rFonts w:ascii="Arial" w:hAnsi="Arial" w:cs="Arial"/>
                <w:sz w:val="16"/>
              </w:rPr>
            </w:pPr>
            <w:r>
              <w:rPr>
                <w:rFonts w:cs="Arial" w:ascii="Arial" w:hAnsi="Arial"/>
                <w:sz w:val="16"/>
              </w:rPr>
              <w:t>SES 3</w:t>
            </w:r>
          </w:p>
        </w:tc>
        <w:tc>
          <w:tcPr>
            <w:tcW w:w="1037" w:type="dxa"/>
            <w:tcBorders/>
            <w:shd w:fill="auto" w:val="clear"/>
            <w:vAlign w:val="bottom"/>
          </w:tcPr>
          <w:p>
            <w:pPr>
              <w:pStyle w:val="Normal"/>
              <w:ind w:firstLine="38"/>
              <w:rPr>
                <w:rFonts w:ascii="Arial" w:hAnsi="Arial" w:cs="Arial"/>
                <w:sz w:val="16"/>
              </w:rPr>
            </w:pPr>
            <w:r>
              <w:rPr>
                <w:rFonts w:cs="Arial" w:ascii="Arial" w:hAnsi="Arial"/>
                <w:sz w:val="16"/>
              </w:rPr>
              <w:t>90.3</w:t>
            </w:r>
          </w:p>
        </w:tc>
        <w:tc>
          <w:tcPr>
            <w:tcW w:w="324" w:type="dxa"/>
            <w:tcBorders/>
            <w:shd w:fill="auto" w:val="clear"/>
            <w:vAlign w:val="bottom"/>
          </w:tcPr>
          <w:p>
            <w:pPr>
              <w:pStyle w:val="Normal"/>
              <w:snapToGrid w:val="false"/>
              <w:ind w:firstLine="38"/>
              <w:rPr>
                <w:rFonts w:ascii="Arial" w:hAnsi="Arial" w:cs="Arial"/>
                <w:sz w:val="16"/>
              </w:rPr>
            </w:pPr>
            <w:r>
              <w:rPr>
                <w:rFonts w:cs="Arial" w:ascii="Arial" w:hAnsi="Arial"/>
                <w:sz w:val="16"/>
              </w:rPr>
            </w:r>
          </w:p>
        </w:tc>
        <w:tc>
          <w:tcPr>
            <w:tcW w:w="917" w:type="dxa"/>
            <w:tcBorders/>
            <w:shd w:fill="auto" w:val="clear"/>
            <w:vAlign w:val="bottom"/>
          </w:tcPr>
          <w:p>
            <w:pPr>
              <w:pStyle w:val="Normal"/>
              <w:ind w:firstLine="38"/>
              <w:rPr>
                <w:rFonts w:ascii="Arial" w:hAnsi="Arial" w:cs="Arial"/>
                <w:sz w:val="16"/>
              </w:rPr>
            </w:pPr>
            <w:r>
              <w:rPr>
                <w:rFonts w:cs="Arial" w:ascii="Arial" w:hAnsi="Arial"/>
                <w:sz w:val="16"/>
              </w:rPr>
              <w:t>69.5</w:t>
            </w:r>
          </w:p>
        </w:tc>
        <w:tc>
          <w:tcPr>
            <w:tcW w:w="324" w:type="dxa"/>
            <w:tcBorders/>
            <w:shd w:fill="auto" w:val="clear"/>
            <w:vAlign w:val="bottom"/>
          </w:tcPr>
          <w:p>
            <w:pPr>
              <w:pStyle w:val="Normal"/>
              <w:snapToGrid w:val="false"/>
              <w:ind w:firstLine="38"/>
              <w:rPr>
                <w:rFonts w:ascii="Arial" w:hAnsi="Arial" w:cs="Arial"/>
                <w:sz w:val="16"/>
              </w:rPr>
            </w:pPr>
            <w:r>
              <w:rPr>
                <w:rFonts w:cs="Arial" w:ascii="Arial" w:hAnsi="Arial"/>
                <w:sz w:val="16"/>
              </w:rPr>
            </w:r>
          </w:p>
        </w:tc>
        <w:tc>
          <w:tcPr>
            <w:tcW w:w="750" w:type="dxa"/>
            <w:tcBorders/>
            <w:shd w:fill="auto" w:val="clear"/>
            <w:vAlign w:val="bottom"/>
          </w:tcPr>
          <w:p>
            <w:pPr>
              <w:pStyle w:val="Normal"/>
              <w:ind w:firstLine="38"/>
              <w:rPr>
                <w:rFonts w:ascii="Arial" w:hAnsi="Arial" w:cs="Arial"/>
                <w:sz w:val="16"/>
              </w:rPr>
            </w:pPr>
            <w:r>
              <w:rPr>
                <w:rFonts w:cs="Arial" w:ascii="Arial" w:hAnsi="Arial"/>
                <w:sz w:val="16"/>
              </w:rPr>
              <w:t>60.7</w:t>
            </w:r>
          </w:p>
        </w:tc>
        <w:tc>
          <w:tcPr>
            <w:tcW w:w="261" w:type="dxa"/>
            <w:tcBorders/>
            <w:shd w:fill="auto" w:val="clear"/>
            <w:vAlign w:val="bottom"/>
          </w:tcPr>
          <w:p>
            <w:pPr>
              <w:pStyle w:val="Normal"/>
              <w:snapToGrid w:val="false"/>
              <w:ind w:firstLine="38"/>
              <w:rPr>
                <w:rFonts w:ascii="Arial" w:hAnsi="Arial" w:cs="Arial"/>
                <w:sz w:val="16"/>
              </w:rPr>
            </w:pPr>
            <w:r>
              <w:rPr>
                <w:rFonts w:cs="Arial" w:ascii="Arial" w:hAnsi="Arial"/>
                <w:sz w:val="16"/>
              </w:rPr>
            </w:r>
          </w:p>
        </w:tc>
        <w:tc>
          <w:tcPr>
            <w:tcW w:w="750" w:type="dxa"/>
            <w:tcBorders/>
            <w:shd w:fill="auto" w:val="clear"/>
            <w:vAlign w:val="bottom"/>
          </w:tcPr>
          <w:p>
            <w:pPr>
              <w:pStyle w:val="Normal"/>
              <w:ind w:firstLine="38"/>
              <w:rPr>
                <w:rFonts w:ascii="Arial" w:hAnsi="Arial" w:cs="Arial"/>
                <w:sz w:val="16"/>
              </w:rPr>
            </w:pPr>
            <w:r>
              <w:rPr>
                <w:rFonts w:cs="Arial" w:ascii="Arial" w:hAnsi="Arial"/>
                <w:sz w:val="16"/>
              </w:rPr>
              <w:t>44.4</w:t>
            </w:r>
          </w:p>
        </w:tc>
        <w:tc>
          <w:tcPr>
            <w:tcW w:w="261" w:type="dxa"/>
            <w:tcBorders/>
            <w:shd w:fill="auto" w:val="clear"/>
            <w:vAlign w:val="bottom"/>
          </w:tcPr>
          <w:p>
            <w:pPr>
              <w:pStyle w:val="Normal"/>
              <w:snapToGrid w:val="false"/>
              <w:ind w:firstLine="38"/>
              <w:rPr>
                <w:rFonts w:ascii="Arial" w:hAnsi="Arial" w:cs="Arial"/>
                <w:sz w:val="16"/>
              </w:rPr>
            </w:pPr>
            <w:r>
              <w:rPr>
                <w:rFonts w:cs="Arial" w:ascii="Arial" w:hAnsi="Arial"/>
                <w:sz w:val="16"/>
              </w:rPr>
            </w:r>
          </w:p>
        </w:tc>
        <w:tc>
          <w:tcPr>
            <w:tcW w:w="777" w:type="dxa"/>
            <w:tcBorders/>
            <w:shd w:fill="auto" w:val="clear"/>
            <w:vAlign w:val="bottom"/>
          </w:tcPr>
          <w:p>
            <w:pPr>
              <w:pStyle w:val="Normal"/>
              <w:ind w:firstLine="38"/>
              <w:rPr>
                <w:rFonts w:ascii="Arial" w:hAnsi="Arial" w:cs="Arial"/>
                <w:sz w:val="16"/>
              </w:rPr>
            </w:pPr>
            <w:r>
              <w:rPr>
                <w:rFonts w:cs="Arial" w:ascii="Arial" w:hAnsi="Arial"/>
                <w:sz w:val="16"/>
              </w:rPr>
              <w:t>79.1</w:t>
            </w:r>
          </w:p>
        </w:tc>
        <w:tc>
          <w:tcPr>
            <w:tcW w:w="261" w:type="dxa"/>
            <w:tcBorders/>
            <w:shd w:fill="auto" w:val="clear"/>
            <w:vAlign w:val="bottom"/>
          </w:tcPr>
          <w:p>
            <w:pPr>
              <w:pStyle w:val="Normal"/>
              <w:snapToGrid w:val="false"/>
              <w:ind w:firstLine="38"/>
              <w:rPr>
                <w:rFonts w:ascii="Arial" w:hAnsi="Arial" w:cs="Arial"/>
                <w:sz w:val="16"/>
              </w:rPr>
            </w:pPr>
            <w:r>
              <w:rPr>
                <w:rFonts w:cs="Arial" w:ascii="Arial" w:hAnsi="Arial"/>
                <w:sz w:val="16"/>
              </w:rPr>
            </w:r>
          </w:p>
        </w:tc>
        <w:tc>
          <w:tcPr>
            <w:tcW w:w="839" w:type="dxa"/>
            <w:tcBorders/>
            <w:shd w:fill="auto" w:val="clear"/>
            <w:vAlign w:val="bottom"/>
          </w:tcPr>
          <w:p>
            <w:pPr>
              <w:pStyle w:val="Normal"/>
              <w:ind w:firstLine="38"/>
              <w:rPr>
                <w:rFonts w:ascii="Arial" w:hAnsi="Arial" w:cs="Arial"/>
                <w:sz w:val="16"/>
              </w:rPr>
            </w:pPr>
            <w:r>
              <w:rPr>
                <w:rFonts w:cs="Arial" w:ascii="Arial" w:hAnsi="Arial"/>
                <w:sz w:val="16"/>
              </w:rPr>
              <w:t>83.4</w:t>
            </w:r>
          </w:p>
        </w:tc>
      </w:tr>
      <w:tr>
        <w:trPr>
          <w:trHeight w:val="225" w:hRule="atLeast"/>
        </w:trPr>
        <w:tc>
          <w:tcPr>
            <w:tcW w:w="2622" w:type="dxa"/>
            <w:tcBorders/>
            <w:shd w:fill="auto" w:val="clear"/>
            <w:vAlign w:val="bottom"/>
          </w:tcPr>
          <w:p>
            <w:pPr>
              <w:pStyle w:val="Normal"/>
              <w:ind w:firstLine="38"/>
              <w:rPr>
                <w:rFonts w:ascii="Arial" w:hAnsi="Arial" w:cs="Arial"/>
                <w:sz w:val="16"/>
              </w:rPr>
            </w:pPr>
            <w:r>
              <w:rPr>
                <w:rFonts w:cs="Arial" w:ascii="Arial" w:hAnsi="Arial"/>
                <w:sz w:val="16"/>
              </w:rPr>
              <w:t>SES 4</w:t>
            </w:r>
          </w:p>
        </w:tc>
        <w:tc>
          <w:tcPr>
            <w:tcW w:w="1037" w:type="dxa"/>
            <w:tcBorders/>
            <w:shd w:fill="auto" w:val="clear"/>
            <w:vAlign w:val="bottom"/>
          </w:tcPr>
          <w:p>
            <w:pPr>
              <w:pStyle w:val="Normal"/>
              <w:ind w:firstLine="38"/>
              <w:rPr>
                <w:rFonts w:ascii="Arial" w:hAnsi="Arial" w:cs="Arial"/>
                <w:sz w:val="16"/>
              </w:rPr>
            </w:pPr>
            <w:r>
              <w:rPr>
                <w:rFonts w:cs="Arial" w:ascii="Arial" w:hAnsi="Arial"/>
                <w:sz w:val="16"/>
              </w:rPr>
              <w:t>104.1</w:t>
            </w:r>
          </w:p>
        </w:tc>
        <w:tc>
          <w:tcPr>
            <w:tcW w:w="324" w:type="dxa"/>
            <w:tcBorders/>
            <w:shd w:fill="auto" w:val="clear"/>
            <w:vAlign w:val="bottom"/>
          </w:tcPr>
          <w:p>
            <w:pPr>
              <w:pStyle w:val="Normal"/>
              <w:snapToGrid w:val="false"/>
              <w:ind w:firstLine="38"/>
              <w:rPr>
                <w:rFonts w:ascii="Arial" w:hAnsi="Arial" w:cs="Arial"/>
                <w:sz w:val="16"/>
              </w:rPr>
            </w:pPr>
            <w:r>
              <w:rPr>
                <w:rFonts w:cs="Arial" w:ascii="Arial" w:hAnsi="Arial"/>
                <w:sz w:val="16"/>
              </w:rPr>
            </w:r>
          </w:p>
        </w:tc>
        <w:tc>
          <w:tcPr>
            <w:tcW w:w="917" w:type="dxa"/>
            <w:tcBorders/>
            <w:shd w:fill="auto" w:val="clear"/>
            <w:vAlign w:val="bottom"/>
          </w:tcPr>
          <w:p>
            <w:pPr>
              <w:pStyle w:val="Normal"/>
              <w:ind w:firstLine="38"/>
              <w:rPr>
                <w:rFonts w:ascii="Arial" w:hAnsi="Arial" w:cs="Arial"/>
                <w:sz w:val="16"/>
              </w:rPr>
            </w:pPr>
            <w:r>
              <w:rPr>
                <w:rFonts w:cs="Arial" w:ascii="Arial" w:hAnsi="Arial"/>
                <w:sz w:val="16"/>
              </w:rPr>
              <w:t>76.6</w:t>
            </w:r>
          </w:p>
        </w:tc>
        <w:tc>
          <w:tcPr>
            <w:tcW w:w="324" w:type="dxa"/>
            <w:tcBorders/>
            <w:shd w:fill="auto" w:val="clear"/>
            <w:vAlign w:val="bottom"/>
          </w:tcPr>
          <w:p>
            <w:pPr>
              <w:pStyle w:val="Normal"/>
              <w:snapToGrid w:val="false"/>
              <w:ind w:firstLine="38"/>
              <w:rPr>
                <w:rFonts w:ascii="Arial" w:hAnsi="Arial" w:cs="Arial"/>
                <w:sz w:val="16"/>
              </w:rPr>
            </w:pPr>
            <w:r>
              <w:rPr>
                <w:rFonts w:cs="Arial" w:ascii="Arial" w:hAnsi="Arial"/>
                <w:sz w:val="16"/>
              </w:rPr>
            </w:r>
          </w:p>
        </w:tc>
        <w:tc>
          <w:tcPr>
            <w:tcW w:w="750" w:type="dxa"/>
            <w:tcBorders/>
            <w:shd w:fill="auto" w:val="clear"/>
            <w:vAlign w:val="bottom"/>
          </w:tcPr>
          <w:p>
            <w:pPr>
              <w:pStyle w:val="Normal"/>
              <w:ind w:firstLine="38"/>
              <w:rPr>
                <w:rFonts w:ascii="Arial" w:hAnsi="Arial" w:cs="Arial"/>
                <w:sz w:val="16"/>
              </w:rPr>
            </w:pPr>
            <w:r>
              <w:rPr>
                <w:rFonts w:cs="Arial" w:ascii="Arial" w:hAnsi="Arial"/>
                <w:sz w:val="16"/>
              </w:rPr>
              <w:t>55.4</w:t>
            </w:r>
          </w:p>
        </w:tc>
        <w:tc>
          <w:tcPr>
            <w:tcW w:w="261" w:type="dxa"/>
            <w:tcBorders/>
            <w:shd w:fill="auto" w:val="clear"/>
            <w:vAlign w:val="bottom"/>
          </w:tcPr>
          <w:p>
            <w:pPr>
              <w:pStyle w:val="Normal"/>
              <w:snapToGrid w:val="false"/>
              <w:ind w:firstLine="38"/>
              <w:rPr>
                <w:rFonts w:ascii="Arial" w:hAnsi="Arial" w:cs="Arial"/>
                <w:sz w:val="16"/>
              </w:rPr>
            </w:pPr>
            <w:r>
              <w:rPr>
                <w:rFonts w:cs="Arial" w:ascii="Arial" w:hAnsi="Arial"/>
                <w:sz w:val="16"/>
              </w:rPr>
            </w:r>
          </w:p>
        </w:tc>
        <w:tc>
          <w:tcPr>
            <w:tcW w:w="750" w:type="dxa"/>
            <w:tcBorders/>
            <w:shd w:fill="auto" w:val="clear"/>
            <w:vAlign w:val="bottom"/>
          </w:tcPr>
          <w:p>
            <w:pPr>
              <w:pStyle w:val="Normal"/>
              <w:ind w:firstLine="38"/>
              <w:rPr>
                <w:rFonts w:ascii="Arial" w:hAnsi="Arial" w:cs="Arial"/>
                <w:sz w:val="16"/>
              </w:rPr>
            </w:pPr>
            <w:r>
              <w:rPr>
                <w:rFonts w:cs="Arial" w:ascii="Arial" w:hAnsi="Arial"/>
                <w:sz w:val="16"/>
              </w:rPr>
              <w:t>65.5</w:t>
            </w:r>
          </w:p>
        </w:tc>
        <w:tc>
          <w:tcPr>
            <w:tcW w:w="261" w:type="dxa"/>
            <w:tcBorders/>
            <w:shd w:fill="auto" w:val="clear"/>
            <w:vAlign w:val="bottom"/>
          </w:tcPr>
          <w:p>
            <w:pPr>
              <w:pStyle w:val="Normal"/>
              <w:snapToGrid w:val="false"/>
              <w:ind w:firstLine="38"/>
              <w:rPr>
                <w:rFonts w:ascii="Arial" w:hAnsi="Arial" w:cs="Arial"/>
                <w:sz w:val="16"/>
              </w:rPr>
            </w:pPr>
            <w:r>
              <w:rPr>
                <w:rFonts w:cs="Arial" w:ascii="Arial" w:hAnsi="Arial"/>
                <w:sz w:val="16"/>
              </w:rPr>
            </w:r>
          </w:p>
        </w:tc>
        <w:tc>
          <w:tcPr>
            <w:tcW w:w="777" w:type="dxa"/>
            <w:tcBorders/>
            <w:shd w:fill="auto" w:val="clear"/>
            <w:vAlign w:val="bottom"/>
          </w:tcPr>
          <w:p>
            <w:pPr>
              <w:pStyle w:val="Normal"/>
              <w:ind w:firstLine="38"/>
              <w:rPr>
                <w:rFonts w:ascii="Arial" w:hAnsi="Arial" w:cs="Arial"/>
                <w:sz w:val="16"/>
              </w:rPr>
            </w:pPr>
            <w:r>
              <w:rPr>
                <w:rFonts w:cs="Arial" w:ascii="Arial" w:hAnsi="Arial"/>
                <w:sz w:val="16"/>
              </w:rPr>
              <w:t>74.5</w:t>
            </w:r>
          </w:p>
        </w:tc>
        <w:tc>
          <w:tcPr>
            <w:tcW w:w="261" w:type="dxa"/>
            <w:tcBorders/>
            <w:shd w:fill="auto" w:val="clear"/>
            <w:vAlign w:val="bottom"/>
          </w:tcPr>
          <w:p>
            <w:pPr>
              <w:pStyle w:val="Normal"/>
              <w:snapToGrid w:val="false"/>
              <w:ind w:firstLine="38"/>
              <w:rPr>
                <w:rFonts w:ascii="Arial" w:hAnsi="Arial" w:cs="Arial"/>
                <w:sz w:val="16"/>
              </w:rPr>
            </w:pPr>
            <w:r>
              <w:rPr>
                <w:rFonts w:cs="Arial" w:ascii="Arial" w:hAnsi="Arial"/>
                <w:sz w:val="16"/>
              </w:rPr>
            </w:r>
          </w:p>
        </w:tc>
        <w:tc>
          <w:tcPr>
            <w:tcW w:w="839" w:type="dxa"/>
            <w:tcBorders/>
            <w:shd w:fill="auto" w:val="clear"/>
            <w:vAlign w:val="bottom"/>
          </w:tcPr>
          <w:p>
            <w:pPr>
              <w:pStyle w:val="Normal"/>
              <w:ind w:firstLine="38"/>
              <w:rPr>
                <w:rFonts w:ascii="Arial" w:hAnsi="Arial" w:cs="Arial"/>
                <w:sz w:val="16"/>
              </w:rPr>
            </w:pPr>
            <w:r>
              <w:rPr>
                <w:rFonts w:cs="Arial" w:ascii="Arial" w:hAnsi="Arial"/>
                <w:sz w:val="16"/>
              </w:rPr>
              <w:t>61.3</w:t>
            </w:r>
          </w:p>
        </w:tc>
      </w:tr>
      <w:tr>
        <w:trPr>
          <w:trHeight w:val="225" w:hRule="atLeast"/>
        </w:trPr>
        <w:tc>
          <w:tcPr>
            <w:tcW w:w="2622" w:type="dxa"/>
            <w:tcBorders/>
            <w:shd w:fill="auto" w:val="clear"/>
            <w:vAlign w:val="bottom"/>
          </w:tcPr>
          <w:p>
            <w:pPr>
              <w:pStyle w:val="Normal"/>
              <w:ind w:firstLine="38"/>
              <w:rPr>
                <w:rFonts w:ascii="Arial" w:hAnsi="Arial" w:cs="Arial"/>
                <w:sz w:val="16"/>
              </w:rPr>
            </w:pPr>
            <w:r>
              <w:rPr>
                <w:rFonts w:cs="Arial" w:ascii="Arial" w:hAnsi="Arial"/>
                <w:sz w:val="16"/>
              </w:rPr>
              <w:t>SES 5 (most deprived)</w:t>
            </w:r>
          </w:p>
        </w:tc>
        <w:tc>
          <w:tcPr>
            <w:tcW w:w="1037" w:type="dxa"/>
            <w:tcBorders/>
            <w:shd w:fill="auto" w:val="clear"/>
            <w:vAlign w:val="bottom"/>
          </w:tcPr>
          <w:p>
            <w:pPr>
              <w:pStyle w:val="Normal"/>
              <w:ind w:firstLine="38"/>
              <w:rPr>
                <w:rFonts w:ascii="Arial" w:hAnsi="Arial" w:cs="Arial"/>
                <w:sz w:val="16"/>
              </w:rPr>
            </w:pPr>
            <w:r>
              <w:rPr>
                <w:rFonts w:cs="Arial" w:ascii="Arial" w:hAnsi="Arial"/>
                <w:sz w:val="16"/>
              </w:rPr>
              <w:t>107.0</w:t>
            </w:r>
          </w:p>
        </w:tc>
        <w:tc>
          <w:tcPr>
            <w:tcW w:w="324" w:type="dxa"/>
            <w:tcBorders/>
            <w:shd w:fill="auto" w:val="clear"/>
            <w:vAlign w:val="bottom"/>
          </w:tcPr>
          <w:p>
            <w:pPr>
              <w:pStyle w:val="Normal"/>
              <w:snapToGrid w:val="false"/>
              <w:ind w:firstLine="38"/>
              <w:rPr>
                <w:rFonts w:ascii="Arial" w:hAnsi="Arial" w:cs="Arial"/>
                <w:sz w:val="16"/>
              </w:rPr>
            </w:pPr>
            <w:r>
              <w:rPr>
                <w:rFonts w:cs="Arial" w:ascii="Arial" w:hAnsi="Arial"/>
                <w:sz w:val="16"/>
              </w:rPr>
            </w:r>
          </w:p>
        </w:tc>
        <w:tc>
          <w:tcPr>
            <w:tcW w:w="917" w:type="dxa"/>
            <w:tcBorders/>
            <w:shd w:fill="auto" w:val="clear"/>
            <w:vAlign w:val="bottom"/>
          </w:tcPr>
          <w:p>
            <w:pPr>
              <w:pStyle w:val="Normal"/>
              <w:ind w:firstLine="38"/>
              <w:rPr>
                <w:rFonts w:ascii="Arial" w:hAnsi="Arial" w:cs="Arial"/>
                <w:sz w:val="16"/>
              </w:rPr>
            </w:pPr>
            <w:r>
              <w:rPr>
                <w:rFonts w:cs="Arial" w:ascii="Arial" w:hAnsi="Arial"/>
                <w:sz w:val="16"/>
              </w:rPr>
              <w:t>75.1</w:t>
            </w:r>
          </w:p>
        </w:tc>
        <w:tc>
          <w:tcPr>
            <w:tcW w:w="324" w:type="dxa"/>
            <w:tcBorders/>
            <w:shd w:fill="auto" w:val="clear"/>
            <w:vAlign w:val="bottom"/>
          </w:tcPr>
          <w:p>
            <w:pPr>
              <w:pStyle w:val="Normal"/>
              <w:snapToGrid w:val="false"/>
              <w:ind w:firstLine="38"/>
              <w:rPr>
                <w:rFonts w:ascii="Arial" w:hAnsi="Arial" w:cs="Arial"/>
                <w:sz w:val="16"/>
              </w:rPr>
            </w:pPr>
            <w:r>
              <w:rPr>
                <w:rFonts w:cs="Arial" w:ascii="Arial" w:hAnsi="Arial"/>
                <w:sz w:val="16"/>
              </w:rPr>
            </w:r>
          </w:p>
        </w:tc>
        <w:tc>
          <w:tcPr>
            <w:tcW w:w="750" w:type="dxa"/>
            <w:tcBorders/>
            <w:shd w:fill="auto" w:val="clear"/>
            <w:vAlign w:val="bottom"/>
          </w:tcPr>
          <w:p>
            <w:pPr>
              <w:pStyle w:val="Normal"/>
              <w:ind w:firstLine="38"/>
              <w:rPr>
                <w:rFonts w:ascii="Arial" w:hAnsi="Arial" w:cs="Arial"/>
                <w:sz w:val="16"/>
              </w:rPr>
            </w:pPr>
            <w:r>
              <w:rPr>
                <w:rFonts w:cs="Arial" w:ascii="Arial" w:hAnsi="Arial"/>
                <w:sz w:val="16"/>
              </w:rPr>
              <w:t>58.7</w:t>
            </w:r>
          </w:p>
        </w:tc>
        <w:tc>
          <w:tcPr>
            <w:tcW w:w="261" w:type="dxa"/>
            <w:tcBorders/>
            <w:shd w:fill="auto" w:val="clear"/>
            <w:vAlign w:val="bottom"/>
          </w:tcPr>
          <w:p>
            <w:pPr>
              <w:pStyle w:val="Normal"/>
              <w:snapToGrid w:val="false"/>
              <w:ind w:firstLine="38"/>
              <w:rPr>
                <w:rFonts w:ascii="Arial" w:hAnsi="Arial" w:cs="Arial"/>
                <w:sz w:val="16"/>
              </w:rPr>
            </w:pPr>
            <w:r>
              <w:rPr>
                <w:rFonts w:cs="Arial" w:ascii="Arial" w:hAnsi="Arial"/>
                <w:sz w:val="16"/>
              </w:rPr>
            </w:r>
          </w:p>
        </w:tc>
        <w:tc>
          <w:tcPr>
            <w:tcW w:w="750" w:type="dxa"/>
            <w:tcBorders/>
            <w:shd w:fill="auto" w:val="clear"/>
            <w:vAlign w:val="bottom"/>
          </w:tcPr>
          <w:p>
            <w:pPr>
              <w:pStyle w:val="Normal"/>
              <w:ind w:firstLine="38"/>
              <w:rPr>
                <w:rFonts w:ascii="Arial" w:hAnsi="Arial" w:cs="Arial"/>
                <w:sz w:val="16"/>
              </w:rPr>
            </w:pPr>
            <w:r>
              <w:rPr>
                <w:rFonts w:cs="Arial" w:ascii="Arial" w:hAnsi="Arial"/>
                <w:sz w:val="16"/>
              </w:rPr>
              <w:t>72.1</w:t>
            </w:r>
          </w:p>
        </w:tc>
        <w:tc>
          <w:tcPr>
            <w:tcW w:w="261" w:type="dxa"/>
            <w:tcBorders/>
            <w:shd w:fill="auto" w:val="clear"/>
            <w:vAlign w:val="bottom"/>
          </w:tcPr>
          <w:p>
            <w:pPr>
              <w:pStyle w:val="Normal"/>
              <w:snapToGrid w:val="false"/>
              <w:ind w:firstLine="38"/>
              <w:rPr>
                <w:rFonts w:ascii="Arial" w:hAnsi="Arial" w:cs="Arial"/>
                <w:sz w:val="16"/>
              </w:rPr>
            </w:pPr>
            <w:r>
              <w:rPr>
                <w:rFonts w:cs="Arial" w:ascii="Arial" w:hAnsi="Arial"/>
                <w:sz w:val="16"/>
              </w:rPr>
            </w:r>
          </w:p>
        </w:tc>
        <w:tc>
          <w:tcPr>
            <w:tcW w:w="777" w:type="dxa"/>
            <w:tcBorders/>
            <w:shd w:fill="auto" w:val="clear"/>
            <w:vAlign w:val="bottom"/>
          </w:tcPr>
          <w:p>
            <w:pPr>
              <w:pStyle w:val="Normal"/>
              <w:ind w:firstLine="38"/>
              <w:rPr>
                <w:rFonts w:ascii="Arial" w:hAnsi="Arial" w:cs="Arial"/>
                <w:sz w:val="16"/>
              </w:rPr>
            </w:pPr>
            <w:r>
              <w:rPr>
                <w:rFonts w:cs="Arial" w:ascii="Arial" w:hAnsi="Arial"/>
                <w:sz w:val="16"/>
              </w:rPr>
              <w:t>46.4</w:t>
            </w:r>
          </w:p>
        </w:tc>
        <w:tc>
          <w:tcPr>
            <w:tcW w:w="261" w:type="dxa"/>
            <w:tcBorders/>
            <w:shd w:fill="auto" w:val="clear"/>
            <w:vAlign w:val="bottom"/>
          </w:tcPr>
          <w:p>
            <w:pPr>
              <w:pStyle w:val="Normal"/>
              <w:snapToGrid w:val="false"/>
              <w:ind w:firstLine="38"/>
              <w:rPr>
                <w:rFonts w:ascii="Arial" w:hAnsi="Arial" w:cs="Arial"/>
                <w:sz w:val="16"/>
              </w:rPr>
            </w:pPr>
            <w:r>
              <w:rPr>
                <w:rFonts w:cs="Arial" w:ascii="Arial" w:hAnsi="Arial"/>
                <w:sz w:val="16"/>
              </w:rPr>
            </w:r>
          </w:p>
        </w:tc>
        <w:tc>
          <w:tcPr>
            <w:tcW w:w="839" w:type="dxa"/>
            <w:tcBorders/>
            <w:shd w:fill="auto" w:val="clear"/>
            <w:vAlign w:val="bottom"/>
          </w:tcPr>
          <w:p>
            <w:pPr>
              <w:pStyle w:val="Normal"/>
              <w:ind w:firstLine="38"/>
              <w:rPr>
                <w:rFonts w:ascii="Arial" w:hAnsi="Arial" w:cs="Arial"/>
                <w:sz w:val="16"/>
              </w:rPr>
            </w:pPr>
            <w:r>
              <w:rPr>
                <w:rFonts w:cs="Arial" w:ascii="Arial" w:hAnsi="Arial"/>
                <w:sz w:val="16"/>
              </w:rPr>
              <w:t>63.5</w:t>
            </w:r>
          </w:p>
        </w:tc>
      </w:tr>
      <w:tr>
        <w:trPr>
          <w:trHeight w:val="113" w:hRule="exact"/>
        </w:trPr>
        <w:tc>
          <w:tcPr>
            <w:tcW w:w="2622" w:type="dxa"/>
            <w:tcBorders/>
            <w:shd w:fill="auto" w:val="clear"/>
            <w:vAlign w:val="bottom"/>
          </w:tcPr>
          <w:p>
            <w:pPr>
              <w:pStyle w:val="Normal"/>
              <w:snapToGrid w:val="false"/>
              <w:rPr>
                <w:rFonts w:ascii="Arial" w:hAnsi="Arial" w:cs="Arial"/>
                <w:sz w:val="16"/>
              </w:rPr>
            </w:pPr>
            <w:r>
              <w:rPr>
                <w:rFonts w:cs="Arial" w:ascii="Arial" w:hAnsi="Arial"/>
                <w:sz w:val="16"/>
              </w:rPr>
            </w:r>
          </w:p>
        </w:tc>
        <w:tc>
          <w:tcPr>
            <w:tcW w:w="1037" w:type="dxa"/>
            <w:tcBorders/>
            <w:shd w:fill="auto" w:val="clear"/>
            <w:vAlign w:val="bottom"/>
          </w:tcPr>
          <w:p>
            <w:pPr>
              <w:pStyle w:val="Normal"/>
              <w:snapToGrid w:val="false"/>
              <w:rPr>
                <w:rFonts w:ascii="Arial" w:hAnsi="Arial" w:cs="Arial"/>
                <w:sz w:val="16"/>
              </w:rPr>
            </w:pPr>
            <w:r>
              <w:rPr>
                <w:rFonts w:cs="Arial" w:ascii="Arial" w:hAnsi="Arial"/>
                <w:sz w:val="16"/>
              </w:rPr>
            </w:r>
          </w:p>
        </w:tc>
        <w:tc>
          <w:tcPr>
            <w:tcW w:w="324" w:type="dxa"/>
            <w:tcBorders/>
            <w:shd w:fill="auto" w:val="clear"/>
            <w:vAlign w:val="bottom"/>
          </w:tcPr>
          <w:p>
            <w:pPr>
              <w:pStyle w:val="Normal"/>
              <w:snapToGrid w:val="false"/>
              <w:rPr>
                <w:rFonts w:ascii="Arial" w:hAnsi="Arial" w:cs="Arial"/>
                <w:sz w:val="16"/>
              </w:rPr>
            </w:pPr>
            <w:r>
              <w:rPr>
                <w:rFonts w:cs="Arial" w:ascii="Arial" w:hAnsi="Arial"/>
                <w:sz w:val="16"/>
              </w:rPr>
            </w:r>
          </w:p>
        </w:tc>
        <w:tc>
          <w:tcPr>
            <w:tcW w:w="917" w:type="dxa"/>
            <w:tcBorders/>
            <w:shd w:fill="auto" w:val="clear"/>
            <w:vAlign w:val="bottom"/>
          </w:tcPr>
          <w:p>
            <w:pPr>
              <w:pStyle w:val="Normal"/>
              <w:snapToGrid w:val="false"/>
              <w:rPr>
                <w:rFonts w:ascii="Arial" w:hAnsi="Arial" w:cs="Arial"/>
                <w:sz w:val="16"/>
              </w:rPr>
            </w:pPr>
            <w:r>
              <w:rPr>
                <w:rFonts w:cs="Arial" w:ascii="Arial" w:hAnsi="Arial"/>
                <w:sz w:val="16"/>
              </w:rPr>
            </w:r>
          </w:p>
        </w:tc>
        <w:tc>
          <w:tcPr>
            <w:tcW w:w="324" w:type="dxa"/>
            <w:tcBorders/>
            <w:shd w:fill="auto" w:val="clear"/>
            <w:vAlign w:val="bottom"/>
          </w:tcPr>
          <w:p>
            <w:pPr>
              <w:pStyle w:val="Normal"/>
              <w:snapToGrid w:val="false"/>
              <w:rPr>
                <w:rFonts w:ascii="Arial" w:hAnsi="Arial" w:cs="Arial"/>
                <w:sz w:val="16"/>
              </w:rPr>
            </w:pPr>
            <w:r>
              <w:rPr>
                <w:rFonts w:cs="Arial" w:ascii="Arial" w:hAnsi="Arial"/>
                <w:sz w:val="16"/>
              </w:rPr>
            </w:r>
          </w:p>
        </w:tc>
        <w:tc>
          <w:tcPr>
            <w:tcW w:w="750" w:type="dxa"/>
            <w:tcBorders/>
            <w:shd w:fill="auto" w:val="clear"/>
            <w:vAlign w:val="bottom"/>
          </w:tcPr>
          <w:p>
            <w:pPr>
              <w:pStyle w:val="Normal"/>
              <w:snapToGrid w:val="false"/>
              <w:rPr>
                <w:rFonts w:ascii="Arial" w:hAnsi="Arial" w:cs="Arial"/>
                <w:sz w:val="16"/>
              </w:rPr>
            </w:pPr>
            <w:r>
              <w:rPr>
                <w:rFonts w:cs="Arial" w:ascii="Arial" w:hAnsi="Arial"/>
                <w:sz w:val="16"/>
              </w:rPr>
            </w:r>
          </w:p>
        </w:tc>
        <w:tc>
          <w:tcPr>
            <w:tcW w:w="261" w:type="dxa"/>
            <w:tcBorders/>
            <w:shd w:fill="auto" w:val="clear"/>
            <w:vAlign w:val="bottom"/>
          </w:tcPr>
          <w:p>
            <w:pPr>
              <w:pStyle w:val="Normal"/>
              <w:snapToGrid w:val="false"/>
              <w:rPr>
                <w:rFonts w:ascii="Arial" w:hAnsi="Arial" w:cs="Arial"/>
                <w:sz w:val="16"/>
              </w:rPr>
            </w:pPr>
            <w:r>
              <w:rPr>
                <w:rFonts w:cs="Arial" w:ascii="Arial" w:hAnsi="Arial"/>
                <w:sz w:val="16"/>
              </w:rPr>
            </w:r>
          </w:p>
        </w:tc>
        <w:tc>
          <w:tcPr>
            <w:tcW w:w="750" w:type="dxa"/>
            <w:tcBorders/>
            <w:shd w:fill="auto" w:val="clear"/>
            <w:vAlign w:val="bottom"/>
          </w:tcPr>
          <w:p>
            <w:pPr>
              <w:pStyle w:val="Normal"/>
              <w:snapToGrid w:val="false"/>
              <w:rPr>
                <w:rFonts w:ascii="Arial" w:hAnsi="Arial" w:cs="Arial"/>
                <w:sz w:val="16"/>
              </w:rPr>
            </w:pPr>
            <w:r>
              <w:rPr>
                <w:rFonts w:cs="Arial" w:ascii="Arial" w:hAnsi="Arial"/>
                <w:sz w:val="16"/>
              </w:rPr>
            </w:r>
          </w:p>
        </w:tc>
        <w:tc>
          <w:tcPr>
            <w:tcW w:w="261" w:type="dxa"/>
            <w:tcBorders/>
            <w:shd w:fill="auto" w:val="clear"/>
            <w:vAlign w:val="bottom"/>
          </w:tcPr>
          <w:p>
            <w:pPr>
              <w:pStyle w:val="Normal"/>
              <w:snapToGrid w:val="false"/>
              <w:rPr>
                <w:rFonts w:ascii="Arial" w:hAnsi="Arial" w:cs="Arial"/>
                <w:sz w:val="16"/>
              </w:rPr>
            </w:pPr>
            <w:r>
              <w:rPr>
                <w:rFonts w:cs="Arial" w:ascii="Arial" w:hAnsi="Arial"/>
                <w:sz w:val="16"/>
              </w:rPr>
            </w:r>
          </w:p>
        </w:tc>
        <w:tc>
          <w:tcPr>
            <w:tcW w:w="777" w:type="dxa"/>
            <w:tcBorders/>
            <w:shd w:fill="auto" w:val="clear"/>
            <w:vAlign w:val="bottom"/>
          </w:tcPr>
          <w:p>
            <w:pPr>
              <w:pStyle w:val="Normal"/>
              <w:snapToGrid w:val="false"/>
              <w:rPr>
                <w:rFonts w:ascii="Arial" w:hAnsi="Arial" w:cs="Arial"/>
                <w:sz w:val="16"/>
              </w:rPr>
            </w:pPr>
            <w:r>
              <w:rPr>
                <w:rFonts w:cs="Arial" w:ascii="Arial" w:hAnsi="Arial"/>
                <w:sz w:val="16"/>
              </w:rPr>
            </w:r>
          </w:p>
        </w:tc>
        <w:tc>
          <w:tcPr>
            <w:tcW w:w="261" w:type="dxa"/>
            <w:tcBorders/>
            <w:shd w:fill="auto" w:val="clear"/>
            <w:vAlign w:val="bottom"/>
          </w:tcPr>
          <w:p>
            <w:pPr>
              <w:pStyle w:val="Normal"/>
              <w:snapToGrid w:val="false"/>
              <w:rPr>
                <w:rFonts w:ascii="Arial" w:hAnsi="Arial" w:cs="Arial"/>
                <w:sz w:val="16"/>
              </w:rPr>
            </w:pPr>
            <w:r>
              <w:rPr>
                <w:rFonts w:cs="Arial" w:ascii="Arial" w:hAnsi="Arial"/>
                <w:sz w:val="16"/>
              </w:rPr>
            </w:r>
          </w:p>
        </w:tc>
        <w:tc>
          <w:tcPr>
            <w:tcW w:w="839" w:type="dxa"/>
            <w:tcBorders/>
            <w:shd w:fill="auto" w:val="clear"/>
            <w:vAlign w:val="bottom"/>
          </w:tcPr>
          <w:p>
            <w:pPr>
              <w:pStyle w:val="Normal"/>
              <w:snapToGrid w:val="false"/>
              <w:rPr>
                <w:rFonts w:ascii="Arial" w:hAnsi="Arial" w:cs="Arial"/>
                <w:sz w:val="16"/>
              </w:rPr>
            </w:pPr>
            <w:r>
              <w:rPr>
                <w:rFonts w:cs="Arial" w:ascii="Arial" w:hAnsi="Arial"/>
                <w:sz w:val="16"/>
              </w:rPr>
            </w:r>
          </w:p>
        </w:tc>
      </w:tr>
      <w:tr>
        <w:trPr>
          <w:trHeight w:val="225" w:hRule="atLeast"/>
        </w:trPr>
        <w:tc>
          <w:tcPr>
            <w:tcW w:w="2622" w:type="dxa"/>
            <w:tcBorders/>
            <w:shd w:fill="auto" w:val="clear"/>
            <w:vAlign w:val="bottom"/>
          </w:tcPr>
          <w:p>
            <w:pPr>
              <w:pStyle w:val="Normal"/>
              <w:rPr>
                <w:rFonts w:ascii="Arial" w:hAnsi="Arial" w:cs="Arial"/>
                <w:b/>
                <w:b/>
                <w:sz w:val="16"/>
              </w:rPr>
            </w:pPr>
            <w:r>
              <w:rPr>
                <w:rFonts w:cs="Arial" w:ascii="Arial" w:hAnsi="Arial"/>
                <w:b/>
                <w:sz w:val="16"/>
              </w:rPr>
              <w:t>Falls</w:t>
            </w:r>
          </w:p>
        </w:tc>
        <w:tc>
          <w:tcPr>
            <w:tcW w:w="1037" w:type="dxa"/>
            <w:tcBorders/>
            <w:shd w:fill="auto" w:val="clear"/>
            <w:vAlign w:val="bottom"/>
          </w:tcPr>
          <w:p>
            <w:pPr>
              <w:pStyle w:val="Normal"/>
              <w:ind w:firstLine="124"/>
              <w:rPr>
                <w:rFonts w:ascii="Arial" w:hAnsi="Arial" w:cs="Arial"/>
                <w:b/>
                <w:b/>
                <w:sz w:val="16"/>
              </w:rPr>
            </w:pPr>
            <w:r>
              <w:rPr>
                <w:rFonts w:cs="Arial" w:ascii="Arial" w:hAnsi="Arial"/>
                <w:b/>
                <w:sz w:val="16"/>
              </w:rPr>
              <w:t>21.4</w:t>
            </w:r>
          </w:p>
        </w:tc>
        <w:tc>
          <w:tcPr>
            <w:tcW w:w="324" w:type="dxa"/>
            <w:tcBorders/>
            <w:shd w:fill="auto" w:val="clear"/>
            <w:vAlign w:val="bottom"/>
          </w:tcPr>
          <w:p>
            <w:pPr>
              <w:pStyle w:val="Normal"/>
              <w:snapToGrid w:val="false"/>
              <w:ind w:firstLine="124"/>
              <w:rPr>
                <w:rFonts w:ascii="Arial" w:hAnsi="Arial" w:cs="Arial"/>
                <w:b/>
                <w:b/>
                <w:sz w:val="16"/>
              </w:rPr>
            </w:pPr>
            <w:r>
              <w:rPr>
                <w:rFonts w:cs="Arial" w:ascii="Arial" w:hAnsi="Arial"/>
                <w:b/>
                <w:sz w:val="16"/>
              </w:rPr>
            </w:r>
          </w:p>
        </w:tc>
        <w:tc>
          <w:tcPr>
            <w:tcW w:w="917" w:type="dxa"/>
            <w:tcBorders/>
            <w:shd w:fill="auto" w:val="clear"/>
            <w:vAlign w:val="bottom"/>
          </w:tcPr>
          <w:p>
            <w:pPr>
              <w:pStyle w:val="Normal"/>
              <w:ind w:firstLine="124"/>
              <w:rPr>
                <w:rFonts w:ascii="Arial" w:hAnsi="Arial" w:cs="Arial"/>
                <w:b/>
                <w:b/>
                <w:sz w:val="16"/>
              </w:rPr>
            </w:pPr>
            <w:r>
              <w:rPr>
                <w:rFonts w:cs="Arial" w:ascii="Arial" w:hAnsi="Arial"/>
                <w:b/>
                <w:sz w:val="16"/>
              </w:rPr>
              <w:t>28.0</w:t>
            </w:r>
          </w:p>
        </w:tc>
        <w:tc>
          <w:tcPr>
            <w:tcW w:w="324" w:type="dxa"/>
            <w:tcBorders/>
            <w:shd w:fill="auto" w:val="clear"/>
            <w:vAlign w:val="bottom"/>
          </w:tcPr>
          <w:p>
            <w:pPr>
              <w:pStyle w:val="Normal"/>
              <w:snapToGrid w:val="false"/>
              <w:ind w:firstLine="124"/>
              <w:rPr>
                <w:rFonts w:ascii="Arial" w:hAnsi="Arial" w:cs="Arial"/>
                <w:b/>
                <w:b/>
                <w:sz w:val="16"/>
              </w:rPr>
            </w:pPr>
            <w:r>
              <w:rPr>
                <w:rFonts w:cs="Arial" w:ascii="Arial" w:hAnsi="Arial"/>
                <w:b/>
                <w:sz w:val="16"/>
              </w:rPr>
            </w:r>
          </w:p>
        </w:tc>
        <w:tc>
          <w:tcPr>
            <w:tcW w:w="750" w:type="dxa"/>
            <w:tcBorders/>
            <w:shd w:fill="auto" w:val="clear"/>
            <w:vAlign w:val="bottom"/>
          </w:tcPr>
          <w:p>
            <w:pPr>
              <w:pStyle w:val="Normal"/>
              <w:ind w:firstLine="124"/>
              <w:rPr>
                <w:rFonts w:ascii="Arial" w:hAnsi="Arial" w:cs="Arial"/>
                <w:b/>
                <w:b/>
                <w:sz w:val="16"/>
              </w:rPr>
            </w:pPr>
            <w:r>
              <w:rPr>
                <w:rFonts w:cs="Arial" w:ascii="Arial" w:hAnsi="Arial"/>
                <w:b/>
                <w:sz w:val="16"/>
              </w:rPr>
              <w:t>40.8</w:t>
            </w:r>
            <w:r>
              <w:rPr>
                <w:rFonts w:cs="Arial" w:ascii="Arial" w:hAnsi="Arial"/>
                <w:b/>
                <w:sz w:val="16"/>
                <w:vertAlign w:val="superscript"/>
              </w:rPr>
              <w:t>a</w:t>
            </w:r>
          </w:p>
        </w:tc>
        <w:tc>
          <w:tcPr>
            <w:tcW w:w="261" w:type="dxa"/>
            <w:tcBorders/>
            <w:shd w:fill="auto" w:val="clear"/>
            <w:vAlign w:val="bottom"/>
          </w:tcPr>
          <w:p>
            <w:pPr>
              <w:pStyle w:val="Normal"/>
              <w:snapToGrid w:val="false"/>
              <w:ind w:firstLine="124"/>
              <w:rPr>
                <w:rFonts w:ascii="Arial" w:hAnsi="Arial" w:cs="Arial"/>
                <w:b/>
                <w:b/>
                <w:sz w:val="16"/>
              </w:rPr>
            </w:pPr>
            <w:r>
              <w:rPr>
                <w:rFonts w:cs="Arial" w:ascii="Arial" w:hAnsi="Arial"/>
                <w:b/>
                <w:sz w:val="16"/>
              </w:rPr>
            </w:r>
          </w:p>
        </w:tc>
        <w:tc>
          <w:tcPr>
            <w:tcW w:w="750" w:type="dxa"/>
            <w:tcBorders/>
            <w:shd w:fill="auto" w:val="clear"/>
            <w:vAlign w:val="bottom"/>
          </w:tcPr>
          <w:p>
            <w:pPr>
              <w:pStyle w:val="Normal"/>
              <w:ind w:firstLine="124"/>
              <w:rPr>
                <w:rFonts w:ascii="Arial" w:hAnsi="Arial" w:cs="Arial"/>
                <w:b/>
                <w:b/>
                <w:sz w:val="16"/>
              </w:rPr>
            </w:pPr>
            <w:r>
              <w:rPr>
                <w:rFonts w:cs="Arial" w:ascii="Arial" w:hAnsi="Arial"/>
                <w:b/>
                <w:sz w:val="16"/>
              </w:rPr>
              <w:t>63.8</w:t>
            </w:r>
          </w:p>
        </w:tc>
        <w:tc>
          <w:tcPr>
            <w:tcW w:w="261" w:type="dxa"/>
            <w:tcBorders/>
            <w:shd w:fill="auto" w:val="clear"/>
            <w:vAlign w:val="bottom"/>
          </w:tcPr>
          <w:p>
            <w:pPr>
              <w:pStyle w:val="Normal"/>
              <w:snapToGrid w:val="false"/>
              <w:ind w:firstLine="124"/>
              <w:rPr>
                <w:rFonts w:ascii="Arial" w:hAnsi="Arial" w:cs="Arial"/>
                <w:b/>
                <w:b/>
                <w:sz w:val="16"/>
              </w:rPr>
            </w:pPr>
            <w:r>
              <w:rPr>
                <w:rFonts w:cs="Arial" w:ascii="Arial" w:hAnsi="Arial"/>
                <w:b/>
                <w:sz w:val="16"/>
              </w:rPr>
            </w:r>
          </w:p>
        </w:tc>
        <w:tc>
          <w:tcPr>
            <w:tcW w:w="777" w:type="dxa"/>
            <w:tcBorders/>
            <w:shd w:fill="auto" w:val="clear"/>
            <w:vAlign w:val="bottom"/>
          </w:tcPr>
          <w:p>
            <w:pPr>
              <w:pStyle w:val="Normal"/>
              <w:ind w:firstLine="124"/>
              <w:rPr>
                <w:rFonts w:ascii="Arial" w:hAnsi="Arial" w:cs="Arial"/>
                <w:b/>
                <w:b/>
                <w:sz w:val="16"/>
              </w:rPr>
            </w:pPr>
            <w:r>
              <w:rPr>
                <w:rFonts w:cs="Arial" w:ascii="Arial" w:hAnsi="Arial"/>
                <w:b/>
                <w:sz w:val="16"/>
              </w:rPr>
              <w:t>89.0</w:t>
            </w:r>
          </w:p>
        </w:tc>
        <w:tc>
          <w:tcPr>
            <w:tcW w:w="261" w:type="dxa"/>
            <w:tcBorders/>
            <w:shd w:fill="auto" w:val="clear"/>
            <w:vAlign w:val="bottom"/>
          </w:tcPr>
          <w:p>
            <w:pPr>
              <w:pStyle w:val="Normal"/>
              <w:snapToGrid w:val="false"/>
              <w:ind w:firstLine="124"/>
              <w:rPr>
                <w:rFonts w:ascii="Arial" w:hAnsi="Arial" w:cs="Arial"/>
                <w:b/>
                <w:b/>
                <w:sz w:val="16"/>
              </w:rPr>
            </w:pPr>
            <w:r>
              <w:rPr>
                <w:rFonts w:cs="Arial" w:ascii="Arial" w:hAnsi="Arial"/>
                <w:b/>
                <w:sz w:val="16"/>
              </w:rPr>
            </w:r>
          </w:p>
        </w:tc>
        <w:tc>
          <w:tcPr>
            <w:tcW w:w="839" w:type="dxa"/>
            <w:tcBorders/>
            <w:shd w:fill="auto" w:val="clear"/>
            <w:vAlign w:val="bottom"/>
          </w:tcPr>
          <w:p>
            <w:pPr>
              <w:pStyle w:val="Normal"/>
              <w:ind w:firstLine="124"/>
              <w:rPr>
                <w:rFonts w:ascii="Arial" w:hAnsi="Arial" w:cs="Arial"/>
                <w:b/>
                <w:b/>
                <w:sz w:val="16"/>
              </w:rPr>
            </w:pPr>
            <w:r>
              <w:rPr>
                <w:rFonts w:cs="Arial" w:ascii="Arial" w:hAnsi="Arial"/>
                <w:b/>
                <w:sz w:val="16"/>
              </w:rPr>
              <w:t>233.4</w:t>
            </w:r>
            <w:r>
              <w:rPr>
                <w:rFonts w:cs="Arial" w:ascii="Arial" w:hAnsi="Arial"/>
                <w:b/>
                <w:sz w:val="16"/>
                <w:vertAlign w:val="superscript"/>
              </w:rPr>
              <w:t>b</w:t>
            </w:r>
          </w:p>
        </w:tc>
      </w:tr>
      <w:tr>
        <w:trPr>
          <w:trHeight w:val="225" w:hRule="atLeast"/>
        </w:trPr>
        <w:tc>
          <w:tcPr>
            <w:tcW w:w="2622" w:type="dxa"/>
            <w:tcBorders/>
            <w:shd w:fill="auto" w:val="clear"/>
            <w:vAlign w:val="bottom"/>
          </w:tcPr>
          <w:p>
            <w:pPr>
              <w:pStyle w:val="Normal"/>
              <w:ind w:firstLine="38"/>
              <w:rPr>
                <w:rFonts w:ascii="Arial" w:hAnsi="Arial" w:cs="Arial"/>
                <w:sz w:val="16"/>
              </w:rPr>
            </w:pPr>
            <w:r>
              <w:rPr>
                <w:rFonts w:cs="Arial" w:ascii="Arial" w:hAnsi="Arial"/>
                <w:sz w:val="16"/>
              </w:rPr>
              <w:t>SES 1 (least deprived)</w:t>
            </w:r>
          </w:p>
        </w:tc>
        <w:tc>
          <w:tcPr>
            <w:tcW w:w="1037" w:type="dxa"/>
            <w:tcBorders/>
            <w:shd w:fill="auto" w:val="clear"/>
            <w:vAlign w:val="bottom"/>
          </w:tcPr>
          <w:p>
            <w:pPr>
              <w:pStyle w:val="Normal"/>
              <w:ind w:firstLine="38"/>
              <w:rPr>
                <w:rFonts w:ascii="Arial" w:hAnsi="Arial" w:cs="Arial"/>
                <w:sz w:val="16"/>
              </w:rPr>
            </w:pPr>
            <w:r>
              <w:rPr>
                <w:rFonts w:cs="Arial" w:ascii="Arial" w:hAnsi="Arial"/>
                <w:sz w:val="16"/>
              </w:rPr>
              <w:t>26.2</w:t>
            </w:r>
          </w:p>
        </w:tc>
        <w:tc>
          <w:tcPr>
            <w:tcW w:w="324" w:type="dxa"/>
            <w:tcBorders/>
            <w:shd w:fill="auto" w:val="clear"/>
            <w:vAlign w:val="bottom"/>
          </w:tcPr>
          <w:p>
            <w:pPr>
              <w:pStyle w:val="Normal"/>
              <w:snapToGrid w:val="false"/>
              <w:ind w:firstLine="38"/>
              <w:rPr>
                <w:rFonts w:ascii="Arial" w:hAnsi="Arial" w:cs="Arial"/>
                <w:sz w:val="16"/>
              </w:rPr>
            </w:pPr>
            <w:r>
              <w:rPr>
                <w:rFonts w:cs="Arial" w:ascii="Arial" w:hAnsi="Arial"/>
                <w:sz w:val="16"/>
              </w:rPr>
            </w:r>
          </w:p>
        </w:tc>
        <w:tc>
          <w:tcPr>
            <w:tcW w:w="917" w:type="dxa"/>
            <w:tcBorders/>
            <w:shd w:fill="auto" w:val="clear"/>
            <w:vAlign w:val="bottom"/>
          </w:tcPr>
          <w:p>
            <w:pPr>
              <w:pStyle w:val="Normal"/>
              <w:ind w:firstLine="38"/>
              <w:rPr>
                <w:rFonts w:ascii="Arial" w:hAnsi="Arial" w:cs="Arial"/>
                <w:sz w:val="16"/>
              </w:rPr>
            </w:pPr>
            <w:r>
              <w:rPr>
                <w:rFonts w:cs="Arial" w:ascii="Arial" w:hAnsi="Arial"/>
                <w:sz w:val="16"/>
              </w:rPr>
              <w:t>21.1</w:t>
            </w:r>
          </w:p>
        </w:tc>
        <w:tc>
          <w:tcPr>
            <w:tcW w:w="324" w:type="dxa"/>
            <w:tcBorders/>
            <w:shd w:fill="auto" w:val="clear"/>
            <w:vAlign w:val="bottom"/>
          </w:tcPr>
          <w:p>
            <w:pPr>
              <w:pStyle w:val="Normal"/>
              <w:snapToGrid w:val="false"/>
              <w:ind w:firstLine="38"/>
              <w:rPr>
                <w:rFonts w:ascii="Arial" w:hAnsi="Arial" w:cs="Arial"/>
                <w:sz w:val="16"/>
              </w:rPr>
            </w:pPr>
            <w:r>
              <w:rPr>
                <w:rFonts w:cs="Arial" w:ascii="Arial" w:hAnsi="Arial"/>
                <w:sz w:val="16"/>
              </w:rPr>
            </w:r>
          </w:p>
        </w:tc>
        <w:tc>
          <w:tcPr>
            <w:tcW w:w="750" w:type="dxa"/>
            <w:tcBorders/>
            <w:shd w:fill="auto" w:val="clear"/>
            <w:vAlign w:val="bottom"/>
          </w:tcPr>
          <w:p>
            <w:pPr>
              <w:pStyle w:val="Normal"/>
              <w:ind w:firstLine="38"/>
              <w:rPr>
                <w:rFonts w:ascii="Arial" w:hAnsi="Arial" w:cs="Arial"/>
                <w:sz w:val="16"/>
              </w:rPr>
            </w:pPr>
            <w:r>
              <w:rPr>
                <w:rFonts w:cs="Arial" w:ascii="Arial" w:hAnsi="Arial"/>
                <w:sz w:val="16"/>
              </w:rPr>
              <w:t>32.9</w:t>
            </w:r>
          </w:p>
        </w:tc>
        <w:tc>
          <w:tcPr>
            <w:tcW w:w="261" w:type="dxa"/>
            <w:tcBorders/>
            <w:shd w:fill="auto" w:val="clear"/>
            <w:vAlign w:val="bottom"/>
          </w:tcPr>
          <w:p>
            <w:pPr>
              <w:pStyle w:val="Normal"/>
              <w:snapToGrid w:val="false"/>
              <w:ind w:firstLine="38"/>
              <w:rPr>
                <w:rFonts w:ascii="Arial" w:hAnsi="Arial" w:cs="Arial"/>
                <w:sz w:val="16"/>
              </w:rPr>
            </w:pPr>
            <w:r>
              <w:rPr>
                <w:rFonts w:cs="Arial" w:ascii="Arial" w:hAnsi="Arial"/>
                <w:sz w:val="16"/>
              </w:rPr>
            </w:r>
          </w:p>
        </w:tc>
        <w:tc>
          <w:tcPr>
            <w:tcW w:w="750" w:type="dxa"/>
            <w:tcBorders/>
            <w:shd w:fill="auto" w:val="clear"/>
            <w:vAlign w:val="bottom"/>
          </w:tcPr>
          <w:p>
            <w:pPr>
              <w:pStyle w:val="Normal"/>
              <w:ind w:firstLine="38"/>
              <w:rPr>
                <w:rFonts w:ascii="Arial" w:hAnsi="Arial" w:cs="Arial"/>
                <w:sz w:val="16"/>
              </w:rPr>
            </w:pPr>
            <w:r>
              <w:rPr>
                <w:rFonts w:cs="Arial" w:ascii="Arial" w:hAnsi="Arial"/>
                <w:sz w:val="16"/>
              </w:rPr>
              <w:t>53.1</w:t>
            </w:r>
          </w:p>
        </w:tc>
        <w:tc>
          <w:tcPr>
            <w:tcW w:w="261" w:type="dxa"/>
            <w:tcBorders/>
            <w:shd w:fill="auto" w:val="clear"/>
            <w:vAlign w:val="bottom"/>
          </w:tcPr>
          <w:p>
            <w:pPr>
              <w:pStyle w:val="Normal"/>
              <w:snapToGrid w:val="false"/>
              <w:ind w:firstLine="38"/>
              <w:rPr>
                <w:rFonts w:ascii="Arial" w:hAnsi="Arial" w:cs="Arial"/>
                <w:sz w:val="16"/>
              </w:rPr>
            </w:pPr>
            <w:r>
              <w:rPr>
                <w:rFonts w:cs="Arial" w:ascii="Arial" w:hAnsi="Arial"/>
                <w:sz w:val="16"/>
              </w:rPr>
            </w:r>
          </w:p>
        </w:tc>
        <w:tc>
          <w:tcPr>
            <w:tcW w:w="777" w:type="dxa"/>
            <w:tcBorders/>
            <w:shd w:fill="auto" w:val="clear"/>
            <w:vAlign w:val="bottom"/>
          </w:tcPr>
          <w:p>
            <w:pPr>
              <w:pStyle w:val="Normal"/>
              <w:ind w:firstLine="38"/>
              <w:rPr>
                <w:rFonts w:ascii="Arial" w:hAnsi="Arial" w:cs="Arial"/>
                <w:sz w:val="16"/>
              </w:rPr>
            </w:pPr>
            <w:r>
              <w:rPr>
                <w:rFonts w:cs="Arial" w:ascii="Arial" w:hAnsi="Arial"/>
                <w:sz w:val="16"/>
              </w:rPr>
              <w:t>80.7</w:t>
            </w:r>
          </w:p>
        </w:tc>
        <w:tc>
          <w:tcPr>
            <w:tcW w:w="261" w:type="dxa"/>
            <w:tcBorders/>
            <w:shd w:fill="auto" w:val="clear"/>
            <w:vAlign w:val="bottom"/>
          </w:tcPr>
          <w:p>
            <w:pPr>
              <w:pStyle w:val="Normal"/>
              <w:snapToGrid w:val="false"/>
              <w:ind w:firstLine="38"/>
              <w:rPr>
                <w:rFonts w:ascii="Arial" w:hAnsi="Arial" w:cs="Arial"/>
                <w:sz w:val="16"/>
              </w:rPr>
            </w:pPr>
            <w:r>
              <w:rPr>
                <w:rFonts w:cs="Arial" w:ascii="Arial" w:hAnsi="Arial"/>
                <w:sz w:val="16"/>
              </w:rPr>
            </w:r>
          </w:p>
        </w:tc>
        <w:tc>
          <w:tcPr>
            <w:tcW w:w="839" w:type="dxa"/>
            <w:tcBorders/>
            <w:shd w:fill="auto" w:val="clear"/>
            <w:vAlign w:val="bottom"/>
          </w:tcPr>
          <w:p>
            <w:pPr>
              <w:pStyle w:val="Normal"/>
              <w:ind w:firstLine="38"/>
              <w:rPr>
                <w:rFonts w:ascii="Arial" w:hAnsi="Arial" w:cs="Arial"/>
                <w:sz w:val="16"/>
              </w:rPr>
            </w:pPr>
            <w:r>
              <w:rPr>
                <w:rFonts w:cs="Arial" w:ascii="Arial" w:hAnsi="Arial"/>
                <w:sz w:val="16"/>
              </w:rPr>
              <w:t>337.6</w:t>
            </w:r>
          </w:p>
        </w:tc>
      </w:tr>
      <w:tr>
        <w:trPr>
          <w:trHeight w:val="225" w:hRule="atLeast"/>
        </w:trPr>
        <w:tc>
          <w:tcPr>
            <w:tcW w:w="2622" w:type="dxa"/>
            <w:tcBorders/>
            <w:shd w:fill="auto" w:val="clear"/>
            <w:vAlign w:val="bottom"/>
          </w:tcPr>
          <w:p>
            <w:pPr>
              <w:pStyle w:val="Normal"/>
              <w:ind w:firstLine="38"/>
              <w:rPr>
                <w:rFonts w:ascii="Arial" w:hAnsi="Arial" w:cs="Arial"/>
                <w:sz w:val="16"/>
              </w:rPr>
            </w:pPr>
            <w:r>
              <w:rPr>
                <w:rFonts w:cs="Arial" w:ascii="Arial" w:hAnsi="Arial"/>
                <w:sz w:val="16"/>
              </w:rPr>
              <w:t>SES 2</w:t>
            </w:r>
          </w:p>
        </w:tc>
        <w:tc>
          <w:tcPr>
            <w:tcW w:w="1037" w:type="dxa"/>
            <w:tcBorders/>
            <w:shd w:fill="auto" w:val="clear"/>
            <w:vAlign w:val="bottom"/>
          </w:tcPr>
          <w:p>
            <w:pPr>
              <w:pStyle w:val="Normal"/>
              <w:ind w:firstLine="38"/>
              <w:rPr>
                <w:rFonts w:ascii="Arial" w:hAnsi="Arial" w:cs="Arial"/>
                <w:sz w:val="16"/>
              </w:rPr>
            </w:pPr>
            <w:r>
              <w:rPr>
                <w:rFonts w:cs="Arial" w:ascii="Arial" w:hAnsi="Arial"/>
                <w:sz w:val="16"/>
              </w:rPr>
              <w:t>20.0</w:t>
            </w:r>
          </w:p>
        </w:tc>
        <w:tc>
          <w:tcPr>
            <w:tcW w:w="324" w:type="dxa"/>
            <w:tcBorders/>
            <w:shd w:fill="auto" w:val="clear"/>
            <w:vAlign w:val="bottom"/>
          </w:tcPr>
          <w:p>
            <w:pPr>
              <w:pStyle w:val="Normal"/>
              <w:snapToGrid w:val="false"/>
              <w:ind w:firstLine="38"/>
              <w:rPr>
                <w:rFonts w:ascii="Arial" w:hAnsi="Arial" w:cs="Arial"/>
                <w:sz w:val="16"/>
              </w:rPr>
            </w:pPr>
            <w:r>
              <w:rPr>
                <w:rFonts w:cs="Arial" w:ascii="Arial" w:hAnsi="Arial"/>
                <w:sz w:val="16"/>
              </w:rPr>
            </w:r>
          </w:p>
        </w:tc>
        <w:tc>
          <w:tcPr>
            <w:tcW w:w="917" w:type="dxa"/>
            <w:tcBorders/>
            <w:shd w:fill="auto" w:val="clear"/>
            <w:vAlign w:val="bottom"/>
          </w:tcPr>
          <w:p>
            <w:pPr>
              <w:pStyle w:val="Normal"/>
              <w:ind w:firstLine="38"/>
              <w:rPr>
                <w:rFonts w:ascii="Arial" w:hAnsi="Arial" w:cs="Arial"/>
                <w:sz w:val="16"/>
              </w:rPr>
            </w:pPr>
            <w:r>
              <w:rPr>
                <w:rFonts w:cs="Arial" w:ascii="Arial" w:hAnsi="Arial"/>
                <w:sz w:val="16"/>
              </w:rPr>
              <w:t>32.0</w:t>
            </w:r>
          </w:p>
        </w:tc>
        <w:tc>
          <w:tcPr>
            <w:tcW w:w="324" w:type="dxa"/>
            <w:tcBorders/>
            <w:shd w:fill="auto" w:val="clear"/>
            <w:vAlign w:val="bottom"/>
          </w:tcPr>
          <w:p>
            <w:pPr>
              <w:pStyle w:val="Normal"/>
              <w:snapToGrid w:val="false"/>
              <w:ind w:firstLine="38"/>
              <w:rPr>
                <w:rFonts w:ascii="Arial" w:hAnsi="Arial" w:cs="Arial"/>
                <w:sz w:val="16"/>
              </w:rPr>
            </w:pPr>
            <w:r>
              <w:rPr>
                <w:rFonts w:cs="Arial" w:ascii="Arial" w:hAnsi="Arial"/>
                <w:sz w:val="16"/>
              </w:rPr>
            </w:r>
          </w:p>
        </w:tc>
        <w:tc>
          <w:tcPr>
            <w:tcW w:w="750" w:type="dxa"/>
            <w:tcBorders/>
            <w:shd w:fill="auto" w:val="clear"/>
            <w:vAlign w:val="bottom"/>
          </w:tcPr>
          <w:p>
            <w:pPr>
              <w:pStyle w:val="Normal"/>
              <w:ind w:firstLine="38"/>
              <w:rPr>
                <w:rFonts w:ascii="Arial" w:hAnsi="Arial" w:cs="Arial"/>
                <w:sz w:val="16"/>
              </w:rPr>
            </w:pPr>
            <w:r>
              <w:rPr>
                <w:rFonts w:cs="Arial" w:ascii="Arial" w:hAnsi="Arial"/>
                <w:sz w:val="16"/>
              </w:rPr>
              <w:t>33.5</w:t>
            </w:r>
          </w:p>
        </w:tc>
        <w:tc>
          <w:tcPr>
            <w:tcW w:w="261" w:type="dxa"/>
            <w:tcBorders/>
            <w:shd w:fill="auto" w:val="clear"/>
            <w:vAlign w:val="bottom"/>
          </w:tcPr>
          <w:p>
            <w:pPr>
              <w:pStyle w:val="Normal"/>
              <w:snapToGrid w:val="false"/>
              <w:ind w:firstLine="38"/>
              <w:rPr>
                <w:rFonts w:ascii="Arial" w:hAnsi="Arial" w:cs="Arial"/>
                <w:sz w:val="16"/>
              </w:rPr>
            </w:pPr>
            <w:r>
              <w:rPr>
                <w:rFonts w:cs="Arial" w:ascii="Arial" w:hAnsi="Arial"/>
                <w:sz w:val="16"/>
              </w:rPr>
            </w:r>
          </w:p>
        </w:tc>
        <w:tc>
          <w:tcPr>
            <w:tcW w:w="750" w:type="dxa"/>
            <w:tcBorders/>
            <w:shd w:fill="auto" w:val="clear"/>
            <w:vAlign w:val="bottom"/>
          </w:tcPr>
          <w:p>
            <w:pPr>
              <w:pStyle w:val="Normal"/>
              <w:ind w:firstLine="38"/>
              <w:rPr>
                <w:rFonts w:ascii="Arial" w:hAnsi="Arial" w:cs="Arial"/>
                <w:sz w:val="16"/>
              </w:rPr>
            </w:pPr>
            <w:r>
              <w:rPr>
                <w:rFonts w:cs="Arial" w:ascii="Arial" w:hAnsi="Arial"/>
                <w:sz w:val="16"/>
              </w:rPr>
              <w:t>48.7</w:t>
            </w:r>
          </w:p>
        </w:tc>
        <w:tc>
          <w:tcPr>
            <w:tcW w:w="261" w:type="dxa"/>
            <w:tcBorders/>
            <w:shd w:fill="auto" w:val="clear"/>
            <w:vAlign w:val="bottom"/>
          </w:tcPr>
          <w:p>
            <w:pPr>
              <w:pStyle w:val="Normal"/>
              <w:snapToGrid w:val="false"/>
              <w:ind w:firstLine="38"/>
              <w:rPr>
                <w:rFonts w:ascii="Arial" w:hAnsi="Arial" w:cs="Arial"/>
                <w:sz w:val="16"/>
              </w:rPr>
            </w:pPr>
            <w:r>
              <w:rPr>
                <w:rFonts w:cs="Arial" w:ascii="Arial" w:hAnsi="Arial"/>
                <w:sz w:val="16"/>
              </w:rPr>
            </w:r>
          </w:p>
        </w:tc>
        <w:tc>
          <w:tcPr>
            <w:tcW w:w="777" w:type="dxa"/>
            <w:tcBorders/>
            <w:shd w:fill="auto" w:val="clear"/>
            <w:vAlign w:val="bottom"/>
          </w:tcPr>
          <w:p>
            <w:pPr>
              <w:pStyle w:val="Normal"/>
              <w:ind w:firstLine="38"/>
              <w:rPr>
                <w:rFonts w:ascii="Arial" w:hAnsi="Arial" w:cs="Arial"/>
                <w:sz w:val="16"/>
              </w:rPr>
            </w:pPr>
            <w:r>
              <w:rPr>
                <w:rFonts w:cs="Arial" w:ascii="Arial" w:hAnsi="Arial"/>
                <w:sz w:val="16"/>
              </w:rPr>
              <w:t>65.8</w:t>
            </w:r>
          </w:p>
        </w:tc>
        <w:tc>
          <w:tcPr>
            <w:tcW w:w="261" w:type="dxa"/>
            <w:tcBorders/>
            <w:shd w:fill="auto" w:val="clear"/>
            <w:vAlign w:val="bottom"/>
          </w:tcPr>
          <w:p>
            <w:pPr>
              <w:pStyle w:val="Normal"/>
              <w:snapToGrid w:val="false"/>
              <w:ind w:firstLine="38"/>
              <w:rPr>
                <w:rFonts w:ascii="Arial" w:hAnsi="Arial" w:cs="Arial"/>
                <w:sz w:val="16"/>
              </w:rPr>
            </w:pPr>
            <w:r>
              <w:rPr>
                <w:rFonts w:cs="Arial" w:ascii="Arial" w:hAnsi="Arial"/>
                <w:sz w:val="16"/>
              </w:rPr>
            </w:r>
          </w:p>
        </w:tc>
        <w:tc>
          <w:tcPr>
            <w:tcW w:w="839" w:type="dxa"/>
            <w:tcBorders/>
            <w:shd w:fill="auto" w:val="clear"/>
            <w:vAlign w:val="bottom"/>
          </w:tcPr>
          <w:p>
            <w:pPr>
              <w:pStyle w:val="Normal"/>
              <w:ind w:firstLine="38"/>
              <w:rPr>
                <w:rFonts w:ascii="Arial" w:hAnsi="Arial" w:cs="Arial"/>
                <w:sz w:val="16"/>
              </w:rPr>
            </w:pPr>
            <w:r>
              <w:rPr>
                <w:rFonts w:cs="Arial" w:ascii="Arial" w:hAnsi="Arial"/>
                <w:sz w:val="16"/>
              </w:rPr>
              <w:t>250.3</w:t>
            </w:r>
          </w:p>
        </w:tc>
      </w:tr>
      <w:tr>
        <w:trPr>
          <w:trHeight w:val="225" w:hRule="atLeast"/>
        </w:trPr>
        <w:tc>
          <w:tcPr>
            <w:tcW w:w="2622" w:type="dxa"/>
            <w:tcBorders/>
            <w:shd w:fill="auto" w:val="clear"/>
            <w:vAlign w:val="bottom"/>
          </w:tcPr>
          <w:p>
            <w:pPr>
              <w:pStyle w:val="Normal"/>
              <w:ind w:firstLine="38"/>
              <w:rPr>
                <w:rFonts w:ascii="Arial" w:hAnsi="Arial" w:cs="Arial"/>
                <w:sz w:val="16"/>
              </w:rPr>
            </w:pPr>
            <w:r>
              <w:rPr>
                <w:rFonts w:cs="Arial" w:ascii="Arial" w:hAnsi="Arial"/>
                <w:sz w:val="16"/>
              </w:rPr>
              <w:t>SES 3</w:t>
            </w:r>
          </w:p>
        </w:tc>
        <w:tc>
          <w:tcPr>
            <w:tcW w:w="1037" w:type="dxa"/>
            <w:tcBorders/>
            <w:shd w:fill="auto" w:val="clear"/>
            <w:vAlign w:val="bottom"/>
          </w:tcPr>
          <w:p>
            <w:pPr>
              <w:pStyle w:val="Normal"/>
              <w:ind w:firstLine="38"/>
              <w:rPr>
                <w:rFonts w:ascii="Arial" w:hAnsi="Arial" w:cs="Arial"/>
                <w:sz w:val="16"/>
              </w:rPr>
            </w:pPr>
            <w:r>
              <w:rPr>
                <w:rFonts w:cs="Arial" w:ascii="Arial" w:hAnsi="Arial"/>
                <w:sz w:val="16"/>
              </w:rPr>
              <w:t>18.4</w:t>
            </w:r>
          </w:p>
        </w:tc>
        <w:tc>
          <w:tcPr>
            <w:tcW w:w="324" w:type="dxa"/>
            <w:tcBorders/>
            <w:shd w:fill="auto" w:val="clear"/>
            <w:vAlign w:val="bottom"/>
          </w:tcPr>
          <w:p>
            <w:pPr>
              <w:pStyle w:val="Normal"/>
              <w:snapToGrid w:val="false"/>
              <w:ind w:firstLine="38"/>
              <w:rPr>
                <w:rFonts w:ascii="Arial" w:hAnsi="Arial" w:cs="Arial"/>
                <w:sz w:val="16"/>
              </w:rPr>
            </w:pPr>
            <w:r>
              <w:rPr>
                <w:rFonts w:cs="Arial" w:ascii="Arial" w:hAnsi="Arial"/>
                <w:sz w:val="16"/>
              </w:rPr>
            </w:r>
          </w:p>
        </w:tc>
        <w:tc>
          <w:tcPr>
            <w:tcW w:w="917" w:type="dxa"/>
            <w:tcBorders/>
            <w:shd w:fill="auto" w:val="clear"/>
            <w:vAlign w:val="bottom"/>
          </w:tcPr>
          <w:p>
            <w:pPr>
              <w:pStyle w:val="Normal"/>
              <w:ind w:firstLine="38"/>
              <w:rPr>
                <w:rFonts w:ascii="Arial" w:hAnsi="Arial" w:cs="Arial"/>
                <w:sz w:val="16"/>
              </w:rPr>
            </w:pPr>
            <w:r>
              <w:rPr>
                <w:rFonts w:cs="Arial" w:ascii="Arial" w:hAnsi="Arial"/>
                <w:sz w:val="16"/>
              </w:rPr>
              <w:t>20.3</w:t>
            </w:r>
          </w:p>
        </w:tc>
        <w:tc>
          <w:tcPr>
            <w:tcW w:w="324" w:type="dxa"/>
            <w:tcBorders/>
            <w:shd w:fill="auto" w:val="clear"/>
            <w:vAlign w:val="bottom"/>
          </w:tcPr>
          <w:p>
            <w:pPr>
              <w:pStyle w:val="Normal"/>
              <w:snapToGrid w:val="false"/>
              <w:ind w:firstLine="38"/>
              <w:rPr>
                <w:rFonts w:ascii="Arial" w:hAnsi="Arial" w:cs="Arial"/>
                <w:sz w:val="16"/>
              </w:rPr>
            </w:pPr>
            <w:r>
              <w:rPr>
                <w:rFonts w:cs="Arial" w:ascii="Arial" w:hAnsi="Arial"/>
                <w:sz w:val="16"/>
              </w:rPr>
            </w:r>
          </w:p>
        </w:tc>
        <w:tc>
          <w:tcPr>
            <w:tcW w:w="750" w:type="dxa"/>
            <w:tcBorders/>
            <w:shd w:fill="auto" w:val="clear"/>
            <w:vAlign w:val="bottom"/>
          </w:tcPr>
          <w:p>
            <w:pPr>
              <w:pStyle w:val="Normal"/>
              <w:ind w:firstLine="38"/>
              <w:rPr>
                <w:rFonts w:ascii="Arial" w:hAnsi="Arial" w:cs="Arial"/>
                <w:sz w:val="16"/>
              </w:rPr>
            </w:pPr>
            <w:r>
              <w:rPr>
                <w:rFonts w:cs="Arial" w:ascii="Arial" w:hAnsi="Arial"/>
                <w:sz w:val="16"/>
              </w:rPr>
              <w:t>29.6</w:t>
            </w:r>
          </w:p>
        </w:tc>
        <w:tc>
          <w:tcPr>
            <w:tcW w:w="261" w:type="dxa"/>
            <w:tcBorders/>
            <w:shd w:fill="auto" w:val="clear"/>
            <w:vAlign w:val="bottom"/>
          </w:tcPr>
          <w:p>
            <w:pPr>
              <w:pStyle w:val="Normal"/>
              <w:snapToGrid w:val="false"/>
              <w:ind w:firstLine="38"/>
              <w:rPr>
                <w:rFonts w:ascii="Arial" w:hAnsi="Arial" w:cs="Arial"/>
                <w:sz w:val="16"/>
              </w:rPr>
            </w:pPr>
            <w:r>
              <w:rPr>
                <w:rFonts w:cs="Arial" w:ascii="Arial" w:hAnsi="Arial"/>
                <w:sz w:val="16"/>
              </w:rPr>
            </w:r>
          </w:p>
        </w:tc>
        <w:tc>
          <w:tcPr>
            <w:tcW w:w="750" w:type="dxa"/>
            <w:tcBorders/>
            <w:shd w:fill="auto" w:val="clear"/>
            <w:vAlign w:val="bottom"/>
          </w:tcPr>
          <w:p>
            <w:pPr>
              <w:pStyle w:val="Normal"/>
              <w:ind w:firstLine="38"/>
              <w:rPr>
                <w:rFonts w:ascii="Arial" w:hAnsi="Arial" w:cs="Arial"/>
                <w:sz w:val="16"/>
              </w:rPr>
            </w:pPr>
            <w:r>
              <w:rPr>
                <w:rFonts w:cs="Arial" w:ascii="Arial" w:hAnsi="Arial"/>
                <w:sz w:val="16"/>
              </w:rPr>
              <w:t>44.4</w:t>
            </w:r>
          </w:p>
        </w:tc>
        <w:tc>
          <w:tcPr>
            <w:tcW w:w="261" w:type="dxa"/>
            <w:tcBorders/>
            <w:shd w:fill="auto" w:val="clear"/>
            <w:vAlign w:val="bottom"/>
          </w:tcPr>
          <w:p>
            <w:pPr>
              <w:pStyle w:val="Normal"/>
              <w:snapToGrid w:val="false"/>
              <w:ind w:firstLine="38"/>
              <w:rPr>
                <w:rFonts w:ascii="Arial" w:hAnsi="Arial" w:cs="Arial"/>
                <w:sz w:val="16"/>
              </w:rPr>
            </w:pPr>
            <w:r>
              <w:rPr>
                <w:rFonts w:cs="Arial" w:ascii="Arial" w:hAnsi="Arial"/>
                <w:sz w:val="16"/>
              </w:rPr>
            </w:r>
          </w:p>
        </w:tc>
        <w:tc>
          <w:tcPr>
            <w:tcW w:w="777" w:type="dxa"/>
            <w:tcBorders/>
            <w:shd w:fill="auto" w:val="clear"/>
            <w:vAlign w:val="bottom"/>
          </w:tcPr>
          <w:p>
            <w:pPr>
              <w:pStyle w:val="Normal"/>
              <w:ind w:firstLine="38"/>
              <w:rPr>
                <w:rFonts w:ascii="Arial" w:hAnsi="Arial" w:cs="Arial"/>
                <w:sz w:val="16"/>
              </w:rPr>
            </w:pPr>
            <w:r>
              <w:rPr>
                <w:rFonts w:cs="Arial" w:ascii="Arial" w:hAnsi="Arial"/>
                <w:sz w:val="16"/>
              </w:rPr>
              <w:t>93.2</w:t>
            </w:r>
          </w:p>
        </w:tc>
        <w:tc>
          <w:tcPr>
            <w:tcW w:w="261" w:type="dxa"/>
            <w:tcBorders/>
            <w:shd w:fill="auto" w:val="clear"/>
            <w:vAlign w:val="bottom"/>
          </w:tcPr>
          <w:p>
            <w:pPr>
              <w:pStyle w:val="Normal"/>
              <w:snapToGrid w:val="false"/>
              <w:ind w:firstLine="38"/>
              <w:rPr>
                <w:rFonts w:ascii="Arial" w:hAnsi="Arial" w:cs="Arial"/>
                <w:sz w:val="16"/>
              </w:rPr>
            </w:pPr>
            <w:r>
              <w:rPr>
                <w:rFonts w:cs="Arial" w:ascii="Arial" w:hAnsi="Arial"/>
                <w:sz w:val="16"/>
              </w:rPr>
            </w:r>
          </w:p>
        </w:tc>
        <w:tc>
          <w:tcPr>
            <w:tcW w:w="839" w:type="dxa"/>
            <w:tcBorders/>
            <w:shd w:fill="auto" w:val="clear"/>
            <w:vAlign w:val="bottom"/>
          </w:tcPr>
          <w:p>
            <w:pPr>
              <w:pStyle w:val="Normal"/>
              <w:ind w:firstLine="38"/>
              <w:rPr>
                <w:rFonts w:ascii="Arial" w:hAnsi="Arial" w:cs="Arial"/>
                <w:sz w:val="16"/>
              </w:rPr>
            </w:pPr>
            <w:r>
              <w:rPr>
                <w:rFonts w:cs="Arial" w:ascii="Arial" w:hAnsi="Arial"/>
                <w:sz w:val="16"/>
              </w:rPr>
              <w:t>188.2</w:t>
            </w:r>
          </w:p>
        </w:tc>
      </w:tr>
      <w:tr>
        <w:trPr>
          <w:trHeight w:val="225" w:hRule="atLeast"/>
        </w:trPr>
        <w:tc>
          <w:tcPr>
            <w:tcW w:w="2622" w:type="dxa"/>
            <w:tcBorders/>
            <w:shd w:fill="auto" w:val="clear"/>
            <w:vAlign w:val="bottom"/>
          </w:tcPr>
          <w:p>
            <w:pPr>
              <w:pStyle w:val="Normal"/>
              <w:ind w:firstLine="38"/>
              <w:rPr>
                <w:rFonts w:ascii="Arial" w:hAnsi="Arial" w:cs="Arial"/>
                <w:sz w:val="16"/>
              </w:rPr>
            </w:pPr>
            <w:r>
              <w:rPr>
                <w:rFonts w:cs="Arial" w:ascii="Arial" w:hAnsi="Arial"/>
                <w:sz w:val="16"/>
              </w:rPr>
              <w:t>SES 4</w:t>
            </w:r>
          </w:p>
        </w:tc>
        <w:tc>
          <w:tcPr>
            <w:tcW w:w="1037" w:type="dxa"/>
            <w:tcBorders/>
            <w:shd w:fill="auto" w:val="clear"/>
            <w:vAlign w:val="bottom"/>
          </w:tcPr>
          <w:p>
            <w:pPr>
              <w:pStyle w:val="Normal"/>
              <w:ind w:firstLine="38"/>
              <w:rPr>
                <w:rFonts w:ascii="Arial" w:hAnsi="Arial" w:cs="Arial"/>
                <w:sz w:val="16"/>
              </w:rPr>
            </w:pPr>
            <w:r>
              <w:rPr>
                <w:rFonts w:cs="Arial" w:ascii="Arial" w:hAnsi="Arial"/>
                <w:sz w:val="16"/>
              </w:rPr>
              <w:t>24.2</w:t>
            </w:r>
          </w:p>
        </w:tc>
        <w:tc>
          <w:tcPr>
            <w:tcW w:w="324" w:type="dxa"/>
            <w:tcBorders/>
            <w:shd w:fill="auto" w:val="clear"/>
            <w:vAlign w:val="bottom"/>
          </w:tcPr>
          <w:p>
            <w:pPr>
              <w:pStyle w:val="Normal"/>
              <w:snapToGrid w:val="false"/>
              <w:ind w:firstLine="38"/>
              <w:rPr>
                <w:rFonts w:ascii="Arial" w:hAnsi="Arial" w:cs="Arial"/>
                <w:sz w:val="16"/>
              </w:rPr>
            </w:pPr>
            <w:r>
              <w:rPr>
                <w:rFonts w:cs="Arial" w:ascii="Arial" w:hAnsi="Arial"/>
                <w:sz w:val="16"/>
              </w:rPr>
            </w:r>
          </w:p>
        </w:tc>
        <w:tc>
          <w:tcPr>
            <w:tcW w:w="917" w:type="dxa"/>
            <w:tcBorders/>
            <w:shd w:fill="auto" w:val="clear"/>
            <w:vAlign w:val="bottom"/>
          </w:tcPr>
          <w:p>
            <w:pPr>
              <w:pStyle w:val="Normal"/>
              <w:ind w:firstLine="38"/>
              <w:rPr>
                <w:rFonts w:ascii="Arial" w:hAnsi="Arial" w:cs="Arial"/>
                <w:sz w:val="16"/>
              </w:rPr>
            </w:pPr>
            <w:r>
              <w:rPr>
                <w:rFonts w:cs="Arial" w:ascii="Arial" w:hAnsi="Arial"/>
                <w:sz w:val="16"/>
              </w:rPr>
              <w:t>34.4</w:t>
            </w:r>
          </w:p>
        </w:tc>
        <w:tc>
          <w:tcPr>
            <w:tcW w:w="324" w:type="dxa"/>
            <w:tcBorders/>
            <w:shd w:fill="auto" w:val="clear"/>
            <w:vAlign w:val="bottom"/>
          </w:tcPr>
          <w:p>
            <w:pPr>
              <w:pStyle w:val="Normal"/>
              <w:snapToGrid w:val="false"/>
              <w:ind w:firstLine="38"/>
              <w:rPr>
                <w:rFonts w:ascii="Arial" w:hAnsi="Arial" w:cs="Arial"/>
                <w:sz w:val="16"/>
              </w:rPr>
            </w:pPr>
            <w:r>
              <w:rPr>
                <w:rFonts w:cs="Arial" w:ascii="Arial" w:hAnsi="Arial"/>
                <w:sz w:val="16"/>
              </w:rPr>
            </w:r>
          </w:p>
        </w:tc>
        <w:tc>
          <w:tcPr>
            <w:tcW w:w="750" w:type="dxa"/>
            <w:tcBorders/>
            <w:shd w:fill="auto" w:val="clear"/>
            <w:vAlign w:val="bottom"/>
          </w:tcPr>
          <w:p>
            <w:pPr>
              <w:pStyle w:val="Normal"/>
              <w:ind w:firstLine="38"/>
              <w:rPr>
                <w:rFonts w:ascii="Arial" w:hAnsi="Arial" w:cs="Arial"/>
                <w:sz w:val="16"/>
              </w:rPr>
            </w:pPr>
            <w:r>
              <w:rPr>
                <w:rFonts w:cs="Arial" w:ascii="Arial" w:hAnsi="Arial"/>
                <w:sz w:val="16"/>
              </w:rPr>
              <w:t>45.4</w:t>
            </w:r>
          </w:p>
        </w:tc>
        <w:tc>
          <w:tcPr>
            <w:tcW w:w="261" w:type="dxa"/>
            <w:tcBorders/>
            <w:shd w:fill="auto" w:val="clear"/>
            <w:vAlign w:val="bottom"/>
          </w:tcPr>
          <w:p>
            <w:pPr>
              <w:pStyle w:val="Normal"/>
              <w:snapToGrid w:val="false"/>
              <w:ind w:firstLine="38"/>
              <w:rPr>
                <w:rFonts w:ascii="Arial" w:hAnsi="Arial" w:cs="Arial"/>
                <w:sz w:val="16"/>
              </w:rPr>
            </w:pPr>
            <w:r>
              <w:rPr>
                <w:rFonts w:cs="Arial" w:ascii="Arial" w:hAnsi="Arial"/>
                <w:sz w:val="16"/>
              </w:rPr>
            </w:r>
          </w:p>
        </w:tc>
        <w:tc>
          <w:tcPr>
            <w:tcW w:w="750" w:type="dxa"/>
            <w:tcBorders/>
            <w:shd w:fill="auto" w:val="clear"/>
            <w:vAlign w:val="bottom"/>
          </w:tcPr>
          <w:p>
            <w:pPr>
              <w:pStyle w:val="Normal"/>
              <w:ind w:firstLine="38"/>
              <w:rPr>
                <w:rFonts w:ascii="Arial" w:hAnsi="Arial" w:cs="Arial"/>
                <w:sz w:val="16"/>
              </w:rPr>
            </w:pPr>
            <w:r>
              <w:rPr>
                <w:rFonts w:cs="Arial" w:ascii="Arial" w:hAnsi="Arial"/>
                <w:sz w:val="16"/>
              </w:rPr>
              <w:t>86.7</w:t>
            </w:r>
          </w:p>
        </w:tc>
        <w:tc>
          <w:tcPr>
            <w:tcW w:w="261" w:type="dxa"/>
            <w:tcBorders/>
            <w:shd w:fill="auto" w:val="clear"/>
            <w:vAlign w:val="bottom"/>
          </w:tcPr>
          <w:p>
            <w:pPr>
              <w:pStyle w:val="Normal"/>
              <w:snapToGrid w:val="false"/>
              <w:ind w:firstLine="38"/>
              <w:rPr>
                <w:rFonts w:ascii="Arial" w:hAnsi="Arial" w:cs="Arial"/>
                <w:sz w:val="16"/>
              </w:rPr>
            </w:pPr>
            <w:r>
              <w:rPr>
                <w:rFonts w:cs="Arial" w:ascii="Arial" w:hAnsi="Arial"/>
                <w:sz w:val="16"/>
              </w:rPr>
            </w:r>
          </w:p>
        </w:tc>
        <w:tc>
          <w:tcPr>
            <w:tcW w:w="777" w:type="dxa"/>
            <w:tcBorders/>
            <w:shd w:fill="auto" w:val="clear"/>
            <w:vAlign w:val="bottom"/>
          </w:tcPr>
          <w:p>
            <w:pPr>
              <w:pStyle w:val="Normal"/>
              <w:ind w:firstLine="38"/>
              <w:rPr>
                <w:rFonts w:ascii="Arial" w:hAnsi="Arial" w:cs="Arial"/>
                <w:sz w:val="16"/>
              </w:rPr>
            </w:pPr>
            <w:r>
              <w:rPr>
                <w:rFonts w:cs="Arial" w:ascii="Arial" w:hAnsi="Arial"/>
                <w:sz w:val="16"/>
              </w:rPr>
              <w:t>101.3</w:t>
            </w:r>
          </w:p>
        </w:tc>
        <w:tc>
          <w:tcPr>
            <w:tcW w:w="261" w:type="dxa"/>
            <w:tcBorders/>
            <w:shd w:fill="auto" w:val="clear"/>
            <w:vAlign w:val="bottom"/>
          </w:tcPr>
          <w:p>
            <w:pPr>
              <w:pStyle w:val="Normal"/>
              <w:snapToGrid w:val="false"/>
              <w:ind w:firstLine="38"/>
              <w:rPr>
                <w:rFonts w:ascii="Arial" w:hAnsi="Arial" w:cs="Arial"/>
                <w:sz w:val="16"/>
              </w:rPr>
            </w:pPr>
            <w:r>
              <w:rPr>
                <w:rFonts w:cs="Arial" w:ascii="Arial" w:hAnsi="Arial"/>
                <w:sz w:val="16"/>
              </w:rPr>
            </w:r>
          </w:p>
        </w:tc>
        <w:tc>
          <w:tcPr>
            <w:tcW w:w="839" w:type="dxa"/>
            <w:tcBorders/>
            <w:shd w:fill="auto" w:val="clear"/>
            <w:vAlign w:val="bottom"/>
          </w:tcPr>
          <w:p>
            <w:pPr>
              <w:pStyle w:val="Normal"/>
              <w:ind w:firstLine="38"/>
              <w:rPr>
                <w:rFonts w:ascii="Arial" w:hAnsi="Arial" w:cs="Arial"/>
                <w:sz w:val="16"/>
              </w:rPr>
            </w:pPr>
            <w:r>
              <w:rPr>
                <w:rFonts w:cs="Arial" w:ascii="Arial" w:hAnsi="Arial"/>
                <w:sz w:val="16"/>
              </w:rPr>
              <w:t>184.0</w:t>
            </w:r>
          </w:p>
        </w:tc>
      </w:tr>
      <w:tr>
        <w:trPr>
          <w:trHeight w:val="225" w:hRule="atLeast"/>
        </w:trPr>
        <w:tc>
          <w:tcPr>
            <w:tcW w:w="2622" w:type="dxa"/>
            <w:tcBorders/>
            <w:shd w:fill="auto" w:val="clear"/>
            <w:vAlign w:val="bottom"/>
          </w:tcPr>
          <w:p>
            <w:pPr>
              <w:pStyle w:val="Normal"/>
              <w:ind w:firstLine="38"/>
              <w:rPr>
                <w:rFonts w:ascii="Arial" w:hAnsi="Arial" w:cs="Arial"/>
                <w:sz w:val="16"/>
              </w:rPr>
            </w:pPr>
            <w:r>
              <w:rPr>
                <w:rFonts w:cs="Arial" w:ascii="Arial" w:hAnsi="Arial"/>
                <w:sz w:val="16"/>
              </w:rPr>
              <w:t>SES 5 (most deprived)</w:t>
            </w:r>
          </w:p>
        </w:tc>
        <w:tc>
          <w:tcPr>
            <w:tcW w:w="1037" w:type="dxa"/>
            <w:tcBorders/>
            <w:shd w:fill="auto" w:val="clear"/>
            <w:vAlign w:val="bottom"/>
          </w:tcPr>
          <w:p>
            <w:pPr>
              <w:pStyle w:val="Normal"/>
              <w:ind w:firstLine="38"/>
              <w:rPr>
                <w:rFonts w:ascii="Arial" w:hAnsi="Arial" w:cs="Arial"/>
                <w:sz w:val="16"/>
              </w:rPr>
            </w:pPr>
            <w:r>
              <w:rPr>
                <w:rFonts w:cs="Arial" w:ascii="Arial" w:hAnsi="Arial"/>
                <w:sz w:val="16"/>
              </w:rPr>
              <w:t>18.5</w:t>
            </w:r>
          </w:p>
        </w:tc>
        <w:tc>
          <w:tcPr>
            <w:tcW w:w="324" w:type="dxa"/>
            <w:tcBorders/>
            <w:shd w:fill="auto" w:val="clear"/>
            <w:vAlign w:val="bottom"/>
          </w:tcPr>
          <w:p>
            <w:pPr>
              <w:pStyle w:val="Normal"/>
              <w:snapToGrid w:val="false"/>
              <w:ind w:firstLine="38"/>
              <w:rPr>
                <w:rFonts w:ascii="Arial" w:hAnsi="Arial" w:cs="Arial"/>
                <w:sz w:val="16"/>
              </w:rPr>
            </w:pPr>
            <w:r>
              <w:rPr>
                <w:rFonts w:cs="Arial" w:ascii="Arial" w:hAnsi="Arial"/>
                <w:sz w:val="16"/>
              </w:rPr>
            </w:r>
          </w:p>
        </w:tc>
        <w:tc>
          <w:tcPr>
            <w:tcW w:w="917" w:type="dxa"/>
            <w:tcBorders/>
            <w:shd w:fill="auto" w:val="clear"/>
            <w:vAlign w:val="bottom"/>
          </w:tcPr>
          <w:p>
            <w:pPr>
              <w:pStyle w:val="Normal"/>
              <w:ind w:firstLine="38"/>
              <w:rPr>
                <w:rFonts w:ascii="Arial" w:hAnsi="Arial" w:cs="Arial"/>
                <w:sz w:val="16"/>
              </w:rPr>
            </w:pPr>
            <w:r>
              <w:rPr>
                <w:rFonts w:cs="Arial" w:ascii="Arial" w:hAnsi="Arial"/>
                <w:sz w:val="16"/>
              </w:rPr>
              <w:t>31.0</w:t>
            </w:r>
          </w:p>
        </w:tc>
        <w:tc>
          <w:tcPr>
            <w:tcW w:w="324" w:type="dxa"/>
            <w:tcBorders/>
            <w:shd w:fill="auto" w:val="clear"/>
            <w:vAlign w:val="bottom"/>
          </w:tcPr>
          <w:p>
            <w:pPr>
              <w:pStyle w:val="Normal"/>
              <w:snapToGrid w:val="false"/>
              <w:ind w:firstLine="38"/>
              <w:rPr>
                <w:rFonts w:ascii="Arial" w:hAnsi="Arial" w:cs="Arial"/>
                <w:sz w:val="16"/>
              </w:rPr>
            </w:pPr>
            <w:r>
              <w:rPr>
                <w:rFonts w:cs="Arial" w:ascii="Arial" w:hAnsi="Arial"/>
                <w:sz w:val="16"/>
              </w:rPr>
            </w:r>
          </w:p>
        </w:tc>
        <w:tc>
          <w:tcPr>
            <w:tcW w:w="750" w:type="dxa"/>
            <w:tcBorders/>
            <w:shd w:fill="auto" w:val="clear"/>
            <w:vAlign w:val="bottom"/>
          </w:tcPr>
          <w:p>
            <w:pPr>
              <w:pStyle w:val="Normal"/>
              <w:ind w:firstLine="38"/>
              <w:rPr>
                <w:rFonts w:ascii="Arial" w:hAnsi="Arial" w:cs="Arial"/>
                <w:sz w:val="16"/>
              </w:rPr>
            </w:pPr>
            <w:r>
              <w:rPr>
                <w:rFonts w:cs="Arial" w:ascii="Arial" w:hAnsi="Arial"/>
                <w:sz w:val="16"/>
              </w:rPr>
              <w:t>64.7</w:t>
            </w:r>
          </w:p>
        </w:tc>
        <w:tc>
          <w:tcPr>
            <w:tcW w:w="261" w:type="dxa"/>
            <w:tcBorders/>
            <w:shd w:fill="auto" w:val="clear"/>
            <w:vAlign w:val="bottom"/>
          </w:tcPr>
          <w:p>
            <w:pPr>
              <w:pStyle w:val="Normal"/>
              <w:snapToGrid w:val="false"/>
              <w:ind w:firstLine="38"/>
              <w:rPr>
                <w:rFonts w:ascii="Arial" w:hAnsi="Arial" w:cs="Arial"/>
                <w:sz w:val="16"/>
              </w:rPr>
            </w:pPr>
            <w:r>
              <w:rPr>
                <w:rFonts w:cs="Arial" w:ascii="Arial" w:hAnsi="Arial"/>
                <w:sz w:val="16"/>
              </w:rPr>
            </w:r>
          </w:p>
        </w:tc>
        <w:tc>
          <w:tcPr>
            <w:tcW w:w="750" w:type="dxa"/>
            <w:tcBorders/>
            <w:shd w:fill="auto" w:val="clear"/>
            <w:vAlign w:val="bottom"/>
          </w:tcPr>
          <w:p>
            <w:pPr>
              <w:pStyle w:val="Normal"/>
              <w:ind w:firstLine="38"/>
              <w:rPr>
                <w:rFonts w:ascii="Arial" w:hAnsi="Arial" w:cs="Arial"/>
                <w:sz w:val="16"/>
              </w:rPr>
            </w:pPr>
            <w:r>
              <w:rPr>
                <w:rFonts w:cs="Arial" w:ascii="Arial" w:hAnsi="Arial"/>
                <w:sz w:val="16"/>
              </w:rPr>
              <w:t>98.1</w:t>
            </w:r>
          </w:p>
        </w:tc>
        <w:tc>
          <w:tcPr>
            <w:tcW w:w="261" w:type="dxa"/>
            <w:tcBorders/>
            <w:shd w:fill="auto" w:val="clear"/>
            <w:vAlign w:val="bottom"/>
          </w:tcPr>
          <w:p>
            <w:pPr>
              <w:pStyle w:val="Normal"/>
              <w:snapToGrid w:val="false"/>
              <w:ind w:firstLine="38"/>
              <w:rPr>
                <w:rFonts w:ascii="Arial" w:hAnsi="Arial" w:cs="Arial"/>
                <w:sz w:val="16"/>
              </w:rPr>
            </w:pPr>
            <w:r>
              <w:rPr>
                <w:rFonts w:cs="Arial" w:ascii="Arial" w:hAnsi="Arial"/>
                <w:sz w:val="16"/>
              </w:rPr>
            </w:r>
          </w:p>
        </w:tc>
        <w:tc>
          <w:tcPr>
            <w:tcW w:w="777" w:type="dxa"/>
            <w:tcBorders/>
            <w:shd w:fill="auto" w:val="clear"/>
            <w:vAlign w:val="bottom"/>
          </w:tcPr>
          <w:p>
            <w:pPr>
              <w:pStyle w:val="Normal"/>
              <w:ind w:firstLine="38"/>
              <w:rPr>
                <w:rFonts w:ascii="Arial" w:hAnsi="Arial" w:cs="Arial"/>
                <w:sz w:val="16"/>
              </w:rPr>
            </w:pPr>
            <w:r>
              <w:rPr>
                <w:rFonts w:cs="Arial" w:ascii="Arial" w:hAnsi="Arial"/>
                <w:sz w:val="16"/>
              </w:rPr>
              <w:t>111.4</w:t>
            </w:r>
          </w:p>
        </w:tc>
        <w:tc>
          <w:tcPr>
            <w:tcW w:w="261" w:type="dxa"/>
            <w:tcBorders/>
            <w:shd w:fill="auto" w:val="clear"/>
            <w:vAlign w:val="bottom"/>
          </w:tcPr>
          <w:p>
            <w:pPr>
              <w:pStyle w:val="Normal"/>
              <w:snapToGrid w:val="false"/>
              <w:ind w:firstLine="38"/>
              <w:rPr>
                <w:rFonts w:ascii="Arial" w:hAnsi="Arial" w:cs="Arial"/>
                <w:sz w:val="16"/>
              </w:rPr>
            </w:pPr>
            <w:r>
              <w:rPr>
                <w:rFonts w:cs="Arial" w:ascii="Arial" w:hAnsi="Arial"/>
                <w:sz w:val="16"/>
              </w:rPr>
            </w:r>
          </w:p>
        </w:tc>
        <w:tc>
          <w:tcPr>
            <w:tcW w:w="839" w:type="dxa"/>
            <w:tcBorders/>
            <w:shd w:fill="auto" w:val="clear"/>
            <w:vAlign w:val="bottom"/>
          </w:tcPr>
          <w:p>
            <w:pPr>
              <w:pStyle w:val="Normal"/>
              <w:ind w:firstLine="38"/>
              <w:rPr>
                <w:rFonts w:ascii="Arial" w:hAnsi="Arial" w:cs="Arial"/>
                <w:sz w:val="16"/>
              </w:rPr>
            </w:pPr>
            <w:r>
              <w:rPr>
                <w:rFonts w:cs="Arial" w:ascii="Arial" w:hAnsi="Arial"/>
                <w:sz w:val="16"/>
              </w:rPr>
              <w:t>224.9</w:t>
            </w:r>
          </w:p>
        </w:tc>
      </w:tr>
      <w:tr>
        <w:trPr>
          <w:trHeight w:val="113" w:hRule="exact"/>
        </w:trPr>
        <w:tc>
          <w:tcPr>
            <w:tcW w:w="2622" w:type="dxa"/>
            <w:tcBorders/>
            <w:shd w:fill="auto" w:val="clear"/>
            <w:vAlign w:val="bottom"/>
          </w:tcPr>
          <w:p>
            <w:pPr>
              <w:pStyle w:val="Normal"/>
              <w:snapToGrid w:val="false"/>
              <w:rPr>
                <w:rFonts w:ascii="Arial" w:hAnsi="Arial" w:cs="Arial"/>
                <w:sz w:val="16"/>
              </w:rPr>
            </w:pPr>
            <w:r>
              <w:rPr>
                <w:rFonts w:cs="Arial" w:ascii="Arial" w:hAnsi="Arial"/>
                <w:sz w:val="16"/>
              </w:rPr>
            </w:r>
          </w:p>
        </w:tc>
        <w:tc>
          <w:tcPr>
            <w:tcW w:w="1037" w:type="dxa"/>
            <w:tcBorders/>
            <w:shd w:fill="auto" w:val="clear"/>
            <w:vAlign w:val="bottom"/>
          </w:tcPr>
          <w:p>
            <w:pPr>
              <w:pStyle w:val="Normal"/>
              <w:snapToGrid w:val="false"/>
              <w:rPr>
                <w:rFonts w:ascii="Arial" w:hAnsi="Arial" w:cs="Arial"/>
                <w:sz w:val="16"/>
              </w:rPr>
            </w:pPr>
            <w:r>
              <w:rPr>
                <w:rFonts w:cs="Arial" w:ascii="Arial" w:hAnsi="Arial"/>
                <w:sz w:val="16"/>
              </w:rPr>
            </w:r>
          </w:p>
        </w:tc>
        <w:tc>
          <w:tcPr>
            <w:tcW w:w="324" w:type="dxa"/>
            <w:tcBorders/>
            <w:shd w:fill="auto" w:val="clear"/>
            <w:vAlign w:val="bottom"/>
          </w:tcPr>
          <w:p>
            <w:pPr>
              <w:pStyle w:val="Normal"/>
              <w:snapToGrid w:val="false"/>
              <w:rPr>
                <w:rFonts w:ascii="Arial" w:hAnsi="Arial" w:cs="Arial"/>
                <w:sz w:val="16"/>
              </w:rPr>
            </w:pPr>
            <w:r>
              <w:rPr>
                <w:rFonts w:cs="Arial" w:ascii="Arial" w:hAnsi="Arial"/>
                <w:sz w:val="16"/>
              </w:rPr>
            </w:r>
          </w:p>
        </w:tc>
        <w:tc>
          <w:tcPr>
            <w:tcW w:w="917" w:type="dxa"/>
            <w:tcBorders/>
            <w:shd w:fill="auto" w:val="clear"/>
            <w:vAlign w:val="bottom"/>
          </w:tcPr>
          <w:p>
            <w:pPr>
              <w:pStyle w:val="Normal"/>
              <w:snapToGrid w:val="false"/>
              <w:rPr>
                <w:rFonts w:ascii="Arial" w:hAnsi="Arial" w:cs="Arial"/>
                <w:sz w:val="16"/>
              </w:rPr>
            </w:pPr>
            <w:r>
              <w:rPr>
                <w:rFonts w:cs="Arial" w:ascii="Arial" w:hAnsi="Arial"/>
                <w:sz w:val="16"/>
              </w:rPr>
            </w:r>
          </w:p>
        </w:tc>
        <w:tc>
          <w:tcPr>
            <w:tcW w:w="324" w:type="dxa"/>
            <w:tcBorders/>
            <w:shd w:fill="auto" w:val="clear"/>
            <w:vAlign w:val="bottom"/>
          </w:tcPr>
          <w:p>
            <w:pPr>
              <w:pStyle w:val="Normal"/>
              <w:snapToGrid w:val="false"/>
              <w:rPr>
                <w:rFonts w:ascii="Arial" w:hAnsi="Arial" w:cs="Arial"/>
                <w:sz w:val="16"/>
              </w:rPr>
            </w:pPr>
            <w:r>
              <w:rPr>
                <w:rFonts w:cs="Arial" w:ascii="Arial" w:hAnsi="Arial"/>
                <w:sz w:val="16"/>
              </w:rPr>
            </w:r>
          </w:p>
        </w:tc>
        <w:tc>
          <w:tcPr>
            <w:tcW w:w="750" w:type="dxa"/>
            <w:tcBorders/>
            <w:shd w:fill="auto" w:val="clear"/>
            <w:vAlign w:val="bottom"/>
          </w:tcPr>
          <w:p>
            <w:pPr>
              <w:pStyle w:val="Normal"/>
              <w:snapToGrid w:val="false"/>
              <w:rPr>
                <w:rFonts w:ascii="Arial" w:hAnsi="Arial" w:cs="Arial"/>
                <w:sz w:val="16"/>
              </w:rPr>
            </w:pPr>
            <w:r>
              <w:rPr>
                <w:rFonts w:cs="Arial" w:ascii="Arial" w:hAnsi="Arial"/>
                <w:sz w:val="16"/>
              </w:rPr>
            </w:r>
          </w:p>
        </w:tc>
        <w:tc>
          <w:tcPr>
            <w:tcW w:w="261" w:type="dxa"/>
            <w:tcBorders/>
            <w:shd w:fill="auto" w:val="clear"/>
            <w:vAlign w:val="bottom"/>
          </w:tcPr>
          <w:p>
            <w:pPr>
              <w:pStyle w:val="Normal"/>
              <w:snapToGrid w:val="false"/>
              <w:rPr>
                <w:rFonts w:ascii="Arial" w:hAnsi="Arial" w:cs="Arial"/>
                <w:sz w:val="16"/>
              </w:rPr>
            </w:pPr>
            <w:r>
              <w:rPr>
                <w:rFonts w:cs="Arial" w:ascii="Arial" w:hAnsi="Arial"/>
                <w:sz w:val="16"/>
              </w:rPr>
            </w:r>
          </w:p>
        </w:tc>
        <w:tc>
          <w:tcPr>
            <w:tcW w:w="750" w:type="dxa"/>
            <w:tcBorders/>
            <w:shd w:fill="auto" w:val="clear"/>
            <w:vAlign w:val="bottom"/>
          </w:tcPr>
          <w:p>
            <w:pPr>
              <w:pStyle w:val="Normal"/>
              <w:snapToGrid w:val="false"/>
              <w:rPr>
                <w:rFonts w:ascii="Arial" w:hAnsi="Arial" w:cs="Arial"/>
                <w:sz w:val="16"/>
              </w:rPr>
            </w:pPr>
            <w:r>
              <w:rPr>
                <w:rFonts w:cs="Arial" w:ascii="Arial" w:hAnsi="Arial"/>
                <w:sz w:val="16"/>
              </w:rPr>
            </w:r>
          </w:p>
        </w:tc>
        <w:tc>
          <w:tcPr>
            <w:tcW w:w="261" w:type="dxa"/>
            <w:tcBorders/>
            <w:shd w:fill="auto" w:val="clear"/>
            <w:vAlign w:val="bottom"/>
          </w:tcPr>
          <w:p>
            <w:pPr>
              <w:pStyle w:val="Normal"/>
              <w:snapToGrid w:val="false"/>
              <w:rPr>
                <w:rFonts w:ascii="Arial" w:hAnsi="Arial" w:cs="Arial"/>
                <w:sz w:val="16"/>
              </w:rPr>
            </w:pPr>
            <w:r>
              <w:rPr>
                <w:rFonts w:cs="Arial" w:ascii="Arial" w:hAnsi="Arial"/>
                <w:sz w:val="16"/>
              </w:rPr>
            </w:r>
          </w:p>
        </w:tc>
        <w:tc>
          <w:tcPr>
            <w:tcW w:w="777" w:type="dxa"/>
            <w:tcBorders/>
            <w:shd w:fill="auto" w:val="clear"/>
            <w:vAlign w:val="bottom"/>
          </w:tcPr>
          <w:p>
            <w:pPr>
              <w:pStyle w:val="Normal"/>
              <w:snapToGrid w:val="false"/>
              <w:rPr>
                <w:rFonts w:ascii="Arial" w:hAnsi="Arial" w:cs="Arial"/>
                <w:sz w:val="16"/>
              </w:rPr>
            </w:pPr>
            <w:r>
              <w:rPr>
                <w:rFonts w:cs="Arial" w:ascii="Arial" w:hAnsi="Arial"/>
                <w:sz w:val="16"/>
              </w:rPr>
            </w:r>
          </w:p>
        </w:tc>
        <w:tc>
          <w:tcPr>
            <w:tcW w:w="261" w:type="dxa"/>
            <w:tcBorders/>
            <w:shd w:fill="auto" w:val="clear"/>
            <w:vAlign w:val="bottom"/>
          </w:tcPr>
          <w:p>
            <w:pPr>
              <w:pStyle w:val="Normal"/>
              <w:snapToGrid w:val="false"/>
              <w:rPr>
                <w:rFonts w:ascii="Arial" w:hAnsi="Arial" w:cs="Arial"/>
                <w:sz w:val="16"/>
              </w:rPr>
            </w:pPr>
            <w:r>
              <w:rPr>
                <w:rFonts w:cs="Arial" w:ascii="Arial" w:hAnsi="Arial"/>
                <w:sz w:val="16"/>
              </w:rPr>
            </w:r>
          </w:p>
        </w:tc>
        <w:tc>
          <w:tcPr>
            <w:tcW w:w="839" w:type="dxa"/>
            <w:tcBorders/>
            <w:shd w:fill="auto" w:val="clear"/>
            <w:vAlign w:val="bottom"/>
          </w:tcPr>
          <w:p>
            <w:pPr>
              <w:pStyle w:val="Normal"/>
              <w:snapToGrid w:val="false"/>
              <w:rPr>
                <w:rFonts w:ascii="Arial" w:hAnsi="Arial" w:cs="Arial"/>
                <w:sz w:val="16"/>
              </w:rPr>
            </w:pPr>
            <w:r>
              <w:rPr>
                <w:rFonts w:cs="Arial" w:ascii="Arial" w:hAnsi="Arial"/>
                <w:sz w:val="16"/>
              </w:rPr>
            </w:r>
          </w:p>
        </w:tc>
      </w:tr>
      <w:tr>
        <w:trPr>
          <w:trHeight w:val="225" w:hRule="atLeast"/>
        </w:trPr>
        <w:tc>
          <w:tcPr>
            <w:tcW w:w="2622" w:type="dxa"/>
            <w:tcBorders/>
            <w:shd w:fill="auto" w:val="clear"/>
            <w:vAlign w:val="bottom"/>
          </w:tcPr>
          <w:p>
            <w:pPr>
              <w:pStyle w:val="Normal"/>
              <w:rPr>
                <w:rFonts w:ascii="Arial" w:hAnsi="Arial" w:cs="Arial"/>
                <w:b/>
                <w:b/>
                <w:sz w:val="16"/>
              </w:rPr>
            </w:pPr>
            <w:r>
              <w:rPr>
                <w:rFonts w:cs="Arial" w:ascii="Arial" w:hAnsi="Arial"/>
                <w:b/>
                <w:sz w:val="16"/>
              </w:rPr>
              <w:t>Pedestrian Injuries</w:t>
            </w:r>
          </w:p>
        </w:tc>
        <w:tc>
          <w:tcPr>
            <w:tcW w:w="1037" w:type="dxa"/>
            <w:tcBorders/>
            <w:shd w:fill="auto" w:val="clear"/>
            <w:vAlign w:val="bottom"/>
          </w:tcPr>
          <w:p>
            <w:pPr>
              <w:pStyle w:val="Normal"/>
              <w:ind w:firstLine="124"/>
              <w:rPr>
                <w:rFonts w:ascii="Arial" w:hAnsi="Arial" w:cs="Arial"/>
                <w:b/>
                <w:b/>
                <w:sz w:val="16"/>
              </w:rPr>
            </w:pPr>
            <w:r>
              <w:rPr>
                <w:rFonts w:cs="Arial" w:ascii="Arial" w:hAnsi="Arial"/>
                <w:b/>
                <w:sz w:val="16"/>
              </w:rPr>
              <w:t>13.5</w:t>
            </w:r>
          </w:p>
        </w:tc>
        <w:tc>
          <w:tcPr>
            <w:tcW w:w="324" w:type="dxa"/>
            <w:tcBorders/>
            <w:shd w:fill="auto" w:val="clear"/>
            <w:vAlign w:val="bottom"/>
          </w:tcPr>
          <w:p>
            <w:pPr>
              <w:pStyle w:val="Normal"/>
              <w:snapToGrid w:val="false"/>
              <w:ind w:firstLine="124"/>
              <w:rPr>
                <w:rFonts w:ascii="Arial" w:hAnsi="Arial" w:cs="Arial"/>
                <w:b/>
                <w:b/>
                <w:sz w:val="16"/>
              </w:rPr>
            </w:pPr>
            <w:r>
              <w:rPr>
                <w:rFonts w:cs="Arial" w:ascii="Arial" w:hAnsi="Arial"/>
                <w:b/>
                <w:sz w:val="16"/>
              </w:rPr>
            </w:r>
          </w:p>
        </w:tc>
        <w:tc>
          <w:tcPr>
            <w:tcW w:w="917" w:type="dxa"/>
            <w:tcBorders/>
            <w:shd w:fill="auto" w:val="clear"/>
            <w:vAlign w:val="bottom"/>
          </w:tcPr>
          <w:p>
            <w:pPr>
              <w:pStyle w:val="Normal"/>
              <w:ind w:firstLine="124"/>
              <w:rPr>
                <w:rFonts w:ascii="Arial" w:hAnsi="Arial" w:cs="Arial"/>
                <w:b/>
                <w:b/>
                <w:sz w:val="16"/>
              </w:rPr>
            </w:pPr>
            <w:r>
              <w:rPr>
                <w:rFonts w:cs="Arial" w:ascii="Arial" w:hAnsi="Arial"/>
                <w:b/>
                <w:sz w:val="16"/>
              </w:rPr>
              <w:t>16.8</w:t>
            </w:r>
            <w:r>
              <w:rPr>
                <w:rFonts w:cs="Arial" w:ascii="Arial" w:hAnsi="Arial"/>
                <w:b/>
                <w:sz w:val="16"/>
                <w:vertAlign w:val="superscript"/>
              </w:rPr>
              <w:t>a</w:t>
            </w:r>
          </w:p>
        </w:tc>
        <w:tc>
          <w:tcPr>
            <w:tcW w:w="324" w:type="dxa"/>
            <w:tcBorders/>
            <w:shd w:fill="auto" w:val="clear"/>
            <w:vAlign w:val="bottom"/>
          </w:tcPr>
          <w:p>
            <w:pPr>
              <w:pStyle w:val="Normal"/>
              <w:snapToGrid w:val="false"/>
              <w:ind w:firstLine="124"/>
              <w:rPr>
                <w:rFonts w:ascii="Arial" w:hAnsi="Arial" w:cs="Arial"/>
                <w:b/>
                <w:b/>
                <w:sz w:val="16"/>
              </w:rPr>
            </w:pPr>
            <w:r>
              <w:rPr>
                <w:rFonts w:cs="Arial" w:ascii="Arial" w:hAnsi="Arial"/>
                <w:b/>
                <w:sz w:val="16"/>
              </w:rPr>
            </w:r>
          </w:p>
        </w:tc>
        <w:tc>
          <w:tcPr>
            <w:tcW w:w="750" w:type="dxa"/>
            <w:tcBorders/>
            <w:shd w:fill="auto" w:val="clear"/>
            <w:vAlign w:val="bottom"/>
          </w:tcPr>
          <w:p>
            <w:pPr>
              <w:pStyle w:val="Normal"/>
              <w:ind w:firstLine="124"/>
              <w:rPr>
                <w:rFonts w:ascii="Arial" w:hAnsi="Arial" w:cs="Arial"/>
                <w:b/>
                <w:b/>
                <w:sz w:val="16"/>
              </w:rPr>
            </w:pPr>
            <w:r>
              <w:rPr>
                <w:rFonts w:cs="Arial" w:ascii="Arial" w:hAnsi="Arial"/>
                <w:b/>
                <w:sz w:val="16"/>
              </w:rPr>
              <w:t>15.8</w:t>
            </w:r>
            <w:r>
              <w:rPr>
                <w:rFonts w:cs="Arial" w:ascii="Arial" w:hAnsi="Arial"/>
                <w:b/>
                <w:sz w:val="16"/>
                <w:vertAlign w:val="superscript"/>
              </w:rPr>
              <w:t>b</w:t>
            </w:r>
          </w:p>
        </w:tc>
        <w:tc>
          <w:tcPr>
            <w:tcW w:w="261" w:type="dxa"/>
            <w:tcBorders/>
            <w:shd w:fill="auto" w:val="clear"/>
            <w:vAlign w:val="bottom"/>
          </w:tcPr>
          <w:p>
            <w:pPr>
              <w:pStyle w:val="Normal"/>
              <w:snapToGrid w:val="false"/>
              <w:ind w:firstLine="124"/>
              <w:rPr>
                <w:rFonts w:ascii="Arial" w:hAnsi="Arial" w:cs="Arial"/>
                <w:b/>
                <w:b/>
                <w:sz w:val="16"/>
              </w:rPr>
            </w:pPr>
            <w:r>
              <w:rPr>
                <w:rFonts w:cs="Arial" w:ascii="Arial" w:hAnsi="Arial"/>
                <w:b/>
                <w:sz w:val="16"/>
              </w:rPr>
            </w:r>
          </w:p>
        </w:tc>
        <w:tc>
          <w:tcPr>
            <w:tcW w:w="750" w:type="dxa"/>
            <w:tcBorders/>
            <w:shd w:fill="auto" w:val="clear"/>
            <w:vAlign w:val="bottom"/>
          </w:tcPr>
          <w:p>
            <w:pPr>
              <w:pStyle w:val="Normal"/>
              <w:ind w:firstLine="124"/>
              <w:rPr>
                <w:rFonts w:ascii="Arial" w:hAnsi="Arial" w:cs="Arial"/>
                <w:b/>
                <w:b/>
                <w:sz w:val="16"/>
              </w:rPr>
            </w:pPr>
            <w:r>
              <w:rPr>
                <w:rFonts w:cs="Arial" w:ascii="Arial" w:hAnsi="Arial"/>
                <w:b/>
                <w:sz w:val="16"/>
              </w:rPr>
              <w:t>16.8</w:t>
            </w:r>
            <w:r>
              <w:rPr>
                <w:rFonts w:cs="Arial" w:ascii="Arial" w:hAnsi="Arial"/>
                <w:b/>
                <w:sz w:val="16"/>
                <w:vertAlign w:val="superscript"/>
              </w:rPr>
              <w:t>b</w:t>
            </w:r>
          </w:p>
        </w:tc>
        <w:tc>
          <w:tcPr>
            <w:tcW w:w="261" w:type="dxa"/>
            <w:tcBorders/>
            <w:shd w:fill="auto" w:val="clear"/>
            <w:vAlign w:val="bottom"/>
          </w:tcPr>
          <w:p>
            <w:pPr>
              <w:pStyle w:val="Normal"/>
              <w:snapToGrid w:val="false"/>
              <w:ind w:firstLine="124"/>
              <w:rPr>
                <w:rFonts w:ascii="Arial" w:hAnsi="Arial" w:cs="Arial"/>
                <w:b/>
                <w:b/>
                <w:sz w:val="16"/>
              </w:rPr>
            </w:pPr>
            <w:r>
              <w:rPr>
                <w:rFonts w:cs="Arial" w:ascii="Arial" w:hAnsi="Arial"/>
                <w:b/>
                <w:sz w:val="16"/>
              </w:rPr>
            </w:r>
          </w:p>
        </w:tc>
        <w:tc>
          <w:tcPr>
            <w:tcW w:w="777" w:type="dxa"/>
            <w:tcBorders/>
            <w:shd w:fill="auto" w:val="clear"/>
            <w:vAlign w:val="bottom"/>
          </w:tcPr>
          <w:p>
            <w:pPr>
              <w:pStyle w:val="Normal"/>
              <w:ind w:firstLine="124"/>
              <w:rPr>
                <w:rFonts w:ascii="Arial" w:hAnsi="Arial" w:cs="Arial"/>
                <w:b/>
                <w:b/>
                <w:sz w:val="16"/>
              </w:rPr>
            </w:pPr>
            <w:r>
              <w:rPr>
                <w:rFonts w:cs="Arial" w:ascii="Arial" w:hAnsi="Arial"/>
                <w:b/>
                <w:sz w:val="16"/>
              </w:rPr>
              <w:t>28.4</w:t>
            </w:r>
          </w:p>
        </w:tc>
        <w:tc>
          <w:tcPr>
            <w:tcW w:w="261" w:type="dxa"/>
            <w:tcBorders/>
            <w:shd w:fill="auto" w:val="clear"/>
            <w:vAlign w:val="bottom"/>
          </w:tcPr>
          <w:p>
            <w:pPr>
              <w:pStyle w:val="Normal"/>
              <w:snapToGrid w:val="false"/>
              <w:ind w:firstLine="124"/>
              <w:rPr>
                <w:rFonts w:ascii="Arial" w:hAnsi="Arial" w:cs="Arial"/>
                <w:b/>
                <w:b/>
                <w:sz w:val="16"/>
              </w:rPr>
            </w:pPr>
            <w:r>
              <w:rPr>
                <w:rFonts w:cs="Arial" w:ascii="Arial" w:hAnsi="Arial"/>
                <w:b/>
                <w:sz w:val="16"/>
              </w:rPr>
            </w:r>
          </w:p>
        </w:tc>
        <w:tc>
          <w:tcPr>
            <w:tcW w:w="839" w:type="dxa"/>
            <w:tcBorders/>
            <w:shd w:fill="auto" w:val="clear"/>
            <w:vAlign w:val="bottom"/>
          </w:tcPr>
          <w:p>
            <w:pPr>
              <w:pStyle w:val="Normal"/>
              <w:ind w:firstLine="124"/>
              <w:rPr>
                <w:rFonts w:ascii="Arial" w:hAnsi="Arial" w:cs="Arial"/>
                <w:b/>
                <w:b/>
                <w:sz w:val="16"/>
              </w:rPr>
            </w:pPr>
            <w:r>
              <w:rPr>
                <w:rFonts w:cs="Arial" w:ascii="Arial" w:hAnsi="Arial"/>
                <w:b/>
                <w:sz w:val="16"/>
              </w:rPr>
              <w:t>64.3</w:t>
            </w:r>
            <w:r>
              <w:rPr>
                <w:rFonts w:cs="Arial" w:ascii="Arial" w:hAnsi="Arial"/>
                <w:b/>
                <w:sz w:val="16"/>
                <w:vertAlign w:val="superscript"/>
              </w:rPr>
              <w:t>c</w:t>
            </w:r>
          </w:p>
        </w:tc>
      </w:tr>
      <w:tr>
        <w:trPr>
          <w:trHeight w:val="225" w:hRule="atLeast"/>
        </w:trPr>
        <w:tc>
          <w:tcPr>
            <w:tcW w:w="2622" w:type="dxa"/>
            <w:tcBorders/>
            <w:shd w:fill="auto" w:val="clear"/>
            <w:vAlign w:val="bottom"/>
          </w:tcPr>
          <w:p>
            <w:pPr>
              <w:pStyle w:val="Normal"/>
              <w:ind w:firstLine="38"/>
              <w:rPr>
                <w:rFonts w:ascii="Arial" w:hAnsi="Arial" w:cs="Arial"/>
                <w:sz w:val="16"/>
              </w:rPr>
            </w:pPr>
            <w:r>
              <w:rPr>
                <w:rFonts w:cs="Arial" w:ascii="Arial" w:hAnsi="Arial"/>
                <w:sz w:val="16"/>
              </w:rPr>
              <w:t>SES 1 (least deprived)</w:t>
            </w:r>
          </w:p>
        </w:tc>
        <w:tc>
          <w:tcPr>
            <w:tcW w:w="1037" w:type="dxa"/>
            <w:tcBorders/>
            <w:shd w:fill="auto" w:val="clear"/>
            <w:vAlign w:val="bottom"/>
          </w:tcPr>
          <w:p>
            <w:pPr>
              <w:pStyle w:val="Normal"/>
              <w:ind w:firstLine="38"/>
              <w:rPr>
                <w:rFonts w:ascii="Arial" w:hAnsi="Arial" w:cs="Arial"/>
                <w:sz w:val="16"/>
              </w:rPr>
            </w:pPr>
            <w:r>
              <w:rPr>
                <w:rFonts w:cs="Arial" w:ascii="Arial" w:hAnsi="Arial"/>
                <w:sz w:val="16"/>
              </w:rPr>
              <w:t>5.6</w:t>
            </w:r>
          </w:p>
        </w:tc>
        <w:tc>
          <w:tcPr>
            <w:tcW w:w="324" w:type="dxa"/>
            <w:tcBorders/>
            <w:shd w:fill="auto" w:val="clear"/>
            <w:vAlign w:val="bottom"/>
          </w:tcPr>
          <w:p>
            <w:pPr>
              <w:pStyle w:val="Normal"/>
              <w:snapToGrid w:val="false"/>
              <w:ind w:firstLine="38"/>
              <w:rPr>
                <w:rFonts w:ascii="Arial" w:hAnsi="Arial" w:cs="Arial"/>
                <w:sz w:val="16"/>
              </w:rPr>
            </w:pPr>
            <w:r>
              <w:rPr>
                <w:rFonts w:cs="Arial" w:ascii="Arial" w:hAnsi="Arial"/>
                <w:sz w:val="16"/>
              </w:rPr>
            </w:r>
          </w:p>
        </w:tc>
        <w:tc>
          <w:tcPr>
            <w:tcW w:w="917" w:type="dxa"/>
            <w:tcBorders/>
            <w:shd w:fill="auto" w:val="clear"/>
            <w:vAlign w:val="bottom"/>
          </w:tcPr>
          <w:p>
            <w:pPr>
              <w:pStyle w:val="Normal"/>
              <w:ind w:firstLine="38"/>
              <w:rPr>
                <w:rFonts w:ascii="Arial" w:hAnsi="Arial" w:cs="Arial"/>
                <w:sz w:val="16"/>
              </w:rPr>
            </w:pPr>
            <w:r>
              <w:rPr>
                <w:rFonts w:cs="Arial" w:ascii="Arial" w:hAnsi="Arial"/>
                <w:sz w:val="16"/>
              </w:rPr>
              <w:t>7.7</w:t>
            </w:r>
          </w:p>
        </w:tc>
        <w:tc>
          <w:tcPr>
            <w:tcW w:w="324" w:type="dxa"/>
            <w:tcBorders/>
            <w:shd w:fill="auto" w:val="clear"/>
            <w:vAlign w:val="bottom"/>
          </w:tcPr>
          <w:p>
            <w:pPr>
              <w:pStyle w:val="Normal"/>
              <w:snapToGrid w:val="false"/>
              <w:ind w:firstLine="38"/>
              <w:rPr>
                <w:rFonts w:ascii="Arial" w:hAnsi="Arial" w:cs="Arial"/>
                <w:sz w:val="16"/>
              </w:rPr>
            </w:pPr>
            <w:r>
              <w:rPr>
                <w:rFonts w:cs="Arial" w:ascii="Arial" w:hAnsi="Arial"/>
                <w:sz w:val="16"/>
              </w:rPr>
            </w:r>
          </w:p>
        </w:tc>
        <w:tc>
          <w:tcPr>
            <w:tcW w:w="750" w:type="dxa"/>
            <w:tcBorders/>
            <w:shd w:fill="auto" w:val="clear"/>
            <w:vAlign w:val="bottom"/>
          </w:tcPr>
          <w:p>
            <w:pPr>
              <w:pStyle w:val="Normal"/>
              <w:ind w:firstLine="38"/>
              <w:rPr>
                <w:rFonts w:ascii="Arial" w:hAnsi="Arial" w:cs="Arial"/>
                <w:sz w:val="16"/>
              </w:rPr>
            </w:pPr>
            <w:r>
              <w:rPr>
                <w:rFonts w:cs="Arial" w:ascii="Arial" w:hAnsi="Arial"/>
                <w:sz w:val="16"/>
              </w:rPr>
              <w:t>7.8</w:t>
            </w:r>
          </w:p>
        </w:tc>
        <w:tc>
          <w:tcPr>
            <w:tcW w:w="261" w:type="dxa"/>
            <w:tcBorders/>
            <w:shd w:fill="auto" w:val="clear"/>
            <w:vAlign w:val="bottom"/>
          </w:tcPr>
          <w:p>
            <w:pPr>
              <w:pStyle w:val="Normal"/>
              <w:snapToGrid w:val="false"/>
              <w:ind w:firstLine="38"/>
              <w:rPr>
                <w:rFonts w:ascii="Arial" w:hAnsi="Arial" w:cs="Arial"/>
                <w:sz w:val="16"/>
              </w:rPr>
            </w:pPr>
            <w:r>
              <w:rPr>
                <w:rFonts w:cs="Arial" w:ascii="Arial" w:hAnsi="Arial"/>
                <w:sz w:val="16"/>
              </w:rPr>
            </w:r>
          </w:p>
        </w:tc>
        <w:tc>
          <w:tcPr>
            <w:tcW w:w="750" w:type="dxa"/>
            <w:tcBorders/>
            <w:shd w:fill="auto" w:val="clear"/>
            <w:vAlign w:val="bottom"/>
          </w:tcPr>
          <w:p>
            <w:pPr>
              <w:pStyle w:val="Normal"/>
              <w:ind w:firstLine="38"/>
              <w:rPr>
                <w:rFonts w:ascii="Arial" w:hAnsi="Arial" w:cs="Arial"/>
                <w:sz w:val="16"/>
              </w:rPr>
            </w:pPr>
            <w:r>
              <w:rPr>
                <w:rFonts w:cs="Arial" w:ascii="Arial" w:hAnsi="Arial"/>
                <w:sz w:val="16"/>
              </w:rPr>
              <w:t>10.3</w:t>
            </w:r>
          </w:p>
        </w:tc>
        <w:tc>
          <w:tcPr>
            <w:tcW w:w="261" w:type="dxa"/>
            <w:tcBorders/>
            <w:shd w:fill="auto" w:val="clear"/>
            <w:vAlign w:val="bottom"/>
          </w:tcPr>
          <w:p>
            <w:pPr>
              <w:pStyle w:val="Normal"/>
              <w:snapToGrid w:val="false"/>
              <w:ind w:firstLine="38"/>
              <w:rPr>
                <w:rFonts w:ascii="Arial" w:hAnsi="Arial" w:cs="Arial"/>
                <w:sz w:val="16"/>
              </w:rPr>
            </w:pPr>
            <w:r>
              <w:rPr>
                <w:rFonts w:cs="Arial" w:ascii="Arial" w:hAnsi="Arial"/>
                <w:sz w:val="16"/>
              </w:rPr>
            </w:r>
          </w:p>
        </w:tc>
        <w:tc>
          <w:tcPr>
            <w:tcW w:w="777" w:type="dxa"/>
            <w:tcBorders/>
            <w:shd w:fill="auto" w:val="clear"/>
            <w:vAlign w:val="bottom"/>
          </w:tcPr>
          <w:p>
            <w:pPr>
              <w:pStyle w:val="Normal"/>
              <w:ind w:firstLine="38"/>
              <w:rPr>
                <w:rFonts w:ascii="Arial" w:hAnsi="Arial" w:cs="Arial"/>
                <w:sz w:val="16"/>
              </w:rPr>
            </w:pPr>
            <w:r>
              <w:rPr>
                <w:rFonts w:cs="Arial" w:ascii="Arial" w:hAnsi="Arial"/>
                <w:sz w:val="16"/>
              </w:rPr>
              <w:t>10.1</w:t>
            </w:r>
          </w:p>
        </w:tc>
        <w:tc>
          <w:tcPr>
            <w:tcW w:w="261" w:type="dxa"/>
            <w:tcBorders/>
            <w:shd w:fill="auto" w:val="clear"/>
            <w:vAlign w:val="bottom"/>
          </w:tcPr>
          <w:p>
            <w:pPr>
              <w:pStyle w:val="Normal"/>
              <w:snapToGrid w:val="false"/>
              <w:ind w:firstLine="38"/>
              <w:rPr>
                <w:rFonts w:ascii="Arial" w:hAnsi="Arial" w:cs="Arial"/>
                <w:sz w:val="16"/>
              </w:rPr>
            </w:pPr>
            <w:r>
              <w:rPr>
                <w:rFonts w:cs="Arial" w:ascii="Arial" w:hAnsi="Arial"/>
                <w:sz w:val="16"/>
              </w:rPr>
            </w:r>
          </w:p>
        </w:tc>
        <w:tc>
          <w:tcPr>
            <w:tcW w:w="839" w:type="dxa"/>
            <w:tcBorders/>
            <w:shd w:fill="auto" w:val="clear"/>
            <w:vAlign w:val="bottom"/>
          </w:tcPr>
          <w:p>
            <w:pPr>
              <w:pStyle w:val="Normal"/>
              <w:ind w:firstLine="38"/>
              <w:rPr>
                <w:rFonts w:ascii="Arial" w:hAnsi="Arial" w:cs="Arial"/>
                <w:sz w:val="16"/>
              </w:rPr>
            </w:pPr>
            <w:r>
              <w:rPr>
                <w:rFonts w:cs="Arial" w:ascii="Arial" w:hAnsi="Arial"/>
                <w:sz w:val="16"/>
              </w:rPr>
              <w:t>39.0</w:t>
            </w:r>
          </w:p>
        </w:tc>
      </w:tr>
      <w:tr>
        <w:trPr>
          <w:trHeight w:val="225" w:hRule="atLeast"/>
        </w:trPr>
        <w:tc>
          <w:tcPr>
            <w:tcW w:w="2622" w:type="dxa"/>
            <w:tcBorders/>
            <w:shd w:fill="auto" w:val="clear"/>
            <w:vAlign w:val="bottom"/>
          </w:tcPr>
          <w:p>
            <w:pPr>
              <w:pStyle w:val="Normal"/>
              <w:ind w:firstLine="38"/>
              <w:rPr>
                <w:rFonts w:ascii="Arial" w:hAnsi="Arial" w:cs="Arial"/>
                <w:sz w:val="16"/>
              </w:rPr>
            </w:pPr>
            <w:r>
              <w:rPr>
                <w:rFonts w:cs="Arial" w:ascii="Arial" w:hAnsi="Arial"/>
                <w:sz w:val="16"/>
              </w:rPr>
              <w:t>SES 2</w:t>
            </w:r>
          </w:p>
        </w:tc>
        <w:tc>
          <w:tcPr>
            <w:tcW w:w="1037" w:type="dxa"/>
            <w:tcBorders/>
            <w:shd w:fill="auto" w:val="clear"/>
            <w:vAlign w:val="bottom"/>
          </w:tcPr>
          <w:p>
            <w:pPr>
              <w:pStyle w:val="Normal"/>
              <w:ind w:firstLine="38"/>
              <w:rPr>
                <w:rFonts w:ascii="Arial" w:hAnsi="Arial" w:cs="Arial"/>
                <w:sz w:val="16"/>
              </w:rPr>
            </w:pPr>
            <w:r>
              <w:rPr>
                <w:rFonts w:cs="Arial" w:ascii="Arial" w:hAnsi="Arial"/>
                <w:sz w:val="16"/>
              </w:rPr>
              <w:t>10.9</w:t>
            </w:r>
          </w:p>
        </w:tc>
        <w:tc>
          <w:tcPr>
            <w:tcW w:w="324" w:type="dxa"/>
            <w:tcBorders/>
            <w:shd w:fill="auto" w:val="clear"/>
            <w:vAlign w:val="bottom"/>
          </w:tcPr>
          <w:p>
            <w:pPr>
              <w:pStyle w:val="Normal"/>
              <w:snapToGrid w:val="false"/>
              <w:ind w:firstLine="38"/>
              <w:rPr>
                <w:rFonts w:ascii="Arial" w:hAnsi="Arial" w:cs="Arial"/>
                <w:sz w:val="16"/>
              </w:rPr>
            </w:pPr>
            <w:r>
              <w:rPr>
                <w:rFonts w:cs="Arial" w:ascii="Arial" w:hAnsi="Arial"/>
                <w:sz w:val="16"/>
              </w:rPr>
            </w:r>
          </w:p>
        </w:tc>
        <w:tc>
          <w:tcPr>
            <w:tcW w:w="917" w:type="dxa"/>
            <w:tcBorders/>
            <w:shd w:fill="auto" w:val="clear"/>
            <w:vAlign w:val="bottom"/>
          </w:tcPr>
          <w:p>
            <w:pPr>
              <w:pStyle w:val="Normal"/>
              <w:ind w:firstLine="38"/>
              <w:rPr>
                <w:rFonts w:ascii="Arial" w:hAnsi="Arial" w:cs="Arial"/>
                <w:sz w:val="16"/>
              </w:rPr>
            </w:pPr>
            <w:r>
              <w:rPr>
                <w:rFonts w:cs="Arial" w:ascii="Arial" w:hAnsi="Arial"/>
                <w:sz w:val="16"/>
              </w:rPr>
              <w:t>20.2</w:t>
            </w:r>
          </w:p>
        </w:tc>
        <w:tc>
          <w:tcPr>
            <w:tcW w:w="324" w:type="dxa"/>
            <w:tcBorders/>
            <w:shd w:fill="auto" w:val="clear"/>
            <w:vAlign w:val="bottom"/>
          </w:tcPr>
          <w:p>
            <w:pPr>
              <w:pStyle w:val="Normal"/>
              <w:snapToGrid w:val="false"/>
              <w:ind w:firstLine="38"/>
              <w:rPr>
                <w:rFonts w:ascii="Arial" w:hAnsi="Arial" w:cs="Arial"/>
                <w:sz w:val="16"/>
              </w:rPr>
            </w:pPr>
            <w:r>
              <w:rPr>
                <w:rFonts w:cs="Arial" w:ascii="Arial" w:hAnsi="Arial"/>
                <w:sz w:val="16"/>
              </w:rPr>
            </w:r>
          </w:p>
        </w:tc>
        <w:tc>
          <w:tcPr>
            <w:tcW w:w="750" w:type="dxa"/>
            <w:tcBorders/>
            <w:shd w:fill="auto" w:val="clear"/>
            <w:vAlign w:val="bottom"/>
          </w:tcPr>
          <w:p>
            <w:pPr>
              <w:pStyle w:val="Normal"/>
              <w:ind w:firstLine="38"/>
              <w:rPr>
                <w:rFonts w:ascii="Arial" w:hAnsi="Arial" w:cs="Arial"/>
                <w:sz w:val="16"/>
              </w:rPr>
            </w:pPr>
            <w:r>
              <w:rPr>
                <w:rFonts w:cs="Arial" w:ascii="Arial" w:hAnsi="Arial"/>
                <w:sz w:val="16"/>
              </w:rPr>
              <w:t>9.4</w:t>
            </w:r>
          </w:p>
        </w:tc>
        <w:tc>
          <w:tcPr>
            <w:tcW w:w="261" w:type="dxa"/>
            <w:tcBorders/>
            <w:shd w:fill="auto" w:val="clear"/>
            <w:vAlign w:val="bottom"/>
          </w:tcPr>
          <w:p>
            <w:pPr>
              <w:pStyle w:val="Normal"/>
              <w:snapToGrid w:val="false"/>
              <w:ind w:firstLine="38"/>
              <w:rPr>
                <w:rFonts w:ascii="Arial" w:hAnsi="Arial" w:cs="Arial"/>
                <w:sz w:val="16"/>
              </w:rPr>
            </w:pPr>
            <w:r>
              <w:rPr>
                <w:rFonts w:cs="Arial" w:ascii="Arial" w:hAnsi="Arial"/>
                <w:sz w:val="16"/>
              </w:rPr>
            </w:r>
          </w:p>
        </w:tc>
        <w:tc>
          <w:tcPr>
            <w:tcW w:w="750" w:type="dxa"/>
            <w:tcBorders/>
            <w:shd w:fill="auto" w:val="clear"/>
            <w:vAlign w:val="bottom"/>
          </w:tcPr>
          <w:p>
            <w:pPr>
              <w:pStyle w:val="Normal"/>
              <w:ind w:firstLine="38"/>
              <w:rPr>
                <w:rFonts w:ascii="Arial" w:hAnsi="Arial" w:cs="Arial"/>
                <w:sz w:val="16"/>
              </w:rPr>
            </w:pPr>
            <w:r>
              <w:rPr>
                <w:rFonts w:cs="Arial" w:ascii="Arial" w:hAnsi="Arial"/>
                <w:sz w:val="16"/>
              </w:rPr>
              <w:t>8.9</w:t>
            </w:r>
          </w:p>
        </w:tc>
        <w:tc>
          <w:tcPr>
            <w:tcW w:w="261" w:type="dxa"/>
            <w:tcBorders/>
            <w:shd w:fill="auto" w:val="clear"/>
            <w:vAlign w:val="bottom"/>
          </w:tcPr>
          <w:p>
            <w:pPr>
              <w:pStyle w:val="Normal"/>
              <w:snapToGrid w:val="false"/>
              <w:ind w:firstLine="38"/>
              <w:rPr>
                <w:rFonts w:ascii="Arial" w:hAnsi="Arial" w:cs="Arial"/>
                <w:sz w:val="16"/>
              </w:rPr>
            </w:pPr>
            <w:r>
              <w:rPr>
                <w:rFonts w:cs="Arial" w:ascii="Arial" w:hAnsi="Arial"/>
                <w:sz w:val="16"/>
              </w:rPr>
            </w:r>
          </w:p>
        </w:tc>
        <w:tc>
          <w:tcPr>
            <w:tcW w:w="777" w:type="dxa"/>
            <w:tcBorders/>
            <w:shd w:fill="auto" w:val="clear"/>
            <w:vAlign w:val="bottom"/>
          </w:tcPr>
          <w:p>
            <w:pPr>
              <w:pStyle w:val="Normal"/>
              <w:ind w:firstLine="38"/>
              <w:rPr>
                <w:rFonts w:ascii="Arial" w:hAnsi="Arial" w:cs="Arial"/>
                <w:sz w:val="16"/>
              </w:rPr>
            </w:pPr>
            <w:r>
              <w:rPr>
                <w:rFonts w:cs="Arial" w:ascii="Arial" w:hAnsi="Arial"/>
                <w:sz w:val="16"/>
              </w:rPr>
              <w:t>36.8</w:t>
            </w:r>
          </w:p>
        </w:tc>
        <w:tc>
          <w:tcPr>
            <w:tcW w:w="261" w:type="dxa"/>
            <w:tcBorders/>
            <w:shd w:fill="auto" w:val="clear"/>
            <w:vAlign w:val="bottom"/>
          </w:tcPr>
          <w:p>
            <w:pPr>
              <w:pStyle w:val="Normal"/>
              <w:snapToGrid w:val="false"/>
              <w:ind w:firstLine="38"/>
              <w:rPr>
                <w:rFonts w:ascii="Arial" w:hAnsi="Arial" w:cs="Arial"/>
                <w:sz w:val="16"/>
              </w:rPr>
            </w:pPr>
            <w:r>
              <w:rPr>
                <w:rFonts w:cs="Arial" w:ascii="Arial" w:hAnsi="Arial"/>
                <w:sz w:val="16"/>
              </w:rPr>
            </w:r>
          </w:p>
        </w:tc>
        <w:tc>
          <w:tcPr>
            <w:tcW w:w="839" w:type="dxa"/>
            <w:tcBorders/>
            <w:shd w:fill="auto" w:val="clear"/>
            <w:vAlign w:val="bottom"/>
          </w:tcPr>
          <w:p>
            <w:pPr>
              <w:pStyle w:val="Normal"/>
              <w:ind w:firstLine="38"/>
              <w:rPr>
                <w:rFonts w:ascii="Arial" w:hAnsi="Arial" w:cs="Arial"/>
                <w:sz w:val="16"/>
              </w:rPr>
            </w:pPr>
            <w:r>
              <w:rPr>
                <w:rFonts w:cs="Arial" w:ascii="Arial" w:hAnsi="Arial"/>
                <w:sz w:val="16"/>
              </w:rPr>
              <w:t>40.6</w:t>
            </w:r>
          </w:p>
        </w:tc>
      </w:tr>
      <w:tr>
        <w:trPr>
          <w:trHeight w:val="225" w:hRule="atLeast"/>
        </w:trPr>
        <w:tc>
          <w:tcPr>
            <w:tcW w:w="2622" w:type="dxa"/>
            <w:tcBorders/>
            <w:shd w:fill="auto" w:val="clear"/>
            <w:vAlign w:val="bottom"/>
          </w:tcPr>
          <w:p>
            <w:pPr>
              <w:pStyle w:val="Normal"/>
              <w:ind w:firstLine="38"/>
              <w:rPr>
                <w:rFonts w:ascii="Arial" w:hAnsi="Arial" w:cs="Arial"/>
                <w:sz w:val="16"/>
              </w:rPr>
            </w:pPr>
            <w:r>
              <w:rPr>
                <w:rFonts w:cs="Arial" w:ascii="Arial" w:hAnsi="Arial"/>
                <w:sz w:val="16"/>
              </w:rPr>
              <w:t>SES 3</w:t>
            </w:r>
          </w:p>
        </w:tc>
        <w:tc>
          <w:tcPr>
            <w:tcW w:w="1037" w:type="dxa"/>
            <w:tcBorders/>
            <w:shd w:fill="auto" w:val="clear"/>
            <w:vAlign w:val="bottom"/>
          </w:tcPr>
          <w:p>
            <w:pPr>
              <w:pStyle w:val="Normal"/>
              <w:ind w:firstLine="38"/>
              <w:rPr>
                <w:rFonts w:ascii="Arial" w:hAnsi="Arial" w:cs="Arial"/>
                <w:sz w:val="16"/>
              </w:rPr>
            </w:pPr>
            <w:r>
              <w:rPr>
                <w:rFonts w:cs="Arial" w:ascii="Arial" w:hAnsi="Arial"/>
                <w:sz w:val="16"/>
              </w:rPr>
              <w:t>18.4</w:t>
            </w:r>
          </w:p>
        </w:tc>
        <w:tc>
          <w:tcPr>
            <w:tcW w:w="324" w:type="dxa"/>
            <w:tcBorders/>
            <w:shd w:fill="auto" w:val="clear"/>
            <w:vAlign w:val="bottom"/>
          </w:tcPr>
          <w:p>
            <w:pPr>
              <w:pStyle w:val="Normal"/>
              <w:snapToGrid w:val="false"/>
              <w:ind w:firstLine="38"/>
              <w:rPr>
                <w:rFonts w:ascii="Arial" w:hAnsi="Arial" w:cs="Arial"/>
                <w:sz w:val="16"/>
              </w:rPr>
            </w:pPr>
            <w:r>
              <w:rPr>
                <w:rFonts w:cs="Arial" w:ascii="Arial" w:hAnsi="Arial"/>
                <w:sz w:val="16"/>
              </w:rPr>
            </w:r>
          </w:p>
        </w:tc>
        <w:tc>
          <w:tcPr>
            <w:tcW w:w="917" w:type="dxa"/>
            <w:tcBorders/>
            <w:shd w:fill="auto" w:val="clear"/>
            <w:vAlign w:val="bottom"/>
          </w:tcPr>
          <w:p>
            <w:pPr>
              <w:pStyle w:val="Normal"/>
              <w:ind w:firstLine="38"/>
              <w:rPr>
                <w:rFonts w:ascii="Arial" w:hAnsi="Arial" w:cs="Arial"/>
                <w:sz w:val="16"/>
              </w:rPr>
            </w:pPr>
            <w:r>
              <w:rPr>
                <w:rFonts w:cs="Arial" w:ascii="Arial" w:hAnsi="Arial"/>
                <w:sz w:val="16"/>
              </w:rPr>
              <w:t>10.2</w:t>
            </w:r>
          </w:p>
        </w:tc>
        <w:tc>
          <w:tcPr>
            <w:tcW w:w="324" w:type="dxa"/>
            <w:tcBorders/>
            <w:shd w:fill="auto" w:val="clear"/>
            <w:vAlign w:val="bottom"/>
          </w:tcPr>
          <w:p>
            <w:pPr>
              <w:pStyle w:val="Normal"/>
              <w:snapToGrid w:val="false"/>
              <w:ind w:firstLine="38"/>
              <w:rPr>
                <w:rFonts w:ascii="Arial" w:hAnsi="Arial" w:cs="Arial"/>
                <w:sz w:val="16"/>
              </w:rPr>
            </w:pPr>
            <w:r>
              <w:rPr>
                <w:rFonts w:cs="Arial" w:ascii="Arial" w:hAnsi="Arial"/>
                <w:sz w:val="16"/>
              </w:rPr>
            </w:r>
          </w:p>
        </w:tc>
        <w:tc>
          <w:tcPr>
            <w:tcW w:w="750" w:type="dxa"/>
            <w:tcBorders/>
            <w:shd w:fill="auto" w:val="clear"/>
            <w:vAlign w:val="bottom"/>
          </w:tcPr>
          <w:p>
            <w:pPr>
              <w:pStyle w:val="Normal"/>
              <w:ind w:firstLine="38"/>
              <w:rPr>
                <w:rFonts w:ascii="Arial" w:hAnsi="Arial" w:cs="Arial"/>
                <w:sz w:val="16"/>
              </w:rPr>
            </w:pPr>
            <w:r>
              <w:rPr>
                <w:rFonts w:cs="Arial" w:ascii="Arial" w:hAnsi="Arial"/>
                <w:sz w:val="16"/>
              </w:rPr>
              <w:t>18.3</w:t>
            </w:r>
          </w:p>
        </w:tc>
        <w:tc>
          <w:tcPr>
            <w:tcW w:w="261" w:type="dxa"/>
            <w:tcBorders/>
            <w:shd w:fill="auto" w:val="clear"/>
            <w:vAlign w:val="bottom"/>
          </w:tcPr>
          <w:p>
            <w:pPr>
              <w:pStyle w:val="Normal"/>
              <w:snapToGrid w:val="false"/>
              <w:ind w:firstLine="38"/>
              <w:rPr>
                <w:rFonts w:ascii="Arial" w:hAnsi="Arial" w:cs="Arial"/>
                <w:sz w:val="16"/>
              </w:rPr>
            </w:pPr>
            <w:r>
              <w:rPr>
                <w:rFonts w:cs="Arial" w:ascii="Arial" w:hAnsi="Arial"/>
                <w:sz w:val="16"/>
              </w:rPr>
            </w:r>
          </w:p>
        </w:tc>
        <w:tc>
          <w:tcPr>
            <w:tcW w:w="750" w:type="dxa"/>
            <w:tcBorders/>
            <w:shd w:fill="auto" w:val="clear"/>
            <w:vAlign w:val="bottom"/>
          </w:tcPr>
          <w:p>
            <w:pPr>
              <w:pStyle w:val="Normal"/>
              <w:ind w:firstLine="38"/>
              <w:rPr>
                <w:rFonts w:ascii="Arial" w:hAnsi="Arial" w:cs="Arial"/>
                <w:sz w:val="16"/>
              </w:rPr>
            </w:pPr>
            <w:r>
              <w:rPr>
                <w:rFonts w:cs="Arial" w:ascii="Arial" w:hAnsi="Arial"/>
                <w:sz w:val="16"/>
              </w:rPr>
              <w:t>9.9</w:t>
            </w:r>
          </w:p>
        </w:tc>
        <w:tc>
          <w:tcPr>
            <w:tcW w:w="261" w:type="dxa"/>
            <w:tcBorders/>
            <w:shd w:fill="auto" w:val="clear"/>
            <w:vAlign w:val="bottom"/>
          </w:tcPr>
          <w:p>
            <w:pPr>
              <w:pStyle w:val="Normal"/>
              <w:snapToGrid w:val="false"/>
              <w:ind w:firstLine="38"/>
              <w:rPr>
                <w:rFonts w:ascii="Arial" w:hAnsi="Arial" w:cs="Arial"/>
                <w:sz w:val="16"/>
              </w:rPr>
            </w:pPr>
            <w:r>
              <w:rPr>
                <w:rFonts w:cs="Arial" w:ascii="Arial" w:hAnsi="Arial"/>
                <w:sz w:val="16"/>
              </w:rPr>
            </w:r>
          </w:p>
        </w:tc>
        <w:tc>
          <w:tcPr>
            <w:tcW w:w="777" w:type="dxa"/>
            <w:tcBorders/>
            <w:shd w:fill="auto" w:val="clear"/>
            <w:vAlign w:val="bottom"/>
          </w:tcPr>
          <w:p>
            <w:pPr>
              <w:pStyle w:val="Normal"/>
              <w:ind w:firstLine="38"/>
              <w:rPr>
                <w:rFonts w:ascii="Arial" w:hAnsi="Arial" w:cs="Arial"/>
                <w:sz w:val="16"/>
              </w:rPr>
            </w:pPr>
            <w:r>
              <w:rPr>
                <w:rFonts w:cs="Arial" w:ascii="Arial" w:hAnsi="Arial"/>
                <w:sz w:val="16"/>
              </w:rPr>
              <w:t>22.6</w:t>
            </w:r>
          </w:p>
        </w:tc>
        <w:tc>
          <w:tcPr>
            <w:tcW w:w="261" w:type="dxa"/>
            <w:tcBorders/>
            <w:shd w:fill="auto" w:val="clear"/>
            <w:vAlign w:val="bottom"/>
          </w:tcPr>
          <w:p>
            <w:pPr>
              <w:pStyle w:val="Normal"/>
              <w:snapToGrid w:val="false"/>
              <w:ind w:firstLine="38"/>
              <w:rPr>
                <w:rFonts w:ascii="Arial" w:hAnsi="Arial" w:cs="Arial"/>
                <w:sz w:val="16"/>
              </w:rPr>
            </w:pPr>
            <w:r>
              <w:rPr>
                <w:rFonts w:cs="Arial" w:ascii="Arial" w:hAnsi="Arial"/>
                <w:sz w:val="16"/>
              </w:rPr>
            </w:r>
          </w:p>
        </w:tc>
        <w:tc>
          <w:tcPr>
            <w:tcW w:w="839" w:type="dxa"/>
            <w:tcBorders/>
            <w:shd w:fill="auto" w:val="clear"/>
            <w:vAlign w:val="bottom"/>
          </w:tcPr>
          <w:p>
            <w:pPr>
              <w:pStyle w:val="Normal"/>
              <w:ind w:firstLine="38"/>
              <w:rPr>
                <w:rFonts w:ascii="Arial" w:hAnsi="Arial" w:cs="Arial"/>
                <w:sz w:val="16"/>
              </w:rPr>
            </w:pPr>
            <w:r>
              <w:rPr>
                <w:rFonts w:cs="Arial" w:ascii="Arial" w:hAnsi="Arial"/>
                <w:sz w:val="16"/>
              </w:rPr>
              <w:t>53.5</w:t>
            </w:r>
          </w:p>
        </w:tc>
      </w:tr>
      <w:tr>
        <w:trPr>
          <w:trHeight w:val="225" w:hRule="atLeast"/>
        </w:trPr>
        <w:tc>
          <w:tcPr>
            <w:tcW w:w="2622" w:type="dxa"/>
            <w:tcBorders/>
            <w:shd w:fill="auto" w:val="clear"/>
            <w:vAlign w:val="bottom"/>
          </w:tcPr>
          <w:p>
            <w:pPr>
              <w:pStyle w:val="Normal"/>
              <w:ind w:firstLine="38"/>
              <w:rPr>
                <w:rFonts w:ascii="Arial" w:hAnsi="Arial" w:cs="Arial"/>
                <w:sz w:val="16"/>
              </w:rPr>
            </w:pPr>
            <w:r>
              <w:rPr>
                <w:rFonts w:cs="Arial" w:ascii="Arial" w:hAnsi="Arial"/>
                <w:sz w:val="16"/>
              </w:rPr>
              <w:t>SES 4</w:t>
            </w:r>
          </w:p>
        </w:tc>
        <w:tc>
          <w:tcPr>
            <w:tcW w:w="1037" w:type="dxa"/>
            <w:tcBorders/>
            <w:shd w:fill="auto" w:val="clear"/>
            <w:vAlign w:val="bottom"/>
          </w:tcPr>
          <w:p>
            <w:pPr>
              <w:pStyle w:val="Normal"/>
              <w:ind w:firstLine="38"/>
              <w:rPr>
                <w:rFonts w:ascii="Arial" w:hAnsi="Arial" w:cs="Arial"/>
                <w:sz w:val="16"/>
              </w:rPr>
            </w:pPr>
            <w:r>
              <w:rPr>
                <w:rFonts w:cs="Arial" w:ascii="Arial" w:hAnsi="Arial"/>
                <w:sz w:val="16"/>
              </w:rPr>
              <w:t>13.0</w:t>
            </w:r>
          </w:p>
        </w:tc>
        <w:tc>
          <w:tcPr>
            <w:tcW w:w="324" w:type="dxa"/>
            <w:tcBorders/>
            <w:shd w:fill="auto" w:val="clear"/>
            <w:vAlign w:val="bottom"/>
          </w:tcPr>
          <w:p>
            <w:pPr>
              <w:pStyle w:val="Normal"/>
              <w:snapToGrid w:val="false"/>
              <w:ind w:firstLine="38"/>
              <w:rPr>
                <w:rFonts w:ascii="Arial" w:hAnsi="Arial" w:cs="Arial"/>
                <w:sz w:val="16"/>
              </w:rPr>
            </w:pPr>
            <w:r>
              <w:rPr>
                <w:rFonts w:cs="Arial" w:ascii="Arial" w:hAnsi="Arial"/>
                <w:sz w:val="16"/>
              </w:rPr>
            </w:r>
          </w:p>
        </w:tc>
        <w:tc>
          <w:tcPr>
            <w:tcW w:w="917" w:type="dxa"/>
            <w:tcBorders/>
            <w:shd w:fill="auto" w:val="clear"/>
            <w:vAlign w:val="bottom"/>
          </w:tcPr>
          <w:p>
            <w:pPr>
              <w:pStyle w:val="Normal"/>
              <w:ind w:firstLine="38"/>
              <w:rPr>
                <w:rFonts w:ascii="Arial" w:hAnsi="Arial" w:cs="Arial"/>
                <w:sz w:val="16"/>
              </w:rPr>
            </w:pPr>
            <w:r>
              <w:rPr>
                <w:rFonts w:cs="Arial" w:ascii="Arial" w:hAnsi="Arial"/>
                <w:sz w:val="16"/>
              </w:rPr>
              <w:t>18.8</w:t>
            </w:r>
          </w:p>
        </w:tc>
        <w:tc>
          <w:tcPr>
            <w:tcW w:w="324" w:type="dxa"/>
            <w:tcBorders/>
            <w:shd w:fill="auto" w:val="clear"/>
            <w:vAlign w:val="bottom"/>
          </w:tcPr>
          <w:p>
            <w:pPr>
              <w:pStyle w:val="Normal"/>
              <w:snapToGrid w:val="false"/>
              <w:ind w:firstLine="38"/>
              <w:rPr>
                <w:rFonts w:ascii="Arial" w:hAnsi="Arial" w:cs="Arial"/>
                <w:sz w:val="16"/>
              </w:rPr>
            </w:pPr>
            <w:r>
              <w:rPr>
                <w:rFonts w:cs="Arial" w:ascii="Arial" w:hAnsi="Arial"/>
                <w:sz w:val="16"/>
              </w:rPr>
            </w:r>
          </w:p>
        </w:tc>
        <w:tc>
          <w:tcPr>
            <w:tcW w:w="750" w:type="dxa"/>
            <w:tcBorders/>
            <w:shd w:fill="auto" w:val="clear"/>
            <w:vAlign w:val="bottom"/>
          </w:tcPr>
          <w:p>
            <w:pPr>
              <w:pStyle w:val="Normal"/>
              <w:ind w:firstLine="38"/>
              <w:rPr>
                <w:rFonts w:ascii="Arial" w:hAnsi="Arial" w:cs="Arial"/>
                <w:sz w:val="16"/>
              </w:rPr>
            </w:pPr>
            <w:r>
              <w:rPr>
                <w:rFonts w:cs="Arial" w:ascii="Arial" w:hAnsi="Arial"/>
                <w:sz w:val="16"/>
              </w:rPr>
              <w:t>11.4</w:t>
            </w:r>
          </w:p>
        </w:tc>
        <w:tc>
          <w:tcPr>
            <w:tcW w:w="261" w:type="dxa"/>
            <w:tcBorders/>
            <w:shd w:fill="auto" w:val="clear"/>
            <w:vAlign w:val="bottom"/>
          </w:tcPr>
          <w:p>
            <w:pPr>
              <w:pStyle w:val="Normal"/>
              <w:snapToGrid w:val="false"/>
              <w:ind w:firstLine="38"/>
              <w:rPr>
                <w:rFonts w:ascii="Arial" w:hAnsi="Arial" w:cs="Arial"/>
                <w:sz w:val="16"/>
              </w:rPr>
            </w:pPr>
            <w:r>
              <w:rPr>
                <w:rFonts w:cs="Arial" w:ascii="Arial" w:hAnsi="Arial"/>
                <w:sz w:val="16"/>
              </w:rPr>
            </w:r>
          </w:p>
        </w:tc>
        <w:tc>
          <w:tcPr>
            <w:tcW w:w="750" w:type="dxa"/>
            <w:tcBorders/>
            <w:shd w:fill="auto" w:val="clear"/>
            <w:vAlign w:val="bottom"/>
          </w:tcPr>
          <w:p>
            <w:pPr>
              <w:pStyle w:val="Normal"/>
              <w:ind w:firstLine="38"/>
              <w:rPr>
                <w:rFonts w:ascii="Arial" w:hAnsi="Arial" w:cs="Arial"/>
                <w:sz w:val="16"/>
              </w:rPr>
            </w:pPr>
            <w:r>
              <w:rPr>
                <w:rFonts w:cs="Arial" w:ascii="Arial" w:hAnsi="Arial"/>
                <w:sz w:val="16"/>
              </w:rPr>
              <w:t>17.7</w:t>
            </w:r>
          </w:p>
        </w:tc>
        <w:tc>
          <w:tcPr>
            <w:tcW w:w="261" w:type="dxa"/>
            <w:tcBorders/>
            <w:shd w:fill="auto" w:val="clear"/>
            <w:vAlign w:val="bottom"/>
          </w:tcPr>
          <w:p>
            <w:pPr>
              <w:pStyle w:val="Normal"/>
              <w:snapToGrid w:val="false"/>
              <w:ind w:firstLine="38"/>
              <w:rPr>
                <w:rFonts w:ascii="Arial" w:hAnsi="Arial" w:cs="Arial"/>
                <w:sz w:val="16"/>
              </w:rPr>
            </w:pPr>
            <w:r>
              <w:rPr>
                <w:rFonts w:cs="Arial" w:ascii="Arial" w:hAnsi="Arial"/>
                <w:sz w:val="16"/>
              </w:rPr>
            </w:r>
          </w:p>
        </w:tc>
        <w:tc>
          <w:tcPr>
            <w:tcW w:w="777" w:type="dxa"/>
            <w:tcBorders/>
            <w:shd w:fill="auto" w:val="clear"/>
            <w:vAlign w:val="bottom"/>
          </w:tcPr>
          <w:p>
            <w:pPr>
              <w:pStyle w:val="Normal"/>
              <w:ind w:firstLine="38"/>
              <w:rPr>
                <w:rFonts w:ascii="Arial" w:hAnsi="Arial" w:cs="Arial"/>
                <w:sz w:val="16"/>
              </w:rPr>
            </w:pPr>
            <w:r>
              <w:rPr>
                <w:rFonts w:cs="Arial" w:ascii="Arial" w:hAnsi="Arial"/>
                <w:sz w:val="16"/>
              </w:rPr>
              <w:t>32.8</w:t>
            </w:r>
          </w:p>
        </w:tc>
        <w:tc>
          <w:tcPr>
            <w:tcW w:w="261" w:type="dxa"/>
            <w:tcBorders/>
            <w:shd w:fill="auto" w:val="clear"/>
            <w:vAlign w:val="bottom"/>
          </w:tcPr>
          <w:p>
            <w:pPr>
              <w:pStyle w:val="Normal"/>
              <w:snapToGrid w:val="false"/>
              <w:ind w:firstLine="38"/>
              <w:rPr>
                <w:rFonts w:ascii="Arial" w:hAnsi="Arial" w:cs="Arial"/>
                <w:sz w:val="16"/>
              </w:rPr>
            </w:pPr>
            <w:r>
              <w:rPr>
                <w:rFonts w:cs="Arial" w:ascii="Arial" w:hAnsi="Arial"/>
                <w:sz w:val="16"/>
              </w:rPr>
            </w:r>
          </w:p>
        </w:tc>
        <w:tc>
          <w:tcPr>
            <w:tcW w:w="839" w:type="dxa"/>
            <w:tcBorders/>
            <w:shd w:fill="auto" w:val="clear"/>
            <w:vAlign w:val="bottom"/>
          </w:tcPr>
          <w:p>
            <w:pPr>
              <w:pStyle w:val="Normal"/>
              <w:ind w:firstLine="38"/>
              <w:rPr>
                <w:rFonts w:ascii="Arial" w:hAnsi="Arial" w:cs="Arial"/>
                <w:sz w:val="16"/>
              </w:rPr>
            </w:pPr>
            <w:r>
              <w:rPr>
                <w:rFonts w:cs="Arial" w:ascii="Arial" w:hAnsi="Arial"/>
                <w:sz w:val="16"/>
              </w:rPr>
              <w:t>73.2</w:t>
            </w:r>
          </w:p>
        </w:tc>
      </w:tr>
      <w:tr>
        <w:trPr>
          <w:trHeight w:val="225" w:hRule="atLeast"/>
        </w:trPr>
        <w:tc>
          <w:tcPr>
            <w:tcW w:w="2622" w:type="dxa"/>
            <w:tcBorders/>
            <w:shd w:fill="auto" w:val="clear"/>
            <w:vAlign w:val="bottom"/>
          </w:tcPr>
          <w:p>
            <w:pPr>
              <w:pStyle w:val="Normal"/>
              <w:ind w:firstLine="38"/>
              <w:rPr>
                <w:rFonts w:ascii="Arial" w:hAnsi="Arial" w:cs="Arial"/>
                <w:sz w:val="16"/>
              </w:rPr>
            </w:pPr>
            <w:r>
              <w:rPr>
                <w:rFonts w:cs="Arial" w:ascii="Arial" w:hAnsi="Arial"/>
                <w:sz w:val="16"/>
              </w:rPr>
              <w:t>SES 5 (most deprived)</w:t>
            </w:r>
          </w:p>
        </w:tc>
        <w:tc>
          <w:tcPr>
            <w:tcW w:w="1037" w:type="dxa"/>
            <w:tcBorders/>
            <w:shd w:fill="auto" w:val="clear"/>
            <w:vAlign w:val="bottom"/>
          </w:tcPr>
          <w:p>
            <w:pPr>
              <w:pStyle w:val="Normal"/>
              <w:ind w:firstLine="38"/>
              <w:rPr>
                <w:rFonts w:ascii="Arial" w:hAnsi="Arial" w:cs="Arial"/>
                <w:sz w:val="16"/>
              </w:rPr>
            </w:pPr>
            <w:r>
              <w:rPr>
                <w:rFonts w:cs="Arial" w:ascii="Arial" w:hAnsi="Arial"/>
                <w:sz w:val="16"/>
              </w:rPr>
              <w:t>20.6</w:t>
            </w:r>
          </w:p>
        </w:tc>
        <w:tc>
          <w:tcPr>
            <w:tcW w:w="324" w:type="dxa"/>
            <w:tcBorders/>
            <w:shd w:fill="auto" w:val="clear"/>
            <w:vAlign w:val="bottom"/>
          </w:tcPr>
          <w:p>
            <w:pPr>
              <w:pStyle w:val="Normal"/>
              <w:snapToGrid w:val="false"/>
              <w:ind w:firstLine="38"/>
              <w:rPr>
                <w:rFonts w:ascii="Arial" w:hAnsi="Arial" w:cs="Arial"/>
                <w:sz w:val="16"/>
              </w:rPr>
            </w:pPr>
            <w:r>
              <w:rPr>
                <w:rFonts w:cs="Arial" w:ascii="Arial" w:hAnsi="Arial"/>
                <w:sz w:val="16"/>
              </w:rPr>
            </w:r>
          </w:p>
        </w:tc>
        <w:tc>
          <w:tcPr>
            <w:tcW w:w="917" w:type="dxa"/>
            <w:tcBorders/>
            <w:shd w:fill="auto" w:val="clear"/>
            <w:vAlign w:val="bottom"/>
          </w:tcPr>
          <w:p>
            <w:pPr>
              <w:pStyle w:val="Normal"/>
              <w:ind w:firstLine="38"/>
              <w:rPr>
                <w:rFonts w:ascii="Arial" w:hAnsi="Arial" w:cs="Arial"/>
                <w:sz w:val="16"/>
              </w:rPr>
            </w:pPr>
            <w:r>
              <w:rPr>
                <w:rFonts w:cs="Arial" w:ascii="Arial" w:hAnsi="Arial"/>
                <w:sz w:val="16"/>
              </w:rPr>
              <w:t>26.1</w:t>
            </w:r>
          </w:p>
        </w:tc>
        <w:tc>
          <w:tcPr>
            <w:tcW w:w="324" w:type="dxa"/>
            <w:tcBorders/>
            <w:shd w:fill="auto" w:val="clear"/>
            <w:vAlign w:val="bottom"/>
          </w:tcPr>
          <w:p>
            <w:pPr>
              <w:pStyle w:val="Normal"/>
              <w:snapToGrid w:val="false"/>
              <w:ind w:firstLine="38"/>
              <w:rPr>
                <w:rFonts w:ascii="Arial" w:hAnsi="Arial" w:cs="Arial"/>
                <w:sz w:val="16"/>
              </w:rPr>
            </w:pPr>
            <w:r>
              <w:rPr>
                <w:rFonts w:cs="Arial" w:ascii="Arial" w:hAnsi="Arial"/>
                <w:sz w:val="16"/>
              </w:rPr>
            </w:r>
          </w:p>
        </w:tc>
        <w:tc>
          <w:tcPr>
            <w:tcW w:w="750" w:type="dxa"/>
            <w:tcBorders/>
            <w:shd w:fill="auto" w:val="clear"/>
            <w:vAlign w:val="bottom"/>
          </w:tcPr>
          <w:p>
            <w:pPr>
              <w:pStyle w:val="Normal"/>
              <w:ind w:firstLine="38"/>
              <w:rPr>
                <w:rFonts w:ascii="Arial" w:hAnsi="Arial" w:cs="Arial"/>
                <w:sz w:val="16"/>
              </w:rPr>
            </w:pPr>
            <w:r>
              <w:rPr>
                <w:rFonts w:cs="Arial" w:ascii="Arial" w:hAnsi="Arial"/>
                <w:sz w:val="16"/>
              </w:rPr>
              <w:t>33.1</w:t>
            </w:r>
          </w:p>
        </w:tc>
        <w:tc>
          <w:tcPr>
            <w:tcW w:w="261" w:type="dxa"/>
            <w:tcBorders/>
            <w:shd w:fill="auto" w:val="clear"/>
            <w:vAlign w:val="bottom"/>
          </w:tcPr>
          <w:p>
            <w:pPr>
              <w:pStyle w:val="Normal"/>
              <w:snapToGrid w:val="false"/>
              <w:ind w:firstLine="38"/>
              <w:rPr>
                <w:rFonts w:ascii="Arial" w:hAnsi="Arial" w:cs="Arial"/>
                <w:sz w:val="16"/>
              </w:rPr>
            </w:pPr>
            <w:r>
              <w:rPr>
                <w:rFonts w:cs="Arial" w:ascii="Arial" w:hAnsi="Arial"/>
                <w:sz w:val="16"/>
              </w:rPr>
            </w:r>
          </w:p>
        </w:tc>
        <w:tc>
          <w:tcPr>
            <w:tcW w:w="750" w:type="dxa"/>
            <w:tcBorders/>
            <w:shd w:fill="auto" w:val="clear"/>
            <w:vAlign w:val="bottom"/>
          </w:tcPr>
          <w:p>
            <w:pPr>
              <w:pStyle w:val="Normal"/>
              <w:ind w:firstLine="38"/>
              <w:rPr>
                <w:rFonts w:ascii="Arial" w:hAnsi="Arial" w:cs="Arial"/>
                <w:sz w:val="16"/>
              </w:rPr>
            </w:pPr>
            <w:r>
              <w:rPr>
                <w:rFonts w:cs="Arial" w:ascii="Arial" w:hAnsi="Arial"/>
                <w:sz w:val="16"/>
              </w:rPr>
              <w:t>44.1</w:t>
            </w:r>
          </w:p>
        </w:tc>
        <w:tc>
          <w:tcPr>
            <w:tcW w:w="261" w:type="dxa"/>
            <w:tcBorders/>
            <w:shd w:fill="auto" w:val="clear"/>
            <w:vAlign w:val="bottom"/>
          </w:tcPr>
          <w:p>
            <w:pPr>
              <w:pStyle w:val="Normal"/>
              <w:snapToGrid w:val="false"/>
              <w:ind w:firstLine="38"/>
              <w:rPr>
                <w:rFonts w:ascii="Arial" w:hAnsi="Arial" w:cs="Arial"/>
                <w:sz w:val="16"/>
              </w:rPr>
            </w:pPr>
            <w:r>
              <w:rPr>
                <w:rFonts w:cs="Arial" w:ascii="Arial" w:hAnsi="Arial"/>
                <w:sz w:val="16"/>
              </w:rPr>
            </w:r>
          </w:p>
        </w:tc>
        <w:tc>
          <w:tcPr>
            <w:tcW w:w="777" w:type="dxa"/>
            <w:tcBorders/>
            <w:shd w:fill="auto" w:val="clear"/>
            <w:vAlign w:val="bottom"/>
          </w:tcPr>
          <w:p>
            <w:pPr>
              <w:pStyle w:val="Normal"/>
              <w:ind w:firstLine="38"/>
              <w:rPr>
                <w:rFonts w:ascii="Arial" w:hAnsi="Arial" w:cs="Arial"/>
                <w:sz w:val="16"/>
              </w:rPr>
            </w:pPr>
            <w:r>
              <w:rPr>
                <w:rFonts w:cs="Arial" w:ascii="Arial" w:hAnsi="Arial"/>
                <w:sz w:val="16"/>
              </w:rPr>
              <w:t>43.3</w:t>
            </w:r>
          </w:p>
        </w:tc>
        <w:tc>
          <w:tcPr>
            <w:tcW w:w="261" w:type="dxa"/>
            <w:tcBorders/>
            <w:shd w:fill="auto" w:val="clear"/>
            <w:vAlign w:val="bottom"/>
          </w:tcPr>
          <w:p>
            <w:pPr>
              <w:pStyle w:val="Normal"/>
              <w:snapToGrid w:val="false"/>
              <w:ind w:firstLine="38"/>
              <w:rPr>
                <w:rFonts w:ascii="Arial" w:hAnsi="Arial" w:cs="Arial"/>
                <w:sz w:val="16"/>
              </w:rPr>
            </w:pPr>
            <w:r>
              <w:rPr>
                <w:rFonts w:cs="Arial" w:ascii="Arial" w:hAnsi="Arial"/>
                <w:sz w:val="16"/>
              </w:rPr>
            </w:r>
          </w:p>
        </w:tc>
        <w:tc>
          <w:tcPr>
            <w:tcW w:w="839" w:type="dxa"/>
            <w:tcBorders/>
            <w:shd w:fill="auto" w:val="clear"/>
            <w:vAlign w:val="bottom"/>
          </w:tcPr>
          <w:p>
            <w:pPr>
              <w:pStyle w:val="Normal"/>
              <w:ind w:firstLine="38"/>
              <w:rPr>
                <w:rFonts w:ascii="Arial" w:hAnsi="Arial" w:cs="Arial"/>
                <w:sz w:val="16"/>
              </w:rPr>
            </w:pPr>
            <w:r>
              <w:rPr>
                <w:rFonts w:cs="Arial" w:ascii="Arial" w:hAnsi="Arial"/>
                <w:sz w:val="16"/>
              </w:rPr>
              <w:t>105.2</w:t>
            </w:r>
          </w:p>
        </w:tc>
      </w:tr>
      <w:tr>
        <w:trPr>
          <w:trHeight w:val="120" w:hRule="atLeast"/>
        </w:trPr>
        <w:tc>
          <w:tcPr>
            <w:tcW w:w="2622" w:type="dxa"/>
            <w:tcBorders>
              <w:bottom w:val="single" w:sz="4" w:space="0" w:color="000000"/>
              <w:insideH w:val="single" w:sz="4" w:space="0" w:color="000000"/>
            </w:tcBorders>
            <w:shd w:fill="auto" w:val="clear"/>
            <w:vAlign w:val="bottom"/>
          </w:tcPr>
          <w:p>
            <w:pPr>
              <w:pStyle w:val="Normal"/>
              <w:rPr>
                <w:rFonts w:ascii="Arial" w:hAnsi="Arial" w:cs="Arial"/>
                <w:sz w:val="16"/>
              </w:rPr>
            </w:pPr>
            <w:r>
              <w:rPr>
                <w:rFonts w:cs="Arial" w:ascii="Arial" w:hAnsi="Arial"/>
                <w:sz w:val="16"/>
              </w:rPr>
              <w:t> </w:t>
            </w:r>
          </w:p>
        </w:tc>
        <w:tc>
          <w:tcPr>
            <w:tcW w:w="1037" w:type="dxa"/>
            <w:tcBorders>
              <w:bottom w:val="single" w:sz="4" w:space="0" w:color="000000"/>
              <w:insideH w:val="single" w:sz="4" w:space="0" w:color="000000"/>
            </w:tcBorders>
            <w:shd w:fill="auto" w:val="clear"/>
            <w:vAlign w:val="bottom"/>
          </w:tcPr>
          <w:p>
            <w:pPr>
              <w:pStyle w:val="Normal"/>
              <w:rPr>
                <w:rFonts w:ascii="Arial" w:hAnsi="Arial" w:cs="Arial"/>
                <w:sz w:val="16"/>
              </w:rPr>
            </w:pPr>
            <w:r>
              <w:rPr>
                <w:rFonts w:cs="Arial" w:ascii="Arial" w:hAnsi="Arial"/>
                <w:sz w:val="16"/>
              </w:rPr>
              <w:t> </w:t>
            </w:r>
          </w:p>
        </w:tc>
        <w:tc>
          <w:tcPr>
            <w:tcW w:w="324" w:type="dxa"/>
            <w:tcBorders>
              <w:bottom w:val="single" w:sz="4" w:space="0" w:color="000000"/>
              <w:insideH w:val="single" w:sz="4" w:space="0" w:color="000000"/>
            </w:tcBorders>
            <w:shd w:fill="auto" w:val="clear"/>
            <w:vAlign w:val="bottom"/>
          </w:tcPr>
          <w:p>
            <w:pPr>
              <w:pStyle w:val="Normal"/>
              <w:rPr>
                <w:rFonts w:ascii="Arial" w:hAnsi="Arial" w:cs="Arial"/>
                <w:sz w:val="16"/>
              </w:rPr>
            </w:pPr>
            <w:r>
              <w:rPr>
                <w:rFonts w:cs="Arial" w:ascii="Arial" w:hAnsi="Arial"/>
                <w:sz w:val="16"/>
              </w:rPr>
              <w:t> </w:t>
            </w:r>
          </w:p>
        </w:tc>
        <w:tc>
          <w:tcPr>
            <w:tcW w:w="917" w:type="dxa"/>
            <w:tcBorders>
              <w:bottom w:val="single" w:sz="4" w:space="0" w:color="000000"/>
              <w:insideH w:val="single" w:sz="4" w:space="0" w:color="000000"/>
            </w:tcBorders>
            <w:shd w:fill="auto" w:val="clear"/>
            <w:vAlign w:val="bottom"/>
          </w:tcPr>
          <w:p>
            <w:pPr>
              <w:pStyle w:val="Normal"/>
              <w:rPr>
                <w:rFonts w:ascii="Arial" w:hAnsi="Arial" w:cs="Arial"/>
                <w:sz w:val="16"/>
              </w:rPr>
            </w:pPr>
            <w:r>
              <w:rPr>
                <w:rFonts w:cs="Arial" w:ascii="Arial" w:hAnsi="Arial"/>
                <w:sz w:val="16"/>
              </w:rPr>
              <w:t> </w:t>
            </w:r>
          </w:p>
        </w:tc>
        <w:tc>
          <w:tcPr>
            <w:tcW w:w="324" w:type="dxa"/>
            <w:tcBorders>
              <w:bottom w:val="single" w:sz="4" w:space="0" w:color="000000"/>
              <w:insideH w:val="single" w:sz="4" w:space="0" w:color="000000"/>
            </w:tcBorders>
            <w:shd w:fill="auto" w:val="clear"/>
            <w:vAlign w:val="bottom"/>
          </w:tcPr>
          <w:p>
            <w:pPr>
              <w:pStyle w:val="Normal"/>
              <w:rPr>
                <w:rFonts w:ascii="Arial" w:hAnsi="Arial" w:cs="Arial"/>
                <w:sz w:val="16"/>
              </w:rPr>
            </w:pPr>
            <w:r>
              <w:rPr>
                <w:rFonts w:cs="Arial" w:ascii="Arial" w:hAnsi="Arial"/>
                <w:sz w:val="16"/>
              </w:rPr>
              <w:t> </w:t>
            </w:r>
          </w:p>
        </w:tc>
        <w:tc>
          <w:tcPr>
            <w:tcW w:w="750" w:type="dxa"/>
            <w:tcBorders>
              <w:bottom w:val="single" w:sz="4" w:space="0" w:color="000000"/>
              <w:insideH w:val="single" w:sz="4" w:space="0" w:color="000000"/>
            </w:tcBorders>
            <w:shd w:fill="auto" w:val="clear"/>
            <w:vAlign w:val="bottom"/>
          </w:tcPr>
          <w:p>
            <w:pPr>
              <w:pStyle w:val="Normal"/>
              <w:rPr>
                <w:rFonts w:ascii="Arial" w:hAnsi="Arial" w:cs="Arial"/>
                <w:sz w:val="16"/>
              </w:rPr>
            </w:pPr>
            <w:r>
              <w:rPr>
                <w:rFonts w:cs="Arial" w:ascii="Arial" w:hAnsi="Arial"/>
                <w:sz w:val="16"/>
              </w:rPr>
              <w:t> </w:t>
            </w:r>
          </w:p>
        </w:tc>
        <w:tc>
          <w:tcPr>
            <w:tcW w:w="261" w:type="dxa"/>
            <w:tcBorders>
              <w:bottom w:val="single" w:sz="4" w:space="0" w:color="000000"/>
              <w:insideH w:val="single" w:sz="4" w:space="0" w:color="000000"/>
            </w:tcBorders>
            <w:shd w:fill="auto" w:val="clear"/>
            <w:vAlign w:val="bottom"/>
          </w:tcPr>
          <w:p>
            <w:pPr>
              <w:pStyle w:val="Normal"/>
              <w:rPr>
                <w:rFonts w:ascii="Arial" w:hAnsi="Arial" w:cs="Arial"/>
                <w:sz w:val="16"/>
              </w:rPr>
            </w:pPr>
            <w:r>
              <w:rPr>
                <w:rFonts w:cs="Arial" w:ascii="Arial" w:hAnsi="Arial"/>
                <w:sz w:val="16"/>
              </w:rPr>
              <w:t> </w:t>
            </w:r>
          </w:p>
        </w:tc>
        <w:tc>
          <w:tcPr>
            <w:tcW w:w="750" w:type="dxa"/>
            <w:tcBorders>
              <w:bottom w:val="single" w:sz="4" w:space="0" w:color="000000"/>
              <w:insideH w:val="single" w:sz="4" w:space="0" w:color="000000"/>
            </w:tcBorders>
            <w:shd w:fill="auto" w:val="clear"/>
            <w:vAlign w:val="bottom"/>
          </w:tcPr>
          <w:p>
            <w:pPr>
              <w:pStyle w:val="Normal"/>
              <w:rPr>
                <w:rFonts w:ascii="Arial" w:hAnsi="Arial" w:cs="Arial"/>
                <w:sz w:val="16"/>
              </w:rPr>
            </w:pPr>
            <w:r>
              <w:rPr>
                <w:rFonts w:cs="Arial" w:ascii="Arial" w:hAnsi="Arial"/>
                <w:sz w:val="16"/>
              </w:rPr>
              <w:t> </w:t>
            </w:r>
          </w:p>
        </w:tc>
        <w:tc>
          <w:tcPr>
            <w:tcW w:w="261" w:type="dxa"/>
            <w:tcBorders>
              <w:bottom w:val="single" w:sz="4" w:space="0" w:color="000000"/>
              <w:insideH w:val="single" w:sz="4" w:space="0" w:color="000000"/>
            </w:tcBorders>
            <w:shd w:fill="auto" w:val="clear"/>
            <w:vAlign w:val="bottom"/>
          </w:tcPr>
          <w:p>
            <w:pPr>
              <w:pStyle w:val="Normal"/>
              <w:rPr>
                <w:rFonts w:ascii="Arial" w:hAnsi="Arial" w:cs="Arial"/>
                <w:sz w:val="16"/>
              </w:rPr>
            </w:pPr>
            <w:r>
              <w:rPr>
                <w:rFonts w:cs="Arial" w:ascii="Arial" w:hAnsi="Arial"/>
                <w:sz w:val="16"/>
              </w:rPr>
              <w:t> </w:t>
            </w:r>
          </w:p>
        </w:tc>
        <w:tc>
          <w:tcPr>
            <w:tcW w:w="777" w:type="dxa"/>
            <w:tcBorders>
              <w:bottom w:val="single" w:sz="4" w:space="0" w:color="000000"/>
              <w:insideH w:val="single" w:sz="4" w:space="0" w:color="000000"/>
            </w:tcBorders>
            <w:shd w:fill="auto" w:val="clear"/>
            <w:vAlign w:val="bottom"/>
          </w:tcPr>
          <w:p>
            <w:pPr>
              <w:pStyle w:val="Normal"/>
              <w:rPr>
                <w:rFonts w:ascii="Arial" w:hAnsi="Arial" w:cs="Arial"/>
                <w:sz w:val="16"/>
              </w:rPr>
            </w:pPr>
            <w:r>
              <w:rPr>
                <w:rFonts w:cs="Arial" w:ascii="Arial" w:hAnsi="Arial"/>
                <w:sz w:val="16"/>
              </w:rPr>
              <w:t> </w:t>
            </w:r>
          </w:p>
        </w:tc>
        <w:tc>
          <w:tcPr>
            <w:tcW w:w="261" w:type="dxa"/>
            <w:tcBorders>
              <w:bottom w:val="single" w:sz="4" w:space="0" w:color="000000"/>
              <w:insideH w:val="single" w:sz="4" w:space="0" w:color="000000"/>
            </w:tcBorders>
            <w:shd w:fill="auto" w:val="clear"/>
            <w:vAlign w:val="bottom"/>
          </w:tcPr>
          <w:p>
            <w:pPr>
              <w:pStyle w:val="Normal"/>
              <w:rPr>
                <w:rFonts w:ascii="Arial" w:hAnsi="Arial" w:cs="Arial"/>
                <w:sz w:val="16"/>
              </w:rPr>
            </w:pPr>
            <w:r>
              <w:rPr>
                <w:rFonts w:cs="Arial" w:ascii="Arial" w:hAnsi="Arial"/>
                <w:sz w:val="16"/>
              </w:rPr>
              <w:t> </w:t>
            </w:r>
          </w:p>
        </w:tc>
        <w:tc>
          <w:tcPr>
            <w:tcW w:w="839" w:type="dxa"/>
            <w:tcBorders>
              <w:bottom w:val="single" w:sz="4" w:space="0" w:color="000000"/>
              <w:insideH w:val="single" w:sz="4" w:space="0" w:color="000000"/>
            </w:tcBorders>
            <w:shd w:fill="auto" w:val="clear"/>
            <w:vAlign w:val="bottom"/>
          </w:tcPr>
          <w:p>
            <w:pPr>
              <w:pStyle w:val="Normal"/>
              <w:rPr>
                <w:rFonts w:ascii="Arial" w:hAnsi="Arial" w:cs="Arial"/>
                <w:sz w:val="16"/>
              </w:rPr>
            </w:pPr>
            <w:r>
              <w:rPr>
                <w:rFonts w:cs="Arial" w:ascii="Arial" w:hAnsi="Arial"/>
                <w:sz w:val="16"/>
              </w:rPr>
              <w:t> </w:t>
            </w:r>
          </w:p>
        </w:tc>
      </w:tr>
      <w:tr>
        <w:trPr>
          <w:trHeight w:val="225" w:hRule="atLeast"/>
        </w:trPr>
        <w:tc>
          <w:tcPr>
            <w:tcW w:w="6985" w:type="dxa"/>
            <w:gridSpan w:val="8"/>
            <w:tcBorders/>
            <w:shd w:fill="auto" w:val="clear"/>
            <w:vAlign w:val="bottom"/>
          </w:tcPr>
          <w:p>
            <w:pPr>
              <w:pStyle w:val="Normal"/>
              <w:rPr/>
            </w:pPr>
            <w:r>
              <w:rPr>
                <w:rFonts w:cs="Arial" w:ascii="Arial" w:hAnsi="Arial"/>
                <w:sz w:val="16"/>
              </w:rPr>
              <w:t xml:space="preserve">*P values for single factor ANOVA by age-group and SES: </w:t>
            </w:r>
            <w:r>
              <w:rPr>
                <w:rFonts w:cs="Arial" w:ascii="Arial" w:hAnsi="Arial"/>
                <w:sz w:val="16"/>
                <w:vertAlign w:val="superscript"/>
              </w:rPr>
              <w:t>a</w:t>
            </w:r>
            <w:r>
              <w:rPr>
                <w:rFonts w:cs="Arial" w:ascii="Arial" w:hAnsi="Arial"/>
                <w:sz w:val="16"/>
              </w:rPr>
              <w:t xml:space="preserve">&lt;0.05 ; </w:t>
            </w:r>
            <w:r>
              <w:rPr>
                <w:rFonts w:cs="Arial" w:ascii="Arial" w:hAnsi="Arial"/>
                <w:sz w:val="16"/>
                <w:vertAlign w:val="superscript"/>
              </w:rPr>
              <w:t>b</w:t>
            </w:r>
            <w:r>
              <w:rPr>
                <w:rFonts w:cs="Arial" w:ascii="Arial" w:hAnsi="Arial"/>
                <w:sz w:val="16"/>
              </w:rPr>
              <w:t xml:space="preserve">&lt;0.01 ; </w:t>
            </w:r>
            <w:r>
              <w:rPr>
                <w:rFonts w:cs="Arial" w:ascii="Arial" w:hAnsi="Arial"/>
                <w:sz w:val="16"/>
                <w:vertAlign w:val="superscript"/>
              </w:rPr>
              <w:t>c</w:t>
            </w:r>
            <w:r>
              <w:rPr>
                <w:rFonts w:cs="Arial" w:ascii="Arial" w:hAnsi="Arial"/>
                <w:sz w:val="16"/>
              </w:rPr>
              <w:t>&lt;0.001</w:t>
            </w:r>
          </w:p>
        </w:tc>
        <w:tc>
          <w:tcPr>
            <w:tcW w:w="261" w:type="dxa"/>
            <w:tcBorders/>
            <w:shd w:fill="auto" w:val="clear"/>
            <w:vAlign w:val="bottom"/>
          </w:tcPr>
          <w:p>
            <w:pPr>
              <w:pStyle w:val="Normal"/>
              <w:snapToGrid w:val="false"/>
              <w:rPr>
                <w:rFonts w:ascii="Arial" w:hAnsi="Arial" w:cs="Arial"/>
                <w:sz w:val="16"/>
              </w:rPr>
            </w:pPr>
            <w:r>
              <w:rPr>
                <w:rFonts w:cs="Arial" w:ascii="Arial" w:hAnsi="Arial"/>
                <w:sz w:val="16"/>
              </w:rPr>
            </w:r>
          </w:p>
        </w:tc>
        <w:tc>
          <w:tcPr>
            <w:tcW w:w="777" w:type="dxa"/>
            <w:tcBorders/>
            <w:shd w:fill="auto" w:val="clear"/>
            <w:vAlign w:val="bottom"/>
          </w:tcPr>
          <w:p>
            <w:pPr>
              <w:pStyle w:val="Normal"/>
              <w:snapToGrid w:val="false"/>
              <w:rPr>
                <w:rFonts w:ascii="Arial" w:hAnsi="Arial" w:cs="Arial"/>
                <w:sz w:val="16"/>
              </w:rPr>
            </w:pPr>
            <w:r>
              <w:rPr>
                <w:rFonts w:cs="Arial" w:ascii="Arial" w:hAnsi="Arial"/>
                <w:sz w:val="16"/>
              </w:rPr>
            </w:r>
          </w:p>
        </w:tc>
        <w:tc>
          <w:tcPr>
            <w:tcW w:w="261" w:type="dxa"/>
            <w:tcBorders/>
            <w:shd w:fill="auto" w:val="clear"/>
            <w:vAlign w:val="bottom"/>
          </w:tcPr>
          <w:p>
            <w:pPr>
              <w:pStyle w:val="Normal"/>
              <w:snapToGrid w:val="false"/>
              <w:rPr>
                <w:rFonts w:ascii="Arial" w:hAnsi="Arial" w:cs="Arial"/>
                <w:sz w:val="16"/>
              </w:rPr>
            </w:pPr>
            <w:r>
              <w:rPr>
                <w:rFonts w:cs="Arial" w:ascii="Arial" w:hAnsi="Arial"/>
                <w:sz w:val="16"/>
              </w:rPr>
            </w:r>
          </w:p>
        </w:tc>
        <w:tc>
          <w:tcPr>
            <w:tcW w:w="839" w:type="dxa"/>
            <w:tcBorders/>
            <w:shd w:fill="auto" w:val="clear"/>
            <w:vAlign w:val="bottom"/>
          </w:tcPr>
          <w:p>
            <w:pPr>
              <w:pStyle w:val="Normal"/>
              <w:snapToGrid w:val="false"/>
              <w:rPr>
                <w:rFonts w:ascii="Arial" w:hAnsi="Arial" w:cs="Arial"/>
                <w:sz w:val="16"/>
              </w:rPr>
            </w:pPr>
            <w:r>
              <w:rPr>
                <w:rFonts w:cs="Arial" w:ascii="Arial" w:hAnsi="Arial"/>
                <w:sz w:val="16"/>
              </w:rPr>
            </w:r>
          </w:p>
        </w:tc>
      </w:tr>
      <w:tr>
        <w:trPr>
          <w:trHeight w:val="225" w:hRule="atLeast"/>
        </w:trPr>
        <w:tc>
          <w:tcPr>
            <w:tcW w:w="9123" w:type="dxa"/>
            <w:gridSpan w:val="12"/>
            <w:tcBorders/>
            <w:shd w:fill="auto" w:val="clear"/>
            <w:vAlign w:val="bottom"/>
          </w:tcPr>
          <w:p>
            <w:pPr>
              <w:pStyle w:val="Normal"/>
              <w:rPr/>
            </w:pPr>
            <w:r>
              <w:rPr>
                <w:rFonts w:eastAsia="Arial" w:cs="Arial" w:ascii="Arial" w:hAnsi="Arial"/>
                <w:sz w:val="16"/>
                <w:vertAlign w:val="superscript"/>
              </w:rPr>
              <w:t>†</w:t>
            </w:r>
            <w:r>
              <w:rPr>
                <w:rFonts w:eastAsia="Arial" w:cs="Arial" w:ascii="Arial" w:hAnsi="Arial"/>
                <w:sz w:val="16"/>
              </w:rPr>
              <w:t xml:space="preserve"> </w:t>
            </w:r>
            <w:r>
              <w:rPr>
                <w:rFonts w:cs="Arial" w:ascii="Arial" w:hAnsi="Arial"/>
                <w:sz w:val="16"/>
              </w:rPr>
              <w:t>rates are based on smaller than expected injury cases as BCTR records begin at age 18</w:t>
            </w:r>
          </w:p>
        </w:tc>
      </w:tr>
    </w:tbl>
    <w:p>
      <w:pPr>
        <w:pStyle w:val="Normal"/>
        <w:spacing w:lineRule="auto" w:line="360"/>
        <w:rPr>
          <w:b/>
          <w:b/>
          <w:sz w:val="22"/>
        </w:rPr>
      </w:pPr>
      <w:r>
        <w:rPr>
          <w:b/>
          <w:sz w:val="22"/>
        </w:rPr>
      </w:r>
    </w:p>
    <w:p>
      <w:pPr>
        <w:pStyle w:val="Para"/>
        <w:spacing w:lineRule="auto" w:line="360"/>
        <w:ind w:hanging="0"/>
        <w:rPr>
          <w:b/>
          <w:b/>
          <w:sz w:val="22"/>
        </w:rPr>
      </w:pPr>
      <w:r>
        <w:rPr>
          <w:b/>
          <w:sz w:val="22"/>
        </w:rPr>
      </w:r>
    </w:p>
    <w:p>
      <w:pPr>
        <w:pStyle w:val="Para"/>
        <w:spacing w:lineRule="auto" w:line="360"/>
        <w:ind w:hanging="0"/>
        <w:rPr>
          <w:sz w:val="16"/>
        </w:rPr>
      </w:pPr>
      <w:r>
        <w:rPr>
          <w:sz w:val="16"/>
        </w:rPr>
        <w:drawing>
          <wp:inline distT="0" distB="0" distL="0" distR="0">
            <wp:extent cx="5485765" cy="337566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5485765" cy="3375660"/>
                    </a:xfrm>
                    <a:prstGeom prst="rect">
                      <a:avLst/>
                    </a:prstGeom>
                    <a:noFill/>
                    <a:ln w="9525">
                      <a:noFill/>
                      <a:miter lim="800000"/>
                      <a:headEnd/>
                      <a:tailEnd/>
                    </a:ln>
                  </pic:spPr>
                </pic:pic>
              </a:graphicData>
            </a:graphic>
          </wp:inline>
        </w:drawing>
      </w:r>
    </w:p>
    <w:p>
      <w:pPr>
        <w:pStyle w:val="Para"/>
        <w:spacing w:lineRule="auto" w:line="360"/>
        <w:ind w:hanging="0"/>
        <w:rPr/>
      </w:pPr>
      <w:r>
        <w:rPr>
          <w:rFonts w:cs="Arial" w:ascii="Arial" w:hAnsi="Arial"/>
          <w:b/>
          <w:sz w:val="16"/>
        </w:rPr>
        <w:t xml:space="preserve">Figure 1 – </w:t>
      </w:r>
      <w:r>
        <w:rPr>
          <w:rFonts w:cs="Arial" w:ascii="Arial" w:hAnsi="Arial"/>
          <w:sz w:val="16"/>
        </w:rPr>
        <w:t>Incidence of assault within the Core Vancouver CMA.  The Downtown Eastside – Canada’s poorest postal code –  has a spatially significant concentration of assault.</w:t>
      </w:r>
    </w:p>
    <w:p>
      <w:pPr>
        <w:pStyle w:val="Para"/>
        <w:spacing w:lineRule="auto" w:line="360"/>
        <w:ind w:hanging="0"/>
        <w:rPr>
          <w:rFonts w:ascii="Arial" w:hAnsi="Arial" w:cs="Arial"/>
          <w:sz w:val="22"/>
        </w:rPr>
      </w:pPr>
      <w:r>
        <w:rPr>
          <w:rFonts w:cs="Arial" w:ascii="Arial" w:hAnsi="Arial"/>
          <w:sz w:val="22"/>
        </w:rPr>
      </w:r>
    </w:p>
    <w:p>
      <w:pPr>
        <w:pStyle w:val="Para"/>
        <w:spacing w:lineRule="auto" w:line="360"/>
        <w:ind w:hanging="0"/>
        <w:rPr/>
      </w:pPr>
      <w:r>
        <w:rPr>
          <w:sz w:val="22"/>
        </w:rPr>
        <w:tab/>
        <w:t>Depending on the administrative unit used to assess contextual community effects on injury the clustering or dispersion of feature locations may increase the likelihood of committing type I errors due to the confounding effects owing to spatial autocorrelation</w:t>
      </w:r>
      <w:r>
        <w:rPr>
          <w:b/>
          <w:i/>
          <w:sz w:val="22"/>
        </w:rPr>
        <w:t xml:space="preserve">. </w:t>
      </w:r>
      <w:r>
        <w:rPr>
          <w:sz w:val="22"/>
        </w:rPr>
        <w:t xml:space="preserve">When measured using large scale (i.e. small area) administrative boundaries (postal codes, Census Tracts) there was less than a 1% likelihood that assault patterns within the Vancouver CMA were the result of random chance (p &lt; 0.01). This likely stems from the high concentration of assaults within specific geographic areas.  </w:t>
      </w:r>
    </w:p>
    <w:p>
      <w:pPr>
        <w:pStyle w:val="Heading2"/>
        <w:numPr>
          <w:ilvl w:val="1"/>
          <w:numId w:val="1"/>
        </w:numPr>
        <w:rPr>
          <w:i w:val="false"/>
          <w:i w:val="false"/>
          <w:sz w:val="16"/>
        </w:rPr>
      </w:pPr>
      <w:r>
        <w:rPr>
          <w:rFonts w:cs="Times New Roman" w:ascii="Times New Roman" w:hAnsi="Times New Roman"/>
          <w:i w:val="false"/>
          <w:sz w:val="22"/>
        </w:rPr>
        <w:drawing>
          <wp:inline distT="0" distB="0" distL="0" distR="0">
            <wp:extent cx="5485765" cy="210947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4"/>
                    <a:stretch>
                      <a:fillRect/>
                    </a:stretch>
                  </pic:blipFill>
                  <pic:spPr bwMode="auto">
                    <a:xfrm>
                      <a:off x="0" y="0"/>
                      <a:ext cx="5485765" cy="2109470"/>
                    </a:xfrm>
                    <a:prstGeom prst="rect">
                      <a:avLst/>
                    </a:prstGeom>
                    <a:noFill/>
                    <a:ln w="9525">
                      <a:noFill/>
                      <a:miter lim="800000"/>
                      <a:headEnd/>
                      <a:tailEnd/>
                    </a:ln>
                  </pic:spPr>
                </pic:pic>
              </a:graphicData>
            </a:graphic>
          </wp:inline>
        </w:drawing>
      </w:r>
    </w:p>
    <w:p>
      <w:pPr>
        <w:pStyle w:val="Heading2"/>
        <w:numPr>
          <w:ilvl w:val="1"/>
          <w:numId w:val="1"/>
        </w:numPr>
        <w:rPr/>
      </w:pPr>
      <w:r>
        <w:rPr>
          <w:i w:val="false"/>
          <w:sz w:val="16"/>
        </w:rPr>
        <w:t xml:space="preserve">Figure 2: </w:t>
      </w:r>
      <w:r>
        <w:rPr>
          <w:b w:val="false"/>
          <w:i w:val="false"/>
          <w:sz w:val="16"/>
        </w:rPr>
        <w:t>Spatial distribution of violent assault injuries (by patient residence) throughout the Vancouver CMA. Spatial dependency may increase at a large-scale (i.e. postal code); however the predictive strength of SES may be removed at small-scale (i.e. Local Health Area).</w:t>
      </w:r>
    </w:p>
    <w:p>
      <w:pPr>
        <w:pStyle w:val="Para"/>
        <w:spacing w:lineRule="auto" w:line="360"/>
        <w:ind w:hanging="0"/>
        <w:rPr>
          <w:rFonts w:ascii="Times" w:hAnsi="Times" w:cs="Times"/>
          <w:b/>
          <w:b/>
          <w:i/>
          <w:i/>
          <w:sz w:val="22"/>
        </w:rPr>
      </w:pPr>
      <w:r>
        <w:rPr>
          <w:rFonts w:cs="Times" w:ascii="Times" w:hAnsi="Times"/>
          <w:b/>
          <w:i/>
          <w:sz w:val="22"/>
        </w:rPr>
      </w:r>
    </w:p>
    <w:p>
      <w:pPr>
        <w:pStyle w:val="Para"/>
        <w:spacing w:lineRule="auto" w:line="360"/>
        <w:ind w:hanging="0"/>
        <w:rPr>
          <w:rFonts w:ascii="Times" w:hAnsi="Times" w:cs="Times"/>
          <w:sz w:val="22"/>
          <w:u w:val="single"/>
        </w:rPr>
      </w:pPr>
      <w:r>
        <w:rPr>
          <w:rFonts w:cs="Times" w:ascii="Times" w:hAnsi="Times"/>
          <w:sz w:val="22"/>
          <w:u w:val="single"/>
        </w:rPr>
        <w:t>Pedestrian trauma</w:t>
      </w:r>
    </w:p>
    <w:p>
      <w:pPr>
        <w:pStyle w:val="Para"/>
        <w:spacing w:lineRule="auto" w:line="360"/>
        <w:ind w:hanging="0"/>
        <w:rPr/>
      </w:pPr>
      <w:r>
        <w:rPr>
          <w:rFonts w:cs="Times" w:ascii="Times" w:hAnsi="Times"/>
          <w:sz w:val="22"/>
        </w:rPr>
        <w:tab/>
        <w:t xml:space="preserve">Figure 3 is a map of both incident cases by pedestrian injury for adults aged 65 and older and adults aged 18 – 64. A social gradient between patient’s SES classification and prevalence of pedestrian injury was found for adults aged 65 and older, with age-adjusted incident cases rising step-wise from 39 per 100,000 in the least deprived quintile to over 100 per 100,000 in the most disadvantaged quintile. With the exception of persons aged 65 and older, however, SES had less significance for the number of pedestrian injuries compared to rates of assaults. Results show wide differences between the most and least deprived SES quintiles, with rates four to five times higher between both quintiles. Rates between the remaining quintiles, however, were less consistent and varied with the patient’s SES classification. Inverse to assaults, rates of pedestrian injury increased in nearly all SES categories by age. Although a social gradient in SES and pedestrian injury is frequently found amongst children </w:t>
      </w:r>
      <w:r>
        <w:fldChar w:fldCharType="begin"/>
      </w:r>
      <w:r>
        <w:instrText> ADDIN EN.CITE &lt;EndNote&gt;&lt;Cite&gt;&lt;Author&gt;Dougherty&lt;/Author&gt;&lt;Year&gt;1990&lt;/Year&gt;&lt;RecNum&gt;44&lt;/RecNum&gt;&lt;record&gt;&lt;rec-number&gt;44&lt;/rec-number&gt;&lt;ref-type name="Journal Article"&gt;17&lt;/ref-type&gt;&lt;contributors&gt;&lt;authors&gt;&lt;author&gt;Dougherty, G.&lt;/author&gt;&lt;author&gt;Pless, I.B.&lt;/author&gt;&lt;author&gt;Wilkins, R.&lt;/author&gt;&lt;/authors&gt;&lt;/contributors&gt;&lt;titles&gt;&lt;title&gt;Social class and the occurrence of traffic injuries and deaths in urban children&lt;/title&gt;&lt;secondary-title&gt;Canadian Journal of Public Health&lt;/secondary-title&gt;&lt;/titles&gt;&lt;periodical&gt;&lt;full-title&gt;Canadian Journal of Public Health&lt;/full-title&gt;&lt;/periodical&gt;&lt;pages&gt;204-209&lt;/pages&gt;&lt;volume&gt;81&lt;/volume&gt;&lt;dates&gt;&lt;year&gt;1990&lt;/year&gt;&lt;/dates&gt;&lt;urls&gt;&lt;/urls&gt;&lt;/record&gt;&lt;/Cite&gt;&lt;Cite&gt;&lt;Author&gt;Pless&lt;/Author&gt;&lt;Year&gt;1989&lt;/Year&gt;&lt;RecNum&gt;45&lt;/RecNum&gt;&lt;record&gt;&lt;rec-number&gt;45&lt;/rec-number&gt;&lt;ref-type name="Journal Article"&gt;17&lt;/ref-type&gt;&lt;contributors&gt;&lt;authors&gt;&lt;author&gt;Pless, I.B.&lt;/author&gt;&lt;author&gt;Verreault, R.&lt;/author&gt;&lt;author&gt;Tenina, S.&lt;/author&gt;&lt;/authors&gt;&lt;/contributors&gt;&lt;titles&gt;&lt;title&gt;A case-control study of pedestrian and bicyclist injuries in childhood&lt;/title&gt;&lt;secondary-title&gt;American Journal of Public Health&lt;/secondary-title&gt;&lt;/titles&gt;&lt;periodical&gt;&lt;full-title&gt;American Journal of Public Health&lt;/full-title&gt;&lt;/periodical&gt;&lt;pages&gt;995-998&lt;/pages&gt;&lt;volume&gt;79&lt;/volume&gt;&lt;dates&gt;&lt;year&gt;1989&lt;/year&gt;&lt;/dates&gt;&lt;urls&gt;&lt;/urls&gt;&lt;/record&gt;&lt;/Cite&gt;&lt;/EndNote&gt;</w:instrText>
      </w:r>
      <w:r>
        <w:fldChar w:fldCharType="separate"/>
      </w:r>
      <w:bookmarkStart w:id="14" w:name="__Fieldmark__168_1322453857"/>
      <w:r>
        <w:rPr>
          <w:rFonts w:cs="Times" w:ascii="Times" w:hAnsi="Times"/>
          <w:sz w:val="22"/>
        </w:rPr>
        <w:t>[34, 35]</w:t>
      </w:r>
      <w:r>
        <w:rPr>
          <w:rFonts w:cs="Times" w:ascii="Times" w:hAnsi="Times"/>
          <w:sz w:val="22"/>
        </w:rPr>
      </w:r>
      <w:r>
        <w:fldChar w:fldCharType="end"/>
      </w:r>
      <w:bookmarkEnd w:id="14"/>
      <w:r>
        <w:rPr>
          <w:rFonts w:cs="Times" w:ascii="Times" w:hAnsi="Times"/>
          <w:sz w:val="22"/>
        </w:rPr>
        <w:t xml:space="preserve">, relatively few studies have investigated the relationship between SES and pedestrian injuries amongst the elderly </w:t>
      </w:r>
      <w:r>
        <w:fldChar w:fldCharType="begin"/>
      </w:r>
      <w:r>
        <w:instrText> ADDIN EN.CITE &lt;EndNote&gt;&lt;Cite&gt;&lt;Author&gt;Lyons&lt;/Author&gt;&lt;Year&gt;2003&lt;/Year&gt;&lt;RecNum&gt;46&lt;/RecNum&gt;&lt;record&gt;&lt;rec-number&gt;46&lt;/rec-number&gt;&lt;ref-type name="Journal Article"&gt;17&lt;/ref-type&gt;&lt;contributors&gt;&lt;authors&gt;&lt;author&gt;Lyons, R.A.&lt;/author&gt;&lt;author&gt;Jones, S.J.&lt;/author&gt;&lt;author&gt;Deacon, T.&lt;/author&gt;&lt;author&gt;Heaven, M.&lt;/author&gt;&lt;/authors&gt;&lt;/contributors&gt;&lt;titles&gt;&lt;title&gt;Socioeconomic variation in injury in children and older people: a population based study&lt;/title&gt;&lt;secondary-title&gt;Injury Prevention&lt;/secondary-title&gt;&lt;/titles&gt;&lt;periodical&gt;&lt;full-title&gt;Injury Prevention&lt;/full-title&gt;&lt;/periodical&gt;&lt;pages&gt;33-37&lt;/pages&gt;&lt;volume&gt;9&lt;/volume&gt;&lt;number&gt;1&lt;/number&gt;&lt;dates&gt;&lt;year&gt;2003&lt;/year&gt;&lt;/dates&gt;&lt;urls&gt;&lt;/urls&gt;&lt;/record&gt;&lt;/Cite&gt;&lt;/EndNote&gt;</w:instrText>
      </w:r>
      <w:r>
        <w:fldChar w:fldCharType="separate"/>
      </w:r>
      <w:bookmarkStart w:id="15" w:name="__Fieldmark__169_1322453857"/>
      <w:r>
        <w:rPr>
          <w:rFonts w:cs="Times" w:ascii="Times" w:hAnsi="Times"/>
          <w:sz w:val="22"/>
        </w:rPr>
        <w:t>[36]</w:t>
      </w:r>
      <w:r>
        <w:rPr>
          <w:rFonts w:cs="Times" w:ascii="Times" w:hAnsi="Times"/>
          <w:sz w:val="22"/>
        </w:rPr>
      </w:r>
      <w:r>
        <w:fldChar w:fldCharType="end"/>
      </w:r>
      <w:bookmarkEnd w:id="15"/>
      <w:r>
        <w:rPr>
          <w:rFonts w:cs="Times" w:ascii="Times" w:hAnsi="Times"/>
          <w:sz w:val="22"/>
        </w:rPr>
        <w:t>.</w:t>
      </w:r>
    </w:p>
    <w:p>
      <w:pPr>
        <w:pStyle w:val="Para"/>
        <w:spacing w:lineRule="auto" w:line="360"/>
        <w:ind w:hanging="0"/>
        <w:rPr>
          <w:rFonts w:ascii="Times" w:hAnsi="Times" w:cs="Times"/>
          <w:sz w:val="22"/>
        </w:rPr>
      </w:pPr>
      <w:r>
        <w:rPr>
          <w:rFonts w:cs="Times" w:ascii="Times" w:hAnsi="Times"/>
          <w:sz w:val="22"/>
        </w:rPr>
      </w:r>
    </w:p>
    <w:p>
      <w:pPr>
        <w:pStyle w:val="Para"/>
        <w:spacing w:lineRule="auto" w:line="360"/>
        <w:ind w:hanging="0"/>
        <w:rPr>
          <w:rFonts w:ascii="Times" w:hAnsi="Times" w:cs="Times"/>
          <w:sz w:val="22"/>
          <w:u w:val="single"/>
        </w:rPr>
      </w:pPr>
      <w:r>
        <w:rPr>
          <w:rFonts w:cs="Times" w:ascii="Times" w:hAnsi="Times"/>
          <w:sz w:val="22"/>
          <w:u w:val="single"/>
        </w:rPr>
        <w:t>The spatial epidemiology of MVC and fall-related trauma</w:t>
      </w:r>
    </w:p>
    <w:p>
      <w:pPr>
        <w:pStyle w:val="Para"/>
        <w:spacing w:lineRule="auto" w:line="360"/>
        <w:rPr/>
      </w:pPr>
      <w:r>
        <w:rPr>
          <w:rFonts w:cs="Times" w:ascii="Times" w:hAnsi="Times"/>
          <w:sz w:val="22"/>
        </w:rPr>
        <w:t>In contrast to pedestrian related and assault injuries, no obvious trends were found between patients’ SES and injuries resulting from motor vehicle crashes and falls. Although this research investigated only severe injury with ISS &gt; 12,</w:t>
      </w:r>
      <w:r>
        <w:rPr>
          <w:rFonts w:cs="Times" w:ascii="Times" w:hAnsi="Times"/>
          <w:b/>
          <w:sz w:val="22"/>
        </w:rPr>
        <w:t xml:space="preserve"> </w:t>
      </w:r>
      <w:r>
        <w:rPr>
          <w:rFonts w:cs="Times" w:ascii="Times" w:hAnsi="Times"/>
          <w:sz w:val="22"/>
        </w:rPr>
        <w:t xml:space="preserve">the findings are in contrast to early research conducted by Turrell </w:t>
      </w:r>
      <w:r>
        <w:fldChar w:fldCharType="begin"/>
      </w:r>
      <w:r>
        <w:instrText> ADDIN EN.CITE &lt;EndNote&gt;&lt;Cite&gt;&lt;Author&gt;Turrell&lt;/Author&gt;&lt;Year&gt;2001&lt;/Year&gt;&lt;RecNum&gt;47&lt;/RecNum&gt;&lt;record&gt;&lt;rec-number&gt;47&lt;/rec-number&gt;&lt;ref-type name="Journal Article"&gt;17&lt;/ref-type&gt;&lt;contributors&gt;&lt;authors&gt;&lt;author&gt;Turrell, Gavin&lt;/author&gt;&lt;author&gt;Mathers, Colin&lt;/author&gt;&lt;/authors&gt;&lt;/contributors&gt;&lt;titles&gt;&lt;title&gt;Socioeconomic inequalities in all-cause and specific-cause mortality in Austraila: 1985-1987 and 1995-1997&lt;/title&gt;&lt;secondary-title&gt;International Journal of Epidemiology&lt;/secondary-title&gt;&lt;/titles&gt;&lt;periodical&gt;&lt;full-title&gt;International Journal of Epidemiology&lt;/full-title&gt;&lt;/periodical&gt;&lt;pages&gt;231-239&lt;/pages&gt;&lt;volume&gt;30&lt;/volume&gt;&lt;dates&gt;&lt;year&gt;2001&lt;/year&gt;&lt;/dates&gt;&lt;urls&gt;&lt;/urls&gt;&lt;/record&gt;&lt;/Cite&gt;&lt;/EndNote&gt;</w:instrText>
      </w:r>
      <w:r>
        <w:fldChar w:fldCharType="separate"/>
      </w:r>
      <w:bookmarkStart w:id="16" w:name="__Fieldmark__170_1322453857"/>
      <w:r>
        <w:rPr>
          <w:rFonts w:cs="Times" w:ascii="Times" w:hAnsi="Times"/>
          <w:sz w:val="22"/>
        </w:rPr>
        <w:t>[37]</w:t>
      </w:r>
      <w:r>
        <w:rPr>
          <w:rFonts w:cs="Times" w:ascii="Times" w:hAnsi="Times"/>
          <w:sz w:val="22"/>
        </w:rPr>
      </w:r>
      <w:r>
        <w:fldChar w:fldCharType="end"/>
      </w:r>
      <w:bookmarkEnd w:id="16"/>
      <w:r>
        <w:rPr>
          <w:rFonts w:cs="Times" w:ascii="Times" w:hAnsi="Times"/>
          <w:sz w:val="22"/>
        </w:rPr>
        <w:t xml:space="preserve"> where motor vehicle crashes increased amongst persons from more disadvantaged backgrounds. Adults aged 45-54 in SES quintile five (most deprived), however, experienced the highest rate of injury stemming from MVCs. Further, among adults aged 25-34, rates of injury were again the highest for adults in SES quintiles four and five. In the remaining age groups and SES quintiles, however, our analysis revealed that SES frequently showed an inverse impact on the number of motor vehicle related injuries, particularly in middle SES quintiles 2 and 3. </w:t>
      </w:r>
    </w:p>
    <w:p>
      <w:pPr>
        <w:pStyle w:val="Para"/>
        <w:spacing w:lineRule="auto" w:line="360"/>
        <w:ind w:hanging="0"/>
        <w:rPr>
          <w:rFonts w:ascii="Times" w:hAnsi="Times" w:cs="Times"/>
          <w:sz w:val="22"/>
        </w:rPr>
      </w:pPr>
      <w:r>
        <w:rPr>
          <w:rFonts w:cs="Times" w:ascii="Times" w:hAnsi="Times"/>
          <w:sz w:val="22"/>
        </w:rPr>
      </w:r>
    </w:p>
    <w:p>
      <w:pPr>
        <w:pStyle w:val="Normal"/>
        <w:spacing w:lineRule="auto" w:line="360"/>
        <w:rPr>
          <w:sz w:val="22"/>
        </w:rPr>
      </w:pPr>
      <w:r>
        <w:rPr>
          <w:sz w:val="22"/>
        </w:rPr>
        <w:drawing>
          <wp:inline distT="0" distB="0" distL="0" distR="0">
            <wp:extent cx="5485765" cy="3375660"/>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5"/>
                    <a:stretch>
                      <a:fillRect/>
                    </a:stretch>
                  </pic:blipFill>
                  <pic:spPr bwMode="auto">
                    <a:xfrm>
                      <a:off x="0" y="0"/>
                      <a:ext cx="5485765" cy="3375660"/>
                    </a:xfrm>
                    <a:prstGeom prst="rect">
                      <a:avLst/>
                    </a:prstGeom>
                    <a:noFill/>
                    <a:ln w="9525">
                      <a:noFill/>
                      <a:miter lim="800000"/>
                      <a:headEnd/>
                      <a:tailEnd/>
                    </a:ln>
                  </pic:spPr>
                </pic:pic>
              </a:graphicData>
            </a:graphic>
          </wp:inline>
        </w:drawing>
      </w:r>
    </w:p>
    <w:p>
      <w:pPr>
        <w:pStyle w:val="Normal"/>
        <w:rPr>
          <w:sz w:val="22"/>
        </w:rPr>
      </w:pPr>
      <w:r>
        <w:rPr>
          <w:sz w:val="22"/>
        </w:rPr>
      </w:r>
    </w:p>
    <w:p>
      <w:pPr>
        <w:pStyle w:val="Normal"/>
        <w:spacing w:lineRule="auto" w:line="360"/>
        <w:rPr/>
      </w:pPr>
      <w:r>
        <w:rPr>
          <w:rFonts w:cs="Arial" w:ascii="Arial" w:hAnsi="Arial"/>
          <w:b/>
          <w:sz w:val="16"/>
        </w:rPr>
        <w:t xml:space="preserve">Figure 3 – </w:t>
      </w:r>
      <w:r>
        <w:rPr>
          <w:rFonts w:cs="Arial" w:ascii="Arial" w:hAnsi="Arial"/>
          <w:sz w:val="16"/>
        </w:rPr>
        <w:t xml:space="preserve">Pedestrian injury cases (aged 65 and older) within the Core Vancouver CMA. Note that in the most deprived quintiles pedestrian injuries increased among persons 65 years or older. </w:t>
      </w:r>
    </w:p>
    <w:p>
      <w:pPr>
        <w:pStyle w:val="Para"/>
        <w:spacing w:lineRule="auto" w:line="360"/>
        <w:ind w:hanging="0"/>
        <w:rPr>
          <w:rFonts w:ascii="Arial" w:hAnsi="Arial" w:cs="Arial"/>
          <w:sz w:val="22"/>
        </w:rPr>
      </w:pPr>
      <w:r>
        <w:rPr>
          <w:rFonts w:cs="Arial" w:ascii="Arial" w:hAnsi="Arial"/>
          <w:sz w:val="22"/>
        </w:rPr>
      </w:r>
    </w:p>
    <w:p>
      <w:pPr>
        <w:pStyle w:val="Para"/>
        <w:spacing w:lineRule="auto" w:line="360"/>
        <w:ind w:hanging="0"/>
        <w:rPr>
          <w:sz w:val="22"/>
        </w:rPr>
      </w:pPr>
      <w:r>
        <w:rPr>
          <w:sz w:val="22"/>
        </w:rPr>
        <w:tab/>
        <w:t>Using data from the BCTR we also examined injury rates from falls in association with patient’s SES quintile and found similar patterns to motor vehicle crashes. With the exception of adults aged 35 – 54, the results revealed little significant variation when contrasted against the patient’s SES quintile. Although there was a downward trend between SES 1 (most privileged) and SES 5 for adults aged 25 – 34 and aged 45 – 54 the variation in SES quintile and rates of injuries was not statistically significant between all SES classes and injury rates. For the young, ages 15-24, and the elderly, age 65 and over, the relationship between patient’s SES and acute injury displayed inverse trends.</w:t>
      </w:r>
    </w:p>
    <w:p>
      <w:pPr>
        <w:pStyle w:val="Para"/>
        <w:spacing w:lineRule="auto" w:line="360"/>
        <w:ind w:hanging="0"/>
        <w:rPr>
          <w:sz w:val="22"/>
        </w:rPr>
      </w:pPr>
      <w:r>
        <w:rPr>
          <w:sz w:val="22"/>
        </w:rPr>
      </w:r>
    </w:p>
    <w:p>
      <w:pPr>
        <w:pStyle w:val="Heading3"/>
        <w:numPr>
          <w:ilvl w:val="2"/>
          <w:numId w:val="1"/>
        </w:numPr>
        <w:spacing w:lineRule="auto" w:line="360" w:before="0" w:after="0"/>
        <w:rPr/>
      </w:pPr>
      <w:r>
        <w:rPr>
          <w:rFonts w:cs="Times" w:ascii="Times" w:hAnsi="Times"/>
        </w:rPr>
        <w:t>Discussion</w:t>
      </w:r>
    </w:p>
    <w:p>
      <w:pPr>
        <w:pStyle w:val="TextBody"/>
        <w:spacing w:lineRule="auto" w:line="360"/>
        <w:ind w:firstLine="720"/>
        <w:rPr/>
      </w:pPr>
      <w:r>
        <w:rPr>
          <w:rFonts w:eastAsia="Times" w:cs="Times" w:ascii="Times" w:hAnsi="Times"/>
          <w:sz w:val="22"/>
        </w:rPr>
        <w:t xml:space="preserve">Societal factors are known to exert an impact on mortality through a wide range of mechanisms </w:t>
      </w:r>
      <w:r>
        <w:fldChar w:fldCharType="begin"/>
      </w:r>
      <w:r>
        <w:instrText> ADDIN EN.CITE &lt;EndNote&gt;&lt;Cite&gt;&lt;Author&gt;Pappas&lt;/Author&gt;&lt;Year&gt;1993&lt;/Year&gt;&lt;RecNum&gt;73&lt;/RecNum&gt;&lt;record&gt;&lt;rec-number&gt;73&lt;/rec-number&gt;&lt;ref-type name="Journal Article"&gt;17&lt;/ref-type&gt;&lt;contributors&gt;&lt;authors&gt;&lt;author&gt;Pappas, G.&lt;/author&gt;&lt;author&gt;Queen, S.&lt;/author&gt;&lt;author&gt;Hadden, W.&lt;/author&gt;&lt;author&gt;Fisher, G.&lt;/author&gt;&lt;/authors&gt;&lt;/contributors&gt;&lt;titles&gt;&lt;title&gt;The increasing disparity in mortality between socioeconomic groups in the United States, 1960 and 1986&lt;/title&gt;&lt;secondary-title&gt;N. Engl. J. Med.&lt;/secondary-title&gt;&lt;/titles&gt;&lt;periodical&gt;&lt;full-title&gt;N. Engl. J. Med.&lt;/full-title&gt;&lt;/periodical&gt;&lt;pages&gt;103-109&lt;/pages&gt;&lt;volume&gt;329&lt;/volume&gt;&lt;number&gt;2&lt;/number&gt;&lt;dates&gt;&lt;year&gt;1993&lt;/year&gt;&lt;/dates&gt;&lt;urls&gt;&lt;/urls&gt;&lt;/record&gt;&lt;/Cite&gt;&lt;/EndNote&gt;</w:instrText>
      </w:r>
      <w:r>
        <w:fldChar w:fldCharType="separate"/>
      </w:r>
      <w:bookmarkStart w:id="17" w:name="__Fieldmark__171_1322453857"/>
      <w:r>
        <w:rPr>
          <w:rFonts w:eastAsia="Times" w:cs="Times" w:ascii="Times" w:hAnsi="Times"/>
          <w:sz w:val="22"/>
        </w:rPr>
        <w:t>[38]</w:t>
      </w:r>
      <w:r>
        <w:rPr>
          <w:rFonts w:eastAsia="Times" w:cs="Times" w:ascii="Times" w:hAnsi="Times"/>
          <w:sz w:val="22"/>
        </w:rPr>
      </w:r>
      <w:r>
        <w:fldChar w:fldCharType="end"/>
      </w:r>
      <w:bookmarkEnd w:id="17"/>
      <w:r>
        <w:rPr>
          <w:rFonts w:eastAsia="Times" w:cs="Times" w:ascii="Times" w:hAnsi="Times"/>
          <w:sz w:val="22"/>
        </w:rPr>
        <w:t xml:space="preserve">. In the United States, a recent analysis of National Health Interview Survey (NHIS) data demonstrated significant disparities in potential years of life lost between strata of income, education, and race. These disparities were primarily attributable to ischemic heart disease, hypertension, cancers, type 2 diabetes, HIV and/or trauma depending on the societal factor under consideration </w:t>
      </w:r>
      <w:r>
        <w:fldChar w:fldCharType="begin"/>
      </w:r>
      <w:r>
        <w:instrText> ADDIN EN.CITE &lt;EndNote&gt;&lt;Cite&gt;&lt;Author&gt;Wong&lt;/Author&gt;&lt;Year&gt;2002&lt;/Year&gt;&lt;RecNum&gt;72&lt;/RecNum&gt;&lt;record&gt;&lt;rec-number&gt;72&lt;/rec-number&gt;&lt;ref-type name="Journal Article"&gt;17&lt;/ref-type&gt;&lt;contributors&gt;&lt;authors&gt;&lt;author&gt;Wong, M.D.&lt;/author&gt;&lt;author&gt;Shapiro, M.F.&lt;/author&gt;&lt;author&gt;Boscardin, W.J.&lt;/author&gt;&lt;author&gt;Ettner, S.L.&lt;/author&gt;&lt;/authors&gt;&lt;/contributors&gt;&lt;titles&gt;&lt;title&gt;Contribution of Major Diseases to Disparities in Mortality&lt;/title&gt;&lt;secondary-title&gt;N. Engl. J. Med.&lt;/secondary-title&gt;&lt;/titles&gt;&lt;periodical&gt;&lt;full-title&gt;N. Engl. J. Med.&lt;/full-title&gt;&lt;/periodical&gt;&lt;pages&gt;1585-1592&lt;/pages&gt;&lt;volume&gt;347&lt;/volume&gt;&lt;number&gt;20&lt;/number&gt;&lt;dates&gt;&lt;year&gt;2002&lt;/year&gt;&lt;/dates&gt;&lt;urls&gt;&lt;/urls&gt;&lt;/record&gt;&lt;/Cite&gt;&lt;/EndNote&gt;</w:instrText>
      </w:r>
      <w:r>
        <w:fldChar w:fldCharType="separate"/>
      </w:r>
      <w:bookmarkStart w:id="18" w:name="__Fieldmark__172_1322453857"/>
      <w:r>
        <w:rPr>
          <w:rFonts w:eastAsia="Times" w:cs="Times" w:ascii="Times" w:hAnsi="Times"/>
          <w:sz w:val="22"/>
        </w:rPr>
        <w:t>[39]</w:t>
      </w:r>
      <w:r>
        <w:rPr>
          <w:rFonts w:eastAsia="Times" w:cs="Times" w:ascii="Times" w:hAnsi="Times"/>
          <w:sz w:val="22"/>
        </w:rPr>
      </w:r>
      <w:r>
        <w:fldChar w:fldCharType="end"/>
      </w:r>
      <w:bookmarkEnd w:id="18"/>
      <w:r>
        <w:rPr>
          <w:rFonts w:eastAsia="Times" w:cs="Times" w:ascii="Times" w:hAnsi="Times"/>
          <w:sz w:val="22"/>
        </w:rPr>
        <w:t xml:space="preserve">. Other societal factors, including income inequality, family structure, population density, and human rights violations are also associated with mortality </w:t>
      </w:r>
      <w:r>
        <w:fldChar w:fldCharType="begin"/>
      </w:r>
      <w:r>
        <w:instrText> ADDIN EN.CITE &lt;EndNote&gt;&lt;Cite&gt;&lt;Author&gt;Witzig&lt;/Author&gt;&lt;Year&gt;1996&lt;/Year&gt;&lt;RecNum&gt;52&lt;/RecNum&gt;&lt;record&gt;&lt;rec-number&gt;52&lt;/rec-number&gt;&lt;ref-type name="Journal Article"&gt;17&lt;/ref-type&gt;&lt;contributors&gt;&lt;authors&gt;&lt;author&gt;Witzig, R.&lt;/author&gt;&lt;/authors&gt;&lt;/contributors&gt;&lt;titles&gt;&lt;title&gt;The medicalization of race: scientific legitimization of a flawed social construct&lt;/title&gt;&lt;secondary-title&gt;Ann Intern Med&lt;/secondary-title&gt;&lt;/titles&gt;&lt;periodical&gt;&lt;full-title&gt;Ann Intern Med&lt;/full-title&gt;&lt;/periodical&gt;&lt;pages&gt;675-9&lt;/pages&gt;&lt;volume&gt;125&lt;/volume&gt;&lt;number&gt;8&lt;/number&gt;&lt;dates&gt;&lt;year&gt;1996&lt;/year&gt;&lt;/dates&gt;&lt;urls&gt;&lt;/urls&gt;&lt;/record&gt;&lt;/Cite&gt;&lt;Cite&gt;&lt;Author&gt;Diez Roux&lt;/Author&gt;&lt;Year&gt;2001&lt;/Year&gt;&lt;RecNum&gt;54&lt;/RecNum&gt;&lt;record&gt;&lt;rec-number&gt;54&lt;/rec-number&gt;&lt;ref-type name="Journal Article"&gt;17&lt;/ref-type&gt;&lt;contributors&gt;&lt;authors&gt;&lt;author&gt;Diez Roux, A.V.&lt;/author&gt;&lt;author&gt;Merkin, S.S.&lt;/author&gt;&lt;author&gt;Arnett, D.&lt;/author&gt;&lt;author&gt;Chambless, L.&lt;/author&gt;&lt;author&gt;Massing, M.&lt;/author&gt;&lt;author&gt;Nieto, F.J.&lt;/author&gt;&lt;author&gt;Sorlie, P.&lt;/author&gt;&lt;author&gt;Szklo, M.&lt;/author&gt;&lt;author&gt;Tyroler, H.A.&lt;/author&gt;&lt;author&gt;Watson, R.L.&lt;/author&gt;&lt;/authors&gt;&lt;/contributors&gt;&lt;titles&gt;&lt;title&gt;Neighborhood of residence and incident of coronary heart disease&lt;/title&gt;&lt;secondary-title&gt;N. Engl. J. Med.&lt;/secondary-title&gt;&lt;/titles&gt;&lt;periodical&gt;&lt;full-title&gt;N. Engl. J. Med.&lt;/full-title&gt;&lt;/periodical&gt;&lt;pages&gt;99-106&lt;/pages&gt;&lt;volume&gt;345&lt;/volume&gt;&lt;number&gt;2&lt;/number&gt;&lt;dates&gt;&lt;year&gt;2001&lt;/year&gt;&lt;/dates&gt;&lt;urls&gt;&lt;/urls&gt;&lt;/record&gt;&lt;/Cite&gt;&lt;/EndNote&gt;</w:instrText>
      </w:r>
      <w:r>
        <w:fldChar w:fldCharType="separate"/>
      </w:r>
      <w:bookmarkStart w:id="19" w:name="__Fieldmark__173_1322453857"/>
      <w:r>
        <w:rPr>
          <w:rFonts w:eastAsia="Times" w:cs="Times" w:ascii="Times" w:hAnsi="Times"/>
          <w:sz w:val="22"/>
        </w:rPr>
        <w:t>[40, 41]</w:t>
      </w:r>
      <w:r>
        <w:rPr>
          <w:rFonts w:eastAsia="Times" w:cs="Times" w:ascii="Times" w:hAnsi="Times"/>
          <w:sz w:val="22"/>
        </w:rPr>
      </w:r>
      <w:r>
        <w:fldChar w:fldCharType="end"/>
      </w:r>
      <w:bookmarkEnd w:id="19"/>
      <w:r>
        <w:rPr>
          <w:rFonts w:eastAsia="Times" w:cs="Times" w:ascii="Times" w:hAnsi="Times"/>
          <w:sz w:val="22"/>
        </w:rPr>
        <w:t xml:space="preserve">. Canadian investigators have made similar observations – mortality rates for many common illnesses are higher among the socioeconomically disadvantaged </w:t>
      </w:r>
      <w:r>
        <w:fldChar w:fldCharType="begin"/>
      </w:r>
      <w:r>
        <w:instrText> ADDIN EN.CITE &lt;EndNote&gt;&lt;Cite&gt;&lt;Author&gt;Raphael&lt;/Author&gt;&lt;Year&gt;2002&lt;/Year&gt;&lt;RecNum&gt;62&lt;/RecNum&gt;&lt;record&gt;&lt;rec-number&gt;62&lt;/rec-number&gt;&lt;ref-type name="Report"&gt;27&lt;/ref-type&gt;&lt;contributors&gt;&lt;authors&gt;&lt;author&gt;Raphael, D.&lt;/author&gt;&lt;/authors&gt;&lt;secondary-authors&gt;&lt;author&gt;Anderson, J.&lt;/author&gt;&lt;/secondary-authors&gt;&lt;/contributors&gt;&lt;titles&gt;&lt;title&gt;Poverty, income inequality and health in Canada&lt;/title&gt;&lt;secondary-title&gt;Social Justice Series&lt;/secondary-title&gt;&lt;/titles&gt;&lt;dates&gt;&lt;year&gt;2002&lt;/year&gt;&lt;/dates&gt;&lt;pub-location&gt;Toronto&lt;/pub-location&gt;&lt;publisher&gt;CJS Foundation for Research and Education&lt;/publisher&gt;&lt;urls&gt;&lt;/urls&gt;&lt;/record&gt;&lt;/Cite&gt;&lt;/EndNote&gt;</w:instrText>
      </w:r>
      <w:r>
        <w:fldChar w:fldCharType="separate"/>
      </w:r>
      <w:bookmarkStart w:id="20" w:name="__Fieldmark__174_1322453857"/>
      <w:r>
        <w:rPr>
          <w:rFonts w:eastAsia="Times" w:cs="Times" w:ascii="Times" w:hAnsi="Times"/>
          <w:sz w:val="22"/>
        </w:rPr>
        <w:t>[42]</w:t>
      </w:r>
      <w:r>
        <w:rPr>
          <w:rFonts w:eastAsia="Times" w:cs="Times" w:ascii="Times" w:hAnsi="Times"/>
          <w:sz w:val="22"/>
        </w:rPr>
      </w:r>
      <w:r>
        <w:fldChar w:fldCharType="end"/>
      </w:r>
      <w:bookmarkEnd w:id="20"/>
      <w:r>
        <w:rPr>
          <w:rFonts w:eastAsia="Times" w:cs="Times" w:ascii="Times" w:hAnsi="Times"/>
          <w:sz w:val="22"/>
        </w:rPr>
        <w:t xml:space="preserve">. Interestingly, Canadian studies have also demonstrated that even within systems of universal health care coverage, risk of acute illness and access to life-saving diagnostic and therapeutic interventions is influenced by socioeconomic factors </w:t>
      </w:r>
      <w:r>
        <w:fldChar w:fldCharType="begin"/>
      </w:r>
      <w:r>
        <w:instrText> ADDIN EN.CITE &lt;EndNote&gt;&lt;Cite&gt;&lt;Author&gt;Brownell&lt;/Author&gt;&lt;Year&gt;2002&lt;/Year&gt;&lt;RecNum&gt;65&lt;/RecNum&gt;&lt;record&gt;&lt;rec-number&gt;65&lt;/rec-number&gt;&lt;ref-type name="Journal Article"&gt;17&lt;/ref-type&gt;&lt;contributors&gt;&lt;authors&gt;&lt;author&gt;Brownell, M.&lt;/author&gt;&lt;author&gt;Friesen, D.&lt;/author&gt;&lt;author&gt;Mayer, T.&lt;/author&gt;&lt;/authors&gt;&lt;/contributors&gt;&lt;titles&gt;&lt;title&gt;Childhood injury rates in Manitoba: socioeconomic influences&lt;/title&gt;&lt;secondary-title&gt;Canadian Journal of Public Health&lt;/secondary-title&gt;&lt;/titles&gt;&lt;periodical&gt;&lt;full-title&gt;Canadian Journal of Public Health&lt;/full-title&gt;&lt;/periodical&gt;&lt;pages&gt;S50 - S56&lt;/pages&gt;&lt;volume&gt;93&lt;/volume&gt;&lt;number&gt;Suppl 2&lt;/number&gt;&lt;dates&gt;&lt;year&gt;2002&lt;/year&gt;&lt;/dates&gt;&lt;urls&gt;&lt;/urls&gt;&lt;/record&gt;&lt;/Cite&gt;&lt;Cite&gt;&lt;Author&gt;Leslie&lt;/Author&gt;&lt;Year&gt;2005&lt;/Year&gt;&lt;RecNum&gt;71&lt;/RecNum&gt;&lt;record&gt;&lt;rec-number&gt;71&lt;/rec-number&gt;&lt;ref-type name="Journal Article"&gt;17&lt;/ref-type&gt;&lt;contributors&gt;&lt;authors&gt;&lt;author&gt;Leslie, W.D.&lt;/author&gt;&lt;author&gt;Derksen, S.A.&lt;/author&gt;&lt;author&gt;Metge, C.&lt;/author&gt;&lt;author&gt;et al&lt;/author&gt;&lt;/authors&gt;&lt;/contributors&gt;&lt;titles&gt;&lt;title&gt;Demographic risk factors for fracture in First Nations people&lt;/title&gt;&lt;secondary-title&gt;Canadian Journal of Public Health&lt;/secondary-title&gt;&lt;/titles&gt;&lt;periodical&gt;&lt;full-title&gt;Canadian Journal of Public Health&lt;/full-title&gt;&lt;/periodical&gt;&lt;pages&gt;S45- S50&lt;/pages&gt;&lt;volume&gt;96&lt;/volume&gt;&lt;number&gt;Suppl 1&lt;/number&gt;&lt;dates&gt;&lt;year&gt;2005&lt;/year&gt;&lt;/dates&gt;&lt;urls&gt;&lt;/urls&gt;&lt;/record&gt;&lt;/Cite&gt;&lt;Cite&gt;&lt;Author&gt;Soubhi&lt;/Author&gt;&lt;Year&gt;2004&lt;/Year&gt;&lt;RecNum&gt;66&lt;/RecNum&gt;&lt;record&gt;&lt;rec-number&gt;66&lt;/rec-number&gt;&lt;ref-type name="Journal Article"&gt;17&lt;/ref-type&gt;&lt;contributors&gt;&lt;authors&gt;&lt;author&gt;Soubhi, H.&lt;/author&gt;&lt;author&gt;Raina, P.&lt;/author&gt;&lt;author&gt;Kohen, D.&lt;/author&gt;&lt;/authors&gt;&lt;/contributors&gt;&lt;titles&gt;&lt;title&gt;Neighborhood, family, and child predictors of childhood injury in Canada&lt;/title&gt;&lt;secondary-title&gt;Am. J. Health Behav&lt;/secondary-title&gt;&lt;/titles&gt;&lt;periodical&gt;&lt;full-title&gt;Am. J. Health Behav&lt;/full-title&gt;&lt;/periodical&gt;&lt;pages&gt;397-409&lt;/pages&gt;&lt;volume&gt;28&lt;/volume&gt;&lt;number&gt;5&lt;/number&gt;&lt;dates&gt;&lt;year&gt;2004&lt;/year&gt;&lt;/dates&gt;&lt;urls&gt;&lt;/urls&gt;&lt;/record&gt;&lt;/Cite&gt;&lt;Cite&gt;&lt;Author&gt;Katz&lt;/Author&gt;&lt;Year&gt;1994&lt;/Year&gt;&lt;RecNum&gt;58&lt;/RecNum&gt;&lt;record&gt;&lt;rec-number&gt;58&lt;/rec-number&gt;&lt;ref-type name="Journal Article"&gt;17&lt;/ref-type&gt;&lt;contributors&gt;&lt;authors&gt;&lt;author&gt;Katz, S.J.&lt;/author&gt;&lt;author&gt;Hofer, T.P.&lt;/author&gt;&lt;/authors&gt;&lt;/contributors&gt;&lt;titles&gt;&lt;title&gt;Socioeconomic disparities in preventive care persist despite universal coverage. Breast and cervical cancer screening in Ontario and the United States&lt;/title&gt;&lt;secondary-title&gt;J. Am. Med. Assoc.&lt;/secondary-title&gt;&lt;/titles&gt;&lt;periodical&gt;&lt;full-title&gt;J. Am. Med. Assoc.&lt;/full-title&gt;&lt;/periodical&gt;&lt;pages&gt;530-534&lt;/pages&gt;&lt;volume&gt;272&lt;/volume&gt;&lt;number&gt;7&lt;/number&gt;&lt;dates&gt;&lt;year&gt;1994&lt;/year&gt;&lt;/dates&gt;&lt;urls&gt;&lt;/urls&gt;&lt;/record&gt;&lt;/Cite&gt;&lt;/EndNote&gt;</w:instrText>
      </w:r>
      <w:r>
        <w:fldChar w:fldCharType="separate"/>
      </w:r>
      <w:bookmarkStart w:id="21" w:name="__Fieldmark__175_1322453857"/>
      <w:r>
        <w:rPr>
          <w:rFonts w:eastAsia="Times" w:cs="Times" w:ascii="Times" w:hAnsi="Times"/>
          <w:sz w:val="22"/>
        </w:rPr>
        <w:t>[43-46]</w:t>
      </w:r>
      <w:r>
        <w:rPr>
          <w:rFonts w:eastAsia="Times" w:cs="Times" w:ascii="Times" w:hAnsi="Times"/>
          <w:sz w:val="22"/>
        </w:rPr>
      </w:r>
      <w:r>
        <w:fldChar w:fldCharType="end"/>
      </w:r>
      <w:bookmarkEnd w:id="21"/>
      <w:r>
        <w:rPr>
          <w:rFonts w:eastAsia="Times" w:cs="Times" w:ascii="Times" w:hAnsi="Times"/>
          <w:sz w:val="22"/>
        </w:rPr>
        <w:t>.</w:t>
      </w:r>
    </w:p>
    <w:p>
      <w:pPr>
        <w:pStyle w:val="BodyText3"/>
        <w:spacing w:lineRule="auto" w:line="360"/>
        <w:ind w:firstLine="720"/>
        <w:jc w:val="left"/>
        <w:rPr/>
      </w:pPr>
      <w:r>
        <w:rPr>
          <w:rFonts w:eastAsia="Times" w:cs="Times" w:ascii="Times" w:hAnsi="Times"/>
          <w:sz w:val="22"/>
        </w:rPr>
        <w:t xml:space="preserve">Socioeconomic status (SES) has been shown to be a powerful predictor of trauma risk in the US, even accounting for disparities attributed to other societal factors. Centerwall </w:t>
      </w:r>
      <w:r>
        <w:fldChar w:fldCharType="begin"/>
      </w:r>
      <w:r>
        <w:instrText> ADDIN EN.CITE &lt;EndNote&gt;&lt;Cite&gt;&lt;Author&gt;Centerwall&lt;/Author&gt;&lt;Year&gt;1995&lt;/Year&gt;&lt;RecNum&gt;64&lt;/RecNum&gt;&lt;record&gt;&lt;rec-number&gt;64&lt;/rec-number&gt;&lt;ref-type name="Journal Article"&gt;17&lt;/ref-type&gt;&lt;contributors&gt;&lt;authors&gt;&lt;author&gt;Centerwall, B.S.&lt;/author&gt;&lt;/authors&gt;&lt;/contributors&gt;&lt;titles&gt;&lt;title&gt;Race, socioeconomic status, and domestic homicide&lt;/title&gt;&lt;secondary-title&gt;J. Am. Med. Assoc.&lt;/secondary-title&gt;&lt;/titles&gt;&lt;periodical&gt;&lt;full-title&gt;J. Am. Med. Assoc.&lt;/full-title&gt;&lt;/periodical&gt;&lt;pages&gt;1755-1758&lt;/pages&gt;&lt;volume&gt;273&lt;/volume&gt;&lt;number&gt;22&lt;/number&gt;&lt;dates&gt;&lt;year&gt;1995&lt;/year&gt;&lt;/dates&gt;&lt;urls&gt;&lt;/urls&gt;&lt;/record&gt;&lt;/Cite&gt;&lt;/EndNote&gt;</w:instrText>
      </w:r>
      <w:r>
        <w:fldChar w:fldCharType="separate"/>
      </w:r>
      <w:bookmarkStart w:id="22" w:name="__Fieldmark__176_1322453857"/>
      <w:r>
        <w:rPr>
          <w:rFonts w:eastAsia="Times" w:cs="Times" w:ascii="Times" w:hAnsi="Times"/>
          <w:sz w:val="22"/>
        </w:rPr>
        <w:t>[47]</w:t>
      </w:r>
      <w:r>
        <w:rPr>
          <w:rFonts w:eastAsia="Times" w:cs="Times" w:ascii="Times" w:hAnsi="Times"/>
          <w:sz w:val="22"/>
        </w:rPr>
      </w:r>
      <w:r>
        <w:fldChar w:fldCharType="end"/>
      </w:r>
      <w:bookmarkEnd w:id="22"/>
      <w:r>
        <w:rPr>
          <w:rFonts w:eastAsia="Times" w:cs="Times" w:ascii="Times" w:hAnsi="Times"/>
          <w:sz w:val="22"/>
        </w:rPr>
        <w:t xml:space="preserve"> found that the risk of intraracial homicide was six times higher among black populations compared to white populations in New Orleans, </w:t>
      </w:r>
      <w:r>
        <w:rPr>
          <w:rStyle w:val="CommentReference"/>
          <w:rFonts w:eastAsia="Times" w:cs="Times" w:ascii="Times" w:hAnsi="Times"/>
          <w:sz w:val="22"/>
        </w:rPr>
        <w:t>w</w:t>
      </w:r>
      <w:r>
        <w:rPr>
          <w:rFonts w:eastAsia="Times" w:cs="Times" w:ascii="Times" w:hAnsi="Times"/>
          <w:sz w:val="22"/>
        </w:rPr>
        <w:t xml:space="preserve">ith the observed association accounted for by one measure of SES: household crowding. Other studies have implicated SES as an important confounder of the race-trauma risk association; SES factors such as social disorganization, acculturation </w:t>
      </w:r>
      <w:r>
        <w:fldChar w:fldCharType="begin"/>
      </w:r>
      <w:r>
        <w:instrText> ADDIN EN.CITE &lt;EndNote&gt;&lt;Cite&gt;&lt;Author&gt;Krueger&lt;/Author&gt;&lt;Year&gt;2004&lt;/Year&gt;&lt;RecNum&gt;67&lt;/RecNum&gt;&lt;record&gt;&lt;rec-number&gt;67&lt;/rec-number&gt;&lt;ref-type name="Journal Article"&gt;17&lt;/ref-type&gt;&lt;contributors&gt;&lt;authors&gt;&lt;author&gt;Krueger, P.M.&lt;/author&gt;&lt;author&gt;Bond Huie, S.A.&lt;/author&gt;&lt;author&gt;Rogers, R.G.&lt;/author&gt;&lt;author&gt;Hummer, R.A.&lt;/author&gt;&lt;/authors&gt;&lt;/contributors&gt;&lt;titles&gt;&lt;title&gt;Neighbourhoods and homicide mortality: an analysis of race/ethnic differences&lt;/title&gt;&lt;secondary-title&gt;Journal of Epidemiology &amp;amp; Community Health&lt;/secondary-title&gt;&lt;/titles&gt;&lt;periodical&gt;&lt;full-title&gt;Journal of Epidemiology &amp;amp; Community Health&lt;/full-title&gt;&lt;/periodical&gt;&lt;pages&gt;223-230&lt;/pages&gt;&lt;volume&gt;58&lt;/volume&gt;&lt;number&gt;3&lt;/number&gt;&lt;dates&gt;&lt;year&gt;2004&lt;/year&gt;&lt;/dates&gt;&lt;urls&gt;&lt;/urls&gt;&lt;/record&gt;&lt;/Cite&gt;&lt;/EndNote&gt;</w:instrText>
      </w:r>
      <w:r>
        <w:fldChar w:fldCharType="separate"/>
      </w:r>
      <w:bookmarkStart w:id="23" w:name="__Fieldmark__177_1322453857"/>
      <w:r>
        <w:rPr>
          <w:rFonts w:eastAsia="Times" w:cs="Times" w:ascii="Times" w:hAnsi="Times"/>
          <w:sz w:val="22"/>
        </w:rPr>
        <w:t>[48]</w:t>
      </w:r>
      <w:r>
        <w:rPr>
          <w:rFonts w:eastAsia="Times" w:cs="Times" w:ascii="Times" w:hAnsi="Times"/>
          <w:sz w:val="22"/>
        </w:rPr>
      </w:r>
      <w:r>
        <w:fldChar w:fldCharType="end"/>
      </w:r>
      <w:bookmarkEnd w:id="23"/>
      <w:r>
        <w:rPr>
          <w:rFonts w:eastAsia="Times" w:cs="Times" w:ascii="Times" w:hAnsi="Times"/>
          <w:sz w:val="22"/>
        </w:rPr>
        <w:t xml:space="preserve">, neighbourhood SES </w:t>
      </w:r>
      <w:r>
        <w:fldChar w:fldCharType="begin"/>
      </w:r>
      <w:r>
        <w:instrText> ADDIN EN.CITE &lt;EndNote&gt;&lt;Cite&gt;&lt;Author&gt;Winkleby&lt;/Author&gt;&lt;Year&gt;2003&lt;/Year&gt;&lt;RecNum&gt;68&lt;/RecNum&gt;&lt;record&gt;&lt;rec-number&gt;68&lt;/rec-number&gt;&lt;ref-type name="Journal Article"&gt;17&lt;/ref-type&gt;&lt;contributors&gt;&lt;authors&gt;&lt;author&gt;Winkleby, M.A.&lt;/author&gt;&lt;author&gt;Cubbin, C.&lt;/author&gt;&lt;/authors&gt;&lt;/contributors&gt;&lt;titles&gt;&lt;title&gt;Influence of individual and neighbourhood socioeconomic status on mortality among black, Mexican-American, and white women and men in the United Status&lt;/title&gt;&lt;secondary-title&gt;Journal of Epidemiology &amp;amp; Community Health&lt;/secondary-title&gt;&lt;/titles&gt;&lt;periodical&gt;&lt;full-title&gt;Journal of Epidemiology &amp;amp; Community Health&lt;/full-title&gt;&lt;/periodical&gt;&lt;pages&gt;444-452&lt;/pages&gt;&lt;volume&gt;57&lt;/volume&gt;&lt;number&gt;6&lt;/number&gt;&lt;dates&gt;&lt;year&gt;2003&lt;/year&gt;&lt;/dates&gt;&lt;urls&gt;&lt;/urls&gt;&lt;/record&gt;&lt;/Cite&gt;&lt;/EndNote&gt;</w:instrText>
      </w:r>
      <w:r>
        <w:fldChar w:fldCharType="separate"/>
      </w:r>
      <w:bookmarkStart w:id="24" w:name="__Fieldmark__178_1322453857"/>
      <w:r>
        <w:rPr>
          <w:rFonts w:eastAsia="Times" w:cs="Times" w:ascii="Times" w:hAnsi="Times"/>
          <w:sz w:val="22"/>
        </w:rPr>
        <w:t>[49]</w:t>
      </w:r>
      <w:r>
        <w:rPr>
          <w:rFonts w:eastAsia="Times" w:cs="Times" w:ascii="Times" w:hAnsi="Times"/>
          <w:sz w:val="22"/>
        </w:rPr>
      </w:r>
      <w:r>
        <w:fldChar w:fldCharType="end"/>
      </w:r>
      <w:bookmarkEnd w:id="24"/>
      <w:r>
        <w:rPr>
          <w:rFonts w:eastAsia="Times" w:cs="Times" w:ascii="Times" w:hAnsi="Times"/>
          <w:sz w:val="22"/>
        </w:rPr>
        <w:t>,</w:t>
      </w:r>
      <w:r>
        <w:rPr>
          <w:rFonts w:eastAsia="Times" w:cs="Times" w:ascii="Times" w:hAnsi="Times"/>
          <w:sz w:val="22"/>
          <w:vertAlign w:val="superscript"/>
        </w:rPr>
        <w:t xml:space="preserve"> </w:t>
      </w:r>
      <w:r>
        <w:rPr>
          <w:rFonts w:eastAsia="Times" w:cs="Times" w:ascii="Times" w:hAnsi="Times"/>
          <w:sz w:val="22"/>
        </w:rPr>
        <w:t xml:space="preserve">education of head of household </w:t>
      </w:r>
      <w:r>
        <w:fldChar w:fldCharType="begin"/>
      </w:r>
      <w:r>
        <w:instrText> ADDIN EN.CITE &lt;EndNote&gt;&lt;Cite&gt;&lt;Author&gt;Hussey&lt;/Author&gt;&lt;Year&gt;1997&lt;/Year&gt;&lt;RecNum&gt;69&lt;/RecNum&gt;&lt;record&gt;&lt;rec-number&gt;69&lt;/rec-number&gt;&lt;ref-type name="Journal Article"&gt;17&lt;/ref-type&gt;&lt;contributors&gt;&lt;authors&gt;&lt;author&gt;Hussey, J.M.&lt;/author&gt;&lt;/authors&gt;&lt;/contributors&gt;&lt;titles&gt;&lt;title&gt;The effects of race, socioeconomic status, and household structure on injury mortality in children and young adults&lt;/title&gt;&lt;secondary-title&gt;Matern Child Health J.&lt;/secondary-title&gt;&lt;/titles&gt;&lt;periodical&gt;&lt;full-title&gt;Matern Child Health J.&lt;/full-title&gt;&lt;/periodical&gt;&lt;pages&gt;217-227&lt;/pages&gt;&lt;volume&gt;1&lt;/volume&gt;&lt;number&gt;4&lt;/number&gt;&lt;dates&gt;&lt;year&gt;1997&lt;/year&gt;&lt;/dates&gt;&lt;urls&gt;&lt;/urls&gt;&lt;/record&gt;&lt;/Cite&gt;&lt;/EndNote&gt;</w:instrText>
      </w:r>
      <w:r>
        <w:fldChar w:fldCharType="separate"/>
      </w:r>
      <w:bookmarkStart w:id="25" w:name="__Fieldmark__179_1322453857"/>
      <w:r>
        <w:rPr>
          <w:rFonts w:eastAsia="Times" w:cs="Times" w:ascii="Times" w:hAnsi="Times"/>
          <w:sz w:val="22"/>
        </w:rPr>
        <w:t>[50]</w:t>
      </w:r>
      <w:r>
        <w:rPr>
          <w:rFonts w:eastAsia="Times" w:cs="Times" w:ascii="Times" w:hAnsi="Times"/>
          <w:sz w:val="22"/>
        </w:rPr>
      </w:r>
      <w:r>
        <w:fldChar w:fldCharType="end"/>
      </w:r>
      <w:bookmarkEnd w:id="25"/>
      <w:r>
        <w:rPr>
          <w:rFonts w:eastAsia="Times" w:cs="Times" w:ascii="Times" w:hAnsi="Times"/>
          <w:sz w:val="22"/>
        </w:rPr>
        <w:t xml:space="preserve">, and birth weight </w:t>
      </w:r>
      <w:r>
        <w:fldChar w:fldCharType="begin"/>
      </w:r>
      <w:r>
        <w:instrText> ADDIN EN.CITE &lt;EndNote&gt;&lt;Cite&gt;&lt;Author&gt;Khoshnood&lt;/Author&gt;&lt;Year&gt;2005&lt;/Year&gt;&lt;RecNum&gt;70&lt;/RecNum&gt;&lt;record&gt;&lt;rec-number&gt;70&lt;/rec-number&gt;&lt;ref-type name="Journal Article"&gt;17&lt;/ref-type&gt;&lt;contributors&gt;&lt;authors&gt;&lt;author&gt;Khoshnood, B.&lt;/author&gt;&lt;author&gt;Wall, S.&lt;/author&gt;&lt;author&gt;Lee, K.S.&lt;/author&gt;&lt;/authors&gt;&lt;/contributors&gt;&lt;titles&gt;&lt;title&gt;Risk of low birth weight associated with advanced maternal age among four ethnic groups in the United States&lt;/title&gt;&lt;secondary-title&gt;Matern Child Health J.&lt;/secondary-title&gt;&lt;/titles&gt;&lt;periodical&gt;&lt;full-title&gt;Matern Child Health J.&lt;/full-title&gt;&lt;/periodical&gt;&lt;pages&gt;3-9&lt;/pages&gt;&lt;volume&gt;9&lt;/volume&gt;&lt;number&gt;1&lt;/number&gt;&lt;dates&gt;&lt;year&gt;2005&lt;/year&gt;&lt;/dates&gt;&lt;urls&gt;&lt;/urls&gt;&lt;/record&gt;&lt;/Cite&gt;&lt;/EndNote&gt;</w:instrText>
      </w:r>
      <w:r>
        <w:fldChar w:fldCharType="separate"/>
      </w:r>
      <w:bookmarkStart w:id="26" w:name="__Fieldmark__180_1322453857"/>
      <w:r>
        <w:rPr>
          <w:rFonts w:eastAsia="Times" w:cs="Times" w:ascii="Times" w:hAnsi="Times"/>
          <w:sz w:val="22"/>
        </w:rPr>
        <w:t>[51]</w:t>
      </w:r>
      <w:r>
        <w:rPr>
          <w:rFonts w:eastAsia="Times" w:cs="Times" w:ascii="Times" w:hAnsi="Times"/>
          <w:sz w:val="22"/>
        </w:rPr>
      </w:r>
      <w:r>
        <w:fldChar w:fldCharType="end"/>
      </w:r>
      <w:bookmarkEnd w:id="26"/>
      <w:r>
        <w:rPr>
          <w:rFonts w:eastAsia="Times" w:cs="Times" w:ascii="Times" w:hAnsi="Times"/>
          <w:sz w:val="22"/>
        </w:rPr>
        <w:t xml:space="preserve"> have all been found, at least in part, to explain high trauma rates observed in African Americans. An important Canadian study reflects similar experiences here: although injury mortality has declined overall in the last 3 decades, disparities in mortality rates between children from high and low income areas have persisted. The authors of this study concluded that, to reduce socioeconomic inequities, “targeted prevention should be implemented for injuries with the largest SES rate differences” </w:t>
      </w:r>
      <w:r>
        <w:fldChar w:fldCharType="begin"/>
      </w:r>
      <w:r>
        <w:instrText> ADDIN EN.CITE &lt;EndNote&gt;&lt;Cite&gt;&lt;Author&gt;Birken&lt;/Author&gt;&lt;Year&gt;2006&lt;/Year&gt;&lt;RecNum&gt;74&lt;/RecNum&gt;&lt;record&gt;&lt;rec-number&gt;74&lt;/rec-number&gt;&lt;ref-type name="Journal Article"&gt;17&lt;/ref-type&gt;&lt;contributors&gt;&lt;authors&gt;&lt;author&gt;Birken, C.S.&lt;/author&gt;&lt;author&gt;Parkin, P.C.&lt;/author&gt;&lt;author&gt;To, T.&lt;/author&gt;&lt;author&gt;Macarthur , C.&lt;/author&gt;&lt;/authors&gt;&lt;/contributors&gt;&lt;titles&gt;&lt;title&gt;Trends in rates of death from unintentional injury among Canadian children in urban areas: influence of socioeconomic status&lt;/title&gt;&lt;secondary-title&gt;CMAJ&lt;/secondary-title&gt;&lt;/titles&gt;&lt;periodical&gt;&lt;full-title&gt;CMAJ&lt;/full-title&gt;&lt;/periodical&gt;&lt;pages&gt;867&lt;/pages&gt;&lt;volume&gt;175&lt;/volume&gt;&lt;number&gt;8&lt;/number&gt;&lt;dates&gt;&lt;year&gt;2006&lt;/year&gt;&lt;/dates&gt;&lt;urls&gt;&lt;/urls&gt;&lt;/record&gt;&lt;/Cite&gt;&lt;/EndNote&gt;</w:instrText>
      </w:r>
      <w:r>
        <w:fldChar w:fldCharType="separate"/>
      </w:r>
      <w:bookmarkStart w:id="27" w:name="__Fieldmark__181_1322453857"/>
      <w:r>
        <w:rPr>
          <w:rFonts w:eastAsia="Times" w:cs="Times" w:ascii="Times" w:hAnsi="Times"/>
          <w:sz w:val="22"/>
        </w:rPr>
        <w:t>[52]</w:t>
      </w:r>
      <w:r>
        <w:rPr>
          <w:rFonts w:eastAsia="Times" w:cs="Times" w:ascii="Times" w:hAnsi="Times"/>
          <w:sz w:val="22"/>
        </w:rPr>
      </w:r>
      <w:r>
        <w:fldChar w:fldCharType="end"/>
      </w:r>
      <w:bookmarkEnd w:id="27"/>
      <w:r>
        <w:rPr>
          <w:rFonts w:eastAsia="Times" w:cs="Times" w:ascii="Times" w:hAnsi="Times"/>
          <w:sz w:val="22"/>
        </w:rPr>
        <w:t>.</w:t>
      </w:r>
    </w:p>
    <w:p>
      <w:pPr>
        <w:pStyle w:val="Para"/>
        <w:spacing w:lineRule="auto" w:line="360"/>
        <w:ind w:hanging="0"/>
        <w:rPr>
          <w:rFonts w:ascii="Times" w:hAnsi="Times" w:cs="Times"/>
          <w:sz w:val="22"/>
        </w:rPr>
      </w:pPr>
      <w:r>
        <w:rPr>
          <w:rFonts w:cs="Times" w:ascii="Times" w:hAnsi="Times"/>
          <w:sz w:val="22"/>
        </w:rPr>
        <w:tab/>
        <w:t xml:space="preserve">The impact of SES on trauma risk in Canada has not been extensively studied, and to our knowledge, GIS tools have not been applied. Our analysis revealed striking and robust associations of socioeconomic deprivation and risk of assault and pedestrian trauma, including a 14 fold difference in the risk of severe injury resulting from assault between the most and least deprived segments of society. Quantification of these disparities may be important in efforts to reduce the burden of illness in Canada’s most disadvantaged populations. Equally importantly, GIS provided insights into spatial aspects of vulnerability, identifying neighborhoods with high rates of specific injury mechanisms. Applied in this way, spatial analyses can direct injury control mechanisms to high-risk environments. </w:t>
      </w:r>
    </w:p>
    <w:p>
      <w:pPr>
        <w:pStyle w:val="Para"/>
        <w:spacing w:lineRule="auto" w:line="360"/>
        <w:rPr>
          <w:rFonts w:ascii="Times" w:hAnsi="Times" w:cs="Times"/>
          <w:sz w:val="22"/>
        </w:rPr>
      </w:pPr>
      <w:r>
        <w:rPr>
          <w:rFonts w:cs="Times" w:ascii="Times" w:hAnsi="Times"/>
          <w:sz w:val="22"/>
        </w:rPr>
        <w:t xml:space="preserve">This research makes a number of important methodological contributions to literature on SES and acute injury. We have shown that GIS can be used to produce analytical models of neighbourhood SES for injury surveillance and prevention strategies. Integration of GIS, Census geographies and a locally representative deprivation index can be used to measure SES against subsets of a provincial trauma registry. The resulting model also illustrates the potential of GIS to reveal spatial patterns in acute injury and their link to population health. . Results from this analysis were presented using large scale (i.e. small-area) analysis, as this is a more informative lens in which to measure local health outcomes than much larger, regional Health Authority or Health Service Delivery Area boundaries, which can contain on average tens to hundreds of thousands of people. </w:t>
      </w:r>
    </w:p>
    <w:p>
      <w:pPr>
        <w:pStyle w:val="Para"/>
        <w:spacing w:lineRule="auto" w:line="360"/>
        <w:ind w:hanging="0"/>
        <w:rPr/>
      </w:pPr>
      <w:r>
        <w:rPr>
          <w:rFonts w:cs="Times" w:ascii="Times" w:hAnsi="Times"/>
          <w:sz w:val="22"/>
        </w:rPr>
        <w:tab/>
        <w:t>This work has some methodological limitations. Relying on aggregate Census data for mapping SES, is a limited, albeit still informative, approach for measuring the relationship between neighbourhood/individual SES and rates of injury. Census data are also susceptible to under-representation of current population and living dynamics given the 20% questionnaire sampling frame and two-year survey-to-publication periods</w:t>
      </w:r>
      <w:r>
        <w:rPr>
          <w:rStyle w:val="FootnoteCharacters"/>
          <w:rStyle w:val="FootnoteAnchor"/>
          <w:rFonts w:cs="Times" w:ascii="Times" w:hAnsi="Times"/>
          <w:sz w:val="22"/>
        </w:rPr>
        <w:footnoteReference w:id="2"/>
      </w:r>
      <w:r>
        <w:rPr>
          <w:rFonts w:cs="Times" w:ascii="Times" w:hAnsi="Times"/>
          <w:sz w:val="22"/>
        </w:rPr>
        <w:t xml:space="preserve">. Likewise, different variables and/or weighting schematics of the deprivation index may produce different results. Finally, due to limitations in available data, our analysis did not account for prehospital mortality and may have therefore slightly underestimated trauma volumes. </w:t>
      </w:r>
    </w:p>
    <w:p>
      <w:pPr>
        <w:pStyle w:val="Para"/>
        <w:spacing w:lineRule="auto" w:line="360"/>
        <w:ind w:hanging="0"/>
        <w:rPr>
          <w:rFonts w:ascii="Times" w:hAnsi="Times" w:cs="Times"/>
          <w:sz w:val="22"/>
        </w:rPr>
      </w:pPr>
      <w:r>
        <w:rPr>
          <w:rFonts w:cs="Times" w:ascii="Times" w:hAnsi="Times"/>
          <w:sz w:val="22"/>
        </w:rPr>
        <w:tab/>
        <w:t>Our analysis illustrates that GIS is a useful tool in identifying and communicating socioeconomic vulnerability to severe injury and that it may have the potential to inform the development and evaluation of specific community and neighbourhood level injury prevention strategies. Furthermore, the relationship between SES and acute injury seems best analyzed when researchers work within a dynamic mapping environment. Continuing research will map the spatial distribution of trauma within British Columbia using GIS and integrate small-area statistical methods to more accurately target injury surveillance and prevention strategies.</w:t>
      </w:r>
      <w:r>
        <w:rPr>
          <w:rFonts w:cs="Times" w:ascii="Times" w:hAnsi="Times"/>
          <w:b/>
          <w:sz w:val="22"/>
        </w:rPr>
        <w:t xml:space="preserve"> </w:t>
      </w:r>
      <w:r>
        <w:br w:type="page"/>
      </w:r>
    </w:p>
    <w:p>
      <w:pPr>
        <w:pStyle w:val="Para"/>
        <w:spacing w:lineRule="auto" w:line="360"/>
        <w:ind w:hanging="0"/>
        <w:rPr/>
      </w:pPr>
      <w:r>
        <w:rPr/>
        <w:t>References</w:t>
      </w:r>
    </w:p>
    <w:p>
      <w:pPr>
        <w:pStyle w:val="Normal"/>
        <w:ind w:left="720" w:hanging="720"/>
        <w:rPr/>
      </w:pPr>
      <w:r>
        <w:fldChar w:fldCharType="begin"/>
      </w:r>
      <w:r>
        <w:instrText> ADDIN EN.REFLIST </w:instrText>
      </w:r>
      <w:r>
        <w:fldChar w:fldCharType="separate"/>
      </w:r>
      <w:bookmarkStart w:id="28" w:name="__Fieldmark__182_1322453857"/>
      <w:r>
        <w:rPr/>
        <w:t>1.</w:t>
        <w:tab/>
      </w:r>
      <w:r>
        <w:rPr>
          <w:b/>
        </w:rPr>
        <w:t>National Trauma Registry Report - Hospital Injury Admissions 1998/1999</w:t>
      </w:r>
      <w:r>
        <w:rPr/>
        <w:t>. 2001.</w:t>
      </w:r>
    </w:p>
    <w:p>
      <w:pPr>
        <w:pStyle w:val="Normal"/>
        <w:ind w:left="720" w:hanging="720"/>
        <w:rPr/>
      </w:pPr>
      <w:r>
        <w:rPr/>
        <w:t>2.</w:t>
        <w:tab/>
        <w:t xml:space="preserve">National Scientific Advisory Committee: </w:t>
      </w:r>
      <w:r>
        <w:rPr>
          <w:b/>
        </w:rPr>
        <w:t>Listening for Direction on Injury: Final Report</w:t>
      </w:r>
      <w:r>
        <w:rPr/>
        <w:t>. In</w:t>
      </w:r>
      <w:r>
        <w:rPr>
          <w:i/>
        </w:rPr>
        <w:t>.</w:t>
      </w:r>
      <w:r>
        <w:rPr/>
        <w:t>: CIHR; 2004.</w:t>
      </w:r>
    </w:p>
    <w:p>
      <w:pPr>
        <w:pStyle w:val="Normal"/>
        <w:ind w:left="720" w:hanging="720"/>
        <w:rPr/>
      </w:pPr>
      <w:r>
        <w:rPr/>
        <w:t>3.</w:t>
        <w:tab/>
        <w:t xml:space="preserve">Beck LR, Rodrigues MH, Dister SW, Rodrigues AD, Rejmankova E, Ulloa A ea: </w:t>
      </w:r>
      <w:r>
        <w:rPr>
          <w:b/>
        </w:rPr>
        <w:t>Remote sensing as a landscape epidemiologic tool to identify villages at high risk for malaria transmission</w:t>
      </w:r>
      <w:r>
        <w:rPr/>
        <w:t xml:space="preserve">. </w:t>
      </w:r>
      <w:r>
        <w:rPr>
          <w:i/>
        </w:rPr>
        <w:t xml:space="preserve">American Journal of Tropical Medicine and Hygiene </w:t>
      </w:r>
      <w:r>
        <w:rPr/>
        <w:t xml:space="preserve">1994, </w:t>
      </w:r>
      <w:r>
        <w:rPr>
          <w:b/>
        </w:rPr>
        <w:t>51</w:t>
      </w:r>
      <w:r>
        <w:rPr/>
        <w:t>:271-280.</w:t>
      </w:r>
    </w:p>
    <w:p>
      <w:pPr>
        <w:pStyle w:val="Normal"/>
        <w:ind w:left="720" w:hanging="720"/>
        <w:rPr/>
      </w:pPr>
      <w:r>
        <w:rPr/>
        <w:t>4.</w:t>
        <w:tab/>
        <w:t xml:space="preserve">Chadee DD, Williams FLR, Kitron UD: </w:t>
      </w:r>
      <w:r>
        <w:rPr>
          <w:b/>
        </w:rPr>
        <w:t>Impact of vector control on dengue fever outbreak in Trinidad, West Indies, in 1998.</w:t>
      </w:r>
      <w:r>
        <w:rPr/>
        <w:t xml:space="preserve"> </w:t>
      </w:r>
      <w:r>
        <w:rPr>
          <w:i/>
        </w:rPr>
        <w:t xml:space="preserve">Tropical Medicine &amp; International Health </w:t>
      </w:r>
      <w:r>
        <w:rPr/>
        <w:t xml:space="preserve">2005, </w:t>
      </w:r>
      <w:r>
        <w:rPr>
          <w:b/>
        </w:rPr>
        <w:t>10</w:t>
      </w:r>
      <w:r>
        <w:rPr/>
        <w:t>(8):748-754.</w:t>
      </w:r>
    </w:p>
    <w:p>
      <w:pPr>
        <w:pStyle w:val="Normal"/>
        <w:ind w:left="720" w:hanging="720"/>
        <w:rPr/>
      </w:pPr>
      <w:r>
        <w:rPr/>
        <w:t>5.</w:t>
        <w:tab/>
        <w:t xml:space="preserve">Dragicevic S, Schuurman N, Fitzgerald M: </w:t>
      </w:r>
      <w:r>
        <w:rPr>
          <w:b/>
        </w:rPr>
        <w:t>The Utility of Exploratory Spatial Data Analysis in the Study of Tuberculosis Incidences in an Urban Canadian Population</w:t>
      </w:r>
      <w:r>
        <w:rPr/>
        <w:t xml:space="preserve">. </w:t>
      </w:r>
      <w:r>
        <w:rPr>
          <w:i/>
        </w:rPr>
        <w:t xml:space="preserve">Cartographica </w:t>
      </w:r>
      <w:r>
        <w:rPr/>
        <w:t xml:space="preserve">2004, </w:t>
      </w:r>
      <w:r>
        <w:rPr>
          <w:b/>
        </w:rPr>
        <w:t>39</w:t>
      </w:r>
      <w:r>
        <w:rPr/>
        <w:t>(2):29-40.</w:t>
      </w:r>
    </w:p>
    <w:p>
      <w:pPr>
        <w:pStyle w:val="Normal"/>
        <w:ind w:left="720" w:hanging="720"/>
        <w:rPr/>
      </w:pPr>
      <w:r>
        <w:rPr/>
        <w:t>6.</w:t>
        <w:tab/>
        <w:t xml:space="preserve">Glass GE, Schwartz BS, Morgan JMI, Jonson DT, Noy PM, Israel E: </w:t>
      </w:r>
      <w:r>
        <w:rPr>
          <w:b/>
        </w:rPr>
        <w:t>Environmental risk factors for Lyme disease identified with geographic information systems</w:t>
      </w:r>
      <w:r>
        <w:rPr/>
        <w:t xml:space="preserve">. </w:t>
      </w:r>
      <w:r>
        <w:rPr>
          <w:i/>
        </w:rPr>
        <w:t xml:space="preserve">American Journal of Public Health </w:t>
      </w:r>
      <w:r>
        <w:rPr/>
        <w:t xml:space="preserve">1995, </w:t>
      </w:r>
      <w:r>
        <w:rPr>
          <w:b/>
        </w:rPr>
        <w:t>85</w:t>
      </w:r>
      <w:r>
        <w:rPr/>
        <w:t>:944-948.</w:t>
      </w:r>
    </w:p>
    <w:p>
      <w:pPr>
        <w:pStyle w:val="Normal"/>
        <w:ind w:left="720" w:hanging="720"/>
        <w:rPr/>
      </w:pPr>
      <w:r>
        <w:rPr/>
        <w:t>7.</w:t>
        <w:tab/>
        <w:t xml:space="preserve">Conner RA, Kralewski JE, Hillson SD: </w:t>
      </w:r>
      <w:r>
        <w:rPr>
          <w:b/>
        </w:rPr>
        <w:t>Measuring Geographic Access to Health Care in Rural Areas</w:t>
      </w:r>
      <w:r>
        <w:rPr/>
        <w:t xml:space="preserve">. </w:t>
      </w:r>
      <w:r>
        <w:rPr>
          <w:i/>
        </w:rPr>
        <w:t xml:space="preserve">Medical Care Research and Review </w:t>
      </w:r>
      <w:r>
        <w:rPr/>
        <w:t xml:space="preserve">1994, </w:t>
      </w:r>
      <w:r>
        <w:rPr>
          <w:b/>
        </w:rPr>
        <w:t>51</w:t>
      </w:r>
      <w:r>
        <w:rPr/>
        <w:t>(3):337-377.</w:t>
      </w:r>
    </w:p>
    <w:p>
      <w:pPr>
        <w:pStyle w:val="Normal"/>
        <w:ind w:left="720" w:hanging="720"/>
        <w:rPr/>
      </w:pPr>
      <w:r>
        <w:rPr/>
        <w:t>8.</w:t>
        <w:tab/>
        <w:t xml:space="preserve">Luo W, Wang F: </w:t>
      </w:r>
      <w:r>
        <w:rPr>
          <w:b/>
        </w:rPr>
        <w:t>Measures of spatial accessibility to health care in a GIS environment: Synthesis and a case study in the Chicago region</w:t>
      </w:r>
      <w:r>
        <w:rPr/>
        <w:t xml:space="preserve">. </w:t>
      </w:r>
      <w:r>
        <w:rPr>
          <w:i/>
        </w:rPr>
        <w:t xml:space="preserve">Environment and Planning B: Planning and Design </w:t>
      </w:r>
      <w:r>
        <w:rPr/>
        <w:t xml:space="preserve">2003, </w:t>
      </w:r>
      <w:r>
        <w:rPr>
          <w:b/>
        </w:rPr>
        <w:t>30</w:t>
      </w:r>
      <w:r>
        <w:rPr/>
        <w:t>(6):865-884.</w:t>
      </w:r>
    </w:p>
    <w:p>
      <w:pPr>
        <w:pStyle w:val="Normal"/>
        <w:ind w:left="720" w:hanging="720"/>
        <w:rPr/>
      </w:pPr>
      <w:r>
        <w:rPr/>
        <w:t>9.</w:t>
        <w:tab/>
        <w:t xml:space="preserve">Walsh SJ, Gesler WM, Page PH, Crawford TW: </w:t>
      </w:r>
      <w:r>
        <w:rPr>
          <w:b/>
        </w:rPr>
        <w:t>Health Care Accessibility: Comparison of Network Analysis and Indices of Hospital Service Areas</w:t>
      </w:r>
      <w:r>
        <w:rPr/>
        <w:t xml:space="preserve">. In: </w:t>
      </w:r>
      <w:r>
        <w:rPr>
          <w:i/>
        </w:rPr>
        <w:t>GIS/LIS '95: 1995; Nashville, Tennessee</w:t>
      </w:r>
      <w:r>
        <w:rPr/>
        <w:t>; 1995.</w:t>
      </w:r>
    </w:p>
    <w:p>
      <w:pPr>
        <w:pStyle w:val="Normal"/>
        <w:ind w:left="720" w:hanging="720"/>
        <w:rPr/>
      </w:pPr>
      <w:r>
        <w:rPr/>
        <w:t>10.</w:t>
        <w:tab/>
        <w:t xml:space="preserve">Brody JG, Vorhees DJ, Melly SJ, Swedis SR, Drivas PJ, Rude RA: </w:t>
      </w:r>
      <w:r>
        <w:rPr>
          <w:b/>
        </w:rPr>
        <w:t>Using GIS and historical records to reconstruct residential exposure to large-scale pesticide application</w:t>
      </w:r>
      <w:r>
        <w:rPr/>
        <w:t xml:space="preserve">. </w:t>
      </w:r>
      <w:r>
        <w:rPr>
          <w:i/>
        </w:rPr>
        <w:t xml:space="preserve">Journal of Exposure Analysis &amp; Environmental Epidemiology </w:t>
      </w:r>
      <w:r>
        <w:rPr/>
        <w:t xml:space="preserve">2002, </w:t>
      </w:r>
      <w:r>
        <w:rPr>
          <w:b/>
        </w:rPr>
        <w:t>12</w:t>
      </w:r>
      <w:r>
        <w:rPr/>
        <w:t>(1):64-80.</w:t>
      </w:r>
    </w:p>
    <w:p>
      <w:pPr>
        <w:pStyle w:val="Normal"/>
        <w:ind w:left="720" w:hanging="720"/>
        <w:rPr/>
      </w:pPr>
      <w:r>
        <w:rPr/>
        <w:t>11.</w:t>
        <w:tab/>
        <w:t xml:space="preserve">Hellström L, Järup L, Persson B, Axelson O: </w:t>
      </w:r>
      <w:r>
        <w:rPr>
          <w:b/>
        </w:rPr>
        <w:t>Using environmental concentrations of cadmium and lead to assess human exposure and dose</w:t>
      </w:r>
      <w:r>
        <w:rPr/>
        <w:t xml:space="preserve">. </w:t>
      </w:r>
      <w:r>
        <w:rPr>
          <w:i/>
        </w:rPr>
        <w:t xml:space="preserve">Journal of Exposure Analysis &amp; Environmental Epidemiology </w:t>
      </w:r>
      <w:r>
        <w:rPr/>
        <w:t xml:space="preserve">2006, </w:t>
      </w:r>
      <w:r>
        <w:rPr>
          <w:b/>
        </w:rPr>
        <w:t>14</w:t>
      </w:r>
      <w:r>
        <w:rPr/>
        <w:t>(5):416-423.</w:t>
      </w:r>
    </w:p>
    <w:p>
      <w:pPr>
        <w:pStyle w:val="Normal"/>
        <w:ind w:left="720" w:hanging="720"/>
        <w:rPr/>
      </w:pPr>
      <w:r>
        <w:rPr/>
        <w:t>12.</w:t>
        <w:tab/>
        <w:t xml:space="preserve">Dunn JR: </w:t>
      </w:r>
      <w:r>
        <w:rPr>
          <w:b/>
        </w:rPr>
        <w:t>Housing and inequalities in health: a study of socioeconomic dimensions of housing and self reported health from a survey of Vancouver residents</w:t>
      </w:r>
      <w:r>
        <w:rPr/>
        <w:t xml:space="preserve">. </w:t>
      </w:r>
      <w:r>
        <w:rPr>
          <w:i/>
        </w:rPr>
        <w:t xml:space="preserve">Journal of Epidemiology &amp; Community Health </w:t>
      </w:r>
      <w:r>
        <w:rPr/>
        <w:t xml:space="preserve">2002, </w:t>
      </w:r>
      <w:r>
        <w:rPr>
          <w:b/>
        </w:rPr>
        <w:t>56</w:t>
      </w:r>
      <w:r>
        <w:rPr/>
        <w:t>(9):671-681.</w:t>
      </w:r>
    </w:p>
    <w:p>
      <w:pPr>
        <w:pStyle w:val="Normal"/>
        <w:ind w:left="720" w:hanging="720"/>
        <w:rPr/>
      </w:pPr>
      <w:r>
        <w:rPr/>
        <w:t>13.</w:t>
        <w:tab/>
        <w:t xml:space="preserve">Frohlich KL, Mustard C: </w:t>
      </w:r>
      <w:r>
        <w:rPr>
          <w:b/>
        </w:rPr>
        <w:t>A regional comparison of socioeconomic and health indices in a Canadian province</w:t>
      </w:r>
      <w:r>
        <w:rPr/>
        <w:t xml:space="preserve">. </w:t>
      </w:r>
      <w:r>
        <w:rPr>
          <w:i/>
        </w:rPr>
        <w:t xml:space="preserve">Social Science &amp; Medicine </w:t>
      </w:r>
      <w:r>
        <w:rPr/>
        <w:t xml:space="preserve">1996, </w:t>
      </w:r>
      <w:r>
        <w:rPr>
          <w:b/>
        </w:rPr>
        <w:t>42</w:t>
      </w:r>
      <w:r>
        <w:rPr/>
        <w:t>(9):1273-1281.</w:t>
      </w:r>
    </w:p>
    <w:p>
      <w:pPr>
        <w:pStyle w:val="Normal"/>
        <w:ind w:left="720" w:hanging="720"/>
        <w:rPr/>
      </w:pPr>
      <w:r>
        <w:rPr/>
        <w:t>14.</w:t>
        <w:tab/>
        <w:t xml:space="preserve">Heaney DC, MacDonald BK, Everitt A, Stevenson S, Leonardi GS, Wilkinson P, Sander JW: </w:t>
      </w:r>
      <w:r>
        <w:rPr>
          <w:b/>
        </w:rPr>
        <w:t>Socioeconomic variation in incidence of epilepsy: prospective community based study in south east England</w:t>
      </w:r>
      <w:r>
        <w:rPr/>
        <w:t xml:space="preserve">. </w:t>
      </w:r>
      <w:r>
        <w:rPr>
          <w:i/>
        </w:rPr>
        <w:t xml:space="preserve">BMJ </w:t>
      </w:r>
      <w:r>
        <w:rPr/>
        <w:t xml:space="preserve">2002, </w:t>
      </w:r>
      <w:r>
        <w:rPr>
          <w:b/>
        </w:rPr>
        <w:t>325</w:t>
      </w:r>
      <w:r>
        <w:rPr/>
        <w:t>(7371):1013-1016.</w:t>
      </w:r>
    </w:p>
    <w:p>
      <w:pPr>
        <w:pStyle w:val="Normal"/>
        <w:ind w:left="720" w:hanging="720"/>
        <w:rPr/>
      </w:pPr>
      <w:r>
        <w:rPr/>
        <w:t>15.</w:t>
        <w:tab/>
        <w:t xml:space="preserve">Davey Smith G: </w:t>
      </w:r>
      <w:r>
        <w:rPr>
          <w:b/>
        </w:rPr>
        <w:t>The Black Report on Socioeconomic Inequalities in Health 10 Years On</w:t>
      </w:r>
      <w:r>
        <w:rPr/>
        <w:t xml:space="preserve">. </w:t>
      </w:r>
      <w:r>
        <w:rPr>
          <w:i/>
        </w:rPr>
        <w:t xml:space="preserve">BMJ </w:t>
      </w:r>
      <w:r>
        <w:rPr/>
        <w:t xml:space="preserve">1990, </w:t>
      </w:r>
      <w:r>
        <w:rPr>
          <w:b/>
        </w:rPr>
        <w:t>301</w:t>
      </w:r>
      <w:r>
        <w:rPr/>
        <w:t>:373-377.</w:t>
      </w:r>
    </w:p>
    <w:p>
      <w:pPr>
        <w:pStyle w:val="Normal"/>
        <w:ind w:left="720" w:hanging="720"/>
        <w:rPr/>
      </w:pPr>
      <w:r>
        <w:rPr/>
        <w:t>16.</w:t>
        <w:tab/>
        <w:t xml:space="preserve">Roos LL, Magoon J, Gupta S, Chateau D, Veugelers PJ: </w:t>
      </w:r>
      <w:r>
        <w:rPr>
          <w:b/>
        </w:rPr>
        <w:t>Socioeconomic determinants of mortality in two Canadian provinces: multilevel modelling and neighborhood context</w:t>
      </w:r>
      <w:r>
        <w:rPr/>
        <w:t xml:space="preserve">. </w:t>
      </w:r>
      <w:r>
        <w:rPr>
          <w:i/>
        </w:rPr>
        <w:t xml:space="preserve">Social Science &amp; Medicine </w:t>
      </w:r>
      <w:r>
        <w:rPr/>
        <w:t xml:space="preserve">2004, </w:t>
      </w:r>
      <w:r>
        <w:rPr>
          <w:b/>
        </w:rPr>
        <w:t>59</w:t>
      </w:r>
      <w:r>
        <w:rPr/>
        <w:t>(7):1435-1447.</w:t>
      </w:r>
    </w:p>
    <w:p>
      <w:pPr>
        <w:pStyle w:val="Normal"/>
        <w:ind w:left="720" w:hanging="720"/>
        <w:rPr/>
      </w:pPr>
      <w:r>
        <w:rPr/>
        <w:t>17.</w:t>
        <w:tab/>
        <w:t xml:space="preserve">Singh SM, Paszat LF, Li C, He J, Vinden C, Rabeneck L: </w:t>
      </w:r>
      <w:r>
        <w:rPr>
          <w:b/>
        </w:rPr>
        <w:t>Association of socioeconomic status and receipt of colorectal cancer investigations: a population-based retrospective cohort study</w:t>
      </w:r>
      <w:r>
        <w:rPr/>
        <w:t xml:space="preserve">. </w:t>
      </w:r>
      <w:r>
        <w:rPr>
          <w:i/>
        </w:rPr>
        <w:t xml:space="preserve">CMAJ </w:t>
      </w:r>
      <w:r>
        <w:rPr/>
        <w:t xml:space="preserve">2004, </w:t>
      </w:r>
      <w:r>
        <w:rPr>
          <w:b/>
        </w:rPr>
        <w:t>171</w:t>
      </w:r>
      <w:r>
        <w:rPr/>
        <w:t>(5):461-465.</w:t>
      </w:r>
    </w:p>
    <w:p>
      <w:pPr>
        <w:pStyle w:val="Normal"/>
        <w:ind w:left="720" w:hanging="720"/>
        <w:rPr/>
      </w:pPr>
      <w:r>
        <w:rPr/>
        <w:t>18.</w:t>
        <w:tab/>
        <w:t xml:space="preserve">Singh GK, Siahpush M: </w:t>
      </w:r>
      <w:r>
        <w:rPr>
          <w:b/>
        </w:rPr>
        <w:t>Increasing inequalities in all-cause and cardiovascular mortality among US adults aged 25-64 years by area socioeconomic status, 1969-1998</w:t>
      </w:r>
      <w:r>
        <w:rPr/>
        <w:t xml:space="preserve">. </w:t>
      </w:r>
      <w:r>
        <w:rPr>
          <w:i/>
        </w:rPr>
        <w:t xml:space="preserve">International Journal of Epidemiology </w:t>
      </w:r>
      <w:r>
        <w:rPr/>
        <w:t xml:space="preserve">2002, </w:t>
      </w:r>
      <w:r>
        <w:rPr>
          <w:b/>
        </w:rPr>
        <w:t>31</w:t>
      </w:r>
      <w:r>
        <w:rPr/>
        <w:t>(3):600-613.</w:t>
      </w:r>
    </w:p>
    <w:p>
      <w:pPr>
        <w:pStyle w:val="Normal"/>
        <w:ind w:left="720" w:hanging="720"/>
        <w:rPr/>
      </w:pPr>
      <w:r>
        <w:rPr/>
        <w:t>19.</w:t>
        <w:tab/>
        <w:t xml:space="preserve">Evans RG, Barer ML, Marmor TR (eds.): </w:t>
      </w:r>
      <w:r>
        <w:rPr>
          <w:b/>
        </w:rPr>
        <w:t>Why are Some People Healthy and Others Not? The Determinants of Health of Populations</w:t>
      </w:r>
      <w:r>
        <w:rPr/>
        <w:t>. New York: Aldine de Gruyter; 1994.</w:t>
      </w:r>
    </w:p>
    <w:p>
      <w:pPr>
        <w:pStyle w:val="Normal"/>
        <w:ind w:left="720" w:hanging="720"/>
        <w:rPr/>
      </w:pPr>
      <w:r>
        <w:rPr/>
        <w:t>20.</w:t>
        <w:tab/>
        <w:t xml:space="preserve">Kawachi I, Berkman LF: </w:t>
      </w:r>
      <w:r>
        <w:rPr>
          <w:b/>
        </w:rPr>
        <w:t>Neighborhoods and health</w:t>
      </w:r>
      <w:r>
        <w:rPr/>
        <w:t>. Oxford: Oxford University Press; 2003.</w:t>
      </w:r>
    </w:p>
    <w:p>
      <w:pPr>
        <w:pStyle w:val="Normal"/>
        <w:ind w:left="720" w:hanging="720"/>
        <w:rPr/>
      </w:pPr>
      <w:r>
        <w:rPr/>
        <w:t>21.</w:t>
        <w:tab/>
        <w:t xml:space="preserve">Keating DR, Hertzman C (eds.): </w:t>
      </w:r>
      <w:r>
        <w:rPr>
          <w:b/>
        </w:rPr>
        <w:t>Developmental health and the wealth of nations</w:t>
      </w:r>
      <w:r>
        <w:rPr/>
        <w:t>. New York: Guilford; 1999.</w:t>
      </w:r>
    </w:p>
    <w:p>
      <w:pPr>
        <w:pStyle w:val="Normal"/>
        <w:ind w:left="720" w:hanging="720"/>
        <w:rPr/>
      </w:pPr>
      <w:r>
        <w:rPr/>
        <w:t>22.</w:t>
        <w:tab/>
        <w:t xml:space="preserve">Marmot M, Smith G, Stansfeld S, Patel C, North F, Head J, White L, Brunner E, Feeney A: </w:t>
      </w:r>
      <w:r>
        <w:rPr>
          <w:b/>
        </w:rPr>
        <w:t>Health inequalities among British Civil Servants: The Whitehall II Study</w:t>
      </w:r>
      <w:r>
        <w:rPr/>
        <w:t xml:space="preserve">. </w:t>
      </w:r>
      <w:r>
        <w:rPr>
          <w:i/>
        </w:rPr>
        <w:t xml:space="preserve">The Lancet </w:t>
      </w:r>
      <w:r>
        <w:rPr/>
        <w:t xml:space="preserve">1991, </w:t>
      </w:r>
      <w:r>
        <w:rPr>
          <w:b/>
        </w:rPr>
        <w:t>337</w:t>
      </w:r>
      <w:r>
        <w:rPr/>
        <w:t>:1387-1393.</w:t>
      </w:r>
    </w:p>
    <w:p>
      <w:pPr>
        <w:pStyle w:val="Normal"/>
        <w:ind w:left="720" w:hanging="720"/>
        <w:rPr/>
      </w:pPr>
      <w:r>
        <w:rPr/>
        <w:t>23.</w:t>
        <w:tab/>
        <w:t xml:space="preserve">Marmot MG: </w:t>
      </w:r>
      <w:r>
        <w:rPr>
          <w:b/>
        </w:rPr>
        <w:t>Social Inequalities in Mortality: The Social Environment</w:t>
      </w:r>
      <w:r>
        <w:rPr/>
        <w:t xml:space="preserve">. In: </w:t>
      </w:r>
      <w:r>
        <w:rPr>
          <w:i/>
        </w:rPr>
        <w:t>Class and Health: Research and Longitudinal Data.</w:t>
      </w:r>
      <w:r>
        <w:rPr/>
        <w:t xml:space="preserve"> Edited by Wilkinson RG. London: Tavistock; 1986: 21-33.</w:t>
      </w:r>
    </w:p>
    <w:p>
      <w:pPr>
        <w:pStyle w:val="Normal"/>
        <w:ind w:left="720" w:hanging="720"/>
        <w:rPr/>
      </w:pPr>
      <w:r>
        <w:rPr/>
        <w:t>24.</w:t>
        <w:tab/>
        <w:t xml:space="preserve">Marmot MG: </w:t>
      </w:r>
      <w:r>
        <w:rPr>
          <w:b/>
        </w:rPr>
        <w:t>Social differentials in health within and between populations</w:t>
      </w:r>
      <w:r>
        <w:rPr/>
        <w:t xml:space="preserve">. In: </w:t>
      </w:r>
      <w:r>
        <w:rPr>
          <w:i/>
        </w:rPr>
        <w:t>Proceedings of the 11th Honda Foundation Discoveries Symposium, Prosperity, Health and Well-being: 1993; Toronto</w:t>
      </w:r>
      <w:r>
        <w:rPr/>
        <w:t>: Canadian Institute for Advanced Research; 1993.</w:t>
      </w:r>
    </w:p>
    <w:p>
      <w:pPr>
        <w:pStyle w:val="Normal"/>
        <w:ind w:left="720" w:hanging="720"/>
        <w:rPr/>
      </w:pPr>
      <w:r>
        <w:rPr/>
        <w:t>25.</w:t>
        <w:tab/>
        <w:t xml:space="preserve">Townsend P, Davidson N, Whitehead M (eds.): </w:t>
      </w:r>
      <w:r>
        <w:rPr>
          <w:b/>
        </w:rPr>
        <w:t>Inequalities in Health: The Black Report and the Health Divide</w:t>
      </w:r>
      <w:r>
        <w:rPr/>
        <w:t>. Harmondsworth: Penguin Books; 1986.</w:t>
      </w:r>
    </w:p>
    <w:p>
      <w:pPr>
        <w:pStyle w:val="Normal"/>
        <w:ind w:left="720" w:hanging="720"/>
        <w:rPr/>
      </w:pPr>
      <w:r>
        <w:rPr/>
        <w:t>26.</w:t>
        <w:tab/>
        <w:t xml:space="preserve">Odoi A, Wray R, Emo M, Birch S, Hutchison B, Eyles J, Abernathy T: </w:t>
      </w:r>
      <w:r>
        <w:rPr>
          <w:b/>
        </w:rPr>
        <w:t>Inequalities in neighbourhood socioeconomic characteristics: potential evidence-base for neighbourhood health planning</w:t>
      </w:r>
      <w:r>
        <w:rPr/>
        <w:t xml:space="preserve">. </w:t>
      </w:r>
      <w:r>
        <w:rPr>
          <w:i/>
        </w:rPr>
        <w:t xml:space="preserve">International Journal of Health Geographics </w:t>
      </w:r>
      <w:r>
        <w:rPr/>
        <w:t xml:space="preserve">2005, </w:t>
      </w:r>
      <w:r>
        <w:rPr>
          <w:b/>
        </w:rPr>
        <w:t>4</w:t>
      </w:r>
      <w:r>
        <w:rPr/>
        <w:t>(20):1-15.</w:t>
      </w:r>
    </w:p>
    <w:p>
      <w:pPr>
        <w:pStyle w:val="Normal"/>
        <w:ind w:left="720" w:hanging="720"/>
        <w:rPr/>
      </w:pPr>
      <w:r>
        <w:rPr/>
        <w:t>27.</w:t>
        <w:tab/>
        <w:t xml:space="preserve">Pampalon R, Raymond G: </w:t>
      </w:r>
      <w:r>
        <w:rPr>
          <w:b/>
        </w:rPr>
        <w:t>A Deprivation Index for Health and Welfare Planning in Quebec</w:t>
      </w:r>
      <w:r>
        <w:rPr/>
        <w:t xml:space="preserve">. </w:t>
      </w:r>
      <w:r>
        <w:rPr>
          <w:i/>
        </w:rPr>
        <w:t xml:space="preserve">Chronic Diseases in Canada </w:t>
      </w:r>
      <w:r>
        <w:rPr/>
        <w:t xml:space="preserve">2000, </w:t>
      </w:r>
      <w:r>
        <w:rPr>
          <w:b/>
        </w:rPr>
        <w:t>21</w:t>
      </w:r>
      <w:r>
        <w:rPr/>
        <w:t>(3):104-113.</w:t>
      </w:r>
    </w:p>
    <w:p>
      <w:pPr>
        <w:pStyle w:val="Normal"/>
        <w:ind w:left="720" w:hanging="720"/>
        <w:rPr/>
      </w:pPr>
      <w:r>
        <w:rPr/>
        <w:t>28.</w:t>
        <w:tab/>
        <w:t xml:space="preserve">Bell N, Schuurman N, Oliver L, Hayes MV: </w:t>
      </w:r>
      <w:r>
        <w:rPr>
          <w:b/>
        </w:rPr>
        <w:t>Towards the Construction of Place-Specific Measures of Deprivation: A Case Study from the Vancouver Metropolitan Area</w:t>
      </w:r>
      <w:r>
        <w:rPr/>
        <w:t xml:space="preserve">. </w:t>
      </w:r>
      <w:r>
        <w:rPr>
          <w:i/>
        </w:rPr>
        <w:t xml:space="preserve">The Canadian Geographer </w:t>
      </w:r>
      <w:r>
        <w:rPr/>
        <w:t>accepted 2007.</w:t>
      </w:r>
    </w:p>
    <w:p>
      <w:pPr>
        <w:pStyle w:val="Normal"/>
        <w:ind w:left="720" w:hanging="720"/>
        <w:rPr/>
      </w:pPr>
      <w:r>
        <w:rPr/>
        <w:t>29.</w:t>
        <w:tab/>
        <w:t xml:space="preserve">Langlois A, Kitchen P: </w:t>
      </w:r>
      <w:r>
        <w:rPr>
          <w:b/>
        </w:rPr>
        <w:t>Identifying and Measuring Dimensions of Urban Deprivation in Montreal: An Analysis of the 1996 Census Data</w:t>
      </w:r>
      <w:r>
        <w:rPr/>
        <w:t xml:space="preserve">. </w:t>
      </w:r>
      <w:r>
        <w:rPr>
          <w:i/>
        </w:rPr>
        <w:t xml:space="preserve">Urban Studies </w:t>
      </w:r>
      <w:r>
        <w:rPr/>
        <w:t xml:space="preserve">2001, </w:t>
      </w:r>
      <w:r>
        <w:rPr>
          <w:b/>
        </w:rPr>
        <w:t>38</w:t>
      </w:r>
      <w:r>
        <w:rPr/>
        <w:t>(1):119-139.</w:t>
      </w:r>
    </w:p>
    <w:p>
      <w:pPr>
        <w:pStyle w:val="Normal"/>
        <w:ind w:left="720" w:hanging="720"/>
        <w:rPr/>
      </w:pPr>
      <w:r>
        <w:rPr/>
        <w:t>30.</w:t>
        <w:tab/>
        <w:t xml:space="preserve">Moran PAP: </w:t>
      </w:r>
      <w:r>
        <w:rPr>
          <w:b/>
        </w:rPr>
        <w:t>The Interpretation of Statistical Maps</w:t>
      </w:r>
      <w:r>
        <w:rPr/>
        <w:t xml:space="preserve">. </w:t>
      </w:r>
      <w:r>
        <w:rPr>
          <w:i/>
        </w:rPr>
        <w:t xml:space="preserve">Journal of the Royal Statistical Society Series B </w:t>
      </w:r>
      <w:r>
        <w:rPr/>
        <w:t xml:space="preserve">1948, </w:t>
      </w:r>
      <w:r>
        <w:rPr>
          <w:b/>
        </w:rPr>
        <w:t>10</w:t>
      </w:r>
      <w:r>
        <w:rPr/>
        <w:t>(2):243-251.</w:t>
      </w:r>
    </w:p>
    <w:p>
      <w:pPr>
        <w:pStyle w:val="Normal"/>
        <w:ind w:left="720" w:hanging="720"/>
        <w:rPr/>
      </w:pPr>
      <w:r>
        <w:rPr/>
        <w:t>31.</w:t>
        <w:tab/>
        <w:t xml:space="preserve">Williams JM, Currie CE, Wright P, Elton RA, Beattie TF: </w:t>
      </w:r>
      <w:r>
        <w:rPr>
          <w:b/>
        </w:rPr>
        <w:t>Socioeconomic status and adlescent injuries</w:t>
      </w:r>
      <w:r>
        <w:rPr/>
        <w:t xml:space="preserve">. </w:t>
      </w:r>
      <w:r>
        <w:rPr>
          <w:i/>
        </w:rPr>
        <w:t xml:space="preserve">Social Science &amp; Medicine </w:t>
      </w:r>
      <w:r>
        <w:rPr/>
        <w:t xml:space="preserve">1997, </w:t>
      </w:r>
      <w:r>
        <w:rPr>
          <w:b/>
        </w:rPr>
        <w:t>44</w:t>
      </w:r>
      <w:r>
        <w:rPr/>
        <w:t>:1881-1891.</w:t>
      </w:r>
    </w:p>
    <w:p>
      <w:pPr>
        <w:pStyle w:val="Normal"/>
        <w:ind w:left="720" w:hanging="720"/>
        <w:rPr/>
      </w:pPr>
      <w:r>
        <w:rPr/>
        <w:t>32.</w:t>
        <w:tab/>
        <w:t xml:space="preserve">Durkin MS, Davidson LL, Kuhn L, O'Conner P, Barlow B: </w:t>
      </w:r>
      <w:r>
        <w:rPr>
          <w:b/>
        </w:rPr>
        <w:t>Low-Income Neighborhoods and the Risk of Severe Pediatric Injury: A Small-Area Analysis in Northern Manhattan</w:t>
      </w:r>
      <w:r>
        <w:rPr/>
        <w:t xml:space="preserve">. </w:t>
      </w:r>
      <w:r>
        <w:rPr>
          <w:i/>
        </w:rPr>
        <w:t xml:space="preserve">American Journal of Public Health </w:t>
      </w:r>
      <w:r>
        <w:rPr/>
        <w:t xml:space="preserve">1994, </w:t>
      </w:r>
      <w:r>
        <w:rPr>
          <w:b/>
        </w:rPr>
        <w:t>84</w:t>
      </w:r>
      <w:r>
        <w:rPr/>
        <w:t>(4):587-592.</w:t>
      </w:r>
    </w:p>
    <w:p>
      <w:pPr>
        <w:pStyle w:val="Normal"/>
        <w:ind w:left="720" w:hanging="720"/>
        <w:rPr/>
      </w:pPr>
      <w:r>
        <w:rPr/>
        <w:t>33.</w:t>
        <w:tab/>
        <w:t xml:space="preserve">Rezaeian M, Dunn G, St. Leger S, Appleby L: </w:t>
      </w:r>
      <w:r>
        <w:rPr>
          <w:b/>
        </w:rPr>
        <w:t>Ecological association between suicide rates and indices of deprivation in the north west region of England: the importance of the size of the administrative unit</w:t>
      </w:r>
      <w:r>
        <w:rPr/>
        <w:t xml:space="preserve">. </w:t>
      </w:r>
      <w:r>
        <w:rPr>
          <w:i/>
        </w:rPr>
        <w:t xml:space="preserve">Journal of Epidemiology &amp; Community Health </w:t>
      </w:r>
      <w:r>
        <w:rPr/>
        <w:t xml:space="preserve">2006, </w:t>
      </w:r>
      <w:r>
        <w:rPr>
          <w:b/>
        </w:rPr>
        <w:t>60</w:t>
      </w:r>
      <w:r>
        <w:rPr/>
        <w:t>:956-961.</w:t>
      </w:r>
    </w:p>
    <w:p>
      <w:pPr>
        <w:pStyle w:val="Normal"/>
        <w:ind w:left="720" w:hanging="720"/>
        <w:rPr/>
      </w:pPr>
      <w:r>
        <w:rPr/>
        <w:t>34.</w:t>
        <w:tab/>
        <w:t xml:space="preserve">Dougherty G, Pless IB, Wilkins R: </w:t>
      </w:r>
      <w:r>
        <w:rPr>
          <w:b/>
        </w:rPr>
        <w:t>Social class and the occurrence of traffic injuries and deaths in urban children</w:t>
      </w:r>
      <w:r>
        <w:rPr/>
        <w:t xml:space="preserve">. </w:t>
      </w:r>
      <w:r>
        <w:rPr>
          <w:i/>
        </w:rPr>
        <w:t xml:space="preserve">Canadian Journal of Public Health </w:t>
      </w:r>
      <w:r>
        <w:rPr/>
        <w:t xml:space="preserve">1990, </w:t>
      </w:r>
      <w:r>
        <w:rPr>
          <w:b/>
        </w:rPr>
        <w:t>81</w:t>
      </w:r>
      <w:r>
        <w:rPr/>
        <w:t>:204-209.</w:t>
      </w:r>
    </w:p>
    <w:p>
      <w:pPr>
        <w:pStyle w:val="Normal"/>
        <w:ind w:left="720" w:hanging="720"/>
        <w:rPr/>
      </w:pPr>
      <w:r>
        <w:rPr/>
        <w:t>35.</w:t>
        <w:tab/>
        <w:t xml:space="preserve">Pless IB, Verreault R, Tenina S: </w:t>
      </w:r>
      <w:r>
        <w:rPr>
          <w:b/>
        </w:rPr>
        <w:t>A case-control study of pedestrian and bicyclist injuries in childhood</w:t>
      </w:r>
      <w:r>
        <w:rPr/>
        <w:t xml:space="preserve">. </w:t>
      </w:r>
      <w:r>
        <w:rPr>
          <w:i/>
        </w:rPr>
        <w:t xml:space="preserve">American Journal of Public Health </w:t>
      </w:r>
      <w:r>
        <w:rPr/>
        <w:t xml:space="preserve">1989, </w:t>
      </w:r>
      <w:r>
        <w:rPr>
          <w:b/>
        </w:rPr>
        <w:t>79</w:t>
      </w:r>
      <w:r>
        <w:rPr/>
        <w:t>:995-998.</w:t>
      </w:r>
    </w:p>
    <w:p>
      <w:pPr>
        <w:pStyle w:val="Normal"/>
        <w:ind w:left="720" w:hanging="720"/>
        <w:rPr/>
      </w:pPr>
      <w:r>
        <w:rPr/>
        <w:t>36.</w:t>
        <w:tab/>
        <w:t xml:space="preserve">Lyons RA, Jones SJ, Deacon T, Heaven M: </w:t>
      </w:r>
      <w:r>
        <w:rPr>
          <w:b/>
        </w:rPr>
        <w:t>Socioeconomic variation in injury in children and older people: a population based study</w:t>
      </w:r>
      <w:r>
        <w:rPr/>
        <w:t xml:space="preserve">. </w:t>
      </w:r>
      <w:r>
        <w:rPr>
          <w:i/>
        </w:rPr>
        <w:t xml:space="preserve">Injury Prevention </w:t>
      </w:r>
      <w:r>
        <w:rPr/>
        <w:t xml:space="preserve">2003, </w:t>
      </w:r>
      <w:r>
        <w:rPr>
          <w:b/>
        </w:rPr>
        <w:t>9</w:t>
      </w:r>
      <w:r>
        <w:rPr/>
        <w:t>(1):33-37.</w:t>
      </w:r>
    </w:p>
    <w:p>
      <w:pPr>
        <w:pStyle w:val="Normal"/>
        <w:ind w:left="720" w:hanging="720"/>
        <w:rPr/>
      </w:pPr>
      <w:r>
        <w:rPr/>
        <w:t>37.</w:t>
        <w:tab/>
        <w:t xml:space="preserve">Turrell G, Mathers C: </w:t>
      </w:r>
      <w:r>
        <w:rPr>
          <w:b/>
        </w:rPr>
        <w:t>Socioeconomic inequalities in all-cause and specific-cause mortality in Austraila: 1985-1987 and 1995-1997</w:t>
      </w:r>
      <w:r>
        <w:rPr/>
        <w:t xml:space="preserve">. </w:t>
      </w:r>
      <w:r>
        <w:rPr>
          <w:i/>
        </w:rPr>
        <w:t xml:space="preserve">International Journal of Epidemiology </w:t>
      </w:r>
      <w:r>
        <w:rPr/>
        <w:t xml:space="preserve">2001, </w:t>
      </w:r>
      <w:r>
        <w:rPr>
          <w:b/>
        </w:rPr>
        <w:t>30</w:t>
      </w:r>
      <w:r>
        <w:rPr/>
        <w:t>:231-239.</w:t>
      </w:r>
    </w:p>
    <w:p>
      <w:pPr>
        <w:pStyle w:val="Normal"/>
        <w:ind w:left="720" w:hanging="720"/>
        <w:rPr/>
      </w:pPr>
      <w:r>
        <w:rPr/>
        <w:t>38.</w:t>
        <w:tab/>
        <w:t xml:space="preserve">Pappas G, Queen S, Hadden W, Fisher G: </w:t>
      </w:r>
      <w:r>
        <w:rPr>
          <w:b/>
        </w:rPr>
        <w:t>The increasing disparity in mortality between socioeconomic groups in the United States, 1960 and 1986</w:t>
      </w:r>
      <w:r>
        <w:rPr/>
        <w:t xml:space="preserve">. </w:t>
      </w:r>
      <w:r>
        <w:rPr>
          <w:i/>
        </w:rPr>
        <w:t xml:space="preserve">N Engl J Med </w:t>
      </w:r>
      <w:r>
        <w:rPr/>
        <w:t xml:space="preserve">1993, </w:t>
      </w:r>
      <w:r>
        <w:rPr>
          <w:b/>
        </w:rPr>
        <w:t>329</w:t>
      </w:r>
      <w:r>
        <w:rPr/>
        <w:t>(2):103-109.</w:t>
      </w:r>
    </w:p>
    <w:p>
      <w:pPr>
        <w:pStyle w:val="Normal"/>
        <w:ind w:left="720" w:hanging="720"/>
        <w:rPr/>
      </w:pPr>
      <w:r>
        <w:rPr/>
        <w:t>39.</w:t>
        <w:tab/>
        <w:t xml:space="preserve">Wong MD, Shapiro MF, Boscardin WJ, Ettner SL: </w:t>
      </w:r>
      <w:r>
        <w:rPr>
          <w:b/>
        </w:rPr>
        <w:t>Contribution of Major Diseases to Disparities in Mortality</w:t>
      </w:r>
      <w:r>
        <w:rPr/>
        <w:t xml:space="preserve">. </w:t>
      </w:r>
      <w:r>
        <w:rPr>
          <w:i/>
        </w:rPr>
        <w:t xml:space="preserve">N Engl J Med </w:t>
      </w:r>
      <w:r>
        <w:rPr/>
        <w:t xml:space="preserve">2002, </w:t>
      </w:r>
      <w:r>
        <w:rPr>
          <w:b/>
        </w:rPr>
        <w:t>347</w:t>
      </w:r>
      <w:r>
        <w:rPr/>
        <w:t>(20):1585-1592.</w:t>
      </w:r>
    </w:p>
    <w:p>
      <w:pPr>
        <w:pStyle w:val="Normal"/>
        <w:ind w:left="720" w:hanging="720"/>
        <w:rPr/>
      </w:pPr>
      <w:r>
        <w:rPr/>
        <w:t>40.</w:t>
        <w:tab/>
        <w:t xml:space="preserve">Witzig R: </w:t>
      </w:r>
      <w:r>
        <w:rPr>
          <w:b/>
        </w:rPr>
        <w:t>The medicalization of race: scientific legitimization of a flawed social construct</w:t>
      </w:r>
      <w:r>
        <w:rPr/>
        <w:t xml:space="preserve">. </w:t>
      </w:r>
      <w:r>
        <w:rPr>
          <w:i/>
        </w:rPr>
        <w:t xml:space="preserve">Ann Intern Med </w:t>
      </w:r>
      <w:r>
        <w:rPr/>
        <w:t xml:space="preserve">1996, </w:t>
      </w:r>
      <w:r>
        <w:rPr>
          <w:b/>
        </w:rPr>
        <w:t>125</w:t>
      </w:r>
      <w:r>
        <w:rPr/>
        <w:t>(8):675-679.</w:t>
      </w:r>
    </w:p>
    <w:p>
      <w:pPr>
        <w:pStyle w:val="Normal"/>
        <w:ind w:left="720" w:hanging="720"/>
        <w:rPr/>
      </w:pPr>
      <w:r>
        <w:rPr/>
        <w:t>41.</w:t>
        <w:tab/>
        <w:t xml:space="preserve">Diez Roux AV, Merkin SS, Arnett D, Chambless L, Massing M, Nieto FJ, Sorlie P, Szklo M, Tyroler HA, Watson RL: </w:t>
      </w:r>
      <w:r>
        <w:rPr>
          <w:b/>
        </w:rPr>
        <w:t>Neighborhood of residence and incident of coronary heart disease</w:t>
      </w:r>
      <w:r>
        <w:rPr/>
        <w:t xml:space="preserve">. </w:t>
      </w:r>
      <w:r>
        <w:rPr>
          <w:i/>
        </w:rPr>
        <w:t xml:space="preserve">N Engl J Med </w:t>
      </w:r>
      <w:r>
        <w:rPr/>
        <w:t xml:space="preserve">2001, </w:t>
      </w:r>
      <w:r>
        <w:rPr>
          <w:b/>
        </w:rPr>
        <w:t>345</w:t>
      </w:r>
      <w:r>
        <w:rPr/>
        <w:t>(2):99-106.</w:t>
      </w:r>
    </w:p>
    <w:p>
      <w:pPr>
        <w:pStyle w:val="Normal"/>
        <w:ind w:left="720" w:hanging="720"/>
        <w:rPr/>
      </w:pPr>
      <w:r>
        <w:rPr/>
        <w:t>42.</w:t>
        <w:tab/>
        <w:t xml:space="preserve">Raphael D: </w:t>
      </w:r>
      <w:r>
        <w:rPr>
          <w:b/>
        </w:rPr>
        <w:t>Poverty, income inequality and health in Canada</w:t>
      </w:r>
      <w:r>
        <w:rPr/>
        <w:t xml:space="preserve">. In: </w:t>
      </w:r>
      <w:r>
        <w:rPr>
          <w:i/>
        </w:rPr>
        <w:t>Social Justice Series.</w:t>
      </w:r>
      <w:r>
        <w:rPr/>
        <w:t xml:space="preserve"> Edited by Anderson J. Toronto: CJS Foundation for Research and Education; 2002.</w:t>
      </w:r>
    </w:p>
    <w:p>
      <w:pPr>
        <w:pStyle w:val="Normal"/>
        <w:ind w:left="720" w:hanging="720"/>
        <w:rPr/>
      </w:pPr>
      <w:r>
        <w:rPr/>
        <w:t>43.</w:t>
        <w:tab/>
        <w:t xml:space="preserve">Brownell M, Friesen D, Mayer T: </w:t>
      </w:r>
      <w:r>
        <w:rPr>
          <w:b/>
        </w:rPr>
        <w:t>Childhood injury rates in Manitoba: socioeconomic influences</w:t>
      </w:r>
      <w:r>
        <w:rPr/>
        <w:t xml:space="preserve">. </w:t>
      </w:r>
      <w:r>
        <w:rPr>
          <w:i/>
        </w:rPr>
        <w:t xml:space="preserve">Canadian Journal of Public Health </w:t>
      </w:r>
      <w:r>
        <w:rPr/>
        <w:t xml:space="preserve">2002, </w:t>
      </w:r>
      <w:r>
        <w:rPr>
          <w:b/>
        </w:rPr>
        <w:t>93</w:t>
      </w:r>
      <w:r>
        <w:rPr/>
        <w:t>(Suppl 2):S50 - S56.</w:t>
      </w:r>
    </w:p>
    <w:p>
      <w:pPr>
        <w:pStyle w:val="Normal"/>
        <w:ind w:left="720" w:hanging="720"/>
        <w:rPr/>
      </w:pPr>
      <w:r>
        <w:rPr/>
        <w:t>44.</w:t>
        <w:tab/>
        <w:t xml:space="preserve">Leslie WD, Derksen SA, Metge C, al e: </w:t>
      </w:r>
      <w:r>
        <w:rPr>
          <w:b/>
        </w:rPr>
        <w:t>Demographic risk factors for fracture in First Nations people</w:t>
      </w:r>
      <w:r>
        <w:rPr/>
        <w:t xml:space="preserve">. </w:t>
      </w:r>
      <w:r>
        <w:rPr>
          <w:i/>
        </w:rPr>
        <w:t xml:space="preserve">Canadian Journal of Public Health </w:t>
      </w:r>
      <w:r>
        <w:rPr/>
        <w:t xml:space="preserve">2005, </w:t>
      </w:r>
      <w:r>
        <w:rPr>
          <w:b/>
        </w:rPr>
        <w:t>96</w:t>
      </w:r>
      <w:r>
        <w:rPr/>
        <w:t>(Suppl 1):S45- S50.</w:t>
      </w:r>
    </w:p>
    <w:p>
      <w:pPr>
        <w:pStyle w:val="Normal"/>
        <w:ind w:left="720" w:hanging="720"/>
        <w:rPr/>
      </w:pPr>
      <w:r>
        <w:rPr/>
        <w:t>45.</w:t>
        <w:tab/>
        <w:t xml:space="preserve">Soubhi H, Raina P, Kohen D: </w:t>
      </w:r>
      <w:r>
        <w:rPr>
          <w:b/>
        </w:rPr>
        <w:t>Neighborhood, family, and child predictors of childhood injury in Canada</w:t>
      </w:r>
      <w:r>
        <w:rPr/>
        <w:t xml:space="preserve">. </w:t>
      </w:r>
      <w:r>
        <w:rPr>
          <w:i/>
        </w:rPr>
        <w:t xml:space="preserve">Am J Health Behav </w:t>
      </w:r>
      <w:r>
        <w:rPr/>
        <w:t xml:space="preserve">2004, </w:t>
      </w:r>
      <w:r>
        <w:rPr>
          <w:b/>
        </w:rPr>
        <w:t>28</w:t>
      </w:r>
      <w:r>
        <w:rPr/>
        <w:t>(5):397-409.</w:t>
      </w:r>
    </w:p>
    <w:p>
      <w:pPr>
        <w:pStyle w:val="Normal"/>
        <w:ind w:left="720" w:hanging="720"/>
        <w:rPr/>
      </w:pPr>
      <w:r>
        <w:rPr/>
        <w:t>46.</w:t>
        <w:tab/>
        <w:t xml:space="preserve">Katz SJ, Hofer TP: </w:t>
      </w:r>
      <w:r>
        <w:rPr>
          <w:b/>
        </w:rPr>
        <w:t>Socioeconomic disparities in preventive care persist despite universal coverage. Breast and cervical cancer screening in Ontario and the United States</w:t>
      </w:r>
      <w:r>
        <w:rPr/>
        <w:t xml:space="preserve">. </w:t>
      </w:r>
      <w:r>
        <w:rPr>
          <w:i/>
        </w:rPr>
        <w:t xml:space="preserve">J Am Med Assoc </w:t>
      </w:r>
      <w:r>
        <w:rPr/>
        <w:t xml:space="preserve">1994, </w:t>
      </w:r>
      <w:r>
        <w:rPr>
          <w:b/>
        </w:rPr>
        <w:t>272</w:t>
      </w:r>
      <w:r>
        <w:rPr/>
        <w:t>(7):530-534.</w:t>
      </w:r>
    </w:p>
    <w:p>
      <w:pPr>
        <w:pStyle w:val="Normal"/>
        <w:ind w:left="720" w:hanging="720"/>
        <w:rPr/>
      </w:pPr>
      <w:r>
        <w:rPr/>
        <w:t>47.</w:t>
        <w:tab/>
        <w:t xml:space="preserve">Centerwall BS: </w:t>
      </w:r>
      <w:r>
        <w:rPr>
          <w:b/>
        </w:rPr>
        <w:t>Race, socioeconomic status, and domestic homicide</w:t>
      </w:r>
      <w:r>
        <w:rPr/>
        <w:t xml:space="preserve">. </w:t>
      </w:r>
      <w:r>
        <w:rPr>
          <w:i/>
        </w:rPr>
        <w:t xml:space="preserve">J Am Med Assoc </w:t>
      </w:r>
      <w:r>
        <w:rPr/>
        <w:t xml:space="preserve">1995, </w:t>
      </w:r>
      <w:r>
        <w:rPr>
          <w:b/>
        </w:rPr>
        <w:t>273</w:t>
      </w:r>
      <w:r>
        <w:rPr/>
        <w:t>(22):1755-1758.</w:t>
      </w:r>
    </w:p>
    <w:p>
      <w:pPr>
        <w:pStyle w:val="Normal"/>
        <w:ind w:left="720" w:hanging="720"/>
        <w:rPr/>
      </w:pPr>
      <w:r>
        <w:rPr/>
        <w:t>48.</w:t>
        <w:tab/>
        <w:t xml:space="preserve">Krueger PM, Bond Huie SA, Rogers RG, Hummer RA: </w:t>
      </w:r>
      <w:r>
        <w:rPr>
          <w:b/>
        </w:rPr>
        <w:t>Neighbourhoods and homicide mortality: an analysis of race/ethnic differences</w:t>
      </w:r>
      <w:r>
        <w:rPr/>
        <w:t xml:space="preserve">. </w:t>
      </w:r>
      <w:r>
        <w:rPr>
          <w:i/>
        </w:rPr>
        <w:t xml:space="preserve">Journal of Epidemiology &amp; Community Health </w:t>
      </w:r>
      <w:r>
        <w:rPr/>
        <w:t xml:space="preserve">2004, </w:t>
      </w:r>
      <w:r>
        <w:rPr>
          <w:b/>
        </w:rPr>
        <w:t>58</w:t>
      </w:r>
      <w:r>
        <w:rPr/>
        <w:t>(3):223-230.</w:t>
      </w:r>
    </w:p>
    <w:p>
      <w:pPr>
        <w:pStyle w:val="Normal"/>
        <w:ind w:left="720" w:hanging="720"/>
        <w:rPr/>
      </w:pPr>
      <w:r>
        <w:rPr/>
        <w:t>49.</w:t>
        <w:tab/>
        <w:t xml:space="preserve">Winkleby MA, Cubbin C: </w:t>
      </w:r>
      <w:r>
        <w:rPr>
          <w:b/>
        </w:rPr>
        <w:t>Influence of individual and neighbourhood socioeconomic status on mortality among black, Mexican-American, and white women and men in the United Status</w:t>
      </w:r>
      <w:r>
        <w:rPr/>
        <w:t xml:space="preserve">. </w:t>
      </w:r>
      <w:r>
        <w:rPr>
          <w:i/>
        </w:rPr>
        <w:t xml:space="preserve">Journal of Epidemiology &amp; Community Health </w:t>
      </w:r>
      <w:r>
        <w:rPr/>
        <w:t xml:space="preserve">2003, </w:t>
      </w:r>
      <w:r>
        <w:rPr>
          <w:b/>
        </w:rPr>
        <w:t>57</w:t>
      </w:r>
      <w:r>
        <w:rPr/>
        <w:t>(6):444-452.</w:t>
      </w:r>
    </w:p>
    <w:p>
      <w:pPr>
        <w:pStyle w:val="Normal"/>
        <w:ind w:left="720" w:hanging="720"/>
        <w:rPr/>
      </w:pPr>
      <w:r>
        <w:rPr/>
        <w:t>50.</w:t>
        <w:tab/>
        <w:t xml:space="preserve">Hussey JM: </w:t>
      </w:r>
      <w:r>
        <w:rPr>
          <w:b/>
        </w:rPr>
        <w:t>The effects of race, socioeconomic status, and household structure on injury mortality in children and young adults</w:t>
      </w:r>
      <w:r>
        <w:rPr/>
        <w:t xml:space="preserve">. </w:t>
      </w:r>
      <w:r>
        <w:rPr>
          <w:i/>
        </w:rPr>
        <w:t xml:space="preserve">Matern Child Health J </w:t>
      </w:r>
      <w:r>
        <w:rPr/>
        <w:t xml:space="preserve">1997, </w:t>
      </w:r>
      <w:r>
        <w:rPr>
          <w:b/>
        </w:rPr>
        <w:t>1</w:t>
      </w:r>
      <w:r>
        <w:rPr/>
        <w:t>(4):217-227.</w:t>
      </w:r>
    </w:p>
    <w:p>
      <w:pPr>
        <w:pStyle w:val="Normal"/>
        <w:ind w:left="720" w:hanging="720"/>
        <w:rPr/>
      </w:pPr>
      <w:r>
        <w:rPr/>
        <w:t>51.</w:t>
        <w:tab/>
        <w:t xml:space="preserve">Khoshnood B, Wall S, Lee KS: </w:t>
      </w:r>
      <w:r>
        <w:rPr>
          <w:b/>
        </w:rPr>
        <w:t>Risk of low birth weight associated with advanced maternal age among four ethnic groups in the United States</w:t>
      </w:r>
      <w:r>
        <w:rPr/>
        <w:t xml:space="preserve">. </w:t>
      </w:r>
      <w:r>
        <w:rPr>
          <w:i/>
        </w:rPr>
        <w:t xml:space="preserve">Matern Child Health J </w:t>
      </w:r>
      <w:r>
        <w:rPr/>
        <w:t xml:space="preserve">2005, </w:t>
      </w:r>
      <w:r>
        <w:rPr>
          <w:b/>
        </w:rPr>
        <w:t>9</w:t>
      </w:r>
      <w:r>
        <w:rPr/>
        <w:t>(1):3-9.</w:t>
      </w:r>
    </w:p>
    <w:p>
      <w:pPr>
        <w:pStyle w:val="Normal"/>
        <w:ind w:left="720" w:hanging="720"/>
        <w:rPr/>
      </w:pPr>
      <w:r>
        <w:rPr/>
        <w:t>52.</w:t>
        <w:tab/>
        <w:t xml:space="preserve">Birken CS, Parkin PC, To T, Macarthur  C: </w:t>
      </w:r>
      <w:r>
        <w:rPr>
          <w:b/>
        </w:rPr>
        <w:t>Trends in rates of death from unintentional injury among Canadian children in urban areas: influence of socioeconomic status</w:t>
      </w:r>
      <w:r>
        <w:rPr/>
        <w:t xml:space="preserve">. </w:t>
      </w:r>
      <w:r>
        <w:rPr>
          <w:i/>
        </w:rPr>
        <w:t xml:space="preserve">CMAJ </w:t>
      </w:r>
      <w:r>
        <w:rPr/>
        <w:t xml:space="preserve">2006, </w:t>
      </w:r>
      <w:r>
        <w:rPr>
          <w:b/>
        </w:rPr>
        <w:t>175</w:t>
      </w:r>
      <w:r>
        <w:rPr/>
        <w:t>(8):867.</w:t>
      </w:r>
    </w:p>
    <w:p>
      <w:pPr>
        <w:pStyle w:val="Normal"/>
        <w:ind w:left="720" w:hanging="720"/>
        <w:rPr/>
      </w:pPr>
      <w:r>
        <w:rPr/>
        <w:t>53.</w:t>
        <w:tab/>
        <w:t xml:space="preserve">Rejineveld SA: </w:t>
      </w:r>
      <w:r>
        <w:rPr>
          <w:b/>
        </w:rPr>
        <w:t>The impact of individual and area characteristics on urban socioeconomic differences in health and smoking</w:t>
      </w:r>
      <w:r>
        <w:rPr/>
        <w:t xml:space="preserve">. </w:t>
      </w:r>
      <w:r>
        <w:rPr>
          <w:i/>
        </w:rPr>
        <w:t xml:space="preserve">International Journal of Epidemiology </w:t>
      </w:r>
      <w:r>
        <w:rPr/>
        <w:t xml:space="preserve">1998, </w:t>
      </w:r>
      <w:r>
        <w:rPr>
          <w:b/>
        </w:rPr>
        <w:t>27</w:t>
      </w:r>
      <w:r>
        <w:rPr/>
        <w:t>:33-40.</w:t>
      </w:r>
    </w:p>
    <w:p>
      <w:pPr>
        <w:pStyle w:val="Normal"/>
        <w:ind w:left="720" w:hanging="720"/>
        <w:rPr/>
      </w:pPr>
      <w:r>
        <w:rPr/>
        <w:t>54.</w:t>
        <w:tab/>
        <w:t xml:space="preserve">Anderson RT, Sorlie P, Backlund E, Johnson N, Kaplan GA: </w:t>
      </w:r>
      <w:r>
        <w:rPr>
          <w:b/>
        </w:rPr>
        <w:t>Mortality Effects of Community Socioeconomic Status</w:t>
      </w:r>
      <w:r>
        <w:rPr/>
        <w:t xml:space="preserve">. </w:t>
      </w:r>
      <w:r>
        <w:rPr>
          <w:i/>
        </w:rPr>
        <w:t xml:space="preserve">Epidemiology </w:t>
      </w:r>
      <w:r>
        <w:rPr/>
        <w:t xml:space="preserve">1997, </w:t>
      </w:r>
      <w:r>
        <w:rPr>
          <w:b/>
        </w:rPr>
        <w:t>8</w:t>
      </w:r>
      <w:r>
        <w:rPr/>
        <w:t>(1):42-47.</w:t>
      </w:r>
    </w:p>
    <w:p>
      <w:pPr>
        <w:pStyle w:val="Normal"/>
        <w:ind w:left="720" w:hanging="720"/>
        <w:rPr/>
      </w:pPr>
      <w:r>
        <w:rPr/>
        <w:t>55.</w:t>
        <w:tab/>
        <w:t xml:space="preserve">Pickett KE, Pearl M: </w:t>
      </w:r>
      <w:r>
        <w:rPr>
          <w:b/>
        </w:rPr>
        <w:t>Multilevel analyses of neighbourhood socio-economic context and health outcomes: a critical review</w:t>
      </w:r>
      <w:r>
        <w:rPr/>
        <w:t xml:space="preserve">. </w:t>
      </w:r>
      <w:r>
        <w:rPr>
          <w:i/>
        </w:rPr>
        <w:t xml:space="preserve">Journal of Epidemiology &amp; Community Health </w:t>
      </w:r>
      <w:r>
        <w:rPr/>
        <w:t xml:space="preserve">2001, </w:t>
      </w:r>
      <w:r>
        <w:rPr>
          <w:b/>
        </w:rPr>
        <w:t>55</w:t>
      </w:r>
      <w:r>
        <w:rPr/>
        <w:t>:111-122.</w:t>
      </w:r>
    </w:p>
    <w:p>
      <w:pPr>
        <w:pStyle w:val="Normal"/>
        <w:rPr/>
      </w:pPr>
      <w:r>
        <w:rPr/>
      </w:r>
    </w:p>
    <w:p>
      <w:pPr>
        <w:pStyle w:val="Normal"/>
        <w:rPr>
          <w:sz w:val="16"/>
        </w:rPr>
      </w:pPr>
      <w:bookmarkStart w:id="29" w:name="__Fieldmark__182_1322453857"/>
      <w:bookmarkEnd w:id="29"/>
      <w:r>
        <w:rPr/>
      </w:r>
      <w:r>
        <w:fldChar w:fldCharType="end"/>
      </w:r>
    </w:p>
    <w:p>
      <w:pPr>
        <w:pStyle w:val="FigureCaption"/>
        <w:spacing w:lineRule="auto" w:line="360" w:before="120" w:after="0"/>
        <w:rPr>
          <w:sz w:val="16"/>
        </w:rPr>
      </w:pPr>
      <w:r>
        <w:rPr>
          <w:sz w:val="16"/>
        </w:rPr>
      </w:r>
    </w:p>
    <w:sectPr>
      <w:headerReference w:type="default" r:id="rId6"/>
      <w:footnotePr>
        <w:numFmt w:val="decimal"/>
      </w:footnotePr>
      <w:type w:val="nextPage"/>
      <w:pgSz w:w="12240" w:h="15840"/>
      <w:pgMar w:left="1800" w:right="1800" w:header="706"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Garamond">
    <w:charset w:val="01"/>
    <w:family w:val="roman"/>
    <w:pitch w:val="default"/>
  </w:font>
  <w:font w:name="Liberation Sans">
    <w:altName w:val="Arial"/>
    <w:charset w:val="01"/>
    <w:family w:val="swiss"/>
    <w:pitch w:val="variable"/>
  </w:font>
  <w:font w:name="Tahoma">
    <w:charset w:val="00"/>
    <w:family w:val="swiss"/>
    <w:pitch w:val="variable"/>
  </w:font>
  <w:font w:name="Arial Black">
    <w:charset w:val="00"/>
    <w:family w:val="swiss"/>
    <w:pitch w:val="variable"/>
  </w:font>
  <w:font w:name="Times">
    <w:altName w:val="Times New Roman"/>
    <w:charset w:val="00"/>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rPr/>
      </w:pPr>
      <w:r>
        <w:rPr/>
        <w:footnoteRef/>
        <w:tab/>
        <w:t xml:space="preserve"> </w:t>
      </w:r>
      <w:r>
        <w:rPr/>
        <w:t xml:space="preserve">Results of the quinquennial Canadian Census are made public two years after the initial survey.  </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ind w:right="360" w:hanging="0"/>
      <w:rPr/>
    </w:pPr>
    <w:r>
      <w:rPr/>
    </w:r>
    <w:r>
      <mc:AlternateContent>
        <mc:Choice Requires="wps">
          <w:drawing>
            <wp:anchor behindDoc="0" distT="0" distB="0" distL="0" distR="0" simplePos="0" locked="0" layoutInCell="1" allowOverlap="1" relativeHeight="21">
              <wp:simplePos x="0" y="0"/>
              <wp:positionH relativeFrom="margin">
                <wp:align>right</wp:align>
              </wp:positionH>
              <wp:positionV relativeFrom="paragraph">
                <wp:posOffset>635</wp:posOffset>
              </wp:positionV>
              <wp:extent cx="153035" cy="175260"/>
              <wp:effectExtent l="0" t="0" r="0" b="0"/>
              <wp:wrapSquare wrapText="largest"/>
              <wp:docPr id="4" name="Frame1"/>
              <a:graphic xmlns:a="http://schemas.openxmlformats.org/drawingml/2006/main">
                <a:graphicData uri="http://schemas.microsoft.com/office/word/2010/wordprocessingShape">
                  <wps:wsp>
                    <wps:cNvSpPr txBox="1"/>
                    <wps:spPr>
                      <a:xfrm>
                        <a:off x="0" y="0"/>
                        <a:ext cx="153035" cy="175260"/>
                      </a:xfrm>
                      <a:prstGeom prst="rect"/>
                      <a:solidFill>
                        <a:srgbClr val="FFFFFF">
                          <a:alpha val="0"/>
                        </a:srgbClr>
                      </a:solidFill>
                    </wps:spPr>
                    <wps:txbx>
                      <w:txbxContent>
                        <w:p>
                          <w:pPr>
                            <w:pStyle w:val="Header"/>
                            <w:rPr>
                              <w:rStyle w:val="PageNumber"/>
                            </w:rPr>
                          </w:pPr>
                          <w:r>
                            <w:rPr>
                              <w:rStyle w:val="PageNumber"/>
                            </w:rPr>
                            <w:fldChar w:fldCharType="begin"/>
                          </w:r>
                          <w:r>
                            <w:instrText> PAGE </w:instrText>
                          </w:r>
                          <w:r>
                            <w:fldChar w:fldCharType="separate"/>
                          </w:r>
                          <w:r>
                            <w:t>17</w:t>
                          </w:r>
                          <w:r>
                            <w:fldChar w:fldCharType="end"/>
                          </w:r>
                        </w:p>
                      </w:txbxContent>
                    </wps:txbx>
                    <wps:bodyPr anchor="t">
                      <a:noAutofit/>
                    </wps:bodyPr>
                  </wps:wsp>
                </a:graphicData>
              </a:graphic>
            </wp:anchor>
          </w:drawing>
        </mc:Choice>
        <mc:Fallback>
          <w:pict>
            <v:rect fillcolor="#FFFFFF" style="position:absolute;rotation:0;width:12.05pt;height:13.8pt;margin-top:0.05pt;mso-position-vertical-relative:text;margin-left:419.95pt;mso-position-horizontal:right;mso-position-horizontal-relative:margin">
              <v:fill opacity="0f"/>
              <v:textbox>
                <w:txbxContent>
                  <w:p>
                    <w:pPr>
                      <w:pStyle w:val="Header"/>
                      <w:rPr>
                        <w:rStyle w:val="PageNumber"/>
                      </w:rPr>
                    </w:pPr>
                    <w:r>
                      <w:rPr>
                        <w:rStyle w:val="PageNumber"/>
                      </w:rPr>
                      <w:fldChar w:fldCharType="begin"/>
                    </w:r>
                    <w:r>
                      <w:instrText> PAGE </w:instrText>
                    </w:r>
                    <w:r>
                      <w:fldChar w:fldCharType="separate"/>
                    </w:r>
                    <w:r>
                      <w:t>17</w:t>
                    </w:r>
                    <w: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bering>
</file>

<file path=word/settings.xml><?xml version="1.0" encoding="utf-8"?>
<w:settings xmlns:w="http://schemas.openxmlformats.org/wordprocessingml/2006/main">
  <w:zoom w:percent="125"/>
  <w:defaultTabStop w:val="720"/>
  <w:footnotePr>
    <w:numFmt w:val="decimal"/>
    <w:footnote w:id="0"/>
    <w:footnote w:id="1"/>
  </w:footnotePr>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Garamond" w:hAnsi="Garamond" w:eastAsia="DejaVu Sans" w:cs="FreeSans"/>
        <w:szCs w:val="24"/>
        <w:lang w:val="en-CA" w:eastAsia="zh-CN" w:bidi="hi-IN"/>
      </w:rPr>
    </w:rPrDefault>
    <w:pPrDefault>
      <w:pPr/>
    </w:pPrDefault>
  </w:docDefaults>
  <w:style w:type="paragraph" w:styleId="Normal">
    <w:name w:val="Normal"/>
    <w:qFormat/>
    <w:pPr>
      <w:widowControl/>
      <w:suppressAutoHyphens w:val="true"/>
      <w:bidi w:val="0"/>
    </w:pPr>
    <w:rPr>
      <w:rFonts w:ascii="Times New Roman" w:hAnsi="Times New Roman" w:eastAsia="Times New Roman" w:cs="Times New Roman"/>
      <w:color w:val="auto"/>
      <w:sz w:val="24"/>
      <w:szCs w:val="20"/>
      <w:lang w:val="en-US" w:bidi="ar-SA" w:eastAsia="zh-CN"/>
    </w:rPr>
  </w:style>
  <w:style w:type="paragraph" w:styleId="Heading1">
    <w:name w:val="Heading 1"/>
    <w:basedOn w:val="Normal"/>
    <w:next w:val="Normal"/>
    <w:qFormat/>
    <w:pPr>
      <w:keepNext/>
      <w:numPr>
        <w:ilvl w:val="0"/>
        <w:numId w:val="1"/>
      </w:numPr>
      <w:outlineLvl w:val="0"/>
      <w:outlineLvl w:val="0"/>
    </w:pPr>
    <w:rPr>
      <w:b/>
    </w:rPr>
  </w:style>
  <w:style w:type="paragraph" w:styleId="Heading2">
    <w:name w:val="Heading 2"/>
    <w:basedOn w:val="Normal"/>
    <w:next w:val="Normal"/>
    <w:qFormat/>
    <w:pPr>
      <w:keepNext/>
      <w:numPr>
        <w:ilvl w:val="1"/>
        <w:numId w:val="1"/>
      </w:numPr>
      <w:spacing w:before="240" w:after="60"/>
      <w:outlineLvl w:val="1"/>
      <w:outlineLvl w:val="1"/>
    </w:pPr>
    <w:rPr>
      <w:rFonts w:ascii="Arial" w:hAnsi="Arial" w:cs="Arial"/>
      <w:b/>
      <w:i/>
      <w:sz w:val="28"/>
    </w:rPr>
  </w:style>
  <w:style w:type="paragraph" w:styleId="Heading3">
    <w:name w:val="Heading 3"/>
    <w:basedOn w:val="Normal"/>
    <w:next w:val="Para"/>
    <w:qFormat/>
    <w:pPr>
      <w:keepNext/>
      <w:numPr>
        <w:ilvl w:val="2"/>
        <w:numId w:val="1"/>
      </w:numPr>
      <w:spacing w:before="240" w:after="60"/>
      <w:outlineLvl w:val="2"/>
      <w:outlineLvl w:val="2"/>
    </w:pPr>
    <w:rPr>
      <w:rFonts w:ascii="Arial" w:hAnsi="Arial" w:cs="Arial"/>
      <w:b/>
      <w:sz w:val="22"/>
    </w:rPr>
  </w:style>
  <w:style w:type="paragraph" w:styleId="Heading7">
    <w:name w:val="Heading 7"/>
    <w:basedOn w:val="Normal"/>
    <w:next w:val="Normal"/>
    <w:qFormat/>
    <w:pPr>
      <w:keepNext/>
      <w:numPr>
        <w:ilvl w:val="6"/>
        <w:numId w:val="1"/>
      </w:numPr>
      <w:outlineLvl w:val="6"/>
      <w:outlineLvl w:val="6"/>
    </w:pPr>
    <w:rPr>
      <w:rFonts w:ascii="Arial" w:hAnsi="Arial" w:cs="Arial"/>
      <w:u w:val="single"/>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DefaultParagraphFont">
    <w:name w:val="Default Paragraph Font"/>
    <w:qFormat/>
    <w:rPr/>
  </w:style>
  <w:style w:type="character" w:styleId="CommentReference">
    <w:name w:val="Comment Reference"/>
    <w:basedOn w:val="DefaultParagraphFont"/>
    <w:qFormat/>
    <w:rPr>
      <w:sz w:val="16"/>
    </w:rPr>
  </w:style>
  <w:style w:type="character" w:styleId="PageNumber">
    <w:name w:val="Page Number"/>
    <w:basedOn w:val="DefaultParagraphFont"/>
    <w:rPr/>
  </w:style>
  <w:style w:type="character" w:styleId="FootnoteCharacters">
    <w:name w:val="Footnote Characters"/>
    <w:basedOn w:val="DefaultParagraphFont"/>
    <w:qFormat/>
    <w:rPr>
      <w:vertAlign w:val="superscript"/>
    </w:rPr>
  </w:style>
  <w:style w:type="character" w:styleId="InternetLink">
    <w:name w:val="Internet Link"/>
    <w:basedOn w:val="DefaultParagraphFont"/>
    <w:rPr>
      <w:color w:val="0000FF"/>
      <w:u w:val="single"/>
    </w:rPr>
  </w:style>
  <w:style w:type="character" w:styleId="EndnoteCharacters">
    <w:name w:val="Endnote Characters"/>
    <w:basedOn w:val="DefaultParagraphFont"/>
    <w:qFormat/>
    <w:rPr>
      <w:vertAlign w:val="superscript"/>
    </w:rPr>
  </w:style>
  <w:style w:type="character" w:styleId="FootnoteAnchor">
    <w:name w:val="Footnote Anchor"/>
    <w:rPr>
      <w:vertAlign w:val="superscript"/>
    </w:rPr>
  </w:style>
  <w:style w:type="character" w:styleId="EndnoteAnchor">
    <w:name w:val="Endnote Anchor"/>
    <w:rPr>
      <w:vertAlign w:val="superscript"/>
    </w:rPr>
  </w:style>
  <w:style w:type="paragraph" w:styleId="Heading">
    <w:name w:val="Heading"/>
    <w:basedOn w:val="Normal"/>
    <w:next w:val="TextBody"/>
    <w:qFormat/>
    <w:pPr>
      <w:keepNext/>
      <w:spacing w:before="240" w:after="120"/>
    </w:pPr>
    <w:rPr>
      <w:rFonts w:ascii="Liberation Sans" w:hAnsi="Liberation Sans" w:eastAsia="DejaVu Sans" w:cs="FreeSans"/>
      <w:sz w:val="28"/>
      <w:szCs w:val="28"/>
    </w:rPr>
  </w:style>
  <w:style w:type="paragraph" w:styleId="TextBody">
    <w:name w:val="Text Body"/>
    <w:basedOn w:val="Normal"/>
    <w:pPr/>
    <w:rPr>
      <w:rFonts w:ascii="Arial" w:hAnsi="Arial" w:cs="Arial"/>
      <w:sz w:val="20"/>
      <w:lang w:val="en-CA"/>
    </w:rPr>
  </w:style>
  <w:style w:type="paragraph" w:styleId="List">
    <w:name w:val="List"/>
    <w:basedOn w:val="TextBody"/>
    <w:pPr/>
    <w:rPr>
      <w:rFonts w:ascii="Garamond" w:hAnsi="Garamond" w:cs="FreeSans"/>
    </w:rPr>
  </w:style>
  <w:style w:type="paragraph" w:styleId="Caption">
    <w:name w:val="Caption"/>
    <w:basedOn w:val="Normal"/>
    <w:qFormat/>
    <w:pPr>
      <w:suppressLineNumbers/>
      <w:spacing w:before="120" w:after="120"/>
    </w:pPr>
    <w:rPr>
      <w:rFonts w:ascii="Garamond" w:hAnsi="Garamond" w:cs="FreeSans"/>
      <w:i/>
      <w:iCs/>
      <w:sz w:val="24"/>
      <w:szCs w:val="24"/>
    </w:rPr>
  </w:style>
  <w:style w:type="paragraph" w:styleId="Index">
    <w:name w:val="Index"/>
    <w:basedOn w:val="Normal"/>
    <w:qFormat/>
    <w:pPr>
      <w:suppressLineNumbers/>
    </w:pPr>
    <w:rPr>
      <w:rFonts w:ascii="Garamond" w:hAnsi="Garamond" w:cs="FreeSans"/>
    </w:rPr>
  </w:style>
  <w:style w:type="paragraph" w:styleId="Para">
    <w:name w:val="Para"/>
    <w:basedOn w:val="Normal"/>
    <w:qFormat/>
    <w:pPr>
      <w:spacing w:lineRule="auto" w:line="480" w:before="120" w:after="120"/>
      <w:ind w:firstLine="720"/>
    </w:pPr>
    <w:rPr/>
  </w:style>
  <w:style w:type="paragraph" w:styleId="CommentText">
    <w:name w:val="Comment Text"/>
    <w:basedOn w:val="Normal"/>
    <w:qFormat/>
    <w:pPr/>
    <w:rPr>
      <w:sz w:val="20"/>
    </w:rPr>
  </w:style>
  <w:style w:type="paragraph" w:styleId="CommentSubject">
    <w:name w:val="Comment Subject"/>
    <w:basedOn w:val="CommentText"/>
    <w:next w:val="CommentText"/>
    <w:qFormat/>
    <w:pPr/>
    <w:rPr>
      <w:b/>
    </w:rPr>
  </w:style>
  <w:style w:type="paragraph" w:styleId="BalloonText">
    <w:name w:val="Balloon Text"/>
    <w:basedOn w:val="Normal"/>
    <w:qFormat/>
    <w:pPr/>
    <w:rPr>
      <w:rFonts w:ascii="Tahoma" w:hAnsi="Tahoma" w:cs="Tahoma"/>
      <w:sz w:val="16"/>
    </w:rPr>
  </w:style>
  <w:style w:type="paragraph" w:styleId="Header">
    <w:name w:val="Header"/>
    <w:basedOn w:val="Normal"/>
    <w:pPr>
      <w:tabs>
        <w:tab w:val="center" w:pos="4320" w:leader="none"/>
        <w:tab w:val="right" w:pos="8640" w:leader="none"/>
      </w:tabs>
    </w:pPr>
    <w:rPr/>
  </w:style>
  <w:style w:type="paragraph" w:styleId="Footnote">
    <w:name w:val="Footnote"/>
    <w:basedOn w:val="Normal"/>
    <w:pPr/>
    <w:rPr>
      <w:sz w:val="20"/>
    </w:rPr>
  </w:style>
  <w:style w:type="paragraph" w:styleId="FigureCaption">
    <w:name w:val="FigureCaption"/>
    <w:basedOn w:val="Para"/>
    <w:qFormat/>
    <w:pPr>
      <w:keepNext/>
      <w:spacing w:lineRule="auto" w:line="240" w:before="120" w:after="60"/>
      <w:ind w:hanging="0"/>
    </w:pPr>
    <w:rPr>
      <w:sz w:val="20"/>
    </w:rPr>
  </w:style>
  <w:style w:type="paragraph" w:styleId="FigureCaptionBottom">
    <w:name w:val="FigureCaptionBottom"/>
    <w:basedOn w:val="FigureCaption"/>
    <w:qFormat/>
    <w:pPr>
      <w:spacing w:before="60" w:after="120"/>
    </w:pPr>
    <w:rPr/>
  </w:style>
  <w:style w:type="paragraph" w:styleId="PicPlacement">
    <w:name w:val="PicPlacement"/>
    <w:basedOn w:val="Normal"/>
    <w:qFormat/>
    <w:pPr>
      <w:keepNext/>
      <w:keepLines/>
    </w:pPr>
    <w:rPr/>
  </w:style>
  <w:style w:type="paragraph" w:styleId="Para1">
    <w:name w:val="para"/>
    <w:basedOn w:val="Normal"/>
    <w:qFormat/>
    <w:pPr>
      <w:suppressAutoHyphens w:val="true"/>
      <w:spacing w:lineRule="auto" w:line="480" w:before="120" w:after="120"/>
      <w:ind w:firstLine="720"/>
    </w:pPr>
    <w:rPr>
      <w:lang w:val="en-GB"/>
    </w:rPr>
  </w:style>
  <w:style w:type="paragraph" w:styleId="Footer">
    <w:name w:val="Footer"/>
    <w:basedOn w:val="Normal"/>
    <w:pPr>
      <w:tabs>
        <w:tab w:val="center" w:pos="4320" w:leader="none"/>
        <w:tab w:val="right" w:pos="8640" w:leader="none"/>
      </w:tabs>
    </w:pPr>
    <w:rPr/>
  </w:style>
  <w:style w:type="paragraph" w:styleId="BodyText3">
    <w:name w:val="Body Text 3"/>
    <w:basedOn w:val="Normal"/>
    <w:qFormat/>
    <w:pPr>
      <w:spacing w:lineRule="auto" w:line="480"/>
      <w:jc w:val="both"/>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 w:type="numbering" w:styleId="WW8Num1">
    <w:name w:val="WW8Num1"/>
  </w:style>
  <w:style w:type="numbering" w:styleId="WW8Num2">
    <w:name w:val="WW8Num2"/>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gvrd.bc.ca/"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header" Target="header1.xml"/><Relationship Id="rId7" Type="http://schemas.openxmlformats.org/officeDocument/2006/relationships/footnotes" Target="footnotes.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43</TotalTime>
  <Application>LibreOffice/4.4.3.2$Linux_X86_64 LibreOffice_project/40m0$Build-2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2008-10-17T07:51:00Z</dcterms:created>
  <dc:creator>Rob Fiedler</dc:creator>
  <dc:language>en-CA</dc:language>
  <cp:lastModifiedBy>Zhora Husaini</cp:lastModifiedBy>
  <cp:lastPrinted>2007-03-20T16:40:00Z</cp:lastPrinted>
  <dcterms:modified xsi:type="dcterms:W3CDTF">2008-11-21T23:49:00Z</dcterms:modified>
  <cp:revision>10</cp:revision>
  <dc:title>Introduction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N.InstantFormat">
    <vt:lpwstr>&lt;ENInstantFormat&gt;&lt;Enabled&gt;1&lt;/Enabled&gt;&lt;ScanUnformatted&gt;1&lt;/ScanUnformatted&gt;&lt;ScanChanges&gt;1&lt;/ScanChanges&gt;&lt;/ENInstantFormat&gt;</vt:lpwstr>
  </property>
  <property fmtid="{D5CDD505-2E9C-101B-9397-08002B2CF9AE}" pid="3" name="EN.Layout">
    <vt:lpwstr>&lt;ENLayout&gt;&lt;Style&gt;BMC Surgery&lt;/Style&gt;&lt;LeftDelim&gt;{&lt;/LeftDelim&gt;&lt;RightDelim&gt;}&lt;/RightDelim&gt;&lt;FontName&gt;Times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ENLayout&gt;</vt:lpwstr>
  </property>
  <property fmtid="{D5CDD505-2E9C-101B-9397-08002B2CF9AE}" pid="4" name="EN.Libraries">
    <vt:lpwstr>&lt;ENLibraries&gt;&lt;Libraries&gt;&lt;item&gt;CMAJ - SES and injury.enl&lt;/item&gt;&lt;/Libraries&gt;&lt;/ENLibraries&gt;</vt:lpwstr>
  </property>
  <property fmtid="{D5CDD505-2E9C-101B-9397-08002B2CF9AE}" pid="5" name="_AdHocReviewCycleID">
    <vt:i4>916709325</vt:i4>
  </property>
  <property fmtid="{D5CDD505-2E9C-101B-9397-08002B2CF9AE}" pid="6" name="_AuthorEmail">
    <vt:lpwstr>Morad.Hameed@vch.ca</vt:lpwstr>
  </property>
  <property fmtid="{D5CDD505-2E9C-101B-9397-08002B2CF9AE}" pid="7" name="_AuthorEmailDisplayName">
    <vt:lpwstr>Hameed, Morad [VA]</vt:lpwstr>
  </property>
  <property fmtid="{D5CDD505-2E9C-101B-9397-08002B2CF9AE}" pid="8" name="_EmailSubject">
    <vt:lpwstr>[Fwd: Re: cmaj]</vt:lpwstr>
  </property>
  <property fmtid="{D5CDD505-2E9C-101B-9397-08002B2CF9AE}" pid="9" name="_PreviousAdHocReviewCycleID">
    <vt:i4>743097946</vt:i4>
  </property>
</Properties>
</file>