
<file path=[Content_Types].xml><?xml version="1.0" encoding="utf-8"?>
<Types xmlns="http://schemas.openxmlformats.org/package/2006/content-types">
  <Default Extension="emf" ContentType="image/x-emf"/>
  <Override PartName="/docProps/app.xml" ContentType="application/vnd.openxmlformats-officedocument.extended-properties+xml"/>
  <Override PartName="/customXml/itemProps1.xml" ContentType="application/vnd.openxmlformats-officedocument.customXmlProperties+xml"/>
  <Override PartName="/word/header5.xml" ContentType="application/vnd.openxmlformats-officedocument.wordprocessingml.header+xml"/>
  <Override PartName="/word/styles.xml" ContentType="application/vnd.openxmlformats-officedocument.wordprocessingml.styles+xml"/>
  <Override PartName="/word/webSettings.xml" ContentType="application/vnd.openxmlformats-officedocument.wordprocessingml.webSettings+xml"/>
  <Override PartName="/word/footer3.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footer6.xml" ContentType="application/vnd.openxmlformats-officedocument.wordprocessingml.footer+xml"/>
  <Override PartName="/docProps/core.xml" ContentType="application/vnd.openxmlformats-package.core-properties+xml"/>
  <Override PartName="/word/header3.xml" ContentType="application/vnd.openxmlformats-officedocument.wordprocessingml.header+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word/fontTable.xml" ContentType="application/vnd.openxmlformats-officedocument.wordprocessingml.fontTable+xml"/>
  <Default Extension="rels" ContentType="application/vnd.openxmlformats-package.relationship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header6.xml" ContentType="application/vnd.openxmlformats-officedocument.wordprocessingml.header+xml"/>
  <Override PartName="/word/theme/theme1.xml" ContentType="application/vnd.openxmlformats-officedocument.theme+xml"/>
  <Override PartName="/word/footer8.xml" ContentType="application/vnd.openxmlformats-officedocument.wordprocessingml.footer+xml"/>
  <Override PartName="/word/footer5.xml" ContentType="application/vnd.openxmlformats-officedocument.wordprocessingml.footer+xml"/>
  <Override PartName="/word/endnotes.xml" ContentType="application/vnd.openxmlformats-officedocument.wordprocessingml.endnotes+xml"/>
  <Override PartName="/word/footer4.xml" ContentType="application/vnd.openxmlformats-officedocument.wordprocessingml.footer+xml"/>
  <Override PartName="/word/footer7.xml" ContentType="application/vnd.openxmlformats-officedocument.wordprocessingml.footer+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6C653B" w:rsidRPr="00984920" w:rsidRDefault="00635FF6" w:rsidP="009E3093">
      <w:pPr>
        <w:spacing w:line="480" w:lineRule="auto"/>
        <w:jc w:val="center"/>
        <w:rPr>
          <w:b/>
        </w:rPr>
      </w:pPr>
      <w:r>
        <w:rPr>
          <w:b/>
        </w:rPr>
        <w:t xml:space="preserve">COMPOSITE OUTCOMES: PROBLEMS AND SOLUTIONS THAT </w:t>
      </w:r>
      <w:r w:rsidR="006C653B" w:rsidRPr="00984920">
        <w:rPr>
          <w:b/>
        </w:rPr>
        <w:t>INCORPORAT</w:t>
      </w:r>
      <w:r>
        <w:rPr>
          <w:b/>
        </w:rPr>
        <w:t>E</w:t>
      </w:r>
      <w:r w:rsidR="006C653B" w:rsidRPr="00984920">
        <w:rPr>
          <w:b/>
        </w:rPr>
        <w:t xml:space="preserve"> QUALITY OF LIFE </w:t>
      </w:r>
      <w:r>
        <w:rPr>
          <w:b/>
        </w:rPr>
        <w:t xml:space="preserve">ADJUSTED </w:t>
      </w:r>
      <w:r w:rsidR="008F4340">
        <w:rPr>
          <w:b/>
        </w:rPr>
        <w:t xml:space="preserve">SURVIVAL </w:t>
      </w:r>
      <w:r w:rsidR="006C653B" w:rsidRPr="00984920">
        <w:rPr>
          <w:b/>
        </w:rPr>
        <w:t>ANALYSES</w:t>
      </w:r>
    </w:p>
    <w:p w:rsidR="008E7275" w:rsidRDefault="008E7275" w:rsidP="009E3093">
      <w:pPr>
        <w:spacing w:line="480" w:lineRule="auto"/>
        <w:jc w:val="center"/>
        <w:rPr>
          <w:vertAlign w:val="superscript"/>
        </w:rPr>
      </w:pPr>
      <w:r>
        <w:t>Dean T. Eurich,</w:t>
      </w:r>
      <w:r w:rsidR="00806E63">
        <w:t xml:space="preserve"> </w:t>
      </w:r>
      <w:r w:rsidR="00A8428A">
        <w:t>Sumit R. Majumdar,</w:t>
      </w:r>
      <w:r w:rsidR="00806E63">
        <w:t xml:space="preserve"> </w:t>
      </w:r>
      <w:r>
        <w:t xml:space="preserve">Finlay A. </w:t>
      </w:r>
      <w:r w:rsidR="005D335A">
        <w:t>M</w:t>
      </w:r>
      <w:r w:rsidR="0064740D">
        <w:t>cAlister</w:t>
      </w:r>
      <w:r w:rsidR="00806E63">
        <w:t xml:space="preserve">; </w:t>
      </w:r>
      <w:r>
        <w:t xml:space="preserve">Ross T. Tsuyuki, </w:t>
      </w:r>
      <w:r w:rsidR="0064740D">
        <w:t>Yutaka Yasui, Jeffrey A. Johnson</w:t>
      </w:r>
    </w:p>
    <w:p w:rsidR="0064740D" w:rsidRDefault="0064740D" w:rsidP="0064740D">
      <w:pPr>
        <w:pStyle w:val="Title"/>
        <w:jc w:val="left"/>
        <w:rPr>
          <w:b w:val="0"/>
        </w:rPr>
      </w:pPr>
      <w:r w:rsidRPr="00EE6412">
        <w:rPr>
          <w:b w:val="0"/>
        </w:rPr>
        <w:t>Dean T. Eurich</w:t>
      </w:r>
      <w:r>
        <w:rPr>
          <w:b w:val="0"/>
        </w:rPr>
        <w:t>, BSP, PhD</w:t>
      </w:r>
    </w:p>
    <w:p w:rsidR="002C198E" w:rsidRDefault="002C198E" w:rsidP="002C198E">
      <w:pPr>
        <w:rPr>
          <w:spacing w:val="-3"/>
          <w:lang w:val="en-GB"/>
        </w:rPr>
      </w:pPr>
      <w:r>
        <w:rPr>
          <w:spacing w:val="-3"/>
          <w:lang w:val="en-GB"/>
        </w:rPr>
        <w:t>Assistant professor</w:t>
      </w:r>
    </w:p>
    <w:p w:rsidR="002C198E" w:rsidRDefault="002C198E" w:rsidP="002C198E">
      <w:pPr>
        <w:rPr>
          <w:spacing w:val="-3"/>
          <w:lang w:val="en-GB"/>
        </w:rPr>
      </w:pPr>
      <w:r>
        <w:rPr>
          <w:spacing w:val="-3"/>
          <w:lang w:val="en-GB"/>
        </w:rPr>
        <w:t>Department of Public Health Sciences, School of Public Health, 13-103 Clinical Sciences Building, University of Alberta, Edmonton, Alberta, Canada, T6G 2G3</w:t>
      </w:r>
      <w:r w:rsidR="00843A91">
        <w:rPr>
          <w:spacing w:val="-3"/>
          <w:lang w:val="en-GB"/>
        </w:rPr>
        <w:t>; deurich@ualberta.ca</w:t>
      </w:r>
    </w:p>
    <w:p w:rsidR="0064740D" w:rsidRDefault="0064740D" w:rsidP="0064740D">
      <w:pPr>
        <w:spacing w:before="60" w:after="60"/>
      </w:pPr>
    </w:p>
    <w:p w:rsidR="0064740D" w:rsidRDefault="0064740D" w:rsidP="0064740D">
      <w:pPr>
        <w:pStyle w:val="Title"/>
        <w:jc w:val="left"/>
        <w:rPr>
          <w:b w:val="0"/>
        </w:rPr>
      </w:pPr>
      <w:r>
        <w:rPr>
          <w:b w:val="0"/>
        </w:rPr>
        <w:t>S</w:t>
      </w:r>
      <w:r w:rsidRPr="00EE6412">
        <w:rPr>
          <w:b w:val="0"/>
        </w:rPr>
        <w:t>umit R. Majumda</w:t>
      </w:r>
      <w:r>
        <w:rPr>
          <w:b w:val="0"/>
        </w:rPr>
        <w:t>r, MD, MPH</w:t>
      </w:r>
    </w:p>
    <w:p w:rsidR="0064740D" w:rsidRDefault="0064740D" w:rsidP="0064740D">
      <w:pPr>
        <w:pStyle w:val="Title"/>
        <w:jc w:val="left"/>
        <w:rPr>
          <w:b w:val="0"/>
        </w:rPr>
      </w:pPr>
      <w:r w:rsidRPr="00602F4D">
        <w:rPr>
          <w:b w:val="0"/>
        </w:rPr>
        <w:t>Associate</w:t>
      </w:r>
      <w:r>
        <w:rPr>
          <w:b w:val="0"/>
        </w:rPr>
        <w:t xml:space="preserve"> P</w:t>
      </w:r>
      <w:r w:rsidRPr="00602F4D">
        <w:rPr>
          <w:b w:val="0"/>
        </w:rPr>
        <w:t>rofessor</w:t>
      </w:r>
    </w:p>
    <w:p w:rsidR="0064740D" w:rsidRDefault="0064740D" w:rsidP="0064740D">
      <w:pPr>
        <w:rPr>
          <w:spacing w:val="-3"/>
          <w:lang w:val="en-GB"/>
        </w:rPr>
      </w:pPr>
      <w:r>
        <w:rPr>
          <w:spacing w:val="-3"/>
          <w:lang w:val="en-GB"/>
        </w:rPr>
        <w:t>Division of Internal Medicine, Department of Medicine, Faculty of Medicine and Dentistry, 2F1 WMC, University of Alberta Hospital, 8440 – 112 Street, Edmonton, Alberta, Canada, T6G 2B7</w:t>
      </w:r>
      <w:r w:rsidR="00843A91">
        <w:rPr>
          <w:spacing w:val="-3"/>
          <w:lang w:val="en-GB"/>
        </w:rPr>
        <w:t>; me2.majumdar@ualberta.ca</w:t>
      </w:r>
    </w:p>
    <w:p w:rsidR="0064740D" w:rsidRDefault="0064740D" w:rsidP="0064740D">
      <w:pPr>
        <w:rPr>
          <w:spacing w:val="-3"/>
          <w:lang w:val="en-GB"/>
        </w:rPr>
      </w:pPr>
    </w:p>
    <w:p w:rsidR="0064740D" w:rsidRDefault="0064740D" w:rsidP="0064740D">
      <w:pPr>
        <w:spacing w:before="60" w:after="60"/>
      </w:pPr>
      <w:r w:rsidRPr="00EE6412">
        <w:t>Finlay A. McAlister</w:t>
      </w:r>
      <w:r>
        <w:t>, MD, MSc</w:t>
      </w:r>
    </w:p>
    <w:p w:rsidR="0064740D" w:rsidRDefault="0064740D" w:rsidP="0064740D">
      <w:r>
        <w:t>Associate Professor</w:t>
      </w:r>
    </w:p>
    <w:p w:rsidR="0064740D" w:rsidRDefault="0064740D" w:rsidP="0064740D">
      <w:pPr>
        <w:rPr>
          <w:spacing w:val="-3"/>
          <w:lang w:val="en-GB"/>
        </w:rPr>
      </w:pPr>
      <w:r>
        <w:rPr>
          <w:spacing w:val="-3"/>
          <w:lang w:val="en-GB"/>
        </w:rPr>
        <w:t>Division of Internal Medicine, Department of Medicine, Faculty of Medicine and Dentistry, 2F1 WMC, University of Alberta Hospital, 8440 – 112 Street, Edmonton, Alberta, Canada, T6G 2B7</w:t>
      </w:r>
      <w:r w:rsidR="00843A91">
        <w:rPr>
          <w:spacing w:val="-3"/>
          <w:lang w:val="en-GB"/>
        </w:rPr>
        <w:t>; finlay.mcalister@ualberta.ca</w:t>
      </w:r>
    </w:p>
    <w:p w:rsidR="0064740D" w:rsidRPr="00602F4D" w:rsidRDefault="0064740D" w:rsidP="0064740D">
      <w:pPr>
        <w:pStyle w:val="Title"/>
        <w:jc w:val="left"/>
        <w:rPr>
          <w:b w:val="0"/>
          <w:vertAlign w:val="superscript"/>
          <w:lang w:val="en-GB"/>
        </w:rPr>
      </w:pPr>
    </w:p>
    <w:p w:rsidR="0064740D" w:rsidRDefault="0064740D" w:rsidP="0064740D">
      <w:pPr>
        <w:pStyle w:val="Title"/>
        <w:jc w:val="left"/>
        <w:rPr>
          <w:b w:val="0"/>
        </w:rPr>
      </w:pPr>
      <w:r>
        <w:rPr>
          <w:b w:val="0"/>
        </w:rPr>
        <w:t>R</w:t>
      </w:r>
      <w:r w:rsidRPr="00EE6412">
        <w:rPr>
          <w:b w:val="0"/>
        </w:rPr>
        <w:t>oss T. Tsuyuki</w:t>
      </w:r>
      <w:r>
        <w:rPr>
          <w:b w:val="0"/>
        </w:rPr>
        <w:t xml:space="preserve">, </w:t>
      </w:r>
      <w:proofErr w:type="gramStart"/>
      <w:r>
        <w:rPr>
          <w:b w:val="0"/>
        </w:rPr>
        <w:t>BSc(</w:t>
      </w:r>
      <w:proofErr w:type="gramEnd"/>
      <w:r>
        <w:rPr>
          <w:b w:val="0"/>
        </w:rPr>
        <w:t>Pharm), PharmD, MSc</w:t>
      </w:r>
    </w:p>
    <w:p w:rsidR="0064740D" w:rsidRDefault="0064740D" w:rsidP="0064740D">
      <w:pPr>
        <w:rPr>
          <w:spacing w:val="-3"/>
          <w:lang w:val="en-GB"/>
        </w:rPr>
      </w:pPr>
      <w:r>
        <w:rPr>
          <w:spacing w:val="-3"/>
          <w:lang w:val="en-GB"/>
        </w:rPr>
        <w:t>Professor</w:t>
      </w:r>
    </w:p>
    <w:p w:rsidR="0064740D" w:rsidRDefault="0064740D" w:rsidP="0064740D">
      <w:pPr>
        <w:rPr>
          <w:spacing w:val="-3"/>
          <w:lang w:val="en-GB"/>
        </w:rPr>
      </w:pPr>
      <w:r>
        <w:rPr>
          <w:spacing w:val="-3"/>
          <w:lang w:val="en-GB"/>
        </w:rPr>
        <w:t>D</w:t>
      </w:r>
      <w:r w:rsidR="00BD682F">
        <w:rPr>
          <w:spacing w:val="-3"/>
          <w:lang w:val="en-GB"/>
        </w:rPr>
        <w:t>ivision of Cardiology</w:t>
      </w:r>
      <w:r>
        <w:rPr>
          <w:spacing w:val="-3"/>
          <w:lang w:val="en-GB"/>
        </w:rPr>
        <w:t xml:space="preserve">, Faculty of Medicine and Dentistry, </w:t>
      </w:r>
      <w:r w:rsidR="00BD682F">
        <w:rPr>
          <w:spacing w:val="-3"/>
          <w:lang w:val="en-GB"/>
        </w:rPr>
        <w:t>2F1 WMC, University of Alberta Hospital, 8440 – 112 Street, Edmonton, Alberta, Canada, T6G 2B7</w:t>
      </w:r>
      <w:r w:rsidR="00843A91">
        <w:rPr>
          <w:spacing w:val="-3"/>
          <w:lang w:val="en-GB"/>
        </w:rPr>
        <w:t>; ross.tsuyuki@ualberta.ca</w:t>
      </w:r>
    </w:p>
    <w:p w:rsidR="0064740D" w:rsidRDefault="0064740D" w:rsidP="0064740D">
      <w:pPr>
        <w:rPr>
          <w:spacing w:val="-3"/>
          <w:lang w:val="en-GB"/>
        </w:rPr>
      </w:pPr>
    </w:p>
    <w:p w:rsidR="0064740D" w:rsidRDefault="0064740D" w:rsidP="0064740D">
      <w:pPr>
        <w:rPr>
          <w:spacing w:val="-3"/>
          <w:lang w:val="en-GB"/>
        </w:rPr>
      </w:pPr>
      <w:r>
        <w:rPr>
          <w:spacing w:val="-3"/>
          <w:lang w:val="en-GB"/>
        </w:rPr>
        <w:t>Yutaka Yasui, PhD</w:t>
      </w:r>
    </w:p>
    <w:p w:rsidR="0064740D" w:rsidRDefault="0064740D" w:rsidP="0064740D">
      <w:pPr>
        <w:rPr>
          <w:spacing w:val="-3"/>
          <w:lang w:val="en-GB"/>
        </w:rPr>
      </w:pPr>
      <w:r>
        <w:rPr>
          <w:spacing w:val="-3"/>
          <w:lang w:val="en-GB"/>
        </w:rPr>
        <w:t>Professor</w:t>
      </w:r>
    </w:p>
    <w:p w:rsidR="0064740D" w:rsidRDefault="0074464D" w:rsidP="0064740D">
      <w:pPr>
        <w:rPr>
          <w:spacing w:val="-3"/>
          <w:lang w:val="en-GB"/>
        </w:rPr>
      </w:pPr>
      <w:r>
        <w:rPr>
          <w:spacing w:val="-3"/>
          <w:lang w:val="en-GB"/>
        </w:rPr>
        <w:t xml:space="preserve">Department of Public Health Sciences, </w:t>
      </w:r>
      <w:r w:rsidR="002C198E">
        <w:rPr>
          <w:spacing w:val="-3"/>
          <w:lang w:val="en-GB"/>
        </w:rPr>
        <w:t>School of Public Health</w:t>
      </w:r>
      <w:r w:rsidR="0064740D">
        <w:rPr>
          <w:spacing w:val="-3"/>
          <w:lang w:val="en-GB"/>
        </w:rPr>
        <w:t>, 13-103 Clinical Sciences Building, University of Alberta, Edmonton, Alberta, Canada, T6G 2G3</w:t>
      </w:r>
      <w:r w:rsidR="00843A91">
        <w:rPr>
          <w:spacing w:val="-3"/>
          <w:lang w:val="en-GB"/>
        </w:rPr>
        <w:t>; yutaka.yasui@ualberta.ca</w:t>
      </w:r>
    </w:p>
    <w:p w:rsidR="0064740D" w:rsidRDefault="0064740D" w:rsidP="0064740D">
      <w:pPr>
        <w:rPr>
          <w:spacing w:val="-3"/>
          <w:lang w:val="en-GB"/>
        </w:rPr>
      </w:pPr>
    </w:p>
    <w:p w:rsidR="0064740D" w:rsidRDefault="0064740D" w:rsidP="0064740D">
      <w:pPr>
        <w:rPr>
          <w:spacing w:val="-3"/>
          <w:lang w:val="en-GB"/>
        </w:rPr>
      </w:pPr>
      <w:r>
        <w:rPr>
          <w:spacing w:val="-3"/>
          <w:lang w:val="en-GB"/>
        </w:rPr>
        <w:t>Jeffrey A Johnson, PhD</w:t>
      </w:r>
    </w:p>
    <w:p w:rsidR="0064740D" w:rsidRDefault="0064740D" w:rsidP="0064740D">
      <w:pPr>
        <w:rPr>
          <w:spacing w:val="-3"/>
          <w:lang w:val="en-GB"/>
        </w:rPr>
      </w:pPr>
      <w:r>
        <w:rPr>
          <w:spacing w:val="-3"/>
          <w:lang w:val="en-GB"/>
        </w:rPr>
        <w:t>Professor</w:t>
      </w:r>
    </w:p>
    <w:p w:rsidR="0064740D" w:rsidRDefault="0074464D" w:rsidP="0064740D">
      <w:pPr>
        <w:rPr>
          <w:spacing w:val="-3"/>
          <w:lang w:val="en-GB"/>
        </w:rPr>
      </w:pPr>
      <w:r>
        <w:rPr>
          <w:spacing w:val="-3"/>
          <w:lang w:val="en-GB"/>
        </w:rPr>
        <w:t xml:space="preserve">Department of Public Health Sciences, </w:t>
      </w:r>
      <w:r w:rsidR="002C198E">
        <w:rPr>
          <w:spacing w:val="-3"/>
          <w:lang w:val="en-GB"/>
        </w:rPr>
        <w:t>School of Public Health</w:t>
      </w:r>
      <w:r w:rsidR="0064740D">
        <w:rPr>
          <w:spacing w:val="-3"/>
          <w:lang w:val="en-GB"/>
        </w:rPr>
        <w:t>, 13-103 Clinical Sciences Building, University of Alberta, Edmonton, Alberta, Canada, T6G 2G3</w:t>
      </w:r>
      <w:r w:rsidR="00843A91">
        <w:rPr>
          <w:spacing w:val="-3"/>
          <w:lang w:val="en-GB"/>
        </w:rPr>
        <w:t>; jeff.johnson@ualberta.ca</w:t>
      </w:r>
    </w:p>
    <w:p w:rsidR="0064740D" w:rsidRDefault="0064740D" w:rsidP="0064740D">
      <w:pPr>
        <w:pStyle w:val="Title"/>
        <w:jc w:val="left"/>
        <w:rPr>
          <w:b w:val="0"/>
        </w:rPr>
      </w:pPr>
    </w:p>
    <w:p w:rsidR="0064740D" w:rsidRPr="0052450C" w:rsidRDefault="0052450C" w:rsidP="009E3093">
      <w:pPr>
        <w:tabs>
          <w:tab w:val="left" w:pos="2880"/>
        </w:tabs>
        <w:spacing w:before="60" w:after="60" w:line="480" w:lineRule="auto"/>
        <w:jc w:val="both"/>
      </w:pPr>
      <w:r w:rsidRPr="0052450C">
        <w:t xml:space="preserve">Work was performed at the </w:t>
      </w:r>
      <w:r w:rsidR="002C198E">
        <w:t>University of Alberta</w:t>
      </w:r>
      <w:r w:rsidRPr="0052450C">
        <w:t>, Edmonton, AB, Canada</w:t>
      </w:r>
    </w:p>
    <w:p w:rsidR="0064740D" w:rsidRDefault="0064740D" w:rsidP="009E3093">
      <w:pPr>
        <w:tabs>
          <w:tab w:val="left" w:pos="2880"/>
        </w:tabs>
        <w:spacing w:before="60" w:after="60" w:line="480" w:lineRule="auto"/>
        <w:jc w:val="both"/>
        <w:rPr>
          <w:b/>
        </w:rPr>
      </w:pPr>
    </w:p>
    <w:p w:rsidR="0064740D" w:rsidRDefault="0064740D" w:rsidP="009E3093">
      <w:pPr>
        <w:tabs>
          <w:tab w:val="left" w:pos="2880"/>
        </w:tabs>
        <w:spacing w:before="60" w:after="60" w:line="480" w:lineRule="auto"/>
        <w:jc w:val="both"/>
        <w:rPr>
          <w:b/>
        </w:rPr>
      </w:pPr>
    </w:p>
    <w:p w:rsidR="00DF2C28" w:rsidRDefault="00DF2C28" w:rsidP="009E3093">
      <w:pPr>
        <w:tabs>
          <w:tab w:val="left" w:pos="2880"/>
        </w:tabs>
        <w:spacing w:before="60" w:after="60" w:line="480" w:lineRule="auto"/>
        <w:jc w:val="both"/>
        <w:rPr>
          <w:b/>
        </w:rPr>
      </w:pPr>
    </w:p>
    <w:p w:rsidR="00806E63" w:rsidRDefault="00806E63" w:rsidP="009E3093">
      <w:pPr>
        <w:tabs>
          <w:tab w:val="left" w:pos="2880"/>
        </w:tabs>
        <w:spacing w:before="60" w:after="60" w:line="480" w:lineRule="auto"/>
        <w:jc w:val="both"/>
        <w:rPr>
          <w:b/>
        </w:rPr>
      </w:pPr>
      <w:r>
        <w:rPr>
          <w:b/>
        </w:rPr>
        <w:t>Mail Correspondence and Reprint Requests to:</w:t>
      </w:r>
    </w:p>
    <w:p w:rsidR="0079187F" w:rsidRPr="0043037C" w:rsidRDefault="00806E63" w:rsidP="0079187F">
      <w:pPr>
        <w:tabs>
          <w:tab w:val="left" w:pos="2880"/>
        </w:tabs>
        <w:spacing w:before="60" w:after="60"/>
        <w:jc w:val="both"/>
        <w:rPr>
          <w:lang w:val="de-DE"/>
        </w:rPr>
      </w:pPr>
      <w:r w:rsidRPr="0043037C">
        <w:rPr>
          <w:lang w:val="de-DE"/>
        </w:rPr>
        <w:t xml:space="preserve">Dr. </w:t>
      </w:r>
      <w:r w:rsidR="0043037C" w:rsidRPr="0043037C">
        <w:rPr>
          <w:lang w:val="de-DE"/>
        </w:rPr>
        <w:t>Dean Eurich</w:t>
      </w:r>
    </w:p>
    <w:p w:rsidR="002C198E" w:rsidRDefault="0079187F" w:rsidP="0079187F">
      <w:pPr>
        <w:tabs>
          <w:tab w:val="left" w:pos="2880"/>
        </w:tabs>
        <w:spacing w:before="60" w:after="60"/>
        <w:jc w:val="both"/>
        <w:rPr>
          <w:spacing w:val="-3"/>
          <w:lang w:val="en-GB"/>
        </w:rPr>
      </w:pPr>
      <w:r>
        <w:rPr>
          <w:spacing w:val="-3"/>
          <w:lang w:val="en-GB"/>
        </w:rPr>
        <w:t>D</w:t>
      </w:r>
      <w:r w:rsidR="002C198E">
        <w:rPr>
          <w:spacing w:val="-3"/>
          <w:lang w:val="en-GB"/>
        </w:rPr>
        <w:t>epartment of Public Health Sciences</w:t>
      </w:r>
    </w:p>
    <w:p w:rsidR="002C198E" w:rsidRDefault="002C198E" w:rsidP="0079187F">
      <w:pPr>
        <w:rPr>
          <w:spacing w:val="-3"/>
          <w:lang w:val="en-GB"/>
        </w:rPr>
      </w:pPr>
      <w:r>
        <w:rPr>
          <w:spacing w:val="-3"/>
          <w:lang w:val="en-GB"/>
        </w:rPr>
        <w:t>School of Public Health</w:t>
      </w:r>
    </w:p>
    <w:p w:rsidR="002C198E" w:rsidRDefault="002C198E" w:rsidP="0079187F">
      <w:pPr>
        <w:rPr>
          <w:spacing w:val="-3"/>
          <w:lang w:val="en-GB"/>
        </w:rPr>
      </w:pPr>
      <w:r>
        <w:rPr>
          <w:spacing w:val="-3"/>
          <w:lang w:val="en-GB"/>
        </w:rPr>
        <w:t>13-103 Clinical Sciences Building</w:t>
      </w:r>
    </w:p>
    <w:p w:rsidR="002C198E" w:rsidRDefault="002C198E" w:rsidP="0079187F">
      <w:pPr>
        <w:rPr>
          <w:spacing w:val="-3"/>
          <w:lang w:val="en-GB"/>
        </w:rPr>
      </w:pPr>
      <w:r>
        <w:rPr>
          <w:spacing w:val="-3"/>
          <w:lang w:val="en-GB"/>
        </w:rPr>
        <w:t>University of Alberta</w:t>
      </w:r>
    </w:p>
    <w:p w:rsidR="002C198E" w:rsidRDefault="002C198E" w:rsidP="0079187F">
      <w:pPr>
        <w:rPr>
          <w:spacing w:val="-3"/>
          <w:lang w:val="en-GB"/>
        </w:rPr>
      </w:pPr>
      <w:r>
        <w:rPr>
          <w:spacing w:val="-3"/>
          <w:lang w:val="en-GB"/>
        </w:rPr>
        <w:t>Edmonton, Alberta, Canada, T6G 2G3</w:t>
      </w:r>
    </w:p>
    <w:p w:rsidR="00806E63" w:rsidRPr="0043037C" w:rsidRDefault="00806E63" w:rsidP="0079187F">
      <w:pPr>
        <w:tabs>
          <w:tab w:val="left" w:pos="2880"/>
        </w:tabs>
        <w:spacing w:before="60" w:after="60"/>
        <w:jc w:val="both"/>
        <w:rPr>
          <w:lang w:val="pt-BR"/>
        </w:rPr>
      </w:pPr>
      <w:r w:rsidRPr="0043037C">
        <w:rPr>
          <w:lang w:val="pt-BR"/>
        </w:rPr>
        <w:t>Tel:</w:t>
      </w:r>
      <w:r w:rsidRPr="0043037C">
        <w:rPr>
          <w:i/>
          <w:lang w:val="pt-BR"/>
        </w:rPr>
        <w:t xml:space="preserve"> </w:t>
      </w:r>
      <w:r w:rsidRPr="0043037C">
        <w:rPr>
          <w:lang w:val="pt-BR"/>
        </w:rPr>
        <w:t xml:space="preserve">(780) </w:t>
      </w:r>
      <w:r w:rsidR="002C198E">
        <w:rPr>
          <w:lang w:val="pt-BR"/>
        </w:rPr>
        <w:t>492-6333</w:t>
      </w:r>
      <w:r w:rsidR="0079187F">
        <w:rPr>
          <w:lang w:val="pt-BR"/>
        </w:rPr>
        <w:t xml:space="preserve"> </w:t>
      </w:r>
      <w:r w:rsidRPr="0043037C">
        <w:rPr>
          <w:lang w:val="pt-BR"/>
        </w:rPr>
        <w:t>Fax</w:t>
      </w:r>
      <w:r w:rsidRPr="0043037C">
        <w:rPr>
          <w:i/>
          <w:lang w:val="pt-BR"/>
        </w:rPr>
        <w:t xml:space="preserve">: </w:t>
      </w:r>
      <w:r w:rsidRPr="0043037C">
        <w:rPr>
          <w:lang w:val="pt-BR"/>
        </w:rPr>
        <w:t>(780)</w:t>
      </w:r>
      <w:r w:rsidR="002C198E">
        <w:rPr>
          <w:lang w:val="pt-BR"/>
        </w:rPr>
        <w:t xml:space="preserve"> 492-7455</w:t>
      </w:r>
    </w:p>
    <w:p w:rsidR="0043037C" w:rsidRDefault="00806E63" w:rsidP="0079187F">
      <w:pPr>
        <w:tabs>
          <w:tab w:val="left" w:pos="2880"/>
        </w:tabs>
      </w:pPr>
      <w:r w:rsidRPr="0043037C">
        <w:t xml:space="preserve">Email: </w:t>
      </w:r>
      <w:hyperlink r:id="rId8" w:history="1">
        <w:r w:rsidR="0043037C" w:rsidRPr="0043037C">
          <w:rPr>
            <w:rStyle w:val="Hyperlink"/>
          </w:rPr>
          <w:t>deurich@ualberta.ca</w:t>
        </w:r>
      </w:hyperlink>
    </w:p>
    <w:p w:rsidR="0079187F" w:rsidRPr="0043037C" w:rsidRDefault="0079187F" w:rsidP="0079187F">
      <w:pPr>
        <w:tabs>
          <w:tab w:val="left" w:pos="2880"/>
        </w:tabs>
      </w:pPr>
    </w:p>
    <w:p w:rsidR="00F34053" w:rsidRDefault="00806E63" w:rsidP="009E3093">
      <w:pPr>
        <w:tabs>
          <w:tab w:val="left" w:pos="2880"/>
        </w:tabs>
        <w:spacing w:line="480" w:lineRule="auto"/>
      </w:pPr>
      <w:r>
        <w:rPr>
          <w:b/>
        </w:rPr>
        <w:t>Word Count</w:t>
      </w:r>
      <w:r w:rsidR="000A1278">
        <w:rPr>
          <w:b/>
        </w:rPr>
        <w:t xml:space="preserve"> (total)</w:t>
      </w:r>
      <w:r>
        <w:rPr>
          <w:b/>
        </w:rPr>
        <w:t xml:space="preserve">: </w:t>
      </w:r>
      <w:r w:rsidR="00F34053" w:rsidRPr="00F34053">
        <w:t>4842</w:t>
      </w:r>
      <w:r w:rsidR="00F34053">
        <w:rPr>
          <w:b/>
        </w:rPr>
        <w:t xml:space="preserve">; Word Count (text): </w:t>
      </w:r>
      <w:r w:rsidR="008A1D7B">
        <w:t>2</w:t>
      </w:r>
      <w:r w:rsidR="00DF2C28">
        <w:t>901</w:t>
      </w:r>
      <w:r>
        <w:t xml:space="preserve">; </w:t>
      </w:r>
      <w:r>
        <w:rPr>
          <w:b/>
        </w:rPr>
        <w:t xml:space="preserve">Word Count (Abstract): </w:t>
      </w:r>
      <w:r w:rsidR="00520CB1">
        <w:t>2</w:t>
      </w:r>
      <w:r w:rsidR="00DF2C28">
        <w:t>50</w:t>
      </w:r>
      <w:r w:rsidR="0043037C">
        <w:t xml:space="preserve"> </w:t>
      </w:r>
    </w:p>
    <w:p w:rsidR="0043037C" w:rsidRDefault="0043037C" w:rsidP="009E3093">
      <w:pPr>
        <w:tabs>
          <w:tab w:val="left" w:pos="2880"/>
        </w:tabs>
        <w:spacing w:line="480" w:lineRule="auto"/>
      </w:pPr>
      <w:r>
        <w:rPr>
          <w:b/>
        </w:rPr>
        <w:t xml:space="preserve">Tables: </w:t>
      </w:r>
      <w:r w:rsidR="00DF2C28">
        <w:rPr>
          <w:b/>
        </w:rPr>
        <w:t>2</w:t>
      </w:r>
      <w:r>
        <w:rPr>
          <w:b/>
        </w:rPr>
        <w:t>; Figures: 2</w:t>
      </w:r>
      <w:r w:rsidR="0075740F">
        <w:rPr>
          <w:b/>
        </w:rPr>
        <w:t xml:space="preserve">; Appendix </w:t>
      </w:r>
      <w:r w:rsidR="00DF2C28">
        <w:rPr>
          <w:b/>
        </w:rPr>
        <w:t>2</w:t>
      </w:r>
      <w:r w:rsidR="0075740F">
        <w:rPr>
          <w:b/>
        </w:rPr>
        <w:t>;</w:t>
      </w:r>
    </w:p>
    <w:p w:rsidR="0064740D" w:rsidRDefault="0064740D" w:rsidP="0064740D">
      <w:pPr>
        <w:tabs>
          <w:tab w:val="left" w:pos="2880"/>
        </w:tabs>
        <w:spacing w:line="480" w:lineRule="auto"/>
      </w:pPr>
      <w:r>
        <w:rPr>
          <w:b/>
        </w:rPr>
        <w:t xml:space="preserve">Running Title: </w:t>
      </w:r>
      <w:r w:rsidRPr="0064740D">
        <w:t>Q</w:t>
      </w:r>
      <w:r w:rsidR="00E106B1">
        <w:t>AS</w:t>
      </w:r>
      <w:r w:rsidRPr="0064740D">
        <w:t xml:space="preserve"> Analysis of Composite Outcomes</w:t>
      </w:r>
    </w:p>
    <w:p w:rsidR="0075740F" w:rsidRPr="00334F82" w:rsidRDefault="0075740F" w:rsidP="0064740D">
      <w:pPr>
        <w:tabs>
          <w:tab w:val="left" w:pos="2880"/>
        </w:tabs>
        <w:spacing w:line="480" w:lineRule="auto"/>
      </w:pPr>
    </w:p>
    <w:p w:rsidR="00842FC1" w:rsidRPr="0075740F" w:rsidRDefault="00842FC1" w:rsidP="0075740F">
      <w:pPr>
        <w:tabs>
          <w:tab w:val="left" w:pos="2880"/>
        </w:tabs>
        <w:spacing w:line="480" w:lineRule="auto"/>
      </w:pPr>
    </w:p>
    <w:p w:rsidR="008A1D7B" w:rsidRDefault="00842FC1" w:rsidP="008A1D7B">
      <w:pPr>
        <w:spacing w:line="480" w:lineRule="auto"/>
        <w:rPr>
          <w:b/>
          <w:bCs/>
        </w:rPr>
      </w:pPr>
      <w:r>
        <w:rPr>
          <w:b/>
          <w:bCs/>
        </w:rPr>
        <w:br w:type="page"/>
      </w:r>
      <w:r w:rsidR="008A1D7B">
        <w:rPr>
          <w:b/>
          <w:bCs/>
        </w:rPr>
        <w:t>ABSTRACT</w:t>
      </w:r>
    </w:p>
    <w:p w:rsidR="00945C25" w:rsidRPr="006A2C70" w:rsidRDefault="00945C25" w:rsidP="00945C25">
      <w:pPr>
        <w:spacing w:line="480" w:lineRule="auto"/>
      </w:pPr>
      <w:r>
        <w:rPr>
          <w:b/>
          <w:bCs/>
        </w:rPr>
        <w:t xml:space="preserve">Background: </w:t>
      </w:r>
      <w:r w:rsidRPr="0075740F">
        <w:rPr>
          <w:bCs/>
        </w:rPr>
        <w:t xml:space="preserve">Composite outcomes </w:t>
      </w:r>
      <w:r>
        <w:rPr>
          <w:bCs/>
        </w:rPr>
        <w:t>that weigh each component equally are commonly used to study treatment effects. We hypothesized that each</w:t>
      </w:r>
      <w:r w:rsidRPr="0075740F">
        <w:rPr>
          <w:bCs/>
        </w:rPr>
        <w:t xml:space="preserve"> component</w:t>
      </w:r>
      <w:r>
        <w:rPr>
          <w:bCs/>
        </w:rPr>
        <w:t xml:space="preserve"> of the composite outcome </w:t>
      </w:r>
      <w:r>
        <w:t xml:space="preserve">would impact differentially on patients’ overall health-related quality of life (HRQL) and tested this in two published heart failure (HF) studies. </w:t>
      </w:r>
    </w:p>
    <w:p w:rsidR="00945C25" w:rsidRDefault="00945C25" w:rsidP="00945C25">
      <w:pPr>
        <w:spacing w:before="60" w:after="60" w:line="480" w:lineRule="auto"/>
        <w:rPr>
          <w:lang w:val="en-CA"/>
        </w:rPr>
      </w:pPr>
      <w:r>
        <w:rPr>
          <w:b/>
          <w:lang w:val="en-CA"/>
        </w:rPr>
        <w:t xml:space="preserve">Methods: </w:t>
      </w:r>
      <w:r>
        <w:t xml:space="preserve"> We adapted the Q-twist methodology to incorporate HRQL data and accommodate the differential weights for </w:t>
      </w:r>
      <w:r w:rsidR="006A0BC4">
        <w:t xml:space="preserve">composite outcome </w:t>
      </w:r>
      <w:r>
        <w:t>component</w:t>
      </w:r>
      <w:r w:rsidR="006A0BC4">
        <w:t>s</w:t>
      </w:r>
      <w:r>
        <w:t xml:space="preserve"> (e.g., </w:t>
      </w:r>
      <w:proofErr w:type="gramStart"/>
      <w:r>
        <w:t>death</w:t>
      </w:r>
      <w:proofErr w:type="gramEnd"/>
      <w:r>
        <w:t xml:space="preserve"> or </w:t>
      </w:r>
      <w:r w:rsidRPr="006A2C70">
        <w:t>hospitalization</w:t>
      </w:r>
      <w:r>
        <w:t>). For each of two HF studies, t</w:t>
      </w:r>
      <w:r w:rsidRPr="006A2C70">
        <w:t>he c</w:t>
      </w:r>
      <w:r>
        <w:t>omposite outcome</w:t>
      </w:r>
      <w:r w:rsidRPr="006A2C70">
        <w:t xml:space="preserve"> </w:t>
      </w:r>
      <w:r>
        <w:t xml:space="preserve">was partitioned </w:t>
      </w:r>
      <w:r w:rsidRPr="006A2C70">
        <w:t>into its com</w:t>
      </w:r>
      <w:r>
        <w:t>ponents and assigned literature-derived utility weights.</w:t>
      </w:r>
      <w:r>
        <w:rPr>
          <w:lang w:val="en-CA"/>
        </w:rPr>
        <w:t xml:space="preserve"> Total quality-adjusted survival (QAS) time was determined for each treatment and compared with results from traditional survival analyses.  </w:t>
      </w:r>
    </w:p>
    <w:p w:rsidR="00945C25" w:rsidRPr="00FE3E2E" w:rsidRDefault="00945C25" w:rsidP="00945C25">
      <w:pPr>
        <w:spacing w:line="480" w:lineRule="auto"/>
        <w:rPr>
          <w:lang w:val="en-CA"/>
        </w:rPr>
      </w:pPr>
      <w:r>
        <w:rPr>
          <w:b/>
          <w:lang w:val="en-CA"/>
        </w:rPr>
        <w:t>Results:</w:t>
      </w:r>
      <w:r w:rsidRPr="00520CB1">
        <w:rPr>
          <w:lang w:val="en-CA"/>
        </w:rPr>
        <w:t xml:space="preserve"> </w:t>
      </w:r>
      <w:r>
        <w:rPr>
          <w:lang w:val="en-CA"/>
        </w:rPr>
        <w:t>In an observational study of</w:t>
      </w:r>
      <w:r w:rsidR="00E11471">
        <w:rPr>
          <w:lang w:val="en-CA"/>
        </w:rPr>
        <w:t xml:space="preserve"> metformin </w:t>
      </w:r>
      <w:r>
        <w:rPr>
          <w:lang w:val="en-CA"/>
        </w:rPr>
        <w:t>in HF</w:t>
      </w:r>
      <w:r w:rsidR="00E11471">
        <w:rPr>
          <w:lang w:val="en-CA"/>
        </w:rPr>
        <w:t xml:space="preserve">, there was </w:t>
      </w:r>
      <w:r>
        <w:rPr>
          <w:lang w:val="en-CA"/>
        </w:rPr>
        <w:t>a reduced hazard of the composite outcome of ‘death or hospitalization’ [</w:t>
      </w:r>
      <w:r w:rsidR="000A70C2" w:rsidRPr="001D4C39">
        <w:t>1</w:t>
      </w:r>
      <w:r w:rsidR="000A70C2">
        <w:t xml:space="preserve">60 (77%) </w:t>
      </w:r>
      <w:r>
        <w:rPr>
          <w:lang w:val="en-CA"/>
        </w:rPr>
        <w:t xml:space="preserve">events compared to </w:t>
      </w:r>
      <w:r w:rsidR="000A70C2">
        <w:rPr>
          <w:lang w:val="en-CA"/>
        </w:rPr>
        <w:t xml:space="preserve">658 (85%) </w:t>
      </w:r>
      <w:r>
        <w:t>events</w:t>
      </w:r>
      <w:r w:rsidRPr="00A01C4E">
        <w:rPr>
          <w:lang w:val="en-CA"/>
        </w:rPr>
        <w:t xml:space="preserve"> </w:t>
      </w:r>
      <w:r>
        <w:rPr>
          <w:lang w:val="en-CA"/>
        </w:rPr>
        <w:t>in sulfonylurea users</w:t>
      </w:r>
      <w:r>
        <w:t>; HR 0.83 (95%</w:t>
      </w:r>
      <w:r w:rsidRPr="001D4C39">
        <w:t>CI 0.70-0.99)]</w:t>
      </w:r>
      <w:r w:rsidR="00E11471">
        <w:t>. Net gain of 0.82</w:t>
      </w:r>
      <w:r w:rsidR="00E11471">
        <w:rPr>
          <w:lang w:val="en-CA"/>
        </w:rPr>
        <w:t xml:space="preserve"> years (95%CI </w:t>
      </w:r>
      <w:r w:rsidR="00E11471">
        <w:t>0.26-1.37) with traditional survival analyses; t</w:t>
      </w:r>
      <w:r w:rsidR="006A0BC4">
        <w:t>he</w:t>
      </w:r>
      <w:r>
        <w:t xml:space="preserve"> difference in QAS time was</w:t>
      </w:r>
      <w:r w:rsidRPr="002137F9">
        <w:t xml:space="preserve"> </w:t>
      </w:r>
      <w:r>
        <w:t>a smaller</w:t>
      </w:r>
      <w:r w:rsidR="006A0BC4">
        <w:t xml:space="preserve"> </w:t>
      </w:r>
      <w:r w:rsidRPr="002137F9">
        <w:t>0.5</w:t>
      </w:r>
      <w:r>
        <w:t>4 years (95%CI 0.20-0.89)</w:t>
      </w:r>
      <w:r w:rsidRPr="00627875">
        <w:t>.</w:t>
      </w:r>
      <w:r>
        <w:t xml:space="preserve">  In a randomized study of digoxin, there was a reduced hazard of the composite outcome [1291 (38%) events compared to 1041 (31%) events in</w:t>
      </w:r>
      <w:r w:rsidRPr="00A01C4E">
        <w:t xml:space="preserve"> </w:t>
      </w:r>
      <w:r>
        <w:t>the placebo group; HR 0.75 (95%CI 0.69-0.82)]</w:t>
      </w:r>
      <w:r w:rsidR="00E11471">
        <w:t xml:space="preserve">. A </w:t>
      </w:r>
      <w:r>
        <w:t xml:space="preserve">net gain of 0.10 years (95%CI </w:t>
      </w:r>
      <w:r w:rsidRPr="00C3152D">
        <w:t>0</w:t>
      </w:r>
      <w:r>
        <w:t>.02</w:t>
      </w:r>
      <w:r w:rsidRPr="00C3152D">
        <w:t>-0.</w:t>
      </w:r>
      <w:r>
        <w:t>16)</w:t>
      </w:r>
      <w:r w:rsidR="00E11471">
        <w:t xml:space="preserve"> but</w:t>
      </w:r>
      <w:r>
        <w:t xml:space="preserve"> this time, the difference in QAS time was</w:t>
      </w:r>
      <w:r w:rsidRPr="002137F9">
        <w:t xml:space="preserve"> </w:t>
      </w:r>
      <w:r>
        <w:t xml:space="preserve">greater at </w:t>
      </w:r>
      <w:r w:rsidRPr="002137F9">
        <w:t>0.</w:t>
      </w:r>
      <w:r>
        <w:t>14 years (95%CI 0.07-0.19)</w:t>
      </w:r>
      <w:r w:rsidRPr="00627875">
        <w:t>.</w:t>
      </w:r>
      <w:r>
        <w:t xml:space="preserve"> </w:t>
      </w:r>
    </w:p>
    <w:p w:rsidR="00945C25" w:rsidRPr="00E11471" w:rsidRDefault="00945C25" w:rsidP="00945C25">
      <w:pPr>
        <w:spacing w:line="480" w:lineRule="auto"/>
        <w:rPr>
          <w:lang w:val="en-CA"/>
        </w:rPr>
      </w:pPr>
      <w:r w:rsidRPr="009F48E8">
        <w:rPr>
          <w:b/>
          <w:lang w:val="en-CA"/>
        </w:rPr>
        <w:t>Conclusion</w:t>
      </w:r>
      <w:r>
        <w:rPr>
          <w:b/>
          <w:lang w:val="en-CA"/>
        </w:rPr>
        <w:t>:</w:t>
      </w:r>
      <w:r w:rsidRPr="006F058B">
        <w:rPr>
          <w:lang w:val="en-CA"/>
        </w:rPr>
        <w:t xml:space="preserve"> </w:t>
      </w:r>
      <w:r w:rsidR="00E11471">
        <w:rPr>
          <w:lang w:val="en-CA"/>
        </w:rPr>
        <w:t>S</w:t>
      </w:r>
      <w:r>
        <w:rPr>
          <w:lang w:val="en-CA"/>
        </w:rPr>
        <w:t xml:space="preserve">tudies </w:t>
      </w:r>
      <w:r w:rsidR="00E11471">
        <w:rPr>
          <w:lang w:val="en-CA"/>
        </w:rPr>
        <w:t>assuming</w:t>
      </w:r>
      <w:r>
        <w:rPr>
          <w:lang w:val="en-CA"/>
        </w:rPr>
        <w:t xml:space="preserve"> equal weighting of </w:t>
      </w:r>
      <w:r w:rsidR="00E11471">
        <w:rPr>
          <w:lang w:val="en-CA"/>
        </w:rPr>
        <w:t>composite outcome components</w:t>
      </w:r>
      <w:r>
        <w:rPr>
          <w:lang w:val="en-CA"/>
        </w:rPr>
        <w:t xml:space="preserve"> may potentially </w:t>
      </w:r>
      <w:r w:rsidR="00E11471">
        <w:rPr>
          <w:lang w:val="en-CA"/>
        </w:rPr>
        <w:t>misrepresent</w:t>
      </w:r>
      <w:r>
        <w:rPr>
          <w:lang w:val="en-CA"/>
        </w:rPr>
        <w:t xml:space="preserve"> treatment effects.  </w:t>
      </w:r>
      <w:r w:rsidR="00E11471">
        <w:t xml:space="preserve">By incorporating HRQL into survival analyses, </w:t>
      </w:r>
      <w:proofErr w:type="gramStart"/>
      <w:r w:rsidR="005075A6">
        <w:t>the  impact</w:t>
      </w:r>
      <w:proofErr w:type="gramEnd"/>
      <w:r w:rsidR="00E11471">
        <w:t xml:space="preserve"> of </w:t>
      </w:r>
      <w:r w:rsidR="005075A6">
        <w:t xml:space="preserve">the composite outcome components </w:t>
      </w:r>
      <w:r w:rsidR="00E11471">
        <w:t>can be assessed more directly</w:t>
      </w:r>
      <w:r w:rsidR="005075A6">
        <w:rPr>
          <w:lang w:val="en-CA"/>
        </w:rPr>
        <w:t>.</w:t>
      </w:r>
    </w:p>
    <w:p w:rsidR="0079187F" w:rsidRDefault="00481947" w:rsidP="009E3093">
      <w:pPr>
        <w:spacing w:line="480" w:lineRule="auto"/>
        <w:rPr>
          <w:b/>
          <w:bCs/>
        </w:rPr>
      </w:pPr>
      <w:r>
        <w:rPr>
          <w:b/>
          <w:bCs/>
        </w:rPr>
        <w:tab/>
      </w:r>
    </w:p>
    <w:p w:rsidR="005075A6" w:rsidRDefault="0079187F" w:rsidP="009E3093">
      <w:pPr>
        <w:spacing w:line="480" w:lineRule="auto"/>
        <w:ind w:firstLine="360"/>
      </w:pPr>
      <w:r>
        <w:rPr>
          <w:b/>
          <w:bCs/>
        </w:rPr>
        <w:br w:type="page"/>
      </w:r>
      <w:r w:rsidR="00496E28">
        <w:t>C</w:t>
      </w:r>
      <w:r w:rsidR="00954615">
        <w:t>omposite outcomes</w:t>
      </w:r>
      <w:r w:rsidR="00D76695">
        <w:t xml:space="preserve"> </w:t>
      </w:r>
      <w:r w:rsidR="00496E28">
        <w:t xml:space="preserve">are common </w:t>
      </w:r>
      <w:r w:rsidR="00954615">
        <w:t xml:space="preserve">in </w:t>
      </w:r>
      <w:r w:rsidR="005075A6">
        <w:t>clinical research</w:t>
      </w:r>
      <w:r w:rsidR="00954615">
        <w:t>, especially in</w:t>
      </w:r>
      <w:r w:rsidR="00DA718A">
        <w:t xml:space="preserve"> </w:t>
      </w:r>
      <w:r w:rsidR="00954615">
        <w:t xml:space="preserve">cardiovascular </w:t>
      </w:r>
      <w:r w:rsidR="00E658C0">
        <w:t>disease</w:t>
      </w:r>
      <w:r w:rsidR="00954615">
        <w:t xml:space="preserve">. </w:t>
      </w:r>
      <w:r w:rsidR="005075A6">
        <w:t>Potential a</w:t>
      </w:r>
      <w:r w:rsidR="00954615">
        <w:t xml:space="preserve">dvantages </w:t>
      </w:r>
      <w:r w:rsidR="00DA718A">
        <w:t>of</w:t>
      </w:r>
      <w:r w:rsidR="00954615">
        <w:t xml:space="preserve"> using composite outcomes</w:t>
      </w:r>
      <w:r w:rsidR="00DA718A">
        <w:t xml:space="preserve"> include</w:t>
      </w:r>
      <w:r w:rsidR="00287D2E">
        <w:t xml:space="preserve"> i</w:t>
      </w:r>
      <w:r w:rsidR="00954615">
        <w:t>ncreas</w:t>
      </w:r>
      <w:r w:rsidR="00DA718A">
        <w:t>e</w:t>
      </w:r>
      <w:r w:rsidR="00B64204">
        <w:t>d</w:t>
      </w:r>
      <w:r w:rsidR="00287D2E">
        <w:t xml:space="preserve"> </w:t>
      </w:r>
      <w:r w:rsidR="00954615">
        <w:t>event rates</w:t>
      </w:r>
      <w:r w:rsidR="00287D2E">
        <w:t xml:space="preserve"> </w:t>
      </w:r>
      <w:r w:rsidR="00B64204">
        <w:t>with</w:t>
      </w:r>
      <w:r w:rsidR="00150CA1">
        <w:t xml:space="preserve"> improv</w:t>
      </w:r>
      <w:r w:rsidR="00BB6667">
        <w:t>ed</w:t>
      </w:r>
      <w:r w:rsidR="00150CA1">
        <w:t xml:space="preserve"> </w:t>
      </w:r>
      <w:r w:rsidR="00954615">
        <w:t xml:space="preserve">power and </w:t>
      </w:r>
      <w:r w:rsidR="00BB6667">
        <w:t>st</w:t>
      </w:r>
      <w:r w:rsidR="00B64204">
        <w:t>atistical</w:t>
      </w:r>
      <w:r w:rsidR="00BB6667">
        <w:t xml:space="preserve"> efficiency</w:t>
      </w:r>
      <w:r w:rsidR="00DA718A">
        <w:t xml:space="preserve"> and integration of clinically important events into a single </w:t>
      </w:r>
      <w:r w:rsidR="00B64204">
        <w:t xml:space="preserve">quantifiable </w:t>
      </w:r>
      <w:r w:rsidR="00DA718A">
        <w:t>outcome.</w:t>
      </w:r>
      <w:r w:rsidR="00287D2E">
        <w:t xml:space="preserve"> </w:t>
      </w:r>
      <w:r w:rsidR="005F57B4">
        <w:t>However, s</w:t>
      </w:r>
      <w:r w:rsidR="00287D2E">
        <w:t>everal concerns</w:t>
      </w:r>
      <w:r w:rsidR="00150CA1" w:rsidRPr="00150CA1">
        <w:t xml:space="preserve"> </w:t>
      </w:r>
      <w:r w:rsidR="00BB6667">
        <w:t xml:space="preserve">also </w:t>
      </w:r>
      <w:r w:rsidR="00150CA1">
        <w:t>exist</w:t>
      </w:r>
      <w:r w:rsidR="00862270">
        <w:t>,</w:t>
      </w:r>
      <w:r w:rsidR="00D76695">
        <w:t xml:space="preserve"> </w:t>
      </w:r>
      <w:r w:rsidR="00CC2A4D">
        <w:t>particular</w:t>
      </w:r>
      <w:r w:rsidR="005075A6">
        <w:t>ly</w:t>
      </w:r>
      <w:r w:rsidR="00CC2A4D">
        <w:t xml:space="preserve"> </w:t>
      </w:r>
      <w:r w:rsidR="00D76695">
        <w:t xml:space="preserve">in interpretation of results </w:t>
      </w:r>
      <w:r w:rsidR="00CC2A4D">
        <w:t>when the components of the composite outcome</w:t>
      </w:r>
      <w:r w:rsidR="005075A6">
        <w:t xml:space="preserve"> impact</w:t>
      </w:r>
      <w:r w:rsidR="00CC2A4D">
        <w:t xml:space="preserve"> </w:t>
      </w:r>
      <w:r w:rsidR="005075A6">
        <w:t>patients’ health differentially or are associated with competing risks</w:t>
      </w:r>
      <w:r w:rsidR="00D76695">
        <w:t>.</w:t>
      </w:r>
      <w:r w:rsidR="006506AF">
        <w:fldChar w:fldCharType="begin"/>
      </w:r>
      <w:r w:rsidR="00DF2C28">
        <w:instrText xml:space="preserve"> ADDIN REFMGR.CITE &lt;Refman&gt;&lt;Cite&gt;&lt;Author&gt;O&amp;apos;Connor&lt;/Author&gt;&lt;Year&gt;2000&lt;/Year&gt;&lt;RecNum&gt;5946&lt;/RecNum&gt;&lt;IDText&gt;The role of clinical nonfatal end points in cardiovascular phase II/III clinical trials&lt;/IDText&gt;&lt;MDL Ref_Type="Journal"&gt;&lt;Ref_Type&gt;Journal&lt;/Ref_Type&gt;&lt;Ref_ID&gt;5946&lt;/Ref_ID&gt;&lt;Title_Primary&gt;The role of clinical nonfatal end points in cardiovascular phase II/III clinical trials&lt;/Title_Primary&gt;&lt;Authors_Primary&gt;O&amp;apos;Connor,C.M.&lt;/Authors_Primary&gt;&lt;Authors_Primary&gt;Gattis,W.A.&lt;/Authors_Primary&gt;&lt;Authors_Primary&gt;Ryan,T.J.&lt;/Authors_Primary&gt;&lt;Date_Primary&gt;2000/4&lt;/Date_Primary&gt;&lt;Keywords&gt;adverse effects&lt;/Keywords&gt;&lt;Keywords&gt;Cardiovascular&lt;/Keywords&gt;&lt;Keywords&gt;Cardiovascular Agents&lt;/Keywords&gt;&lt;Keywords&gt;Clinical Trials&lt;/Keywords&gt;&lt;Keywords&gt;Clinical Trials,Phase II&lt;/Keywords&gt;&lt;Keywords&gt;Clinical Trials,Phase III&lt;/Keywords&gt;&lt;Keywords&gt;Humans&lt;/Keywords&gt;&lt;Keywords&gt;Reproducibility of Results&lt;/Keywords&gt;&lt;Keywords&gt;statistics &amp;amp; numerical data&lt;/Keywords&gt;&lt;Keywords&gt;Survival Analysis&lt;/Keywords&gt;&lt;Keywords&gt;therapeutic use&lt;/Keywords&gt;&lt;Keywords&gt;Treatment Outcome&lt;/Keywords&gt;&lt;Reprint&gt;Not in File&lt;/Reprint&gt;&lt;Start_Page&gt;S143&lt;/Start_Page&gt;&lt;End_Page&gt;S154&lt;/End_Page&gt;&lt;Periodical&gt;Am.Heart J&lt;/Periodical&gt;&lt;Volume&gt;139&lt;/Volume&gt;&lt;Issue&gt;4&lt;/Issue&gt;&lt;Address&gt;Duke University Medical Center, Durham, NC 27710, USA&lt;/Address&gt;&lt;Web_URL&gt;PM:10740121&lt;/Web_URL&gt;&lt;ZZ_JournalFull&gt;&lt;f name="System"&gt;Am.Heart J&lt;/f&gt;&lt;/ZZ_JournalFull&gt;&lt;ZZ_WorkformID&gt;1&lt;/ZZ_WorkformID&gt;&lt;/MDL&gt;&lt;/Cite&gt;&lt;/Refman&gt;</w:instrText>
      </w:r>
      <w:r w:rsidR="006506AF">
        <w:fldChar w:fldCharType="separate"/>
      </w:r>
      <w:r w:rsidR="00A3336E">
        <w:t>(1)</w:t>
      </w:r>
      <w:r w:rsidR="006506AF">
        <w:fldChar w:fldCharType="end"/>
      </w:r>
      <w:proofErr w:type="gramStart"/>
      <w:r w:rsidR="004B5FE3">
        <w:t xml:space="preserve"> </w:t>
      </w:r>
      <w:r w:rsidR="00CC2A4D">
        <w:t xml:space="preserve">  For</w:t>
      </w:r>
      <w:proofErr w:type="gramEnd"/>
      <w:r w:rsidR="00CC2A4D">
        <w:t xml:space="preserve"> example, </w:t>
      </w:r>
      <w:r w:rsidR="005F57B4">
        <w:t xml:space="preserve">the composite outcome of </w:t>
      </w:r>
      <w:r w:rsidR="00DA718A">
        <w:t>‘</w:t>
      </w:r>
      <w:r w:rsidR="00FF0D0E">
        <w:t>death</w:t>
      </w:r>
      <w:r w:rsidR="00CC2A4D">
        <w:t xml:space="preserve"> or hospitalization</w:t>
      </w:r>
      <w:r w:rsidR="00DA718A">
        <w:t>’</w:t>
      </w:r>
      <w:r w:rsidR="00CC2A4D">
        <w:t xml:space="preserve"> is often used in studies of heart failure.  </w:t>
      </w:r>
      <w:r w:rsidR="005075A6">
        <w:t>Difficulties in comparing the effects of two treatments could exist if Treatment A reduced mortality but increased hospitalizations while Treatment B had no effect on mortality but reduced hospitalizations.</w:t>
      </w:r>
    </w:p>
    <w:p w:rsidR="00E4140D" w:rsidRDefault="00207F95" w:rsidP="00E4140D">
      <w:pPr>
        <w:spacing w:line="480" w:lineRule="auto"/>
        <w:ind w:firstLine="360"/>
      </w:pPr>
      <w:r>
        <w:t xml:space="preserve">The </w:t>
      </w:r>
      <w:r w:rsidR="00EA1211">
        <w:t xml:space="preserve">concern </w:t>
      </w:r>
      <w:r w:rsidR="00B64204">
        <w:t xml:space="preserve">is </w:t>
      </w:r>
      <w:r w:rsidR="00ED032A">
        <w:t xml:space="preserve">with </w:t>
      </w:r>
      <w:r w:rsidR="00B64204">
        <w:t>most</w:t>
      </w:r>
      <w:r>
        <w:t xml:space="preserve"> c</w:t>
      </w:r>
      <w:r w:rsidR="006A1FB1">
        <w:t>o</w:t>
      </w:r>
      <w:r w:rsidR="009712C3">
        <w:t xml:space="preserve">mposite outcomes </w:t>
      </w:r>
      <w:r w:rsidR="005075A6">
        <w:t xml:space="preserve">is the </w:t>
      </w:r>
      <w:r w:rsidR="00862270">
        <w:t>assumption</w:t>
      </w:r>
      <w:r w:rsidR="008A175F">
        <w:t xml:space="preserve"> that </w:t>
      </w:r>
      <w:r w:rsidR="009712C3">
        <w:t>each component of the outcome</w:t>
      </w:r>
      <w:r w:rsidR="0092232A">
        <w:t xml:space="preserve"> (i.e.</w:t>
      </w:r>
      <w:r w:rsidR="00733EB1">
        <w:t>,</w:t>
      </w:r>
      <w:r w:rsidR="0092232A">
        <w:t xml:space="preserve"> each health state</w:t>
      </w:r>
      <w:r w:rsidR="00077E57">
        <w:t>) is</w:t>
      </w:r>
      <w:r w:rsidR="009712C3">
        <w:t xml:space="preserve"> equally important. </w:t>
      </w:r>
      <w:r w:rsidR="008F3732">
        <w:t xml:space="preserve">Although </w:t>
      </w:r>
      <w:r w:rsidR="005075A6">
        <w:t>valid in certain cases</w:t>
      </w:r>
      <w:r w:rsidR="008F3732">
        <w:t xml:space="preserve">, more </w:t>
      </w:r>
      <w:r w:rsidR="005075A6">
        <w:t>often</w:t>
      </w:r>
      <w:r w:rsidR="008F3732">
        <w:t xml:space="preserve"> </w:t>
      </w:r>
      <w:r w:rsidR="00ED032A">
        <w:t>the different components</w:t>
      </w:r>
      <w:r w:rsidR="00257C6D">
        <w:t xml:space="preserve"> of a composite outcome impact patients</w:t>
      </w:r>
      <w:r w:rsidR="00DA718A">
        <w:t>’</w:t>
      </w:r>
      <w:r w:rsidR="00257C6D">
        <w:t xml:space="preserve"> overall quality of life</w:t>
      </w:r>
      <w:r w:rsidR="0092232A">
        <w:t xml:space="preserve"> differently</w:t>
      </w:r>
      <w:r w:rsidR="00257C6D">
        <w:t>.</w:t>
      </w:r>
      <w:r w:rsidR="005075A6">
        <w:t xml:space="preserve"> </w:t>
      </w:r>
      <w:r>
        <w:t xml:space="preserve">One approach to </w:t>
      </w:r>
      <w:r w:rsidR="00AF3305">
        <w:t xml:space="preserve">address </w:t>
      </w:r>
      <w:r>
        <w:t>this situation is</w:t>
      </w:r>
      <w:r w:rsidR="00736187">
        <w:t xml:space="preserve"> to account for potential</w:t>
      </w:r>
      <w:r w:rsidR="00B3596D">
        <w:t xml:space="preserve"> differences</w:t>
      </w:r>
      <w:r w:rsidR="0092232A">
        <w:t xml:space="preserve"> in health states </w:t>
      </w:r>
      <w:r w:rsidR="00CF19C2">
        <w:t xml:space="preserve">by assigning </w:t>
      </w:r>
      <w:r w:rsidR="00ED032A">
        <w:t xml:space="preserve">differential </w:t>
      </w:r>
      <w:r w:rsidR="00CF19C2">
        <w:t>weights to the components</w:t>
      </w:r>
      <w:r w:rsidR="00736B97">
        <w:t xml:space="preserve">.  </w:t>
      </w:r>
      <w:r w:rsidR="008A1D7B" w:rsidRPr="008A1D7B">
        <w:t xml:space="preserve">This </w:t>
      </w:r>
      <w:r w:rsidR="00E4140D">
        <w:t xml:space="preserve">has often been </w:t>
      </w:r>
      <w:r w:rsidR="008A1D7B" w:rsidRPr="008A1D7B">
        <w:t xml:space="preserve">attempted </w:t>
      </w:r>
      <w:r w:rsidR="00E4140D">
        <w:t xml:space="preserve">where the weights assigned are </w:t>
      </w:r>
      <w:r w:rsidR="008A1D7B" w:rsidRPr="008A1D7B">
        <w:t>based on expert opinion.</w:t>
      </w:r>
      <w:r w:rsidR="006506AF" w:rsidRPr="008A1D7B">
        <w:fldChar w:fldCharType="begin"/>
      </w:r>
      <w:r w:rsidR="00DF2C28">
        <w:instrText xml:space="preserve"> ADDIN REFMGR.CITE &lt;Refman&gt;&lt;Cite&gt;&lt;Author&gt;Taylor&lt;/Author&gt;&lt;Year&gt;2004&lt;/Year&gt;&lt;RecNum&gt;6005&lt;/RecNum&gt;&lt;IDText&gt;Combination of isosorbide dinitrate and hydralazine in blacks with heart failure&lt;/IDText&gt;&lt;MDL Ref_Type="Journal"&gt;&lt;Ref_Type&gt;Journal&lt;/Ref_Type&gt;&lt;Ref_ID&gt;6005&lt;/Ref_ID&gt;&lt;Title_Primary&gt;Combination of isosorbide dinitrate and hydralazine in blacks with heart failure&lt;/Title_Primary&gt;&lt;Authors_Primary&gt;Taylor,A.L.&lt;/Authors_Primary&gt;&lt;Authors_Primary&gt;Ziesche,S.&lt;/Authors_Primary&gt;&lt;Authors_Primary&gt;Yancy,C.&lt;/Authors_Primary&gt;&lt;Authors_Primary&gt;Carson,P.&lt;/Authors_Primary&gt;&lt;Authors_Primary&gt;D&amp;apos;Agostino,R.,Jr.&lt;/Authors_Primary&gt;&lt;Authors_Primary&gt;Ferdinand,K.&lt;/Authors_Primary&gt;&lt;Authors_Primary&gt;Taylor,M.&lt;/Authors_Primary&gt;&lt;Authors_Primary&gt;Adams,K.&lt;/Authors_Primary&gt;&lt;Authors_Primary&gt;Sabolinski,M.&lt;/Authors_Primary&gt;&lt;Authors_Primary&gt;Worcel,M.&lt;/Authors_Primary&gt;&lt;Authors_Primary&gt;Cohn,J.N.&lt;/Authors_Primary&gt;&lt;Date_Primary&gt;2004/11/11&lt;/Date_Primary&gt;&lt;Keywords&gt;Adult&lt;/Keywords&gt;&lt;Keywords&gt;adverse effects&lt;/Keywords&gt;&lt;Keywords&gt;African Continental Ancestry Group&lt;/Keywords&gt;&lt;Keywords&gt;Aged&lt;/Keywords&gt;&lt;Keywords&gt;Blacks&lt;/Keywords&gt;&lt;Keywords&gt;Death&lt;/Keywords&gt;&lt;Keywords&gt;Double-Blind Method&lt;/Keywords&gt;&lt;Keywords&gt;Drug Combinations&lt;/Keywords&gt;&lt;Keywords&gt;drug therapy&lt;/Keywords&gt;&lt;Keywords&gt;Drug Therapy,Combination&lt;/Keywords&gt;&lt;Keywords&gt;ethnology&lt;/Keywords&gt;&lt;Keywords&gt;Female&lt;/Keywords&gt;&lt;Keywords&gt;Heart&lt;/Keywords&gt;&lt;Keywords&gt;Heart Failure,Congestive&lt;/Keywords&gt;&lt;Keywords&gt;Hospitalization&lt;/Keywords&gt;&lt;Keywords&gt;Humans&lt;/Keywords&gt;&lt;Keywords&gt;Hydralazine&lt;/Keywords&gt;&lt;Keywords&gt;Isosorbide Dinitrate&lt;/Keywords&gt;&lt;Keywords&gt;Male&lt;/Keywords&gt;&lt;Keywords&gt;methods&lt;/Keywords&gt;&lt;Keywords&gt;Middle Aged&lt;/Keywords&gt;&lt;Keywords&gt;mortality&lt;/Keywords&gt;&lt;Keywords&gt;Multicenter Studies&lt;/Keywords&gt;&lt;Keywords&gt;Nitric Oxide Donors&lt;/Keywords&gt;&lt;Keywords&gt;Quality of Life&lt;/Keywords&gt;&lt;Keywords&gt;Research Support,Non-U.S.Gov&amp;apos;t&lt;/Keywords&gt;&lt;Keywords&gt;Survival Analysis&lt;/Keywords&gt;&lt;Keywords&gt;therapeutic use&lt;/Keywords&gt;&lt;Keywords&gt;therapy&lt;/Keywords&gt;&lt;Keywords&gt;Treatment Outcome&lt;/Keywords&gt;&lt;Keywords&gt;Vasodilator Agents&lt;/Keywords&gt;&lt;Reprint&gt;Not in File&lt;/Reprint&gt;&lt;Start_Page&gt;2049&lt;/Start_Page&gt;&lt;End_Page&gt;2057&lt;/End_Page&gt;&lt;Periodical&gt;N.Engl.J.Med.&lt;/Periodical&gt;&lt;Volume&gt;351&lt;/Volume&gt;&lt;Issue&gt;20&lt;/Issue&gt;&lt;Address&gt;Department of Medicine/Cardiology, University of Minnesota Medical School, Minneapolis 55455, USA. taylo135@umn.edu&lt;/Address&gt;&lt;Web_URL&gt;PM:15533851&lt;/Web_URL&gt;&lt;ZZ_JournalFull&gt;&lt;f name="System"&gt;N.Engl.J.Med.&lt;/f&gt;&lt;/ZZ_JournalFull&gt;&lt;ZZ_WorkformID&gt;1&lt;/ZZ_WorkformID&gt;&lt;/MDL&gt;&lt;/Cite&gt;&lt;Cite&gt;&lt;Author&gt;DeMets&lt;/Author&gt;&lt;Year&gt;2002&lt;/Year&gt;&lt;RecNum&gt;7207&lt;/RecNum&gt;&lt;IDText&gt;Lessons Learned From Recent Cardiovascular Clinical Trials: Part I&lt;/IDText&gt;&lt;MDL Ref_Type="Journal"&gt;&lt;Ref_Type&gt;Journal&lt;/Ref_Type&gt;&lt;Ref_ID&gt;7207&lt;/Ref_ID&gt;&lt;Title_Primary&gt;Lessons Learned From Recent Cardiovascular Clinical Trials: Part I&lt;/Title_Primary&gt;&lt;Authors_Primary&gt;DeMets,David L.&lt;/Authors_Primary&gt;&lt;Authors_Primary&gt;Califf,Robert M.&lt;/Authors_Primary&gt;&lt;Date_Primary&gt;2002/8/6&lt;/Date_Primary&gt;&lt;Keywords&gt;Cardiovascular&lt;/Keywords&gt;&lt;Keywords&gt;Clinical Trial&lt;/Keywords&gt;&lt;Keywords&gt;Clinical Trials&lt;/Keywords&gt;&lt;Keywords&gt;CLINICAL-TRIAL&lt;/Keywords&gt;&lt;Keywords&gt;TRIAL&lt;/Keywords&gt;&lt;Reprint&gt;Not in File&lt;/Reprint&gt;&lt;Start_Page&gt;746&lt;/Start_Page&gt;&lt;End_Page&gt;751&lt;/End_Page&gt;&lt;Periodical&gt;Circulation&lt;/Periodical&gt;&lt;Volume&gt;106&lt;/Volume&gt;&lt;Issue&gt;6&lt;/Issue&gt;&lt;Web_URL&gt;http://circ.ahajournals.org&lt;/Web_URL&gt;&lt;ZZ_JournalFull&gt;&lt;f name="System"&gt;Circulation&lt;/f&gt;&lt;/ZZ_JournalFull&gt;&lt;ZZ_WorkformID&gt;1&lt;/ZZ_WorkformID&gt;&lt;/MDL&gt;&lt;/Cite&gt;&lt;Cite&gt;&lt;Author&gt;Neaton&lt;/Author&gt;&lt;Year&gt;2005&lt;/Year&gt;&lt;RecNum&gt;7208&lt;/RecNum&gt;&lt;IDText&gt;Key issues in end point selection for heart failure trials: composite end points&lt;/IDText&gt;&lt;MDL Ref_Type="Journal"&gt;&lt;Ref_Type&gt;Journal&lt;/Ref_Type&gt;&lt;Ref_ID&gt;7208&lt;/Ref_ID&gt;&lt;Title_Primary&gt;Key issues in end point selection for heart failure trials: composite end points&lt;/Title_Primary&gt;&lt;Authors_Primary&gt;Neaton,J.D.&lt;/Authors_Primary&gt;&lt;Authors_Primary&gt;Gray,G.&lt;/Authors_Primary&gt;&lt;Authors_Primary&gt;Zuckerman,B.D.&lt;/Authors_Primary&gt;&lt;Authors_Primary&gt;Konstam,M.A.&lt;/Authors_Primary&gt;&lt;Date_Primary&gt;2005/10&lt;/Date_Primary&gt;&lt;Keywords&gt;Article&lt;/Keywords&gt;&lt;Keywords&gt;Clinical Trials&lt;/Keywords&gt;&lt;Keywords&gt;Data Collection&lt;/Keywords&gt;&lt;Keywords&gt;Drug&lt;/Keywords&gt;&lt;Keywords&gt;Drug Administration&lt;/Keywords&gt;&lt;Keywords&gt;Endpoint Determination&lt;/Keywords&gt;&lt;Keywords&gt;FAILURE&lt;/Keywords&gt;&lt;Keywords&gt;Guidelines&lt;/Keywords&gt;&lt;Keywords&gt;Health&lt;/Keywords&gt;&lt;Keywords&gt;Heart&lt;/Keywords&gt;&lt;Keywords&gt;Heart Failure&lt;/Keywords&gt;&lt;Keywords&gt;Heart Failure,Congestive&lt;/Keywords&gt;&lt;Keywords&gt;HEART-FAILURE&lt;/Keywords&gt;&lt;Keywords&gt;history&lt;/Keywords&gt;&lt;Keywords&gt;Humans&lt;/Keywords&gt;&lt;Keywords&gt;Journal Article&lt;/Keywords&gt;&lt;Keywords&gt;LESS&lt;/Keywords&gt;&lt;Keywords&gt;methods&lt;/Keywords&gt;&lt;Keywords&gt;outcome&lt;/Keywords&gt;&lt;Keywords&gt;OUTCOMES&lt;/Keywords&gt;&lt;Keywords&gt;Patient&lt;/Keywords&gt;&lt;Keywords&gt;Patients&lt;/Keywords&gt;&lt;Keywords&gt;Public Health&lt;/Keywords&gt;&lt;Keywords&gt;Randomized Controlled Trials&lt;/Keywords&gt;&lt;Keywords&gt;RATES&lt;/Keywords&gt;&lt;Keywords&gt;Research&lt;/Keywords&gt;&lt;Keywords&gt;Research Design&lt;/Keywords&gt;&lt;Keywords&gt;Sample&lt;/Keywords&gt;&lt;Keywords&gt;Sample Size&lt;/Keywords&gt;&lt;Keywords&gt;Society&lt;/Keywords&gt;&lt;Keywords&gt;therapy&lt;/Keywords&gt;&lt;Keywords&gt;treatment&lt;/Keywords&gt;&lt;Keywords&gt;Treatment Outcome&lt;/Keywords&gt;&lt;Keywords&gt;TRIAL&lt;/Keywords&gt;&lt;Keywords&gt;Universities&lt;/Keywords&gt;&lt;Reprint&gt;Not in File&lt;/Reprint&gt;&lt;Start_Page&gt;567&lt;/Start_Page&gt;&lt;End_Page&gt;575&lt;/End_Page&gt;&lt;Periodical&gt;J Card Fail.&lt;/Periodical&gt;&lt;Volume&gt;11&lt;/Volume&gt;&lt;Issue&gt;8&lt;/Issue&gt;&lt;Address&gt;Division of Biostatistics, School of Public Health, University of Minnesota, Minneapolis, Minnesota 55414, USA&lt;/Address&gt;&lt;Web_URL&gt;PM:16230258&lt;/Web_URL&gt;&lt;ZZ_JournalFull&gt;&lt;f name="System"&gt;J Card Fail.&lt;/f&gt;&lt;/ZZ_JournalFull&gt;&lt;ZZ_WorkformID&gt;1&lt;/ZZ_WorkformID&gt;&lt;/MDL&gt;&lt;/Cite&gt;&lt;Cite&gt;&lt;Author&gt;Ferreira-Gonzalez&lt;/Author&gt;&lt;Year&gt;2007&lt;/Year&gt;&lt;RecNum&gt;7219&lt;/RecNum&gt;&lt;IDText&gt;Problems with use of composite end points in cardiovascular trials: systematic review of randomised controlled trials&lt;/IDText&gt;&lt;MDL Ref_Type="Journal"&gt;&lt;Ref_Type&gt;Journal&lt;/Ref_Type&gt;&lt;Ref_ID&gt;7219&lt;/Ref_ID&gt;&lt;Title_Primary&gt;Problems with use of composite end points in cardiovascular trials: systematic review of randomised controlled trials&lt;/Title_Primary&gt;&lt;Authors_Primary&gt;Ferreira-Gonzalez,I.&lt;/Authors_Primary&gt;&lt;Authors_Primary&gt;Busse,J.W.&lt;/Authors_Primary&gt;&lt;Authors_Primary&gt;Heels-Ansdell,D.&lt;/Authors_Primary&gt;&lt;Authors_Primary&gt;Montori,V.M.&lt;/Authors_Primary&gt;&lt;Authors_Primary&gt;Akl,E.A.&lt;/Authors_Primary&gt;&lt;Authors_Primary&gt;Bryant,D.M.&lt;/Authors_Primary&gt;&lt;Authors_Primary&gt;Alonso-Coello,P.&lt;/Authors_Primary&gt;&lt;Authors_Primary&gt;Alonso,J.&lt;/Authors_Primary&gt;&lt;Authors_Primary&gt;Worster,A.&lt;/Authors_Primary&gt;&lt;Authors_Primary&gt;Upadhye,S.&lt;/Authors_Primary&gt;&lt;Authors_Primary&gt;Jaeschke,R.&lt;/Authors_Primary&gt;&lt;Authors_Primary&gt;Schunemann,H.J.&lt;/Authors_Primary&gt;&lt;Authors_Primary&gt;Permanyer-Miralda,G.&lt;/Authors_Primary&gt;&lt;Authors_Primary&gt;Pacheco-Huergo,V.&lt;/Authors_Primary&gt;&lt;Authors_Primary&gt;Domingo-Salvany,A.&lt;/Authors_Primary&gt;&lt;Authors_Primary&gt;Wu,P.&lt;/Authors_Primary&gt;&lt;Authors_Primary&gt;Mills,E.J.&lt;/Authors_Primary&gt;&lt;Authors_Primary&gt;Guyatt,G.H.&lt;/Authors_Primary&gt;&lt;Date_Primary&gt;2007/4/14&lt;/Date_Primary&gt;&lt;Keywords&gt;1&lt;/Keywords&gt;&lt;Keywords&gt;Article&lt;/Keywords&gt;&lt;Keywords&gt;Cardiovascular&lt;/Keywords&gt;&lt;Keywords&gt;Cardiovascular Diseases&lt;/Keywords&gt;&lt;Keywords&gt;Control&lt;/Keywords&gt;&lt;Keywords&gt;Control Group&lt;/Keywords&gt;&lt;Keywords&gt;CONTROLLED TRIAL&lt;/Keywords&gt;&lt;Keywords&gt;CONTROLLED-TRIAL&lt;/Keywords&gt;&lt;Keywords&gt;Death&lt;/Keywords&gt;&lt;Keywords&gt;DESIGN&lt;/Keywords&gt;&lt;Keywords&gt;Endpoint Determination&lt;/Keywords&gt;&lt;Keywords&gt;England&lt;/Keywords&gt;&lt;Keywords&gt;EVENTS&lt;/Keywords&gt;&lt;Keywords&gt;FREQUENCY&lt;/Keywords&gt;&lt;Keywords&gt;Group&lt;/Keywords&gt;&lt;Keywords&gt;Heart&lt;/Keywords&gt;&lt;Keywords&gt;Hospital&lt;/Keywords&gt;&lt;Keywords&gt;Humans&lt;/Keywords&gt;&lt;Keywords&gt;IMPACT&lt;/Keywords&gt;&lt;Keywords&gt;Internal Medicine&lt;/Keywords&gt;&lt;Keywords&gt;Journal Article&lt;/Keywords&gt;&lt;Keywords&gt;LESS&lt;/Keywords&gt;&lt;Keywords&gt;Medicine&lt;/Keywords&gt;&lt;Keywords&gt;methods&lt;/Keywords&gt;&lt;Keywords&gt;Observer Variation&lt;/Keywords&gt;&lt;Keywords&gt;outcome&lt;/Keywords&gt;&lt;Keywords&gt;OUTCOMES&lt;/Keywords&gt;&lt;Keywords&gt;Patient&lt;/Keywords&gt;&lt;Keywords&gt;Patients&lt;/Keywords&gt;&lt;Keywords&gt;prevention &amp;amp; control&lt;/Keywords&gt;&lt;Keywords&gt;Randomized Controlled Trials&lt;/Keywords&gt;&lt;Keywords&gt;RATES&lt;/Keywords&gt;&lt;Keywords&gt;Relative&lt;/Keywords&gt;&lt;Keywords&gt;Research&lt;/Keywords&gt;&lt;Keywords&gt;Review&lt;/Keywords&gt;&lt;Keywords&gt;Risk&lt;/Keywords&gt;&lt;Keywords&gt;Risk Reduction Behavior&lt;/Keywords&gt;&lt;Keywords&gt;standards&lt;/Keywords&gt;&lt;Keywords&gt;Statistics&lt;/Keywords&gt;&lt;Keywords&gt;Support&lt;/Keywords&gt;&lt;Keywords&gt;treatment&lt;/Keywords&gt;&lt;Keywords&gt;TRIAL&lt;/Keywords&gt;&lt;Reprint&gt;Not in File&lt;/Reprint&gt;&lt;Start_Page&gt;786&lt;/Start_Page&gt;&lt;Periodical&gt;BMJ&lt;/Periodical&gt;&lt;Volume&gt;334&lt;/Volume&gt;&lt;Issue&gt;7597&lt;/Issue&gt;&lt;Address&gt;Departament de Medicina, Universitat Autonoma de Barcelona, and Hospital Vall d&amp;apos;Hebron, Barcelona 08035, Spain&lt;/Address&gt;&lt;Web_URL&gt;PM:17403713&lt;/Web_URL&gt;&lt;ZZ_JournalFull&gt;&lt;f name="System"&gt;BMJ&lt;/f&gt;&lt;/ZZ_JournalFull&gt;&lt;ZZ_WorkformID&gt;1&lt;/ZZ_WorkformID&gt;&lt;/MDL&gt;&lt;/Cite&gt;&lt;/Refman&gt;</w:instrText>
      </w:r>
      <w:r w:rsidR="006506AF" w:rsidRPr="008A1D7B">
        <w:fldChar w:fldCharType="separate"/>
      </w:r>
      <w:r w:rsidR="00DF2C28">
        <w:t>(2-5)</w:t>
      </w:r>
      <w:r w:rsidR="006506AF" w:rsidRPr="008A1D7B">
        <w:fldChar w:fldCharType="end"/>
      </w:r>
      <w:proofErr w:type="gramStart"/>
      <w:r w:rsidR="008A1D7B" w:rsidRPr="008A1D7B">
        <w:t xml:space="preserve">  However</w:t>
      </w:r>
      <w:proofErr w:type="gramEnd"/>
      <w:r w:rsidR="008A1D7B" w:rsidRPr="008A1D7B">
        <w:t>, controversy exists as to the appropriateness of these expert-derived weights, which has likely contributed to the limited adoption of weighted methods in the literature.</w:t>
      </w:r>
      <w:r w:rsidR="008A1D7B">
        <w:t xml:space="preserve"> </w:t>
      </w:r>
      <w:r w:rsidR="008A1D7B" w:rsidRPr="0017005A">
        <w:t xml:space="preserve"> </w:t>
      </w:r>
      <w:r w:rsidR="00E4140D">
        <w:t xml:space="preserve">Since patients ultimately experience the events in question, it seems reasonable to incorporate the patients’ perspective when weighting composite outcomes in clinical research. </w:t>
      </w:r>
    </w:p>
    <w:p w:rsidR="008A175F" w:rsidRDefault="005C16D4" w:rsidP="00DF2C28">
      <w:pPr>
        <w:spacing w:line="480" w:lineRule="auto"/>
        <w:ind w:firstLine="360"/>
      </w:pPr>
      <w:r>
        <w:t xml:space="preserve">A </w:t>
      </w:r>
      <w:r w:rsidR="00632474">
        <w:t xml:space="preserve">method </w:t>
      </w:r>
      <w:r w:rsidR="00403A5E">
        <w:t xml:space="preserve">for </w:t>
      </w:r>
      <w:r w:rsidR="00632474">
        <w:t>assign</w:t>
      </w:r>
      <w:r w:rsidR="00F45D28">
        <w:t>ing</w:t>
      </w:r>
      <w:r w:rsidR="00632474">
        <w:t xml:space="preserve"> weights that incorporate</w:t>
      </w:r>
      <w:r w:rsidR="005F1D1E">
        <w:t>s</w:t>
      </w:r>
      <w:r w:rsidR="00632474">
        <w:t xml:space="preserve"> the patients</w:t>
      </w:r>
      <w:r w:rsidR="000A1E60">
        <w:t>’</w:t>
      </w:r>
      <w:r w:rsidR="00632474">
        <w:t xml:space="preserve"> perspective is </w:t>
      </w:r>
      <w:r w:rsidR="00862270">
        <w:t>t</w:t>
      </w:r>
      <w:r w:rsidR="00D51C5B">
        <w:t>he use of</w:t>
      </w:r>
      <w:r w:rsidR="00632474">
        <w:t xml:space="preserve"> health related quality of life (HRQL).</w:t>
      </w:r>
      <w:r w:rsidR="00632474" w:rsidRPr="00632474">
        <w:t xml:space="preserve"> </w:t>
      </w:r>
      <w:r w:rsidR="006A0441">
        <w:t xml:space="preserve">By </w:t>
      </w:r>
      <w:r w:rsidR="00691499">
        <w:t xml:space="preserve">incorporating </w:t>
      </w:r>
      <w:r w:rsidR="00E658C0">
        <w:t>HRQL</w:t>
      </w:r>
      <w:r w:rsidR="00691499">
        <w:t xml:space="preserve"> into survival analyses</w:t>
      </w:r>
      <w:r w:rsidR="006A0441">
        <w:t>, index measures</w:t>
      </w:r>
      <w:r w:rsidR="000A1E60">
        <w:t xml:space="preserve"> (i.e., utilities)</w:t>
      </w:r>
      <w:r w:rsidR="006A0441">
        <w:t xml:space="preserve"> could </w:t>
      </w:r>
      <w:r w:rsidR="00F45D28">
        <w:t xml:space="preserve">adjust </w:t>
      </w:r>
      <w:r w:rsidR="00691499">
        <w:t>for the</w:t>
      </w:r>
      <w:r w:rsidR="0092232A">
        <w:t xml:space="preserve"> </w:t>
      </w:r>
      <w:r w:rsidR="008A175F">
        <w:t xml:space="preserve">unequal impact </w:t>
      </w:r>
      <w:r w:rsidR="00327722">
        <w:t xml:space="preserve">of </w:t>
      </w:r>
      <w:r w:rsidR="0092232A">
        <w:t>health states used in composite outcome</w:t>
      </w:r>
      <w:r w:rsidR="006A1FB1">
        <w:t>s</w:t>
      </w:r>
      <w:r w:rsidR="00E4140D">
        <w:t xml:space="preserve"> </w:t>
      </w:r>
      <w:proofErr w:type="gramStart"/>
      <w:r w:rsidR="00E4140D">
        <w:t xml:space="preserve">providing </w:t>
      </w:r>
      <w:r w:rsidR="0092232A">
        <w:t xml:space="preserve"> a</w:t>
      </w:r>
      <w:proofErr w:type="gramEnd"/>
      <w:r w:rsidR="0092232A">
        <w:t xml:space="preserve"> </w:t>
      </w:r>
      <w:r w:rsidR="008A175F">
        <w:t>‘</w:t>
      </w:r>
      <w:r w:rsidR="0092232A">
        <w:t>weight</w:t>
      </w:r>
      <w:r w:rsidR="008A175F">
        <w:t>ed’</w:t>
      </w:r>
      <w:r w:rsidR="008F3732">
        <w:t xml:space="preserve"> </w:t>
      </w:r>
      <w:r w:rsidR="000A1E60">
        <w:t xml:space="preserve">survival </w:t>
      </w:r>
      <w:r w:rsidR="008F3732">
        <w:t xml:space="preserve">outcome </w:t>
      </w:r>
      <w:r w:rsidR="000A1E60">
        <w:t xml:space="preserve">that </w:t>
      </w:r>
      <w:r w:rsidR="00C80B72">
        <w:t>incorporate</w:t>
      </w:r>
      <w:r w:rsidR="000A1E60">
        <w:t>s</w:t>
      </w:r>
      <w:r w:rsidR="00C80B72">
        <w:t xml:space="preserve"> different degrees of quality and quantity of life.</w:t>
      </w:r>
      <w:r w:rsidR="006506AF">
        <w:fldChar w:fldCharType="begin"/>
      </w:r>
      <w:r w:rsidR="00DF2C28">
        <w:instrText xml:space="preserve"> ADDIN REFMGR.CITE &lt;Refman&gt;&lt;Cite&gt;&lt;Author&gt;Glasziou&lt;/Author&gt;&lt;Year&gt;1990&lt;/Year&gt;&lt;RecNum&gt;6006&lt;/RecNum&gt;&lt;IDText&gt;Quality adjusted survival analysis&lt;/IDText&gt;&lt;MDL Ref_Type="Journal"&gt;&lt;Ref_Type&gt;Journal&lt;/Ref_Type&gt;&lt;Ref_ID&gt;6006&lt;/Ref_ID&gt;&lt;Title_Primary&gt;Quality adjusted survival analysis&lt;/Title_Primary&gt;&lt;Authors_Primary&gt;Glasziou,P.P.&lt;/Authors_Primary&gt;&lt;Authors_Primary&gt;Simes,R.J.&lt;/Authors_Primary&gt;&lt;Authors_Primary&gt;Gelber,R.D.&lt;/Authors_Primary&gt;&lt;Date_Primary&gt;1990/11&lt;/Date_Primary&gt;&lt;Keywords&gt;analysis&lt;/Keywords&gt;&lt;Keywords&gt;Australia&lt;/Keywords&gt;&lt;Keywords&gt;Breast Neoplasms&lt;/Keywords&gt;&lt;Keywords&gt;Clinical Trials&lt;/Keywords&gt;&lt;Keywords&gt;Female&lt;/Keywords&gt;&lt;Keywords&gt;Health&lt;/Keywords&gt;&lt;Keywords&gt;Humans&lt;/Keywords&gt;&lt;Keywords&gt;Immunologic Deficiency Syndromes&lt;/Keywords&gt;&lt;Keywords&gt;methods&lt;/Keywords&gt;&lt;Keywords&gt;mortality&lt;/Keywords&gt;&lt;Keywords&gt;Ovarian Neoplasms&lt;/Keywords&gt;&lt;Keywords&gt;Public Health&lt;/Keywords&gt;&lt;Keywords&gt;Quality of Life&lt;/Keywords&gt;&lt;Keywords&gt;Survival Analysis&lt;/Keywords&gt;&lt;Keywords&gt;therapy&lt;/Keywords&gt;&lt;Reprint&gt;Not in File&lt;/Reprint&gt;&lt;Start_Page&gt;1259&lt;/Start_Page&gt;&lt;End_Page&gt;1276&lt;/End_Page&gt;&lt;Periodical&gt;Stat.Med.&lt;/Periodical&gt;&lt;Volume&gt;9&lt;/Volume&gt;&lt;Issue&gt;11&lt;/Issue&gt;&lt;Address&gt;Department of Public Health, University of Sydney, Australia&lt;/Address&gt;&lt;Web_URL&gt;PM:2277877&lt;/Web_URL&gt;&lt;ZZ_JournalFull&gt;&lt;f name="System"&gt;Stat.Med.&lt;/f&gt;&lt;/ZZ_JournalFull&gt;&lt;ZZ_WorkformID&gt;1&lt;/ZZ_WorkformID&gt;&lt;/MDL&gt;&lt;/Cite&gt;&lt;/Refman&gt;</w:instrText>
      </w:r>
      <w:r w:rsidR="006506AF">
        <w:fldChar w:fldCharType="separate"/>
      </w:r>
      <w:r w:rsidR="00DF2C28">
        <w:t>(6)</w:t>
      </w:r>
      <w:r w:rsidR="006506AF">
        <w:fldChar w:fldCharType="end"/>
      </w:r>
      <w:r w:rsidR="00632474">
        <w:t xml:space="preserve"> </w:t>
      </w:r>
      <w:r w:rsidR="001D5D82">
        <w:t xml:space="preserve">Furthermore, incorporation of HRQL into survival analysis would align </w:t>
      </w:r>
      <w:r w:rsidR="00E658C0">
        <w:t xml:space="preserve">clinical research </w:t>
      </w:r>
      <w:r w:rsidR="001D5D82">
        <w:t xml:space="preserve">with </w:t>
      </w:r>
      <w:r w:rsidR="00B64204">
        <w:t xml:space="preserve">the methods </w:t>
      </w:r>
      <w:r w:rsidR="00E658C0">
        <w:t>recommended</w:t>
      </w:r>
      <w:r w:rsidR="001D5D82">
        <w:t xml:space="preserve"> </w:t>
      </w:r>
      <w:r w:rsidR="00E658C0">
        <w:t>for</w:t>
      </w:r>
      <w:r w:rsidR="001D5D82">
        <w:t xml:space="preserve"> economic evaluations</w:t>
      </w:r>
      <w:r w:rsidR="006506AF">
        <w:fldChar w:fldCharType="begin"/>
      </w:r>
      <w:r w:rsidR="00DF2C28">
        <w:instrText xml:space="preserve"> ADDIN REFMGR.CITE &lt;Refman&gt;&lt;Cite&gt;&lt;Author&gt;Canadian Coordinating Office for Health Technology Assessment&lt;/Author&gt;&lt;Year&gt;1997&lt;/Year&gt;&lt;RecNum&gt;7205&lt;/RecNum&gt;&lt;IDText&gt;Guidelines for economic evaluation of pharmaceuticals in Canada&lt;/IDText&gt;&lt;MDL Ref_Type="Book, Whole"&gt;&lt;Ref_Type&gt;Book, Whole&lt;/Ref_Type&gt;&lt;Ref_ID&gt;7205&lt;/Ref_ID&gt;&lt;Title_Primary&gt;Guidelines for economic evaluation of pharmaceuticals in Canada&lt;/Title_Primary&gt;&lt;Authors_Primary&gt;Canadian Coordinating Office for Health Technology Assessment&lt;/Authors_Primary&gt;&lt;Date_Primary&gt;1997&lt;/Date_Primary&gt;&lt;Keywords&gt;Canada&lt;/Keywords&gt;&lt;Keywords&gt;Evaluation&lt;/Keywords&gt;&lt;Keywords&gt;Guidelines&lt;/Keywords&gt;&lt;Reprint&gt;Not in File&lt;/Reprint&gt;&lt;Volume&gt;2nd&lt;/Volume&gt;&lt;Pub_Place&gt;Ottawa&lt;/Pub_Place&gt;&lt;Publisher&gt;Canadian Coordinating Office for Health Technology Assessment (CCOHTA)&lt;/Publisher&gt;&lt;ZZ_WorkformID&gt;2&lt;/ZZ_WorkformID&gt;&lt;/MDL&gt;&lt;/Cite&gt;&lt;/Refman&gt;</w:instrText>
      </w:r>
      <w:r w:rsidR="006506AF">
        <w:fldChar w:fldCharType="separate"/>
      </w:r>
      <w:r w:rsidR="00DF2C28">
        <w:t>(7)</w:t>
      </w:r>
      <w:r w:rsidR="006506AF">
        <w:fldChar w:fldCharType="end"/>
      </w:r>
      <w:r w:rsidR="00E658C0">
        <w:t xml:space="preserve">, </w:t>
      </w:r>
      <w:r w:rsidR="00077E57">
        <w:t xml:space="preserve">thereby </w:t>
      </w:r>
      <w:r w:rsidR="00481947">
        <w:t xml:space="preserve">improving assessment of </w:t>
      </w:r>
      <w:r w:rsidR="001D5D82">
        <w:t>health care intervention</w:t>
      </w:r>
      <w:r w:rsidR="00736187">
        <w:t>s</w:t>
      </w:r>
      <w:r w:rsidR="001D5D82">
        <w:t>.</w:t>
      </w:r>
      <w:r w:rsidR="00DF1933">
        <w:t xml:space="preserve">  </w:t>
      </w:r>
      <w:r w:rsidR="000C5833">
        <w:t>Th</w:t>
      </w:r>
      <w:r w:rsidR="00E4140D">
        <w:t xml:space="preserve">is </w:t>
      </w:r>
      <w:r w:rsidR="000C5833">
        <w:t xml:space="preserve">concept of using </w:t>
      </w:r>
      <w:r w:rsidR="00E658C0">
        <w:t>HRQL</w:t>
      </w:r>
      <w:r w:rsidR="009D0B12">
        <w:t xml:space="preserve"> to adjust survival analyses </w:t>
      </w:r>
      <w:r w:rsidR="000C5833">
        <w:t xml:space="preserve">for </w:t>
      </w:r>
      <w:r w:rsidR="009D0B12">
        <w:t>different health outcomes</w:t>
      </w:r>
      <w:r w:rsidR="000C5833">
        <w:t xml:space="preserve"> </w:t>
      </w:r>
      <w:r w:rsidR="00207F95">
        <w:t xml:space="preserve">has </w:t>
      </w:r>
      <w:r w:rsidR="00E658C0">
        <w:t xml:space="preserve">been </w:t>
      </w:r>
      <w:r w:rsidR="000C5833">
        <w:t>used in</w:t>
      </w:r>
      <w:r w:rsidR="009D0B12">
        <w:t xml:space="preserve"> </w:t>
      </w:r>
      <w:r w:rsidR="000C5833">
        <w:t>oncology</w:t>
      </w:r>
      <w:r w:rsidR="006506AF">
        <w:fldChar w:fldCharType="begin"/>
      </w:r>
      <w:r w:rsidR="00DF2C28">
        <w:instrText xml:space="preserve"> ADDIN REFMGR.CITE &lt;Refman&gt;&lt;Cite&gt;&lt;Author&gt;Glasziou&lt;/Author&gt;&lt;Year&gt;1990&lt;/Year&gt;&lt;RecNum&gt;6006&lt;/RecNum&gt;&lt;IDText&gt;Quality adjusted survival analysis&lt;/IDText&gt;&lt;MDL Ref_Type="Journal"&gt;&lt;Ref_Type&gt;Journal&lt;/Ref_Type&gt;&lt;Ref_ID&gt;6006&lt;/Ref_ID&gt;&lt;Title_Primary&gt;Quality adjusted survival analysis&lt;/Title_Primary&gt;&lt;Authors_Primary&gt;Glasziou,P.P.&lt;/Authors_Primary&gt;&lt;Authors_Primary&gt;Simes,R.J.&lt;/Authors_Primary&gt;&lt;Authors_Primary&gt;Gelber,R.D.&lt;/Authors_Primary&gt;&lt;Date_Primary&gt;1990/11&lt;/Date_Primary&gt;&lt;Keywords&gt;analysis&lt;/Keywords&gt;&lt;Keywords&gt;Australia&lt;/Keywords&gt;&lt;Keywords&gt;Breast Neoplasms&lt;/Keywords&gt;&lt;Keywords&gt;Clinical Trials&lt;/Keywords&gt;&lt;Keywords&gt;Female&lt;/Keywords&gt;&lt;Keywords&gt;Health&lt;/Keywords&gt;&lt;Keywords&gt;Humans&lt;/Keywords&gt;&lt;Keywords&gt;Immunologic Deficiency Syndromes&lt;/Keywords&gt;&lt;Keywords&gt;methods&lt;/Keywords&gt;&lt;Keywords&gt;mortality&lt;/Keywords&gt;&lt;Keywords&gt;Ovarian Neoplasms&lt;/Keywords&gt;&lt;Keywords&gt;Public Health&lt;/Keywords&gt;&lt;Keywords&gt;Quality of Life&lt;/Keywords&gt;&lt;Keywords&gt;Survival Analysis&lt;/Keywords&gt;&lt;Keywords&gt;therapy&lt;/Keywords&gt;&lt;Reprint&gt;Not in File&lt;/Reprint&gt;&lt;Start_Page&gt;1259&lt;/Start_Page&gt;&lt;End_Page&gt;1276&lt;/End_Page&gt;&lt;Periodical&gt;Stat.Med.&lt;/Periodical&gt;&lt;Volume&gt;9&lt;/Volume&gt;&lt;Issue&gt;11&lt;/Issue&gt;&lt;Address&gt;Department of Public Health, University of Sydney, Australia&lt;/Address&gt;&lt;Web_URL&gt;PM:2277877&lt;/Web_URL&gt;&lt;ZZ_JournalFull&gt;&lt;f name="System"&gt;Stat.Med.&lt;/f&gt;&lt;/ZZ_JournalFull&gt;&lt;ZZ_WorkformID&gt;1&lt;/ZZ_WorkformID&gt;&lt;/MDL&gt;&lt;/Cite&gt;&lt;/Refman&gt;</w:instrText>
      </w:r>
      <w:r w:rsidR="006506AF">
        <w:fldChar w:fldCharType="separate"/>
      </w:r>
      <w:r w:rsidR="00DF2C28">
        <w:t>(6)</w:t>
      </w:r>
      <w:r w:rsidR="006506AF">
        <w:fldChar w:fldCharType="end"/>
      </w:r>
      <w:r w:rsidR="00430105">
        <w:t>,</w:t>
      </w:r>
      <w:r w:rsidR="009D0B12">
        <w:t xml:space="preserve"> </w:t>
      </w:r>
      <w:r w:rsidR="00691499">
        <w:t xml:space="preserve"> </w:t>
      </w:r>
      <w:r w:rsidR="00B64204">
        <w:t>where it is referred to as</w:t>
      </w:r>
      <w:r w:rsidR="00B7063B">
        <w:t xml:space="preserve"> Quality Adjusted</w:t>
      </w:r>
      <w:r w:rsidR="00B7063B" w:rsidRPr="00600393">
        <w:t xml:space="preserve"> </w:t>
      </w:r>
      <w:r w:rsidR="00B7063B">
        <w:t>Survival (QAS) Analysis</w:t>
      </w:r>
      <w:r w:rsidR="00EB63FC">
        <w:t>.</w:t>
      </w:r>
      <w:r w:rsidR="006506AF">
        <w:fldChar w:fldCharType="begin"/>
      </w:r>
      <w:r w:rsidR="00DF2C28">
        <w:instrText xml:space="preserve"> ADDIN REFMGR.CITE &lt;Refman&gt;&lt;Cite&gt;&lt;Author&gt;Cole&lt;/Author&gt;&lt;Year&gt;1993&lt;/Year&gt;&lt;RecNum&gt;6007&lt;/RecNum&gt;&lt;IDText&gt;Cox regression models for quality adjusted survival analysis&lt;/IDText&gt;&lt;MDL Ref_Type="Journal"&gt;&lt;Ref_Type&gt;Journal&lt;/Ref_Type&gt;&lt;Ref_ID&gt;6007&lt;/Ref_ID&gt;&lt;Title_Primary&gt;Cox regression models for quality adjusted survival analysis&lt;/Title_Primary&gt;&lt;Authors_Primary&gt;Cole,B.F.&lt;/Authors_Primary&gt;&lt;Authors_Primary&gt;Gelber,R.D.&lt;/Authors_Primary&gt;&lt;Authors_Primary&gt;Goldhirsch,A.&lt;/Authors_Primary&gt;&lt;Date_Primary&gt;1993/5/30&lt;/Date_Primary&gt;&lt;Keywords&gt;administration &amp;amp; dosage&lt;/Keywords&gt;&lt;Keywords&gt;adverse effects&lt;/Keywords&gt;&lt;Keywords&gt;Affect&lt;/Keywords&gt;&lt;Keywords&gt;analysis&lt;/Keywords&gt;&lt;Keywords&gt;Antineoplastic Agents&lt;/Keywords&gt;&lt;Keywords&gt;Boston&lt;/Keywords&gt;&lt;Keywords&gt;Breast Neoplasms&lt;/Keywords&gt;&lt;Keywords&gt;drug therapy&lt;/Keywords&gt;&lt;Keywords&gt;Female&lt;/Keywords&gt;&lt;Keywords&gt;Health&lt;/Keywords&gt;&lt;Keywords&gt;Humans&lt;/Keywords&gt;&lt;Keywords&gt;Lymphatic Metastasis&lt;/Keywords&gt;&lt;Keywords&gt;Massachusetts&lt;/Keywords&gt;&lt;Keywords&gt;Middle Aged&lt;/Keywords&gt;&lt;Keywords&gt;mortality&lt;/Keywords&gt;&lt;Keywords&gt;Neoplasm Recurrence,Local&lt;/Keywords&gt;&lt;Keywords&gt;Neoplasm Staging&lt;/Keywords&gt;&lt;Keywords&gt;pathology&lt;/Keywords&gt;&lt;Keywords&gt;Prognosis&lt;/Keywords&gt;&lt;Keywords&gt;Proportional Hazards Models&lt;/Keywords&gt;&lt;Keywords&gt;psychology&lt;/Keywords&gt;&lt;Keywords&gt;Public Health&lt;/Keywords&gt;&lt;Keywords&gt;Quality of Life&lt;/Keywords&gt;&lt;Keywords&gt;Research Support,Non-U.S.Gov&amp;apos;t&lt;/Keywords&gt;&lt;Keywords&gt;Research Support,U.S.Gov&amp;apos;t,P.H.S.&lt;/Keywords&gt;&lt;Keywords&gt;Survival Analysis&lt;/Keywords&gt;&lt;Keywords&gt;Treatment Outcome&lt;/Keywords&gt;&lt;Reprint&gt;Not in File&lt;/Reprint&gt;&lt;Start_Page&gt;975&lt;/Start_Page&gt;&lt;End_Page&gt;987&lt;/End_Page&gt;&lt;Periodical&gt;Stat.Med.&lt;/Periodical&gt;&lt;Volume&gt;12&lt;/Volume&gt;&lt;Issue&gt;10&lt;/Issue&gt;&lt;Address&gt;Department of Biostatistics, Harvard School of Public Health and Division of Biostatistics, Dana-Farber Cancer Institute, Boston, Massachusetts 02115&lt;/Address&gt;&lt;Web_URL&gt;PM:8337554&lt;/Web_URL&gt;&lt;ZZ_JournalFull&gt;&lt;f name="System"&gt;Stat.Med.&lt;/f&gt;&lt;/ZZ_JournalFull&gt;&lt;ZZ_WorkformID&gt;1&lt;/ZZ_WorkformID&gt;&lt;/MDL&gt;&lt;/Cite&gt;&lt;/Refman&gt;</w:instrText>
      </w:r>
      <w:r w:rsidR="006506AF">
        <w:fldChar w:fldCharType="separate"/>
      </w:r>
      <w:r w:rsidR="00DF2C28">
        <w:t>(8)</w:t>
      </w:r>
      <w:r w:rsidR="006506AF">
        <w:fldChar w:fldCharType="end"/>
      </w:r>
      <w:r w:rsidR="00B64204">
        <w:t xml:space="preserve"> It </w:t>
      </w:r>
      <w:r w:rsidR="009D0B12">
        <w:t xml:space="preserve">has </w:t>
      </w:r>
      <w:r w:rsidR="009D0B12" w:rsidRPr="009B32FA">
        <w:t>not, to our knowledge, been</w:t>
      </w:r>
      <w:r w:rsidR="00E658C0" w:rsidRPr="009B32FA">
        <w:t xml:space="preserve"> </w:t>
      </w:r>
      <w:r w:rsidR="009D0B12" w:rsidRPr="009B32FA">
        <w:t xml:space="preserve">employed in cardiovascular </w:t>
      </w:r>
      <w:r w:rsidR="00B64204">
        <w:t>disease</w:t>
      </w:r>
      <w:r w:rsidR="00207F95" w:rsidRPr="009B32FA">
        <w:t>, specifically among patients with heart failure</w:t>
      </w:r>
      <w:r w:rsidR="009D0B12" w:rsidRPr="009B32FA">
        <w:t xml:space="preserve">. </w:t>
      </w:r>
      <w:r w:rsidR="008A1D7B" w:rsidRPr="008A1D7B">
        <w:t xml:space="preserve">Therefore, we introduce this method using heart failure as our base example since many heart failure studies evaluate the composite outcome of ‘hospitalization or death’ as the primary endpoint. Most patients and clinicians, however, would consider these disparate endpoints and </w:t>
      </w:r>
      <w:r w:rsidR="00E4140D" w:rsidRPr="008A1D7B">
        <w:t xml:space="preserve">therefore </w:t>
      </w:r>
      <w:r w:rsidR="00E4140D">
        <w:t xml:space="preserve">analyses of such composite outcomes </w:t>
      </w:r>
      <w:r w:rsidR="00E4140D" w:rsidRPr="008A1D7B">
        <w:t xml:space="preserve">may be </w:t>
      </w:r>
      <w:r w:rsidR="00E4140D">
        <w:t xml:space="preserve">improved using the </w:t>
      </w:r>
      <w:r w:rsidR="00E4140D" w:rsidRPr="008A1D7B">
        <w:t xml:space="preserve">QAS approach. </w:t>
      </w:r>
      <w:r w:rsidR="008A1D7B" w:rsidRPr="008A1D7B">
        <w:t xml:space="preserve"> </w:t>
      </w:r>
    </w:p>
    <w:p w:rsidR="00DF2C28" w:rsidRDefault="00DF2C28" w:rsidP="00DF2C28">
      <w:pPr>
        <w:spacing w:line="480" w:lineRule="auto"/>
        <w:ind w:firstLine="360"/>
      </w:pPr>
    </w:p>
    <w:p w:rsidR="008A175F" w:rsidRDefault="008A175F" w:rsidP="009E3093">
      <w:pPr>
        <w:spacing w:before="60" w:after="60" w:line="480" w:lineRule="auto"/>
        <w:rPr>
          <w:b/>
        </w:rPr>
      </w:pPr>
      <w:r w:rsidRPr="007F4F26">
        <w:rPr>
          <w:b/>
        </w:rPr>
        <w:t>Methods</w:t>
      </w:r>
    </w:p>
    <w:p w:rsidR="00C93B6A" w:rsidRPr="00C93B6A" w:rsidRDefault="00C93B6A" w:rsidP="009E3093">
      <w:pPr>
        <w:spacing w:before="60" w:after="60" w:line="480" w:lineRule="auto"/>
      </w:pPr>
      <w:r w:rsidRPr="00C93B6A">
        <w:rPr>
          <w:u w:val="single"/>
        </w:rPr>
        <w:t>Overview</w:t>
      </w:r>
    </w:p>
    <w:p w:rsidR="00843A08" w:rsidRDefault="00843A08" w:rsidP="00843A08">
      <w:pPr>
        <w:spacing w:line="480" w:lineRule="auto"/>
        <w:ind w:firstLine="360"/>
      </w:pPr>
      <w:r>
        <w:t>We adapted and applied the QAS technique</w:t>
      </w:r>
      <w:r w:rsidR="00ED032A">
        <w:t xml:space="preserve"> </w:t>
      </w:r>
      <w:r w:rsidR="006506AF">
        <w:fldChar w:fldCharType="begin"/>
      </w:r>
      <w:r w:rsidR="00DF2C28">
        <w:instrText xml:space="preserve"> ADDIN REFMGR.CITE &lt;Refman&gt;&lt;Cite&gt;&lt;Author&gt;Cole&lt;/Author&gt;&lt;Year&gt;1993&lt;/Year&gt;&lt;RecNum&gt;6007&lt;/RecNum&gt;&lt;IDText&gt;Cox regression models for quality adjusted survival analysis&lt;/IDText&gt;&lt;MDL Ref_Type="Journal"&gt;&lt;Ref_Type&gt;Journal&lt;/Ref_Type&gt;&lt;Ref_ID&gt;6007&lt;/Ref_ID&gt;&lt;Title_Primary&gt;Cox regression models for quality adjusted survival analysis&lt;/Title_Primary&gt;&lt;Authors_Primary&gt;Cole,B.F.&lt;/Authors_Primary&gt;&lt;Authors_Primary&gt;Gelber,R.D.&lt;/Authors_Primary&gt;&lt;Authors_Primary&gt;Goldhirsch,A.&lt;/Authors_Primary&gt;&lt;Date_Primary&gt;1993/5/30&lt;/Date_Primary&gt;&lt;Keywords&gt;administration &amp;amp; dosage&lt;/Keywords&gt;&lt;Keywords&gt;adverse effects&lt;/Keywords&gt;&lt;Keywords&gt;Affect&lt;/Keywords&gt;&lt;Keywords&gt;analysis&lt;/Keywords&gt;&lt;Keywords&gt;Antineoplastic Agents&lt;/Keywords&gt;&lt;Keywords&gt;Boston&lt;/Keywords&gt;&lt;Keywords&gt;Breast Neoplasms&lt;/Keywords&gt;&lt;Keywords&gt;drug therapy&lt;/Keywords&gt;&lt;Keywords&gt;Female&lt;/Keywords&gt;&lt;Keywords&gt;Health&lt;/Keywords&gt;&lt;Keywords&gt;Humans&lt;/Keywords&gt;&lt;Keywords&gt;Lymphatic Metastasis&lt;/Keywords&gt;&lt;Keywords&gt;Massachusetts&lt;/Keywords&gt;&lt;Keywords&gt;Middle Aged&lt;/Keywords&gt;&lt;Keywords&gt;mortality&lt;/Keywords&gt;&lt;Keywords&gt;Neoplasm Recurrence,Local&lt;/Keywords&gt;&lt;Keywords&gt;Neoplasm Staging&lt;/Keywords&gt;&lt;Keywords&gt;pathology&lt;/Keywords&gt;&lt;Keywords&gt;Prognosis&lt;/Keywords&gt;&lt;Keywords&gt;Proportional Hazards Models&lt;/Keywords&gt;&lt;Keywords&gt;psychology&lt;/Keywords&gt;&lt;Keywords&gt;Public Health&lt;/Keywords&gt;&lt;Keywords&gt;Quality of Life&lt;/Keywords&gt;&lt;Keywords&gt;Research Support,Non-U.S.Gov&amp;apos;t&lt;/Keywords&gt;&lt;Keywords&gt;Research Support,U.S.Gov&amp;apos;t,P.H.S.&lt;/Keywords&gt;&lt;Keywords&gt;Survival Analysis&lt;/Keywords&gt;&lt;Keywords&gt;Treatment Outcome&lt;/Keywords&gt;&lt;Reprint&gt;Not in File&lt;/Reprint&gt;&lt;Start_Page&gt;975&lt;/Start_Page&gt;&lt;End_Page&gt;987&lt;/End_Page&gt;&lt;Periodical&gt;Stat.Med.&lt;/Periodical&gt;&lt;Volume&gt;12&lt;/Volume&gt;&lt;Issue&gt;10&lt;/Issue&gt;&lt;Address&gt;Department of Biostatistics, Harvard School of Public Health and Division of Biostatistics, Dana-Farber Cancer Institute, Boston, Massachusetts 02115&lt;/Address&gt;&lt;Web_URL&gt;PM:8337554&lt;/Web_URL&gt;&lt;ZZ_JournalFull&gt;&lt;f name="System"&gt;Stat.Med.&lt;/f&gt;&lt;/ZZ_JournalFull&gt;&lt;ZZ_WorkformID&gt;1&lt;/ZZ_WorkformID&gt;&lt;/MDL&gt;&lt;/Cite&gt;&lt;/Refman&gt;</w:instrText>
      </w:r>
      <w:r w:rsidR="006506AF">
        <w:fldChar w:fldCharType="separate"/>
      </w:r>
      <w:r w:rsidR="00DF2C28">
        <w:t>(8)</w:t>
      </w:r>
      <w:r w:rsidR="006506AF">
        <w:fldChar w:fldCharType="end"/>
      </w:r>
      <w:r>
        <w:t xml:space="preserve"> to the commonly reported composite outcome of ‘death or hospitalization’ using two previously published studies - an observational study of antidiabetic therapies in diabetes and heart failure (Metformin Study)</w:t>
      </w:r>
      <w:r w:rsidR="006506AF">
        <w:fldChar w:fldCharType="begin"/>
      </w:r>
      <w:r w:rsidR="00DF2C28">
        <w:instrText xml:space="preserve"> ADDIN REFMGR.CITE &lt;Refman&gt;&lt;Cite&gt;&lt;Author&gt;Eurich&lt;/Author&gt;&lt;Year&gt;2005&lt;/Year&gt;&lt;RecNum&gt;6041&lt;/RecNum&gt;&lt;IDText&gt;Improved Clinical Outcomes Associated With Metformin in Patients With Diabetes and Heart Failure&lt;/IDText&gt;&lt;MDL Ref_Type="Journal"&gt;&lt;Ref_Type&gt;Journal&lt;/Ref_Type&gt;&lt;Ref_ID&gt;6041&lt;/Ref_ID&gt;&lt;Title_Primary&gt;Improved Clinical Outcomes Associated With Metformin in Patients With Diabetes and Heart Failure&lt;/Title_Primary&gt;&lt;Authors_Primary&gt;Eurich,Dean T.&lt;/Authors_Primary&gt;&lt;Authors_Primary&gt;Majumdar,Sumit R.&lt;/Authors_Primary&gt;&lt;Authors_Primary&gt;McAlister,Finlay A.&lt;/Authors_Primary&gt;&lt;Authors_Primary&gt;Tsuyuki,Ross T.&lt;/Authors_Primary&gt;&lt;Authors_Primary&gt;Johnson,Jeffrey A.&lt;/Authors_Primary&gt;&lt;Date_Primary&gt;2005/10/1&lt;/Date_Primary&gt;&lt;Keywords&gt;2&lt;/Keywords&gt;&lt;Keywords&gt;Acidosis&lt;/Keywords&gt;&lt;Keywords&gt;Age&lt;/Keywords&gt;&lt;Keywords&gt;Antidiabetic Agent&lt;/Keywords&gt;&lt;Keywords&gt;Databases&lt;/Keywords&gt;&lt;Keywords&gt;Death&lt;/Keywords&gt;&lt;Keywords&gt;Diabetes&lt;/Keywords&gt;&lt;Keywords&gt;FAILURE&lt;/Keywords&gt;&lt;Keywords&gt;Follow Up&lt;/Keywords&gt;&lt;Keywords&gt;Health&lt;/Keywords&gt;&lt;Keywords&gt;Heart&lt;/Keywords&gt;&lt;Keywords&gt;Heart Failure&lt;/Keywords&gt;&lt;Keywords&gt;HEART-FAILURE&lt;/Keywords&gt;&lt;Keywords&gt;Hospitalization&lt;/Keywords&gt;&lt;Keywords&gt;Lactic Acidosis&lt;/Keywords&gt;&lt;Keywords&gt;LACTIC-ACIDOSIS&lt;/Keywords&gt;&lt;Keywords&gt;Male&lt;/Keywords&gt;&lt;Keywords&gt;Metformin&lt;/Keywords&gt;&lt;Keywords&gt;Model&lt;/Keywords&gt;&lt;Keywords&gt;Monotherapy&lt;/Keywords&gt;&lt;Keywords&gt;Morbidity&lt;/Keywords&gt;&lt;Keywords&gt;mortality&lt;/Keywords&gt;&lt;Keywords&gt;n&lt;/Keywords&gt;&lt;Keywords&gt;Oral Antidiabetic Agent&lt;/Keywords&gt;&lt;Keywords&gt;Patient&lt;/Keywords&gt;&lt;Keywords&gt;Patients&lt;/Keywords&gt;&lt;Keywords&gt;Proportional Hazards Models&lt;/Keywords&gt;&lt;Keywords&gt;Records&lt;/Keywords&gt;&lt;Keywords&gt;Research&lt;/Keywords&gt;&lt;Keywords&gt;Research Design&lt;/Keywords&gt;&lt;Keywords&gt;Saskatchewan&lt;/Keywords&gt;&lt;Keywords&gt;Study&lt;/Keywords&gt;&lt;Keywords&gt;Sulfonylurea&lt;/Keywords&gt;&lt;Keywords&gt;therapy&lt;/Keywords&gt;&lt;Keywords&gt;Time&lt;/Keywords&gt;&lt;Keywords&gt;Type 2 diabetes&lt;/Keywords&gt;&lt;Reprint&gt;Not in File&lt;/Reprint&gt;&lt;Start_Page&gt;2345&lt;/Start_Page&gt;&lt;End_Page&gt;2351&lt;/End_Page&gt;&lt;Periodical&gt;Diabetes Care&lt;/Periodical&gt;&lt;Volume&gt;28&lt;/Volume&gt;&lt;Issue&gt;10&lt;/Issue&gt;&lt;Web_URL&gt;http://care.diabetesjournals.org/cgi/content/abstract/28/10/2345&lt;/Web_URL&gt;&lt;ZZ_JournalFull&gt;&lt;f name="System"&gt;Diabetes Care&lt;/f&gt;&lt;/ZZ_JournalFull&gt;&lt;ZZ_WorkformID&gt;1&lt;/ZZ_WorkformID&gt;&lt;/MDL&gt;&lt;/Cite&gt;&lt;/Refman&gt;</w:instrText>
      </w:r>
      <w:r w:rsidR="006506AF">
        <w:fldChar w:fldCharType="separate"/>
      </w:r>
      <w:r w:rsidR="00DF2C28">
        <w:t>(9)</w:t>
      </w:r>
      <w:r w:rsidR="006506AF">
        <w:fldChar w:fldCharType="end"/>
      </w:r>
      <w:r>
        <w:t xml:space="preserve"> and a randomized controlled trial comparing digoxin with placebo in patients with heart failure (DIG Study).</w:t>
      </w:r>
      <w:r w:rsidR="006506AF">
        <w:fldChar w:fldCharType="begin"/>
      </w:r>
      <w:r w:rsidR="00DF2C28">
        <w:instrText xml:space="preserve"> ADDIN REFMGR.CITE &lt;Refman&gt;&lt;Cite&gt;&lt;Author&gt;The Digitalis Investigation Group&lt;/Author&gt;&lt;Year&gt;1997&lt;/Year&gt;&lt;RecNum&gt;6405&lt;/RecNum&gt;&lt;IDText&gt;The effect of digoxin on mortality and morbidity in patients with heart failure.&lt;/IDText&gt;&lt;MDL Ref_Type="Journal"&gt;&lt;Ref_Type&gt;Journal&lt;/Ref_Type&gt;&lt;Ref_ID&gt;6405&lt;/Ref_ID&gt;&lt;Title_Primary&gt;The effect of digoxin on mortality and morbidity in patients with heart failure.&lt;/Title_Primary&gt;&lt;Authors_Primary&gt;The Digitalis Investigation Group&lt;/Authors_Primary&gt;&lt;Date_Primary&gt;1997/2/20&lt;/Date_Primary&gt;&lt;Keywords&gt;adverse effects&lt;/Keywords&gt;&lt;Keywords&gt;Aged&lt;/Keywords&gt;&lt;Keywords&gt;Arrhythmia&lt;/Keywords&gt;&lt;Keywords&gt;Article&lt;/Keywords&gt;&lt;Keywords&gt;cardiac&lt;/Keywords&gt;&lt;Keywords&gt;Cardiotonic Agents&lt;/Keywords&gt;&lt;Keywords&gt;Cardiovascular Diseases&lt;/Keywords&gt;&lt;Keywords&gt;chronic heart failure&lt;/Keywords&gt;&lt;Keywords&gt;CHRONIC-HEART-FAILURE&lt;/Keywords&gt;&lt;Keywords&gt;Clinical Trial&lt;/Keywords&gt;&lt;Keywords&gt;CLINICAL-TRIAL&lt;/Keywords&gt;&lt;Keywords&gt;complications&lt;/Keywords&gt;&lt;Keywords&gt;Confidence Interval&lt;/Keywords&gt;&lt;Keywords&gt;CONTROLLED TRIAL&lt;/Keywords&gt;&lt;Keywords&gt;CONTROLLED-TRIAL&lt;/Keywords&gt;&lt;Keywords&gt;Death&lt;/Keywords&gt;&lt;Keywords&gt;DECREASE&lt;/Keywords&gt;&lt;Keywords&gt;Digoxin&lt;/Keywords&gt;&lt;Keywords&gt;Diuretics&lt;/Keywords&gt;&lt;Keywords&gt;Double-Blind Method&lt;/Keywords&gt;&lt;Keywords&gt;drug therapy&lt;/Keywords&gt;&lt;Keywords&gt;EJECTION&lt;/Keywords&gt;&lt;Keywords&gt;ejection fraction&lt;/Keywords&gt;&lt;Keywords&gt;etiology&lt;/Keywords&gt;&lt;Keywords&gt;FAILURE&lt;/Keywords&gt;&lt;Keywords&gt;Female&lt;/Keywords&gt;&lt;Keywords&gt;Follow Up&lt;/Keywords&gt;&lt;Keywords&gt;FOLLOW-UP&lt;/Keywords&gt;&lt;Keywords&gt;Heart&lt;/Keywords&gt;&lt;Keywords&gt;Heart Failure&lt;/Keywords&gt;&lt;Keywords&gt;Heart Failure,Congestive&lt;/Keywords&gt;&lt;Keywords&gt;HEART-FAILURE&lt;/Keywords&gt;&lt;Keywords&gt;Hospitalization&lt;/Keywords&gt;&lt;Keywords&gt;Humans&lt;/Keywords&gt;&lt;Keywords&gt;INHIBITOR&lt;/Keywords&gt;&lt;Keywords&gt;INTERVAL&lt;/Keywords&gt;&lt;Keywords&gt;Journal Article&lt;/Keywords&gt;&lt;Keywords&gt;left ventricular ejection fraction&lt;/Keywords&gt;&lt;Keywords&gt;LESS&lt;/Keywords&gt;&lt;Keywords&gt;Male&lt;/Keywords&gt;&lt;Keywords&gt;MANAGEMENT&lt;/Keywords&gt;&lt;Keywords&gt;methods&lt;/Keywords&gt;&lt;Keywords&gt;Middle Aged&lt;/Keywords&gt;&lt;Keywords&gt;Morbidity&lt;/Keywords&gt;&lt;Keywords&gt;mortality&lt;/Keywords&gt;&lt;Keywords&gt;Multicenter Studies&lt;/Keywords&gt;&lt;Keywords&gt;Multicenter Study&lt;/Keywords&gt;&lt;Keywords&gt;New York&lt;/Keywords&gt;&lt;Keywords&gt;Patient&lt;/Keywords&gt;&lt;Keywords&gt;Patients&lt;/Keywords&gt;&lt;Keywords&gt;Placebo&lt;/Keywords&gt;&lt;Keywords&gt;Randomized Controlled Trial&lt;/Keywords&gt;&lt;Keywords&gt;Risk&lt;/Keywords&gt;&lt;Keywords&gt;Sinus Rhythm&lt;/Keywords&gt;&lt;Keywords&gt;statistics &amp;amp; numerical data&lt;/Keywords&gt;&lt;Keywords&gt;Stroke Volume&lt;/Keywords&gt;&lt;Keywords&gt;studies&lt;/Keywords&gt;&lt;Keywords&gt;Study&lt;/Keywords&gt;&lt;Keywords&gt;therapeutic use&lt;/Keywords&gt;&lt;Keywords&gt;Treatment Outcome&lt;/Keywords&gt;&lt;Keywords&gt;TRIAL&lt;/Keywords&gt;&lt;Keywords&gt;VENTRICULAR EJECTION FRACTION&lt;/Keywords&gt;&lt;Reprint&gt;Not in File&lt;/Reprint&gt;&lt;Start_Page&gt;525&lt;/Start_Page&gt;&lt;End_Page&gt;533&lt;/End_Page&gt;&lt;Periodical&gt;N.Engl.J.Med&lt;/Periodical&gt;&lt;Volume&gt;336&lt;/Volume&gt;&lt;Issue&gt;8&lt;/Issue&gt;&lt;Address&gt;Mount Sinai Medical Center, New York, NY 10029-6574, USA&lt;/Address&gt;&lt;Web_URL&gt;PM:9036306&lt;/Web_URL&gt;&lt;ZZ_JournalFull&gt;&lt;f name="System"&gt;N.Engl.J.Med&lt;/f&gt;&lt;/ZZ_JournalFull&gt;&lt;ZZ_WorkformID&gt;1&lt;/ZZ_WorkformID&gt;&lt;/MDL&gt;&lt;/Cite&gt;&lt;/Refman&gt;</w:instrText>
      </w:r>
      <w:r w:rsidR="006506AF">
        <w:fldChar w:fldCharType="separate"/>
      </w:r>
      <w:r w:rsidR="00DF2C28">
        <w:t>(10)</w:t>
      </w:r>
      <w:r w:rsidR="006506AF">
        <w:fldChar w:fldCharType="end"/>
      </w:r>
      <w:r>
        <w:t xml:space="preserve"> </w:t>
      </w:r>
      <w:r w:rsidRPr="008A1D7B">
        <w:t xml:space="preserve">A summary of each study and a detailed overview of the QAS method are </w:t>
      </w:r>
      <w:r>
        <w:t>found in Appendix A</w:t>
      </w:r>
      <w:r w:rsidRPr="008A1D7B">
        <w:t>.</w:t>
      </w:r>
      <w:r>
        <w:t xml:space="preserve"> Ethical approval was granted for both studies by the University of Alberta; data for the Digitalis Investigation Group (DIG) study were obtained from the National Heart, Lung and Blood Institute.</w:t>
      </w:r>
    </w:p>
    <w:p w:rsidR="00DF2C28" w:rsidRDefault="00DF2C28" w:rsidP="009E3093">
      <w:pPr>
        <w:spacing w:line="480" w:lineRule="auto"/>
        <w:rPr>
          <w:u w:val="single"/>
        </w:rPr>
      </w:pPr>
    </w:p>
    <w:p w:rsidR="00DF2C28" w:rsidRDefault="00DF2C28" w:rsidP="009E3093">
      <w:pPr>
        <w:spacing w:line="480" w:lineRule="auto"/>
        <w:rPr>
          <w:u w:val="single"/>
        </w:rPr>
      </w:pPr>
    </w:p>
    <w:p w:rsidR="007F4F26" w:rsidRPr="00F80855" w:rsidRDefault="00A85E00" w:rsidP="009E3093">
      <w:pPr>
        <w:spacing w:line="480" w:lineRule="auto"/>
      </w:pPr>
      <w:r w:rsidRPr="00F80855">
        <w:rPr>
          <w:u w:val="single"/>
        </w:rPr>
        <w:t>Weighted Composite Outcome</w:t>
      </w:r>
    </w:p>
    <w:p w:rsidR="00843A08" w:rsidRDefault="00843A08" w:rsidP="00843A08">
      <w:pPr>
        <w:spacing w:line="480" w:lineRule="auto"/>
        <w:ind w:firstLine="360"/>
      </w:pPr>
      <w:r>
        <w:t>We applied the QAS analysis to the composite outcome of “all-cause mortality or hospitalization” in the metformin study and to the composite outcome of “heart failure-specific mortality or hospitalization” in the DIG study.  In both of our case studies, we considered three potential successive health states patients may transition through: 1) state H</w:t>
      </w:r>
      <w:r w:rsidRPr="000A3A2D">
        <w:rPr>
          <w:vertAlign w:val="subscript"/>
        </w:rPr>
        <w:t>1</w:t>
      </w:r>
      <w:r>
        <w:t xml:space="preserve"> represents the patients’ initial health state prior to a hospitalization, death or censoring at study end (i.e., the mean event-free survival time corresponding to the area under the composite outcome curve); 2) state H</w:t>
      </w:r>
      <w:r w:rsidRPr="00CE13CC">
        <w:rPr>
          <w:vertAlign w:val="subscript"/>
        </w:rPr>
        <w:t>2</w:t>
      </w:r>
      <w:r>
        <w:t xml:space="preserve"> represents the patients’ health state after a hospitalization until either death or censoring at study end (i.e., area between the composite outcome survival curve and the mortality survival curve); 3) state H</w:t>
      </w:r>
      <w:r>
        <w:rPr>
          <w:vertAlign w:val="subscript"/>
        </w:rPr>
        <w:t>3</w:t>
      </w:r>
      <w:r>
        <w:t xml:space="preserve"> was the final health state dead (no time is associated with this health state).  </w:t>
      </w:r>
    </w:p>
    <w:p w:rsidR="00843A08" w:rsidRDefault="00843A08" w:rsidP="00843A08">
      <w:pPr>
        <w:spacing w:line="480" w:lineRule="auto"/>
        <w:ind w:firstLine="360"/>
      </w:pPr>
      <w:r w:rsidRPr="008A1D7B">
        <w:t>For the</w:t>
      </w:r>
      <w:r>
        <w:t xml:space="preserve"> QAS</w:t>
      </w:r>
      <w:r w:rsidRPr="008A1D7B">
        <w:t xml:space="preserve"> analyses, we applied validated utility coefficients for heart failure patients taken from the </w:t>
      </w:r>
      <w:proofErr w:type="gramStart"/>
      <w:r w:rsidRPr="008A1D7B">
        <w:t>literature</w:t>
      </w:r>
      <w:proofErr w:type="gramEnd"/>
      <w:r w:rsidRPr="008A1D7B">
        <w:t xml:space="preserve"> as HRQL measurements had not been collected in either of our case studies.</w:t>
      </w:r>
      <w:r>
        <w:t xml:space="preserve">  For state H</w:t>
      </w:r>
      <w:r w:rsidRPr="005E551A">
        <w:rPr>
          <w:vertAlign w:val="subscript"/>
        </w:rPr>
        <w:t>1</w:t>
      </w:r>
      <w:r>
        <w:t>, the utility coefficient was set at 0.81, based on Health Utilities Index Mark 3 (HUI3) scores observed for subjects with heart disease and diabetes in the Canadian population</w:t>
      </w:r>
      <w:r w:rsidR="006506AF">
        <w:fldChar w:fldCharType="begin"/>
      </w:r>
      <w:r w:rsidR="00DF2C28">
        <w:instrText xml:space="preserve"> ADDIN REFMGR.CITE &lt;Refman&gt;&lt;Cite&gt;&lt;Author&gt;Maddigan&lt;/Author&gt;&lt;Year&gt;2005&lt;/Year&gt;&lt;RecNum&gt;6008&lt;/RecNum&gt;&lt;IDText&gt;Health-related quality of life deficits associated with diabetes and comorbidities in a Canadian National Population Health Survey&lt;/IDText&gt;&lt;MDL Ref_Type="Journal"&gt;&lt;Ref_Type&gt;Journal&lt;/Ref_Type&gt;&lt;Ref_ID&gt;6008&lt;/Ref_ID&gt;&lt;Title_Primary&gt;Health-related quality of life deficits associated with diabetes and comorbidities in a Canadian National Population Health Survey&lt;/Title_Primary&gt;&lt;Authors_Primary&gt;Maddigan,S.L.&lt;/Authors_Primary&gt;&lt;Authors_Primary&gt;Feeny,D.H.&lt;/Authors_Primary&gt;&lt;Authors_Primary&gt;Johnson,J.A.&lt;/Authors_Primary&gt;&lt;Date_Primary&gt;2005/6&lt;/Date_Primary&gt;&lt;Keywords&gt;Activities of Daily Living&lt;/Keywords&gt;&lt;Keywords&gt;Adult&lt;/Keywords&gt;&lt;Keywords&gt;Aged&lt;/Keywords&gt;&lt;Keywords&gt;Alberta&lt;/Keywords&gt;&lt;Keywords&gt;analysis&lt;/Keywords&gt;&lt;Keywords&gt;Arthritis&lt;/Keywords&gt;&lt;Keywords&gt;Canada&lt;/Keywords&gt;&lt;Keywords&gt;Cerebrovascular Accident&lt;/Keywords&gt;&lt;Keywords&gt;Chronic Disease&lt;/Keywords&gt;&lt;Keywords&gt;Comorbidity&lt;/Keywords&gt;&lt;Keywords&gt;complications&lt;/Keywords&gt;&lt;Keywords&gt;Control&lt;/Keywords&gt;&lt;Keywords&gt;Diabetes&lt;/Keywords&gt;&lt;Keywords&gt;Diabetes Complications&lt;/Keywords&gt;&lt;Keywords&gt;Diabetes Mellitus&lt;/Keywords&gt;&lt;Keywords&gt;Disease&lt;/Keywords&gt;&lt;Keywords&gt;Female&lt;/Keywords&gt;&lt;Keywords&gt;Health&lt;/Keywords&gt;&lt;Keywords&gt;Heart&lt;/Keywords&gt;&lt;Keywords&gt;Heart Diseases&lt;/Keywords&gt;&lt;Keywords&gt;Humans&lt;/Keywords&gt;&lt;Keywords&gt;Male&lt;/Keywords&gt;&lt;Keywords&gt;methods&lt;/Keywords&gt;&lt;Keywords&gt;Middle Aged&lt;/Keywords&gt;&lt;Keywords&gt;physiopathology&lt;/Keywords&gt;&lt;Keywords&gt;Population&lt;/Keywords&gt;&lt;Keywords&gt;psychology&lt;/Keywords&gt;&lt;Keywords&gt;Public Health&lt;/Keywords&gt;&lt;Keywords&gt;Quality of Life&lt;/Keywords&gt;&lt;Keywords&gt;Research Support,Non-U.S.Gov&amp;apos;t&lt;/Keywords&gt;&lt;Keywords&gt;Sickness Impact Profile&lt;/Keywords&gt;&lt;Reprint&gt;Not in File&lt;/Reprint&gt;&lt;Start_Page&gt;1311&lt;/Start_Page&gt;&lt;End_Page&gt;1320&lt;/End_Page&gt;&lt;Periodical&gt;Qual.Life Res.&lt;/Periodical&gt;&lt;Volume&gt;14&lt;/Volume&gt;&lt;Issue&gt;5&lt;/Issue&gt;&lt;Address&gt;Department of Public Health Sciences, University of Alberta, Edmonton, Canada&lt;/Address&gt;&lt;Web_URL&gt;PM:16047506&lt;/Web_URL&gt;&lt;ZZ_JournalFull&gt;&lt;f name="System"&gt;Qual.Life Res.&lt;/f&gt;&lt;/ZZ_JournalFull&gt;&lt;ZZ_WorkformID&gt;1&lt;/ZZ_WorkformID&gt;&lt;/MDL&gt;&lt;/Cite&gt;&lt;/Refman&gt;</w:instrText>
      </w:r>
      <w:r w:rsidR="006506AF">
        <w:fldChar w:fldCharType="separate"/>
      </w:r>
      <w:r w:rsidR="00DF2C28">
        <w:t>(11)</w:t>
      </w:r>
      <w:r w:rsidR="006506AF">
        <w:fldChar w:fldCharType="end"/>
      </w:r>
      <w:r>
        <w:t>, and is similar to utility weights observed in patients with heart failure alone.</w:t>
      </w:r>
      <w:r w:rsidR="006506AF">
        <w:fldChar w:fldCharType="begin"/>
      </w:r>
      <w:r w:rsidR="00DF2C28">
        <w:instrText xml:space="preserve"> ADDIN REFMGR.CITE &lt;Refman&gt;&lt;Cite&gt;&lt;Author&gt;Nichol&lt;/Author&gt;&lt;Year&gt;2004&lt;/Year&gt;&lt;RecNum&gt;6407&lt;/RecNum&gt;&lt;IDText&gt;Cost-effectiveness of cardiac resynchronization therapy in patients with symptomatic heart failure&lt;/IDText&gt;&lt;MDL Ref_Type="Journal"&gt;&lt;Ref_Type&gt;Journal&lt;/Ref_Type&gt;&lt;Ref_ID&gt;6407&lt;/Ref_ID&gt;&lt;Title_Primary&gt;Cost-effectiveness of cardiac resynchronization therapy in patients with symptomatic heart failure&lt;/Title_Primary&gt;&lt;Authors_Primary&gt;Nichol,G.&lt;/Authors_Primary&gt;&lt;Authors_Primary&gt;Kaul,P.&lt;/Authors_Primary&gt;&lt;Authors_Primary&gt;Huszti,E.&lt;/Authors_Primary&gt;&lt;Authors_Primary&gt;Bridges,J.F.&lt;/Authors_Primary&gt;&lt;Date_Primary&gt;2004/9/7&lt;/Date_Primary&gt;&lt;Keywords&gt;analysis&lt;/Keywords&gt;&lt;Keywords&gt;Article&lt;/Keywords&gt;&lt;Keywords&gt;cardiac&lt;/Keywords&gt;&lt;Keywords&gt;Cardiac Pacing,Artificial&lt;/Keywords&gt;&lt;Keywords&gt;Computer Simulation&lt;/Keywords&gt;&lt;Keywords&gt;Cost-Benefit Analysis&lt;/Keywords&gt;&lt;Keywords&gt;Death&lt;/Keywords&gt;&lt;Keywords&gt;Decision Support Techniques&lt;/Keywords&gt;&lt;Keywords&gt;Defibrillators,Implantable&lt;/Keywords&gt;&lt;Keywords&gt;drug therapy&lt;/Keywords&gt;&lt;Keywords&gt;economics&lt;/Keywords&gt;&lt;Keywords&gt;EJECTION&lt;/Keywords&gt;&lt;Keywords&gt;ejection fraction&lt;/Keywords&gt;&lt;Keywords&gt;Electric Countershock&lt;/Keywords&gt;&lt;Keywords&gt;FAILURE&lt;/Keywords&gt;&lt;Keywords&gt;function&lt;/Keywords&gt;&lt;Keywords&gt;Health&lt;/Keywords&gt;&lt;Keywords&gt;Heart&lt;/Keywords&gt;&lt;Keywords&gt;Heart Failure&lt;/Keywords&gt;&lt;Keywords&gt;Heart Failure,Congestive&lt;/Keywords&gt;&lt;Keywords&gt;HEART-FAILURE&lt;/Keywords&gt;&lt;Keywords&gt;Hospitalization&lt;/Keywords&gt;&lt;Keywords&gt;Humans&lt;/Keywords&gt;&lt;Keywords&gt;INTERVENTION&lt;/Keywords&gt;&lt;Keywords&gt;Journal Article&lt;/Keywords&gt;&lt;Keywords&gt;Life Expectancy&lt;/Keywords&gt;&lt;Keywords&gt;Markov Chains&lt;/Keywords&gt;&lt;Keywords&gt;Model&lt;/Keywords&gt;&lt;Keywords&gt;Monte Carlo Method&lt;/Keywords&gt;&lt;Keywords&gt;Morbidity&lt;/Keywords&gt;&lt;Keywords&gt;Patient&lt;/Keywords&gt;&lt;Keywords&gt;Patients&lt;/Keywords&gt;&lt;Keywords&gt;PERSPECTIVE&lt;/Keywords&gt;&lt;Keywords&gt;Population&lt;/Keywords&gt;&lt;Keywords&gt;Quality of Life&lt;/Keywords&gt;&lt;Keywords&gt;Quality-Adjusted Life Years&lt;/Keywords&gt;&lt;Keywords&gt;Research&lt;/Keywords&gt;&lt;Keywords&gt;Review&lt;/Keywords&gt;&lt;Keywords&gt;Risk&lt;/Keywords&gt;&lt;Keywords&gt;SYSTEM&lt;/Keywords&gt;&lt;Keywords&gt;therapy&lt;/Keywords&gt;&lt;Keywords&gt;Time&lt;/Keywords&gt;&lt;Keywords&gt;TRIAL&lt;/Keywords&gt;&lt;Keywords&gt;Universities&lt;/Keywords&gt;&lt;Keywords&gt;Ventricular Function&lt;/Keywords&gt;&lt;Keywords&gt;VENTRICULAR-FUNCTION&lt;/Keywords&gt;&lt;Keywords&gt;Washington&lt;/Keywords&gt;&lt;Reprint&gt;Not in File&lt;/Reprint&gt;&lt;Start_Page&gt;343&lt;/Start_Page&gt;&lt;End_Page&gt;351&lt;/End_Page&gt;&lt;Periodical&gt;Ann.Intern.Med&lt;/Periodical&gt;&lt;Volume&gt;141&lt;/Volume&gt;&lt;Issue&gt;5&lt;/Issue&gt;&lt;Address&gt;University of Washington-Harborview Prehospital Emergency Care Research and Training Center and Harborview Medical Center, Seattle, Washington 98104, USA. nichol@u.washington.edu&lt;/Address&gt;&lt;Web_URL&gt;PM:15353425&lt;/Web_URL&gt;&lt;ZZ_JournalFull&gt;&lt;f name="System"&gt;Ann.Intern.Med&lt;/f&gt;&lt;/ZZ_JournalFull&gt;&lt;ZZ_WorkformID&gt;1&lt;/ZZ_WorkformID&gt;&lt;/MDL&gt;&lt;/Cite&gt;&lt;/Refman&gt;</w:instrText>
      </w:r>
      <w:r w:rsidR="006506AF">
        <w:fldChar w:fldCharType="separate"/>
      </w:r>
      <w:r w:rsidR="00DF2C28">
        <w:t>(12)</w:t>
      </w:r>
      <w:r w:rsidR="006506AF">
        <w:fldChar w:fldCharType="end"/>
      </w:r>
      <w:r>
        <w:t xml:space="preserve"> In patients with heart failure, hospitalization reduces HRQL by 30% </w:t>
      </w:r>
      <w:r w:rsidR="006506AF">
        <w:rPr>
          <w:sz w:val="22"/>
        </w:rPr>
        <w:fldChar w:fldCharType="begin"/>
      </w:r>
      <w:r w:rsidR="00DF2C28">
        <w:rPr>
          <w:sz w:val="22"/>
        </w:rPr>
        <w:instrText xml:space="preserve"> ADDIN REFMGR.CITE &lt;Refman&gt;&lt;Cite&gt;&lt;Author&gt;Nichol&lt;/Author&gt;&lt;Year&gt;2004&lt;/Year&gt;&lt;RecNum&gt;6407&lt;/RecNum&gt;&lt;IDText&gt;Cost-effectiveness of cardiac resynchronization therapy in patients with symptomatic heart failure&lt;/IDText&gt;&lt;MDL Ref_Type="Journal"&gt;&lt;Ref_Type&gt;Journal&lt;/Ref_Type&gt;&lt;Ref_ID&gt;6407&lt;/Ref_ID&gt;&lt;Title_Primary&gt;Cost-effectiveness of cardiac resynchronization therapy in patients with symptomatic heart failure&lt;/Title_Primary&gt;&lt;Authors_Primary&gt;Nichol,G.&lt;/Authors_Primary&gt;&lt;Authors_Primary&gt;Kaul,P.&lt;/Authors_Primary&gt;&lt;Authors_Primary&gt;Huszti,E.&lt;/Authors_Primary&gt;&lt;Authors_Primary&gt;Bridges,J.F.&lt;/Authors_Primary&gt;&lt;Date_Primary&gt;2004/9/7&lt;/Date_Primary&gt;&lt;Keywords&gt;analysis&lt;/Keywords&gt;&lt;Keywords&gt;Article&lt;/Keywords&gt;&lt;Keywords&gt;cardiac&lt;/Keywords&gt;&lt;Keywords&gt;Cardiac Pacing,Artificial&lt;/Keywords&gt;&lt;Keywords&gt;Computer Simulation&lt;/Keywords&gt;&lt;Keywords&gt;Cost-Benefit Analysis&lt;/Keywords&gt;&lt;Keywords&gt;Death&lt;/Keywords&gt;&lt;Keywords&gt;Decision Support Techniques&lt;/Keywords&gt;&lt;Keywords&gt;Defibrillators,Implantable&lt;/Keywords&gt;&lt;Keywords&gt;drug therapy&lt;/Keywords&gt;&lt;Keywords&gt;economics&lt;/Keywords&gt;&lt;Keywords&gt;EJECTION&lt;/Keywords&gt;&lt;Keywords&gt;ejection fraction&lt;/Keywords&gt;&lt;Keywords&gt;Electric Countershock&lt;/Keywords&gt;&lt;Keywords&gt;FAILURE&lt;/Keywords&gt;&lt;Keywords&gt;function&lt;/Keywords&gt;&lt;Keywords&gt;Health&lt;/Keywords&gt;&lt;Keywords&gt;Heart&lt;/Keywords&gt;&lt;Keywords&gt;Heart Failure&lt;/Keywords&gt;&lt;Keywords&gt;Heart Failure,Congestive&lt;/Keywords&gt;&lt;Keywords&gt;HEART-FAILURE&lt;/Keywords&gt;&lt;Keywords&gt;Hospitalization&lt;/Keywords&gt;&lt;Keywords&gt;Humans&lt;/Keywords&gt;&lt;Keywords&gt;INTERVENTION&lt;/Keywords&gt;&lt;Keywords&gt;Journal Article&lt;/Keywords&gt;&lt;Keywords&gt;Life Expectancy&lt;/Keywords&gt;&lt;Keywords&gt;Markov Chains&lt;/Keywords&gt;&lt;Keywords&gt;Model&lt;/Keywords&gt;&lt;Keywords&gt;Monte Carlo Method&lt;/Keywords&gt;&lt;Keywords&gt;Morbidity&lt;/Keywords&gt;&lt;Keywords&gt;Patient&lt;/Keywords&gt;&lt;Keywords&gt;Patients&lt;/Keywords&gt;&lt;Keywords&gt;PERSPECTIVE&lt;/Keywords&gt;&lt;Keywords&gt;Population&lt;/Keywords&gt;&lt;Keywords&gt;Quality of Life&lt;/Keywords&gt;&lt;Keywords&gt;Quality-Adjusted Life Years&lt;/Keywords&gt;&lt;Keywords&gt;Research&lt;/Keywords&gt;&lt;Keywords&gt;Review&lt;/Keywords&gt;&lt;Keywords&gt;Risk&lt;/Keywords&gt;&lt;Keywords&gt;SYSTEM&lt;/Keywords&gt;&lt;Keywords&gt;therapy&lt;/Keywords&gt;&lt;Keywords&gt;Time&lt;/Keywords&gt;&lt;Keywords&gt;TRIAL&lt;/Keywords&gt;&lt;Keywords&gt;Universities&lt;/Keywords&gt;&lt;Keywords&gt;Ventricular Function&lt;/Keywords&gt;&lt;Keywords&gt;VENTRICULAR-FUNCTION&lt;/Keywords&gt;&lt;Keywords&gt;Washington&lt;/Keywords&gt;&lt;Reprint&gt;Not in File&lt;/Reprint&gt;&lt;Start_Page&gt;343&lt;/Start_Page&gt;&lt;End_Page&gt;351&lt;/End_Page&gt;&lt;Periodical&gt;Ann.Intern.Med&lt;/Periodical&gt;&lt;Volume&gt;141&lt;/Volume&gt;&lt;Issue&gt;5&lt;/Issue&gt;&lt;Address&gt;University of Washington-Harborview Prehospital Emergency Care Research and Training Center and Harborview Medical Center, Seattle, Washington 98104, USA. nichol@u.washington.edu&lt;/Address&gt;&lt;Web_URL&gt;PM:15353425&lt;/Web_URL&gt;&lt;ZZ_JournalFull&gt;&lt;f name="System"&gt;Ann.Intern.Med&lt;/f&gt;&lt;/ZZ_JournalFull&gt;&lt;ZZ_WorkformID&gt;1&lt;/ZZ_WorkformID&gt;&lt;/MDL&gt;&lt;/Cite&gt;&lt;/Refman&gt;</w:instrText>
      </w:r>
      <w:r w:rsidR="006506AF">
        <w:rPr>
          <w:sz w:val="22"/>
        </w:rPr>
        <w:fldChar w:fldCharType="separate"/>
      </w:r>
      <w:r w:rsidR="00DF2C28">
        <w:rPr>
          <w:sz w:val="22"/>
        </w:rPr>
        <w:t>(12)</w:t>
      </w:r>
      <w:r w:rsidR="006506AF">
        <w:rPr>
          <w:sz w:val="22"/>
        </w:rPr>
        <w:fldChar w:fldCharType="end"/>
      </w:r>
      <w:r>
        <w:t xml:space="preserve"> resulting in a utility coefficient of 0.57 for state H</w:t>
      </w:r>
      <w:r>
        <w:rPr>
          <w:vertAlign w:val="subscript"/>
        </w:rPr>
        <w:t>2</w:t>
      </w:r>
      <w:r>
        <w:t>. By convention, the health state dead (</w:t>
      </w:r>
      <w:r w:rsidRPr="00552B91">
        <w:t>H</w:t>
      </w:r>
      <w:r w:rsidRPr="00552B91">
        <w:rPr>
          <w:vertAlign w:val="subscript"/>
        </w:rPr>
        <w:t>3</w:t>
      </w:r>
      <w:r>
        <w:t>) was assigned a utility score of 0.</w:t>
      </w:r>
      <w:r w:rsidR="006506AF">
        <w:fldChar w:fldCharType="begin"/>
      </w:r>
      <w:r w:rsidR="00DF2C28">
        <w:instrText xml:space="preserve"> ADDIN REFMGR.CITE &lt;Refman&gt;&lt;Cite&gt;&lt;Author&gt;Maddigan&lt;/Author&gt;&lt;Year&gt;2005&lt;/Year&gt;&lt;RecNum&gt;6008&lt;/RecNum&gt;&lt;IDText&gt;Health-related quality of life deficits associated with diabetes and comorbidities in a Canadian National Population Health Survey&lt;/IDText&gt;&lt;MDL Ref_Type="Journal"&gt;&lt;Ref_Type&gt;Journal&lt;/Ref_Type&gt;&lt;Ref_ID&gt;6008&lt;/Ref_ID&gt;&lt;Title_Primary&gt;Health-related quality of life deficits associated with diabetes and comorbidities in a Canadian National Population Health Survey&lt;/Title_Primary&gt;&lt;Authors_Primary&gt;Maddigan,S.L.&lt;/Authors_Primary&gt;&lt;Authors_Primary&gt;Feeny,D.H.&lt;/Authors_Primary&gt;&lt;Authors_Primary&gt;Johnson,J.A.&lt;/Authors_Primary&gt;&lt;Date_Primary&gt;2005/6&lt;/Date_Primary&gt;&lt;Keywords&gt;Activities of Daily Living&lt;/Keywords&gt;&lt;Keywords&gt;Adult&lt;/Keywords&gt;&lt;Keywords&gt;Aged&lt;/Keywords&gt;&lt;Keywords&gt;Alberta&lt;/Keywords&gt;&lt;Keywords&gt;analysis&lt;/Keywords&gt;&lt;Keywords&gt;Arthritis&lt;/Keywords&gt;&lt;Keywords&gt;Canada&lt;/Keywords&gt;&lt;Keywords&gt;Cerebrovascular Accident&lt;/Keywords&gt;&lt;Keywords&gt;Chronic Disease&lt;/Keywords&gt;&lt;Keywords&gt;Comorbidity&lt;/Keywords&gt;&lt;Keywords&gt;complications&lt;/Keywords&gt;&lt;Keywords&gt;Control&lt;/Keywords&gt;&lt;Keywords&gt;Diabetes&lt;/Keywords&gt;&lt;Keywords&gt;Diabetes Complications&lt;/Keywords&gt;&lt;Keywords&gt;Diabetes Mellitus&lt;/Keywords&gt;&lt;Keywords&gt;Disease&lt;/Keywords&gt;&lt;Keywords&gt;Female&lt;/Keywords&gt;&lt;Keywords&gt;Health&lt;/Keywords&gt;&lt;Keywords&gt;Heart&lt;/Keywords&gt;&lt;Keywords&gt;Heart Diseases&lt;/Keywords&gt;&lt;Keywords&gt;Humans&lt;/Keywords&gt;&lt;Keywords&gt;Male&lt;/Keywords&gt;&lt;Keywords&gt;methods&lt;/Keywords&gt;&lt;Keywords&gt;Middle Aged&lt;/Keywords&gt;&lt;Keywords&gt;physiopathology&lt;/Keywords&gt;&lt;Keywords&gt;Population&lt;/Keywords&gt;&lt;Keywords&gt;psychology&lt;/Keywords&gt;&lt;Keywords&gt;Public Health&lt;/Keywords&gt;&lt;Keywords&gt;Quality of Life&lt;/Keywords&gt;&lt;Keywords&gt;Research Support,Non-U.S.Gov&amp;apos;t&lt;/Keywords&gt;&lt;Keywords&gt;Sickness Impact Profile&lt;/Keywords&gt;&lt;Reprint&gt;Not in File&lt;/Reprint&gt;&lt;Start_Page&gt;1311&lt;/Start_Page&gt;&lt;End_Page&gt;1320&lt;/End_Page&gt;&lt;Periodical&gt;Qual.Life Res.&lt;/Periodical&gt;&lt;Volume&gt;14&lt;/Volume&gt;&lt;Issue&gt;5&lt;/Issue&gt;&lt;Address&gt;Department of Public Health Sciences, University of Alberta, Edmonton, Canada&lt;/Address&gt;&lt;Web_URL&gt;PM:16047506&lt;/Web_URL&gt;&lt;ZZ_JournalFull&gt;&lt;f name="System"&gt;Qual.Life Res.&lt;/f&gt;&lt;/ZZ_JournalFull&gt;&lt;ZZ_WorkformID&gt;1&lt;/ZZ_WorkformID&gt;&lt;/MDL&gt;&lt;/Cite&gt;&lt;/Refman&gt;</w:instrText>
      </w:r>
      <w:r w:rsidR="006506AF">
        <w:fldChar w:fldCharType="separate"/>
      </w:r>
      <w:r w:rsidR="00DF2C28">
        <w:t>(11)</w:t>
      </w:r>
      <w:r w:rsidR="006506AF">
        <w:fldChar w:fldCharType="end"/>
      </w:r>
      <w:r>
        <w:t xml:space="preserve"> For the traditional survival analysis that assumes each health state (i.e., H</w:t>
      </w:r>
      <w:r w:rsidRPr="007A1AE4">
        <w:rPr>
          <w:vertAlign w:val="subscript"/>
        </w:rPr>
        <w:t>1</w:t>
      </w:r>
      <w:r>
        <w:t xml:space="preserve"> and H</w:t>
      </w:r>
      <w:r w:rsidRPr="007A1AE4">
        <w:rPr>
          <w:vertAlign w:val="subscript"/>
        </w:rPr>
        <w:t>2</w:t>
      </w:r>
      <w:r>
        <w:t xml:space="preserve">) is of equal importance, a utility equal to 1 (i.e., perfect health) was used. </w:t>
      </w:r>
    </w:p>
    <w:p w:rsidR="00843A08" w:rsidRDefault="00843A08" w:rsidP="005C1F7C">
      <w:pPr>
        <w:spacing w:line="480" w:lineRule="auto"/>
        <w:ind w:firstLine="360"/>
        <w:rPr>
          <w:u w:val="single"/>
        </w:rPr>
      </w:pPr>
    </w:p>
    <w:p w:rsidR="00A85E00" w:rsidRPr="00F80855" w:rsidRDefault="00A85E00" w:rsidP="005C1F7C">
      <w:pPr>
        <w:spacing w:line="480" w:lineRule="auto"/>
        <w:ind w:firstLine="360"/>
        <w:rPr>
          <w:u w:val="single"/>
        </w:rPr>
      </w:pPr>
      <w:r w:rsidRPr="00F80855">
        <w:rPr>
          <w:u w:val="single"/>
        </w:rPr>
        <w:t>Analysis</w:t>
      </w:r>
    </w:p>
    <w:p w:rsidR="004B75F3" w:rsidRDefault="004B75F3" w:rsidP="009E3093">
      <w:pPr>
        <w:spacing w:line="480" w:lineRule="auto"/>
        <w:ind w:firstLine="360"/>
      </w:pPr>
      <w:r>
        <w:t>For the</w:t>
      </w:r>
      <w:r w:rsidR="003D7F4C">
        <w:t xml:space="preserve"> metformin</w:t>
      </w:r>
      <w:r w:rsidR="0090177A">
        <w:t xml:space="preserve"> cohort</w:t>
      </w:r>
      <w:r>
        <w:t xml:space="preserve"> study, t</w:t>
      </w:r>
      <w:r w:rsidR="00327722">
        <w:t>he transitional survival functions for each health state</w:t>
      </w:r>
      <w:r w:rsidR="00B3596D">
        <w:t xml:space="preserve"> (i.e., </w:t>
      </w:r>
      <w:r w:rsidR="006C59A7">
        <w:t xml:space="preserve">all-cause </w:t>
      </w:r>
      <w:r w:rsidR="00B3596D">
        <w:t xml:space="preserve">death or </w:t>
      </w:r>
      <w:r w:rsidR="006C59A7">
        <w:t xml:space="preserve">all-cause </w:t>
      </w:r>
      <w:r w:rsidR="00B3596D">
        <w:t>hospitalization)</w:t>
      </w:r>
      <w:r w:rsidR="00327722">
        <w:t xml:space="preserve"> for the metformin and sulfonylurea groups were estimated using Cox proportional hazards models </w:t>
      </w:r>
      <w:r w:rsidR="00EF4338">
        <w:t>(</w:t>
      </w:r>
      <w:r w:rsidR="00FF0D0E">
        <w:t>i.e.</w:t>
      </w:r>
      <w:r w:rsidR="007274C5">
        <w:t xml:space="preserve">, </w:t>
      </w:r>
      <w:r w:rsidR="00EF4338">
        <w:t>PHREG) with</w:t>
      </w:r>
      <w:r w:rsidR="00AC22D6">
        <w:t xml:space="preserve"> </w:t>
      </w:r>
      <w:r w:rsidR="00B3596D">
        <w:t>adjust</w:t>
      </w:r>
      <w:r w:rsidR="00AC22D6">
        <w:t>ment</w:t>
      </w:r>
      <w:r w:rsidR="00EF4338">
        <w:t>s</w:t>
      </w:r>
      <w:r w:rsidR="00AC22D6" w:rsidRPr="00AC22D6">
        <w:t xml:space="preserve"> </w:t>
      </w:r>
      <w:r w:rsidR="008F1822">
        <w:t>for the confounding covariates</w:t>
      </w:r>
      <w:r w:rsidR="00EF4338" w:rsidRPr="00EF4338">
        <w:t xml:space="preserve"> </w:t>
      </w:r>
      <w:r w:rsidR="00843A08">
        <w:t xml:space="preserve">(Appendix A) </w:t>
      </w:r>
      <w:r w:rsidR="00EF4338">
        <w:t>and the product-limit estimate of the baseline survival function</w:t>
      </w:r>
      <w:r w:rsidR="008F1822">
        <w:t>.</w:t>
      </w:r>
      <w:r w:rsidR="006506AF">
        <w:fldChar w:fldCharType="begin"/>
      </w:r>
      <w:r w:rsidR="00DF2C28">
        <w:instrText xml:space="preserve"> ADDIN REFMGR.CITE &lt;Refman&gt;&lt;Cite&gt;&lt;Author&gt;Cole&lt;/Author&gt;&lt;Year&gt;1993&lt;/Year&gt;&lt;RecNum&gt;6007&lt;/RecNum&gt;&lt;IDText&gt;Cox regression models for quality adjusted survival analysis&lt;/IDText&gt;&lt;MDL Ref_Type="Journal"&gt;&lt;Ref_Type&gt;Journal&lt;/Ref_Type&gt;&lt;Ref_ID&gt;6007&lt;/Ref_ID&gt;&lt;Title_Primary&gt;Cox regression models for quality adjusted survival analysis&lt;/Title_Primary&gt;&lt;Authors_Primary&gt;Cole,B.F.&lt;/Authors_Primary&gt;&lt;Authors_Primary&gt;Gelber,R.D.&lt;/Authors_Primary&gt;&lt;Authors_Primary&gt;Goldhirsch,A.&lt;/Authors_Primary&gt;&lt;Date_Primary&gt;1993/5/30&lt;/Date_Primary&gt;&lt;Keywords&gt;administration &amp;amp; dosage&lt;/Keywords&gt;&lt;Keywords&gt;adverse effects&lt;/Keywords&gt;&lt;Keywords&gt;Affect&lt;/Keywords&gt;&lt;Keywords&gt;analysis&lt;/Keywords&gt;&lt;Keywords&gt;Antineoplastic Agents&lt;/Keywords&gt;&lt;Keywords&gt;Boston&lt;/Keywords&gt;&lt;Keywords&gt;Breast Neoplasms&lt;/Keywords&gt;&lt;Keywords&gt;drug therapy&lt;/Keywords&gt;&lt;Keywords&gt;Female&lt;/Keywords&gt;&lt;Keywords&gt;Health&lt;/Keywords&gt;&lt;Keywords&gt;Humans&lt;/Keywords&gt;&lt;Keywords&gt;Lymphatic Metastasis&lt;/Keywords&gt;&lt;Keywords&gt;Massachusetts&lt;/Keywords&gt;&lt;Keywords&gt;Middle Aged&lt;/Keywords&gt;&lt;Keywords&gt;mortality&lt;/Keywords&gt;&lt;Keywords&gt;Neoplasm Recurrence,Local&lt;/Keywords&gt;&lt;Keywords&gt;Neoplasm Staging&lt;/Keywords&gt;&lt;Keywords&gt;pathology&lt;/Keywords&gt;&lt;Keywords&gt;Prognosis&lt;/Keywords&gt;&lt;Keywords&gt;Proportional Hazards Models&lt;/Keywords&gt;&lt;Keywords&gt;psychology&lt;/Keywords&gt;&lt;Keywords&gt;Public Health&lt;/Keywords&gt;&lt;Keywords&gt;Quality of Life&lt;/Keywords&gt;&lt;Keywords&gt;Research Support,Non-U.S.Gov&amp;apos;t&lt;/Keywords&gt;&lt;Keywords&gt;Research Support,U.S.Gov&amp;apos;t,P.H.S.&lt;/Keywords&gt;&lt;Keywords&gt;Survival Analysis&lt;/Keywords&gt;&lt;Keywords&gt;Treatment Outcome&lt;/Keywords&gt;&lt;Reprint&gt;Not in File&lt;/Reprint&gt;&lt;Start_Page&gt;975&lt;/Start_Page&gt;&lt;End_Page&gt;987&lt;/End_Page&gt;&lt;Periodical&gt;Stat.Med.&lt;/Periodical&gt;&lt;Volume&gt;12&lt;/Volume&gt;&lt;Issue&gt;10&lt;/Issue&gt;&lt;Address&gt;Department of Biostatistics, Harvard School of Public Health and Division of Biostatistics, Dana-Farber Cancer Institute, Boston, Massachusetts 02115&lt;/Address&gt;&lt;Web_URL&gt;PM:8337554&lt;/Web_URL&gt;&lt;ZZ_JournalFull&gt;&lt;f name="System"&gt;Stat.Med.&lt;/f&gt;&lt;/ZZ_JournalFull&gt;&lt;ZZ_WorkformID&gt;1&lt;/ZZ_WorkformID&gt;&lt;/MDL&gt;&lt;/Cite&gt;&lt;/Refman&gt;</w:instrText>
      </w:r>
      <w:r w:rsidR="006506AF">
        <w:fldChar w:fldCharType="separate"/>
      </w:r>
      <w:r w:rsidR="00DF2C28">
        <w:t>(8)</w:t>
      </w:r>
      <w:r w:rsidR="006506AF">
        <w:fldChar w:fldCharType="end"/>
      </w:r>
      <w:r w:rsidR="00DF1933">
        <w:t xml:space="preserve"> </w:t>
      </w:r>
      <w:r w:rsidR="004A7D73" w:rsidRPr="004A7D73">
        <w:t>The survival functions for the treatment groups were estimated using overall mean values for each covariate.</w:t>
      </w:r>
      <w:r w:rsidR="00843A08">
        <w:t xml:space="preserve"> </w:t>
      </w:r>
      <w:r>
        <w:t xml:space="preserve">For the DIG </w:t>
      </w:r>
      <w:r w:rsidR="0090177A">
        <w:t>S</w:t>
      </w:r>
      <w:r>
        <w:t>tudy, there were no significant differences between the baseline characteristics</w:t>
      </w:r>
      <w:r w:rsidR="009808A0">
        <w:t xml:space="preserve"> of</w:t>
      </w:r>
      <w:r>
        <w:t xml:space="preserve"> the digoxin and placebo patients due to the randomized design.</w:t>
      </w:r>
      <w:r w:rsidR="006506AF">
        <w:fldChar w:fldCharType="begin"/>
      </w:r>
      <w:r w:rsidR="00DF2C28">
        <w:instrText xml:space="preserve"> ADDIN REFMGR.CITE &lt;Refman&gt;&lt;Cite&gt;&lt;Author&gt;The Digitalis Investigation Group&lt;/Author&gt;&lt;Year&gt;1997&lt;/Year&gt;&lt;RecNum&gt;6405&lt;/RecNum&gt;&lt;IDText&gt;The effect of digoxin on mortality and morbidity in patients with heart failure.&lt;/IDText&gt;&lt;MDL Ref_Type="Journal"&gt;&lt;Ref_Type&gt;Journal&lt;/Ref_Type&gt;&lt;Ref_ID&gt;6405&lt;/Ref_ID&gt;&lt;Title_Primary&gt;The effect of digoxin on mortality and morbidity in patients with heart failure.&lt;/Title_Primary&gt;&lt;Authors_Primary&gt;The Digitalis Investigation Group&lt;/Authors_Primary&gt;&lt;Date_Primary&gt;1997/2/20&lt;/Date_Primary&gt;&lt;Keywords&gt;adverse effects&lt;/Keywords&gt;&lt;Keywords&gt;Aged&lt;/Keywords&gt;&lt;Keywords&gt;Arrhythmia&lt;/Keywords&gt;&lt;Keywords&gt;Article&lt;/Keywords&gt;&lt;Keywords&gt;cardiac&lt;/Keywords&gt;&lt;Keywords&gt;Cardiotonic Agents&lt;/Keywords&gt;&lt;Keywords&gt;Cardiovascular Diseases&lt;/Keywords&gt;&lt;Keywords&gt;chronic heart failure&lt;/Keywords&gt;&lt;Keywords&gt;CHRONIC-HEART-FAILURE&lt;/Keywords&gt;&lt;Keywords&gt;Clinical Trial&lt;/Keywords&gt;&lt;Keywords&gt;CLINICAL-TRIAL&lt;/Keywords&gt;&lt;Keywords&gt;complications&lt;/Keywords&gt;&lt;Keywords&gt;Confidence Interval&lt;/Keywords&gt;&lt;Keywords&gt;CONTROLLED TRIAL&lt;/Keywords&gt;&lt;Keywords&gt;CONTROLLED-TRIAL&lt;/Keywords&gt;&lt;Keywords&gt;Death&lt;/Keywords&gt;&lt;Keywords&gt;DECREASE&lt;/Keywords&gt;&lt;Keywords&gt;Digoxin&lt;/Keywords&gt;&lt;Keywords&gt;Diuretics&lt;/Keywords&gt;&lt;Keywords&gt;Double-Blind Method&lt;/Keywords&gt;&lt;Keywords&gt;drug therapy&lt;/Keywords&gt;&lt;Keywords&gt;EJECTION&lt;/Keywords&gt;&lt;Keywords&gt;ejection fraction&lt;/Keywords&gt;&lt;Keywords&gt;etiology&lt;/Keywords&gt;&lt;Keywords&gt;FAILURE&lt;/Keywords&gt;&lt;Keywords&gt;Female&lt;/Keywords&gt;&lt;Keywords&gt;Follow Up&lt;/Keywords&gt;&lt;Keywords&gt;FOLLOW-UP&lt;/Keywords&gt;&lt;Keywords&gt;Heart&lt;/Keywords&gt;&lt;Keywords&gt;Heart Failure&lt;/Keywords&gt;&lt;Keywords&gt;Heart Failure,Congestive&lt;/Keywords&gt;&lt;Keywords&gt;HEART-FAILURE&lt;/Keywords&gt;&lt;Keywords&gt;Hospitalization&lt;/Keywords&gt;&lt;Keywords&gt;Humans&lt;/Keywords&gt;&lt;Keywords&gt;INHIBITOR&lt;/Keywords&gt;&lt;Keywords&gt;INTERVAL&lt;/Keywords&gt;&lt;Keywords&gt;Journal Article&lt;/Keywords&gt;&lt;Keywords&gt;left ventricular ejection fraction&lt;/Keywords&gt;&lt;Keywords&gt;LESS&lt;/Keywords&gt;&lt;Keywords&gt;Male&lt;/Keywords&gt;&lt;Keywords&gt;MANAGEMENT&lt;/Keywords&gt;&lt;Keywords&gt;methods&lt;/Keywords&gt;&lt;Keywords&gt;Middle Aged&lt;/Keywords&gt;&lt;Keywords&gt;Morbidity&lt;/Keywords&gt;&lt;Keywords&gt;mortality&lt;/Keywords&gt;&lt;Keywords&gt;Multicenter Studies&lt;/Keywords&gt;&lt;Keywords&gt;Multicenter Study&lt;/Keywords&gt;&lt;Keywords&gt;New York&lt;/Keywords&gt;&lt;Keywords&gt;Patient&lt;/Keywords&gt;&lt;Keywords&gt;Patients&lt;/Keywords&gt;&lt;Keywords&gt;Placebo&lt;/Keywords&gt;&lt;Keywords&gt;Randomized Controlled Trial&lt;/Keywords&gt;&lt;Keywords&gt;Risk&lt;/Keywords&gt;&lt;Keywords&gt;Sinus Rhythm&lt;/Keywords&gt;&lt;Keywords&gt;statistics &amp;amp; numerical data&lt;/Keywords&gt;&lt;Keywords&gt;Stroke Volume&lt;/Keywords&gt;&lt;Keywords&gt;studies&lt;/Keywords&gt;&lt;Keywords&gt;Study&lt;/Keywords&gt;&lt;Keywords&gt;therapeutic use&lt;/Keywords&gt;&lt;Keywords&gt;Treatment Outcome&lt;/Keywords&gt;&lt;Keywords&gt;TRIAL&lt;/Keywords&gt;&lt;Keywords&gt;VENTRICULAR EJECTION FRACTION&lt;/Keywords&gt;&lt;Reprint&gt;Not in File&lt;/Reprint&gt;&lt;Start_Page&gt;525&lt;/Start_Page&gt;&lt;End_Page&gt;533&lt;/End_Page&gt;&lt;Periodical&gt;N.Engl.J.Med&lt;/Periodical&gt;&lt;Volume&gt;336&lt;/Volume&gt;&lt;Issue&gt;8&lt;/Issue&gt;&lt;Address&gt;Mount Sinai Medical Center, New York, NY 10029-6574, USA&lt;/Address&gt;&lt;Web_URL&gt;PM:9036306&lt;/Web_URL&gt;&lt;ZZ_JournalFull&gt;&lt;f name="System"&gt;N.Engl.J.Med&lt;/f&gt;&lt;/ZZ_JournalFull&gt;&lt;ZZ_WorkformID&gt;1&lt;/ZZ_WorkformID&gt;&lt;/MDL&gt;&lt;/Cite&gt;&lt;/Refman&gt;</w:instrText>
      </w:r>
      <w:r w:rsidR="006506AF">
        <w:fldChar w:fldCharType="separate"/>
      </w:r>
      <w:r w:rsidR="00DF2C28">
        <w:t>(10)</w:t>
      </w:r>
      <w:r w:rsidR="006506AF">
        <w:fldChar w:fldCharType="end"/>
      </w:r>
      <w:r>
        <w:t xml:space="preserve"> As a result, the </w:t>
      </w:r>
      <w:r w:rsidR="00EF4338">
        <w:t>s</w:t>
      </w:r>
      <w:r>
        <w:t>urvival functions were estimated using Cox proportional hazards models with</w:t>
      </w:r>
      <w:r w:rsidR="0090177A">
        <w:t>out</w:t>
      </w:r>
      <w:r>
        <w:t xml:space="preserve"> </w:t>
      </w:r>
      <w:r w:rsidR="0090177A">
        <w:t xml:space="preserve">covariate </w:t>
      </w:r>
      <w:r>
        <w:t xml:space="preserve">adjustments. </w:t>
      </w:r>
    </w:p>
    <w:p w:rsidR="00EC2110" w:rsidRDefault="00115862" w:rsidP="00EC2110">
      <w:pPr>
        <w:spacing w:line="480" w:lineRule="auto"/>
        <w:ind w:firstLine="360"/>
      </w:pPr>
      <w:r>
        <w:t xml:space="preserve">For each health state, the mean time spent in the health state was calculated by integrating the </w:t>
      </w:r>
      <w:r w:rsidR="00A41858">
        <w:t xml:space="preserve">estimated </w:t>
      </w:r>
      <w:r>
        <w:t xml:space="preserve">survival </w:t>
      </w:r>
      <w:r w:rsidR="00A41858">
        <w:t>function</w:t>
      </w:r>
      <w:r w:rsidR="00D90DF4">
        <w:t xml:space="preserve"> from zero to the</w:t>
      </w:r>
      <w:r w:rsidR="00B422AE">
        <w:t xml:space="preserve"> maximum follow-up of</w:t>
      </w:r>
      <w:r w:rsidR="00552B91">
        <w:t xml:space="preserve"> </w:t>
      </w:r>
      <w:r w:rsidR="001379AE">
        <w:t>8.0</w:t>
      </w:r>
      <w:r w:rsidR="006C653B">
        <w:t xml:space="preserve"> years </w:t>
      </w:r>
      <w:r w:rsidR="009808A0">
        <w:t xml:space="preserve">for the metformin study </w:t>
      </w:r>
      <w:r w:rsidR="006C653B">
        <w:t>and 4.</w:t>
      </w:r>
      <w:r w:rsidR="00EC2110">
        <w:t>8</w:t>
      </w:r>
      <w:r w:rsidR="006C653B">
        <w:t xml:space="preserve"> years </w:t>
      </w:r>
      <w:r w:rsidR="009808A0">
        <w:t>for the</w:t>
      </w:r>
      <w:r w:rsidR="006C653B">
        <w:t xml:space="preserve"> DIG </w:t>
      </w:r>
      <w:r w:rsidR="0090177A">
        <w:t>S</w:t>
      </w:r>
      <w:r w:rsidR="006C653B">
        <w:t>tudy</w:t>
      </w:r>
      <w:r w:rsidR="00843A08">
        <w:t xml:space="preserve"> (i.e., last composite event occurrence)</w:t>
      </w:r>
      <w:r w:rsidR="00D90DF4">
        <w:t xml:space="preserve">. </w:t>
      </w:r>
      <w:r w:rsidR="00EC2110">
        <w:t>Mean survival time in state H</w:t>
      </w:r>
      <w:r w:rsidR="00EC2110" w:rsidRPr="00D51C5B">
        <w:rPr>
          <w:vertAlign w:val="subscript"/>
        </w:rPr>
        <w:t>1</w:t>
      </w:r>
      <w:r w:rsidR="00EC2110">
        <w:t xml:space="preserve"> was estimated by the integrated survival time for the composite outcome. Mean survival time in state H</w:t>
      </w:r>
      <w:r w:rsidR="00EC2110" w:rsidRPr="00D51C5B">
        <w:rPr>
          <w:vertAlign w:val="subscript"/>
        </w:rPr>
        <w:t>2</w:t>
      </w:r>
      <w:r w:rsidR="00EC2110">
        <w:t xml:space="preserve"> was calculated by integrating the overall survival time of death and subtracting the mean time spent in state H</w:t>
      </w:r>
      <w:r w:rsidR="00EC2110" w:rsidRPr="00D51C5B">
        <w:rPr>
          <w:vertAlign w:val="subscript"/>
        </w:rPr>
        <w:t>1</w:t>
      </w:r>
      <w:r w:rsidR="00EC2110">
        <w:t>. QAS time in each health state was then calculated by multiplying the mean time spent in each health state by the respective utility coefficient.</w:t>
      </w:r>
      <w:r w:rsidR="006506AF">
        <w:fldChar w:fldCharType="begin"/>
      </w:r>
      <w:r w:rsidR="00DF2C28">
        <w:instrText xml:space="preserve"> ADDIN REFMGR.CITE &lt;Refman&gt;&lt;Cite&gt;&lt;Author&gt;Cole&lt;/Author&gt;&lt;Year&gt;1993&lt;/Year&gt;&lt;RecNum&gt;6007&lt;/RecNum&gt;&lt;IDText&gt;Cox regression models for quality adjusted survival analysis&lt;/IDText&gt;&lt;MDL Ref_Type="Journal"&gt;&lt;Ref_Type&gt;Journal&lt;/Ref_Type&gt;&lt;Ref_ID&gt;6007&lt;/Ref_ID&gt;&lt;Title_Primary&gt;Cox regression models for quality adjusted survival analysis&lt;/Title_Primary&gt;&lt;Authors_Primary&gt;Cole,B.F.&lt;/Authors_Primary&gt;&lt;Authors_Primary&gt;Gelber,R.D.&lt;/Authors_Primary&gt;&lt;Authors_Primary&gt;Goldhirsch,A.&lt;/Authors_Primary&gt;&lt;Date_Primary&gt;1993/5/30&lt;/Date_Primary&gt;&lt;Keywords&gt;administration &amp;amp; dosage&lt;/Keywords&gt;&lt;Keywords&gt;adverse effects&lt;/Keywords&gt;&lt;Keywords&gt;Affect&lt;/Keywords&gt;&lt;Keywords&gt;analysis&lt;/Keywords&gt;&lt;Keywords&gt;Antineoplastic Agents&lt;/Keywords&gt;&lt;Keywords&gt;Boston&lt;/Keywords&gt;&lt;Keywords&gt;Breast Neoplasms&lt;/Keywords&gt;&lt;Keywords&gt;drug therapy&lt;/Keywords&gt;&lt;Keywords&gt;Female&lt;/Keywords&gt;&lt;Keywords&gt;Health&lt;/Keywords&gt;&lt;Keywords&gt;Humans&lt;/Keywords&gt;&lt;Keywords&gt;Lymphatic Metastasis&lt;/Keywords&gt;&lt;Keywords&gt;Massachusetts&lt;/Keywords&gt;&lt;Keywords&gt;Middle Aged&lt;/Keywords&gt;&lt;Keywords&gt;mortality&lt;/Keywords&gt;&lt;Keywords&gt;Neoplasm Recurrence,Local&lt;/Keywords&gt;&lt;Keywords&gt;Neoplasm Staging&lt;/Keywords&gt;&lt;Keywords&gt;pathology&lt;/Keywords&gt;&lt;Keywords&gt;Prognosis&lt;/Keywords&gt;&lt;Keywords&gt;Proportional Hazards Models&lt;/Keywords&gt;&lt;Keywords&gt;psychology&lt;/Keywords&gt;&lt;Keywords&gt;Public Health&lt;/Keywords&gt;&lt;Keywords&gt;Quality of Life&lt;/Keywords&gt;&lt;Keywords&gt;Research Support,Non-U.S.Gov&amp;apos;t&lt;/Keywords&gt;&lt;Keywords&gt;Research Support,U.S.Gov&amp;apos;t,P.H.S.&lt;/Keywords&gt;&lt;Keywords&gt;Survival Analysis&lt;/Keywords&gt;&lt;Keywords&gt;Treatment Outcome&lt;/Keywords&gt;&lt;Reprint&gt;Not in File&lt;/Reprint&gt;&lt;Start_Page&gt;975&lt;/Start_Page&gt;&lt;End_Page&gt;987&lt;/End_Page&gt;&lt;Periodical&gt;Stat.Med.&lt;/Periodical&gt;&lt;Volume&gt;12&lt;/Volume&gt;&lt;Issue&gt;10&lt;/Issue&gt;&lt;Address&gt;Department of Biostatistics, Harvard School of Public Health and Division of Biostatistics, Dana-Farber Cancer Institute, Boston, Massachusetts 02115&lt;/Address&gt;&lt;Web_URL&gt;PM:8337554&lt;/Web_URL&gt;&lt;ZZ_JournalFull&gt;&lt;f name="System"&gt;Stat.Med.&lt;/f&gt;&lt;/ZZ_JournalFull&gt;&lt;ZZ_WorkformID&gt;1&lt;/ZZ_WorkformID&gt;&lt;/MDL&gt;&lt;/Cite&gt;&lt;/Refman&gt;</w:instrText>
      </w:r>
      <w:r w:rsidR="006506AF">
        <w:fldChar w:fldCharType="separate"/>
      </w:r>
      <w:r w:rsidR="00DF2C28">
        <w:t>(8)</w:t>
      </w:r>
      <w:r w:rsidR="006506AF">
        <w:fldChar w:fldCharType="end"/>
      </w:r>
      <w:r w:rsidR="00EC2110">
        <w:t xml:space="preserve"> Summation of these quality adjusted times provided an estimate of the overall QAS time during the study period for each treatment group.</w:t>
      </w:r>
    </w:p>
    <w:p w:rsidR="00EC2110" w:rsidRDefault="00EC2110" w:rsidP="00EC2110">
      <w:pPr>
        <w:spacing w:line="480" w:lineRule="auto"/>
        <w:ind w:firstLine="360"/>
      </w:pPr>
      <w:r>
        <w:t>To generate estimates of the variability of the mean QAS time for the treatment groups, we used 500 bootstrap samples for both studies with the 95 percent confidence interval (CI) and corresponding p-values calculated according to the percentile method.</w:t>
      </w:r>
      <w:r w:rsidR="006506AF">
        <w:fldChar w:fldCharType="begin"/>
      </w:r>
      <w:r w:rsidR="00DF2C28">
        <w:instrText xml:space="preserve"> ADDIN REFMGR.CITE &lt;Refman&gt;&lt;Cite&gt;&lt;Author&gt;Efron&lt;/Author&gt;&lt;Year&gt;1981&lt;/Year&gt;&lt;RecNum&gt;7240&lt;/RecNum&gt;&lt;IDText&gt;Censored-Data and the Bootstrap&lt;/IDText&gt;&lt;MDL Ref_Type="Journal"&gt;&lt;Ref_Type&gt;Journal&lt;/Ref_Type&gt;&lt;Ref_ID&gt;7240&lt;/Ref_ID&gt;&lt;Title_Primary&gt;Censored-Data and the Bootstrap&lt;/Title_Primary&gt;&lt;Authors_Primary&gt;Efron,B.&lt;/Authors_Primary&gt;&lt;Date_Primary&gt;1981&lt;/Date_Primary&gt;&lt;Keywords&gt;Article&lt;/Keywords&gt;&lt;Keywords&gt;Time&lt;/Keywords&gt;&lt;Reprint&gt;Not in File&lt;/Reprint&gt;&lt;Start_Page&gt;312&lt;/Start_Page&gt;&lt;End_Page&gt;319&lt;/End_Page&gt;&lt;Periodical&gt;Journal of the American Statistical Association&lt;/Periodical&gt;&lt;Volume&gt;76&lt;/Volume&gt;&lt;Issue&gt;374&lt;/Issue&gt;&lt;ISSN_ISBN&gt;0162-1459&lt;/ISSN_ISBN&gt;&lt;Web_URL&gt;ISI:A1981LT69100018&lt;/Web_URL&gt;&lt;ZZ_JournalFull&gt;&lt;f name="System"&gt;Journal of the American Statistical Association&lt;/f&gt;&lt;/ZZ_JournalFull&gt;&lt;ZZ_WorkformID&gt;1&lt;/ZZ_WorkformID&gt;&lt;/MDL&gt;&lt;/Cite&gt;&lt;/Refman&gt;</w:instrText>
      </w:r>
      <w:r w:rsidR="006506AF">
        <w:fldChar w:fldCharType="separate"/>
      </w:r>
      <w:r w:rsidR="00DF2C28">
        <w:t>(13)</w:t>
      </w:r>
      <w:r w:rsidR="006506AF">
        <w:fldChar w:fldCharType="end"/>
      </w:r>
      <w:r>
        <w:t xml:space="preserve"> </w:t>
      </w:r>
    </w:p>
    <w:p w:rsidR="00C56DD8" w:rsidRDefault="00C56DD8" w:rsidP="00EC2110">
      <w:pPr>
        <w:spacing w:line="480" w:lineRule="auto"/>
        <w:ind w:firstLine="360"/>
      </w:pPr>
    </w:p>
    <w:p w:rsidR="006C653B" w:rsidRPr="00F80855" w:rsidRDefault="006C653B" w:rsidP="009E3093">
      <w:pPr>
        <w:spacing w:line="480" w:lineRule="auto"/>
        <w:ind w:firstLine="360"/>
        <w:rPr>
          <w:i/>
        </w:rPr>
      </w:pPr>
      <w:r w:rsidRPr="00F80855">
        <w:rPr>
          <w:i/>
        </w:rPr>
        <w:t>Sensitivity Analysis</w:t>
      </w:r>
    </w:p>
    <w:p w:rsidR="00BB7D3F" w:rsidRDefault="006C653B" w:rsidP="009E3093">
      <w:pPr>
        <w:spacing w:line="480" w:lineRule="auto"/>
        <w:ind w:firstLine="360"/>
      </w:pPr>
      <w:r>
        <w:t xml:space="preserve">Sensitivity analyses were </w:t>
      </w:r>
      <w:r w:rsidR="00353B04">
        <w:t>performed</w:t>
      </w:r>
      <w:r>
        <w:t xml:space="preserve"> to evaluate the effect of different utility coefficients for the health states on the results </w:t>
      </w:r>
      <w:r w:rsidR="005B3809">
        <w:t>for both the metformin and DIG S</w:t>
      </w:r>
      <w:r>
        <w:t xml:space="preserve">tudy.  The utility </w:t>
      </w:r>
      <w:r w:rsidR="007274C5">
        <w:t>coefficients</w:t>
      </w:r>
      <w:r>
        <w:t xml:space="preserve"> for health states H</w:t>
      </w:r>
      <w:r w:rsidRPr="00D51C5B">
        <w:rPr>
          <w:vertAlign w:val="subscript"/>
        </w:rPr>
        <w:t>1</w:t>
      </w:r>
      <w:r>
        <w:t xml:space="preserve"> and H</w:t>
      </w:r>
      <w:r w:rsidRPr="00D51C5B">
        <w:rPr>
          <w:vertAlign w:val="subscript"/>
        </w:rPr>
        <w:t>2</w:t>
      </w:r>
      <w:r>
        <w:t xml:space="preserve"> were varied by increasing or decreasing the utility coefficients by </w:t>
      </w:r>
      <w:r w:rsidR="002D1CBD">
        <w:t>0.03,</w:t>
      </w:r>
      <w:r w:rsidR="0090177A">
        <w:t xml:space="preserve"> considered </w:t>
      </w:r>
      <w:r w:rsidR="005B3809">
        <w:t>a</w:t>
      </w:r>
      <w:r w:rsidR="0090177A">
        <w:t xml:space="preserve"> </w:t>
      </w:r>
      <w:r w:rsidR="002D1CBD">
        <w:t>clinically important difference</w:t>
      </w:r>
      <w:r w:rsidR="005B3809">
        <w:t xml:space="preserve"> on the HUI3</w:t>
      </w:r>
      <w:r w:rsidR="004271B0">
        <w:t>.</w:t>
      </w:r>
      <w:r w:rsidR="006506AF">
        <w:fldChar w:fldCharType="begin"/>
      </w:r>
      <w:r w:rsidR="00DF2C28">
        <w:instrText xml:space="preserve"> ADDIN REFMGR.CITE &lt;Refman&gt;&lt;Cite&gt;&lt;Author&gt;Horsman&lt;/Author&gt;&lt;Year&gt;2003&lt;/Year&gt;&lt;RecNum&gt;7212&lt;/RecNum&gt;&lt;IDText&gt;The Health Utilities Index (HUI(R)): concepts, measurement properties and applications&lt;/IDText&gt;&lt;MDL Ref_Type="Journal"&gt;&lt;Ref_Type&gt;Journal&lt;/Ref_Type&gt;&lt;Ref_ID&gt;7212&lt;/Ref_ID&gt;&lt;Title_Primary&gt;The Health Utilities Index (HUI(R)): concepts, measurement properties and applications&lt;/Title_Primary&gt;&lt;Authors_Primary&gt;Horsman,J.&lt;/Authors_Primary&gt;&lt;Authors_Primary&gt;Furlong,W.&lt;/Authors_Primary&gt;&lt;Authors_Primary&gt;Feeny,D.&lt;/Authors_Primary&gt;&lt;Authors_Primary&gt;Torrance,G.&lt;/Authors_Primary&gt;&lt;Date_Primary&gt;2003/10/16&lt;/Date_Primary&gt;&lt;Keywords&gt;2&lt;/Keywords&gt;&lt;Keywords&gt;3&lt;/Keywords&gt;&lt;Keywords&gt;Article&lt;/Keywords&gt;&lt;Keywords&gt;Canada&lt;/Keywords&gt;&lt;Keywords&gt;classification&lt;/Keywords&gt;&lt;Keywords&gt;Disease&lt;/Keywords&gt;&lt;Keywords&gt;function&lt;/Keywords&gt;&lt;Keywords&gt;Health&lt;/Keywords&gt;&lt;Keywords&gt;Health Status&lt;/Keywords&gt;&lt;Keywords&gt;INDEX&lt;/Keywords&gt;&lt;Keywords&gt;INDEXES&lt;/Keywords&gt;&lt;Keywords&gt;Journal Article&lt;/Keywords&gt;&lt;Keywords&gt;LEVEL&lt;/Keywords&gt;&lt;Keywords&gt;outcome&lt;/Keywords&gt;&lt;Keywords&gt;OUTCOMES&lt;/Keywords&gt;&lt;Keywords&gt;Patient&lt;/Keywords&gt;&lt;Keywords&gt;Patients&lt;/Keywords&gt;&lt;Keywords&gt;Population&lt;/Keywords&gt;&lt;Keywords&gt;Quality of Life&lt;/Keywords&gt;&lt;Keywords&gt;Review&lt;/Keywords&gt;&lt;Keywords&gt;studies&lt;/Keywords&gt;&lt;Keywords&gt;Study&lt;/Keywords&gt;&lt;Keywords&gt;SYSTEM&lt;/Keywords&gt;&lt;Keywords&gt;treatment&lt;/Keywords&gt;&lt;Keywords&gt;Treatment Outcome&lt;/Keywords&gt;&lt;Reprint&gt;Not in File&lt;/Reprint&gt;&lt;Start_Page&gt;54&lt;/Start_Page&gt;&lt;Periodical&gt;Health Qual.Life Outcomes&lt;/Periodical&gt;&lt;Volume&gt;1&lt;/Volume&gt;&lt;Issue&gt;1&lt;/Issue&gt;&lt;Address&gt;Health Utilities Inc, Dundas, ON, Canada. furlongb@mcmaster.ca&lt;/Address&gt;&lt;Web_URL&gt;PM:14613568&lt;/Web_URL&gt;&lt;ZZ_JournalFull&gt;&lt;f name="System"&gt;Health Qual.Life Outcomes&lt;/f&gt;&lt;/ZZ_JournalFull&gt;&lt;ZZ_WorkformID&gt;1&lt;/ZZ_WorkformID&gt;&lt;/MDL&gt;&lt;/Cite&gt;&lt;/Refman&gt;</w:instrText>
      </w:r>
      <w:r w:rsidR="006506AF">
        <w:fldChar w:fldCharType="separate"/>
      </w:r>
      <w:r w:rsidR="00DF2C28">
        <w:t>(14)</w:t>
      </w:r>
      <w:r w:rsidR="006506AF">
        <w:fldChar w:fldCharType="end"/>
      </w:r>
      <w:proofErr w:type="gramStart"/>
      <w:r w:rsidR="00DF1933">
        <w:t xml:space="preserve">  All</w:t>
      </w:r>
      <w:proofErr w:type="gramEnd"/>
      <w:r w:rsidR="00DF1933">
        <w:t xml:space="preserve"> analyses were conducted using SAS for </w:t>
      </w:r>
      <w:r w:rsidR="007274C5">
        <w:t>W</w:t>
      </w:r>
      <w:r w:rsidR="00DF1933">
        <w:t xml:space="preserve">indows </w:t>
      </w:r>
      <w:r w:rsidR="007274C5">
        <w:t>V</w:t>
      </w:r>
      <w:r w:rsidR="00353B04">
        <w:t xml:space="preserve">ersion </w:t>
      </w:r>
      <w:r w:rsidR="00DF1933">
        <w:t>9.1</w:t>
      </w:r>
      <w:r w:rsidR="004271B0">
        <w:t>,</w:t>
      </w:r>
      <w:r w:rsidR="004271B0" w:rsidRPr="004271B0">
        <w:t xml:space="preserve"> </w:t>
      </w:r>
      <w:r w:rsidR="004271B0">
        <w:t>Cary, NC, USA</w:t>
      </w:r>
      <w:r w:rsidR="00DF1933">
        <w:t>.</w:t>
      </w:r>
    </w:p>
    <w:p w:rsidR="007274C5" w:rsidRDefault="007274C5" w:rsidP="009E3093">
      <w:pPr>
        <w:spacing w:line="480" w:lineRule="auto"/>
        <w:rPr>
          <w:b/>
        </w:rPr>
      </w:pPr>
    </w:p>
    <w:p w:rsidR="00581873" w:rsidRDefault="009B542A" w:rsidP="009E3093">
      <w:pPr>
        <w:spacing w:line="480" w:lineRule="auto"/>
        <w:rPr>
          <w:b/>
        </w:rPr>
      </w:pPr>
      <w:r w:rsidRPr="009B542A">
        <w:rPr>
          <w:b/>
        </w:rPr>
        <w:t>Results</w:t>
      </w:r>
    </w:p>
    <w:p w:rsidR="002D3F13" w:rsidRPr="002D3F13" w:rsidRDefault="002D3F13" w:rsidP="009E3093">
      <w:pPr>
        <w:spacing w:line="480" w:lineRule="auto"/>
        <w:rPr>
          <w:b/>
          <w:i/>
        </w:rPr>
      </w:pPr>
      <w:r w:rsidRPr="002D3F13">
        <w:rPr>
          <w:b/>
          <w:i/>
        </w:rPr>
        <w:t xml:space="preserve">i. Metformin use in </w:t>
      </w:r>
      <w:r>
        <w:rPr>
          <w:b/>
          <w:i/>
        </w:rPr>
        <w:t>H</w:t>
      </w:r>
      <w:r w:rsidRPr="002D3F13">
        <w:rPr>
          <w:b/>
          <w:i/>
        </w:rPr>
        <w:t>eart Failure</w:t>
      </w:r>
    </w:p>
    <w:p w:rsidR="001B2846" w:rsidRDefault="00433516" w:rsidP="009E3093">
      <w:pPr>
        <w:spacing w:line="480" w:lineRule="auto"/>
        <w:ind w:firstLine="360"/>
      </w:pPr>
      <w:r>
        <w:t xml:space="preserve">Using traditional survival analysis, which assumes that those </w:t>
      </w:r>
      <w:r w:rsidR="00353B04">
        <w:t>who are alive</w:t>
      </w:r>
      <w:r w:rsidR="00494D65">
        <w:t xml:space="preserve"> </w:t>
      </w:r>
      <w:r>
        <w:t xml:space="preserve">are in perfect health </w:t>
      </w:r>
      <w:r w:rsidR="00C34CFE">
        <w:t xml:space="preserve">(i.e., utility </w:t>
      </w:r>
      <w:r w:rsidR="00353B04">
        <w:t>of</w:t>
      </w:r>
      <w:r w:rsidR="00C34CFE">
        <w:t xml:space="preserve"> 1 for all health states) </w:t>
      </w:r>
      <w:r>
        <w:t>until the time of death</w:t>
      </w:r>
      <w:r w:rsidR="00C71338">
        <w:t>,</w:t>
      </w:r>
      <w:r>
        <w:t xml:space="preserve"> </w:t>
      </w:r>
      <w:r w:rsidR="001B2846">
        <w:t xml:space="preserve">sulfonylurea </w:t>
      </w:r>
      <w:r>
        <w:t>users would have an</w:t>
      </w:r>
      <w:r w:rsidR="00574D1B">
        <w:t xml:space="preserve"> </w:t>
      </w:r>
      <w:r w:rsidR="001B2846">
        <w:t>expected</w:t>
      </w:r>
      <w:r w:rsidR="00901AD9">
        <w:t xml:space="preserve"> mean</w:t>
      </w:r>
      <w:r w:rsidR="001B2846">
        <w:t xml:space="preserve"> adjusted</w:t>
      </w:r>
      <w:r w:rsidR="00C71338">
        <w:t xml:space="preserve"> </w:t>
      </w:r>
      <w:r w:rsidR="001B2846">
        <w:t xml:space="preserve">survival </w:t>
      </w:r>
      <w:r>
        <w:t xml:space="preserve">of </w:t>
      </w:r>
      <w:r w:rsidR="00890530">
        <w:t>4.</w:t>
      </w:r>
      <w:r w:rsidR="00E3678B">
        <w:t>10</w:t>
      </w:r>
      <w:r w:rsidR="001B2846">
        <w:t xml:space="preserve"> years</w:t>
      </w:r>
      <w:r>
        <w:t xml:space="preserve"> and </w:t>
      </w:r>
      <w:r w:rsidR="001B2846">
        <w:t xml:space="preserve">the metformin users would have an expected </w:t>
      </w:r>
      <w:r w:rsidR="00901AD9">
        <w:t xml:space="preserve">mean </w:t>
      </w:r>
      <w:r w:rsidR="001B2846">
        <w:t xml:space="preserve">adjusted survival of </w:t>
      </w:r>
      <w:r w:rsidR="00E3678B">
        <w:t>4</w:t>
      </w:r>
      <w:r w:rsidR="00890530">
        <w:t>.</w:t>
      </w:r>
      <w:r w:rsidR="00E3678B">
        <w:t>92</w:t>
      </w:r>
      <w:r w:rsidR="001B2846">
        <w:t xml:space="preserve"> years</w:t>
      </w:r>
      <w:r w:rsidR="00C71338">
        <w:t xml:space="preserve"> </w:t>
      </w:r>
      <w:r>
        <w:t>in this dataset</w:t>
      </w:r>
      <w:r w:rsidR="001B2846">
        <w:t>.</w:t>
      </w:r>
      <w:r w:rsidR="00890530">
        <w:t xml:space="preserve"> This </w:t>
      </w:r>
      <w:r w:rsidR="0090177A">
        <w:t>translates into</w:t>
      </w:r>
      <w:r>
        <w:t xml:space="preserve"> </w:t>
      </w:r>
      <w:r w:rsidR="002E5D9B">
        <w:t>a</w:t>
      </w:r>
      <w:r w:rsidR="00353B04">
        <w:t>n average</w:t>
      </w:r>
      <w:r w:rsidR="002E5D9B">
        <w:t xml:space="preserve"> gain</w:t>
      </w:r>
      <w:r>
        <w:t xml:space="preserve"> of</w:t>
      </w:r>
      <w:r w:rsidR="00890530">
        <w:t xml:space="preserve"> 0.</w:t>
      </w:r>
      <w:r w:rsidR="00E3678B">
        <w:t>82</w:t>
      </w:r>
      <w:r w:rsidR="00890530">
        <w:t xml:space="preserve"> life</w:t>
      </w:r>
      <w:r w:rsidR="00E050B4">
        <w:t>-</w:t>
      </w:r>
      <w:r w:rsidR="00890530">
        <w:t xml:space="preserve">years </w:t>
      </w:r>
      <w:r w:rsidR="00901AD9">
        <w:t>(</w:t>
      </w:r>
      <w:r w:rsidR="00430105">
        <w:t xml:space="preserve">95% bootstrapped </w:t>
      </w:r>
      <w:r w:rsidR="00901AD9">
        <w:t xml:space="preserve">CI 0.26-1.37) </w:t>
      </w:r>
      <w:r>
        <w:t>associated with</w:t>
      </w:r>
      <w:r w:rsidR="00890530">
        <w:t xml:space="preserve"> metformin use</w:t>
      </w:r>
      <w:r>
        <w:t xml:space="preserve"> compared to sulfonylurea use</w:t>
      </w:r>
      <w:r w:rsidR="00890530">
        <w:t>.</w:t>
      </w:r>
      <w:r w:rsidR="001B2846">
        <w:t xml:space="preserve"> However, </w:t>
      </w:r>
      <w:r w:rsidR="00D22DD9">
        <w:t>s</w:t>
      </w:r>
      <w:r w:rsidR="001B2846">
        <w:t>ulfonylurea users spent</w:t>
      </w:r>
      <w:r w:rsidR="000560EC">
        <w:t xml:space="preserve"> a </w:t>
      </w:r>
      <w:r w:rsidR="00D22DD9">
        <w:t>mean</w:t>
      </w:r>
      <w:r w:rsidR="000560EC">
        <w:t xml:space="preserve"> of </w:t>
      </w:r>
      <w:r w:rsidR="00890530">
        <w:t>1.</w:t>
      </w:r>
      <w:r w:rsidR="00E3678B">
        <w:t>21</w:t>
      </w:r>
      <w:r w:rsidR="000560EC">
        <w:t xml:space="preserve"> years in health state H</w:t>
      </w:r>
      <w:r w:rsidR="000560EC" w:rsidRPr="00566BF3">
        <w:rPr>
          <w:vertAlign w:val="subscript"/>
        </w:rPr>
        <w:t>1</w:t>
      </w:r>
      <w:r w:rsidR="000560EC">
        <w:t xml:space="preserve"> at an expected utility of 0.81 and </w:t>
      </w:r>
      <w:r w:rsidR="00E3678B">
        <w:t>2.89</w:t>
      </w:r>
      <w:r w:rsidR="000560EC">
        <w:t xml:space="preserve"> years </w:t>
      </w:r>
      <w:r w:rsidR="00353B04">
        <w:t>in health state H</w:t>
      </w:r>
      <w:r w:rsidR="00353B04" w:rsidRPr="00353B04">
        <w:rPr>
          <w:vertAlign w:val="subscript"/>
        </w:rPr>
        <w:t>2</w:t>
      </w:r>
      <w:r w:rsidR="00353B04">
        <w:t xml:space="preserve"> </w:t>
      </w:r>
      <w:r w:rsidR="000560EC">
        <w:t>at an expected utility of 0.</w:t>
      </w:r>
      <w:r w:rsidR="002A5310">
        <w:t>57</w:t>
      </w:r>
      <w:r w:rsidR="00353B04">
        <w:t>,</w:t>
      </w:r>
      <w:r w:rsidR="005C16D4">
        <w:t xml:space="preserve"> for a </w:t>
      </w:r>
      <w:r w:rsidR="000560EC">
        <w:t xml:space="preserve">total </w:t>
      </w:r>
      <w:r w:rsidR="00353B04">
        <w:t xml:space="preserve">QAS time </w:t>
      </w:r>
      <w:r w:rsidR="005C16D4">
        <w:t>o</w:t>
      </w:r>
      <w:r w:rsidR="000560EC">
        <w:t>f</w:t>
      </w:r>
      <w:r w:rsidR="005C16D4">
        <w:t xml:space="preserve"> </w:t>
      </w:r>
      <w:r w:rsidR="00E3678B">
        <w:t>2.6</w:t>
      </w:r>
      <w:r w:rsidR="00655680">
        <w:t>3</w:t>
      </w:r>
      <w:r w:rsidR="000560EC">
        <w:t xml:space="preserve"> years</w:t>
      </w:r>
      <w:r w:rsidR="00E106B1">
        <w:t xml:space="preserve"> (Figure 1a, Table I</w:t>
      </w:r>
      <w:r w:rsidR="009808A0">
        <w:t>)</w:t>
      </w:r>
      <w:r w:rsidR="000560EC">
        <w:t xml:space="preserve">. Conversely, metformin users spent a </w:t>
      </w:r>
      <w:r w:rsidR="00D22DD9">
        <w:t>mean</w:t>
      </w:r>
      <w:r w:rsidR="000560EC">
        <w:t xml:space="preserve"> </w:t>
      </w:r>
      <w:r w:rsidR="00E3678B">
        <w:t>1.52</w:t>
      </w:r>
      <w:r w:rsidR="000560EC">
        <w:t xml:space="preserve"> years in health state H</w:t>
      </w:r>
      <w:r w:rsidR="000560EC" w:rsidRPr="00566BF3">
        <w:rPr>
          <w:vertAlign w:val="subscript"/>
        </w:rPr>
        <w:t>1</w:t>
      </w:r>
      <w:r w:rsidR="000560EC">
        <w:t xml:space="preserve"> and </w:t>
      </w:r>
      <w:r w:rsidR="00E3678B">
        <w:t>3.40</w:t>
      </w:r>
      <w:r w:rsidR="000560EC">
        <w:t xml:space="preserve"> years </w:t>
      </w:r>
      <w:r w:rsidR="00566BF3">
        <w:t>in health state H</w:t>
      </w:r>
      <w:r w:rsidR="00566BF3" w:rsidRPr="00566BF3">
        <w:rPr>
          <w:vertAlign w:val="subscript"/>
        </w:rPr>
        <w:t>2</w:t>
      </w:r>
      <w:r w:rsidR="00EF265B">
        <w:t xml:space="preserve">, for </w:t>
      </w:r>
      <w:r w:rsidR="00566BF3">
        <w:t xml:space="preserve">a </w:t>
      </w:r>
      <w:r w:rsidR="000560EC">
        <w:t xml:space="preserve">total </w:t>
      </w:r>
      <w:r w:rsidR="00353B04">
        <w:t>QAS time</w:t>
      </w:r>
      <w:r w:rsidR="000560EC">
        <w:t xml:space="preserve"> </w:t>
      </w:r>
      <w:r w:rsidR="00566BF3">
        <w:t>of</w:t>
      </w:r>
      <w:r w:rsidR="000560EC">
        <w:t xml:space="preserve"> </w:t>
      </w:r>
      <w:r w:rsidR="00E3678B">
        <w:t>3.17</w:t>
      </w:r>
      <w:r w:rsidR="000560EC">
        <w:t xml:space="preserve"> years</w:t>
      </w:r>
      <w:r w:rsidR="00890530">
        <w:t xml:space="preserve"> (</w:t>
      </w:r>
      <w:r w:rsidR="009808A0">
        <w:t xml:space="preserve">Figure 1b, </w:t>
      </w:r>
      <w:r w:rsidR="00890530">
        <w:t xml:space="preserve">Table </w:t>
      </w:r>
      <w:r w:rsidR="00E106B1">
        <w:t>I</w:t>
      </w:r>
      <w:r w:rsidR="00890530">
        <w:t>)</w:t>
      </w:r>
      <w:r w:rsidR="000560EC">
        <w:t>.</w:t>
      </w:r>
      <w:r w:rsidR="00D70B14">
        <w:t xml:space="preserve"> As a result, metformin users </w:t>
      </w:r>
      <w:r w:rsidR="00D22DD9">
        <w:t>exhibited a</w:t>
      </w:r>
      <w:r w:rsidR="00D70B14">
        <w:t xml:space="preserve"> </w:t>
      </w:r>
      <w:r w:rsidR="00761BD6">
        <w:t xml:space="preserve">net increase </w:t>
      </w:r>
      <w:r w:rsidR="00924A79">
        <w:t>of 0.5</w:t>
      </w:r>
      <w:r w:rsidR="00655680">
        <w:t>4</w:t>
      </w:r>
      <w:r w:rsidR="00D70B14">
        <w:t xml:space="preserve"> </w:t>
      </w:r>
      <w:r w:rsidR="007274C5">
        <w:t>quality adjusted life years (</w:t>
      </w:r>
      <w:r w:rsidR="002C470A">
        <w:t>QALYs</w:t>
      </w:r>
      <w:r w:rsidR="007274C5">
        <w:t>)</w:t>
      </w:r>
      <w:r w:rsidR="00D70B14">
        <w:t xml:space="preserve"> as compared to the sulfonylurea therapy users</w:t>
      </w:r>
      <w:r w:rsidR="00C3152D">
        <w:t xml:space="preserve">, </w:t>
      </w:r>
      <w:r w:rsidR="00744801" w:rsidRPr="00C3152D">
        <w:t>which is statistically significant</w:t>
      </w:r>
      <w:r w:rsidR="00C3152D">
        <w:t xml:space="preserve"> </w:t>
      </w:r>
      <w:r w:rsidR="00C3152D" w:rsidRPr="00C3152D">
        <w:t xml:space="preserve">(95% </w:t>
      </w:r>
      <w:r w:rsidR="00355E88">
        <w:t xml:space="preserve">bootstrapped </w:t>
      </w:r>
      <w:r w:rsidR="00C3152D" w:rsidRPr="00C3152D">
        <w:t>CI 0.</w:t>
      </w:r>
      <w:r w:rsidR="00655680">
        <w:t>20</w:t>
      </w:r>
      <w:r w:rsidR="00C3152D" w:rsidRPr="00C3152D">
        <w:t xml:space="preserve"> – 0.</w:t>
      </w:r>
      <w:r w:rsidR="00655680">
        <w:t>89</w:t>
      </w:r>
      <w:r w:rsidR="00B80D9F">
        <w:t>, p</w:t>
      </w:r>
      <w:r w:rsidR="00641A2A">
        <w:t>&lt;</w:t>
      </w:r>
      <w:r w:rsidR="00B80D9F">
        <w:t>0.002</w:t>
      </w:r>
      <w:r w:rsidR="00C3152D" w:rsidRPr="00C3152D">
        <w:t xml:space="preserve">).  </w:t>
      </w:r>
      <w:r w:rsidR="00355E88">
        <w:t>I</w:t>
      </w:r>
      <w:r w:rsidR="00BA572A">
        <w:t>n this case,</w:t>
      </w:r>
      <w:r w:rsidR="00353B04">
        <w:t xml:space="preserve"> </w:t>
      </w:r>
      <w:r w:rsidR="00BA572A">
        <w:t xml:space="preserve">traditional </w:t>
      </w:r>
      <w:r w:rsidR="009808A0">
        <w:t>survival analysis method</w:t>
      </w:r>
      <w:r w:rsidR="00BA572A">
        <w:t xml:space="preserve"> led to a</w:t>
      </w:r>
      <w:r w:rsidR="00C71338">
        <w:t xml:space="preserve"> </w:t>
      </w:r>
      <w:r w:rsidR="00655680">
        <w:t>34</w:t>
      </w:r>
      <w:r w:rsidR="00C71338">
        <w:t>%</w:t>
      </w:r>
      <w:r w:rsidR="00BA572A">
        <w:t xml:space="preserve"> over-estimate of potential benefits related to treatment of diabetic heart failure patients with metformin.</w:t>
      </w:r>
    </w:p>
    <w:p w:rsidR="009156FF" w:rsidRDefault="009156FF" w:rsidP="009E3093">
      <w:pPr>
        <w:spacing w:line="480" w:lineRule="auto"/>
        <w:ind w:firstLine="360"/>
      </w:pPr>
    </w:p>
    <w:p w:rsidR="00DF2C28" w:rsidRDefault="00DF2C28" w:rsidP="009E3093">
      <w:pPr>
        <w:spacing w:line="480" w:lineRule="auto"/>
        <w:ind w:firstLine="360"/>
      </w:pPr>
    </w:p>
    <w:p w:rsidR="00DF2C28" w:rsidRDefault="00DF2C28" w:rsidP="009E3093">
      <w:pPr>
        <w:spacing w:line="480" w:lineRule="auto"/>
        <w:ind w:firstLine="360"/>
      </w:pPr>
    </w:p>
    <w:p w:rsidR="009156FF" w:rsidRPr="002D3F13" w:rsidRDefault="009156FF" w:rsidP="009E3093">
      <w:pPr>
        <w:spacing w:line="480" w:lineRule="auto"/>
        <w:rPr>
          <w:b/>
          <w:i/>
        </w:rPr>
      </w:pPr>
      <w:r>
        <w:rPr>
          <w:b/>
          <w:i/>
        </w:rPr>
        <w:t>ii</w:t>
      </w:r>
      <w:r w:rsidRPr="002D3F13">
        <w:rPr>
          <w:b/>
          <w:i/>
        </w:rPr>
        <w:t>.</w:t>
      </w:r>
      <w:r>
        <w:rPr>
          <w:b/>
          <w:i/>
        </w:rPr>
        <w:t xml:space="preserve"> DIG Study</w:t>
      </w:r>
    </w:p>
    <w:p w:rsidR="000A7855" w:rsidRDefault="00AE1E9A" w:rsidP="009E3093">
      <w:pPr>
        <w:spacing w:line="480" w:lineRule="auto"/>
        <w:ind w:firstLine="360"/>
      </w:pPr>
      <w:r>
        <w:t xml:space="preserve">Mean </w:t>
      </w:r>
      <w:r w:rsidR="0044724E">
        <w:t>survival time</w:t>
      </w:r>
      <w:r>
        <w:t>s</w:t>
      </w:r>
      <w:r w:rsidR="0044724E">
        <w:t xml:space="preserve"> </w:t>
      </w:r>
      <w:r>
        <w:t>were</w:t>
      </w:r>
      <w:r w:rsidR="0044724E">
        <w:t xml:space="preserve"> 4.3</w:t>
      </w:r>
      <w:r w:rsidR="002911B3">
        <w:t>4</w:t>
      </w:r>
      <w:r w:rsidR="0044724E">
        <w:t xml:space="preserve"> </w:t>
      </w:r>
      <w:r w:rsidR="00355E88">
        <w:t xml:space="preserve">years </w:t>
      </w:r>
      <w:r w:rsidR="0044724E">
        <w:t>for the placebo group and 4.</w:t>
      </w:r>
      <w:r w:rsidR="002911B3">
        <w:t>44</w:t>
      </w:r>
      <w:r w:rsidR="0044724E">
        <w:t xml:space="preserve"> years for the digoxin group; for the composite outcome</w:t>
      </w:r>
      <w:r w:rsidR="00744801">
        <w:t>, estimated</w:t>
      </w:r>
      <w:r w:rsidR="0044724E">
        <w:t xml:space="preserve"> total </w:t>
      </w:r>
      <w:r w:rsidR="00744801">
        <w:t>hospitalization</w:t>
      </w:r>
      <w:r>
        <w:t xml:space="preserve">-free </w:t>
      </w:r>
      <w:r w:rsidR="0044724E">
        <w:t xml:space="preserve">survival time was </w:t>
      </w:r>
      <w:r w:rsidR="00CB7D57">
        <w:t>3.</w:t>
      </w:r>
      <w:r w:rsidR="002911B3">
        <w:t>3</w:t>
      </w:r>
      <w:r>
        <w:t>2</w:t>
      </w:r>
      <w:r w:rsidR="00CB7D57">
        <w:t xml:space="preserve"> </w:t>
      </w:r>
      <w:r>
        <w:t xml:space="preserve">years </w:t>
      </w:r>
      <w:r w:rsidR="0044724E">
        <w:t xml:space="preserve">for </w:t>
      </w:r>
      <w:r w:rsidR="00CB7D57">
        <w:t>the placebo group</w:t>
      </w:r>
      <w:r w:rsidR="0044724E">
        <w:t xml:space="preserve"> and </w:t>
      </w:r>
      <w:r w:rsidR="00CB7D57">
        <w:t>3.</w:t>
      </w:r>
      <w:r w:rsidR="002911B3">
        <w:t>66</w:t>
      </w:r>
      <w:r w:rsidR="0044724E">
        <w:t xml:space="preserve"> years for </w:t>
      </w:r>
      <w:r w:rsidR="00CB7D57">
        <w:t>the digoxin group</w:t>
      </w:r>
      <w:r w:rsidR="0044724E">
        <w:t xml:space="preserve"> (Figure </w:t>
      </w:r>
      <w:r w:rsidR="00CB7D57">
        <w:t>2</w:t>
      </w:r>
      <w:r w:rsidR="0044724E">
        <w:t xml:space="preserve">a and </w:t>
      </w:r>
      <w:r w:rsidR="00744801">
        <w:t>2</w:t>
      </w:r>
      <w:r w:rsidR="0044724E">
        <w:t>b</w:t>
      </w:r>
      <w:r w:rsidR="009808A0">
        <w:t xml:space="preserve">, </w:t>
      </w:r>
      <w:r w:rsidR="004610ED">
        <w:t xml:space="preserve">Table </w:t>
      </w:r>
      <w:r w:rsidR="00E106B1">
        <w:t>II</w:t>
      </w:r>
      <w:r w:rsidR="004610ED">
        <w:t>)</w:t>
      </w:r>
      <w:r w:rsidR="009156FF">
        <w:t xml:space="preserve">. </w:t>
      </w:r>
      <w:r w:rsidR="00890530">
        <w:t>Assuming perfect health</w:t>
      </w:r>
      <w:r w:rsidR="009808A0">
        <w:t xml:space="preserve"> prior to death as in traditional survival analysis</w:t>
      </w:r>
      <w:r w:rsidR="00890530">
        <w:t>, digoxin users had a</w:t>
      </w:r>
      <w:r>
        <w:t>n apparent</w:t>
      </w:r>
      <w:r w:rsidR="00890530">
        <w:t xml:space="preserve"> net </w:t>
      </w:r>
      <w:r>
        <w:t xml:space="preserve">survival benefit </w:t>
      </w:r>
      <w:r w:rsidR="00890530">
        <w:t>of 0.</w:t>
      </w:r>
      <w:r w:rsidR="002911B3">
        <w:t>10</w:t>
      </w:r>
      <w:r w:rsidR="00890530">
        <w:t xml:space="preserve"> years </w:t>
      </w:r>
      <w:r w:rsidR="00932AF9" w:rsidRPr="00C3152D">
        <w:t xml:space="preserve">(95% </w:t>
      </w:r>
      <w:r w:rsidR="00932AF9">
        <w:t xml:space="preserve">bootstrapped </w:t>
      </w:r>
      <w:r w:rsidR="00932AF9" w:rsidRPr="00C3152D">
        <w:t>CI 0</w:t>
      </w:r>
      <w:r w:rsidR="00932AF9">
        <w:t>.02</w:t>
      </w:r>
      <w:r w:rsidR="00932AF9" w:rsidRPr="00C3152D">
        <w:t>-0.</w:t>
      </w:r>
      <w:r w:rsidR="00932AF9">
        <w:t>16</w:t>
      </w:r>
      <w:r w:rsidR="00932AF9" w:rsidRPr="00C3152D">
        <w:t>)</w:t>
      </w:r>
      <w:r w:rsidR="00362D1F">
        <w:t xml:space="preserve"> </w:t>
      </w:r>
      <w:r w:rsidR="00890530">
        <w:t xml:space="preserve">compared to placebo. </w:t>
      </w:r>
      <w:r>
        <w:t xml:space="preserve"> However, t</w:t>
      </w:r>
      <w:r w:rsidR="009156FF">
        <w:t xml:space="preserve">he </w:t>
      </w:r>
      <w:r w:rsidR="00507E62">
        <w:t>placebo u</w:t>
      </w:r>
      <w:r w:rsidR="009156FF">
        <w:t xml:space="preserve">sers spent a total time of </w:t>
      </w:r>
      <w:r w:rsidR="00890530">
        <w:t>3.</w:t>
      </w:r>
      <w:r w:rsidR="002911B3">
        <w:t>3</w:t>
      </w:r>
      <w:r w:rsidR="00890530">
        <w:t>2</w:t>
      </w:r>
      <w:r w:rsidR="009156FF">
        <w:t xml:space="preserve"> years in health state H</w:t>
      </w:r>
      <w:r w:rsidR="009156FF" w:rsidRPr="00566BF3">
        <w:rPr>
          <w:vertAlign w:val="subscript"/>
        </w:rPr>
        <w:t>1</w:t>
      </w:r>
      <w:r w:rsidR="009156FF">
        <w:t xml:space="preserve"> at an expected utility of 0.81 and </w:t>
      </w:r>
      <w:r w:rsidR="00890530">
        <w:t>1.0</w:t>
      </w:r>
      <w:r w:rsidR="002911B3">
        <w:t>2</w:t>
      </w:r>
      <w:r w:rsidR="009156FF">
        <w:t xml:space="preserve"> years at an expected utility of 0.57 for health state </w:t>
      </w:r>
      <w:r w:rsidR="009156FF" w:rsidRPr="007D0C59">
        <w:t>H</w:t>
      </w:r>
      <w:r w:rsidR="009156FF" w:rsidRPr="007D0C59">
        <w:rPr>
          <w:vertAlign w:val="subscript"/>
        </w:rPr>
        <w:t>2</w:t>
      </w:r>
      <w:r w:rsidR="00744801" w:rsidRPr="00744801">
        <w:t>,</w:t>
      </w:r>
      <w:r w:rsidR="00507E62" w:rsidRPr="00744801">
        <w:t xml:space="preserve"> </w:t>
      </w:r>
      <w:r w:rsidR="00507E62">
        <w:t>resulting in a total</w:t>
      </w:r>
      <w:r w:rsidR="009156FF">
        <w:t xml:space="preserve"> </w:t>
      </w:r>
      <w:r w:rsidR="00744801">
        <w:t>QAS time</w:t>
      </w:r>
      <w:r w:rsidR="009156FF">
        <w:t xml:space="preserve"> </w:t>
      </w:r>
      <w:r w:rsidR="00507E62">
        <w:t xml:space="preserve">of </w:t>
      </w:r>
      <w:r w:rsidR="00482B55">
        <w:t>3.</w:t>
      </w:r>
      <w:r w:rsidR="002911B3">
        <w:t>27</w:t>
      </w:r>
      <w:r w:rsidR="00507E62">
        <w:t xml:space="preserve"> </w:t>
      </w:r>
      <w:r w:rsidR="009156FF">
        <w:t xml:space="preserve">years. Conversely, the </w:t>
      </w:r>
      <w:r w:rsidR="00507E62">
        <w:t xml:space="preserve">digoxin group </w:t>
      </w:r>
      <w:r w:rsidR="009156FF">
        <w:t xml:space="preserve">spent a total time of </w:t>
      </w:r>
      <w:r w:rsidR="00890530">
        <w:t>3.</w:t>
      </w:r>
      <w:r w:rsidR="002911B3">
        <w:t>66</w:t>
      </w:r>
      <w:r w:rsidR="009156FF">
        <w:t xml:space="preserve"> years in health state H</w:t>
      </w:r>
      <w:r w:rsidR="009156FF" w:rsidRPr="00566BF3">
        <w:rPr>
          <w:vertAlign w:val="subscript"/>
        </w:rPr>
        <w:t>1</w:t>
      </w:r>
      <w:r w:rsidR="009156FF">
        <w:t xml:space="preserve"> and </w:t>
      </w:r>
      <w:r w:rsidR="00890530">
        <w:t>0.</w:t>
      </w:r>
      <w:r w:rsidR="002911B3">
        <w:t>78</w:t>
      </w:r>
      <w:r w:rsidR="009156FF">
        <w:t xml:space="preserve"> years in health state H</w:t>
      </w:r>
      <w:r w:rsidR="009156FF" w:rsidRPr="00566BF3">
        <w:rPr>
          <w:vertAlign w:val="subscript"/>
        </w:rPr>
        <w:t>2</w:t>
      </w:r>
      <w:r w:rsidR="00744801">
        <w:t xml:space="preserve">, </w:t>
      </w:r>
      <w:r w:rsidR="009156FF">
        <w:t xml:space="preserve">resulting in a total </w:t>
      </w:r>
      <w:r w:rsidR="00744801">
        <w:t>QAS time</w:t>
      </w:r>
      <w:r w:rsidR="009156FF">
        <w:t xml:space="preserve"> of </w:t>
      </w:r>
      <w:r w:rsidR="00890530">
        <w:t>3.</w:t>
      </w:r>
      <w:r w:rsidR="002911B3">
        <w:t>41</w:t>
      </w:r>
      <w:r w:rsidR="009156FF">
        <w:t xml:space="preserve"> years. </w:t>
      </w:r>
      <w:r w:rsidR="00507E62">
        <w:t>Therefore,</w:t>
      </w:r>
      <w:r>
        <w:t xml:space="preserve"> after taking into account the greater time spent before </w:t>
      </w:r>
      <w:r w:rsidR="00355E88">
        <w:t xml:space="preserve">first </w:t>
      </w:r>
      <w:r>
        <w:t>hospitalization,</w:t>
      </w:r>
      <w:r w:rsidR="00507E62">
        <w:t xml:space="preserve"> the digoxin group</w:t>
      </w:r>
      <w:r w:rsidR="009156FF">
        <w:t xml:space="preserve"> had </w:t>
      </w:r>
      <w:r w:rsidR="004B5322">
        <w:t xml:space="preserve">a </w:t>
      </w:r>
      <w:r w:rsidR="009156FF">
        <w:t xml:space="preserve">net </w:t>
      </w:r>
      <w:r w:rsidR="002E5D9B">
        <w:t xml:space="preserve">gain </w:t>
      </w:r>
      <w:r w:rsidR="009156FF">
        <w:t xml:space="preserve">of </w:t>
      </w:r>
      <w:r w:rsidR="001010D3">
        <w:t>0.</w:t>
      </w:r>
      <w:r w:rsidR="002911B3">
        <w:t>14</w:t>
      </w:r>
      <w:r w:rsidR="009156FF">
        <w:t xml:space="preserve"> </w:t>
      </w:r>
      <w:r w:rsidR="002C470A" w:rsidRPr="00C3152D">
        <w:t>QALYs</w:t>
      </w:r>
      <w:r w:rsidR="009156FF" w:rsidRPr="00C3152D">
        <w:t xml:space="preserve"> compared to the </w:t>
      </w:r>
      <w:r w:rsidR="00507E62" w:rsidRPr="00C3152D">
        <w:t>placebo group</w:t>
      </w:r>
      <w:r w:rsidR="00C3152D" w:rsidRPr="00C3152D">
        <w:t xml:space="preserve">, which is statistically significant (95% </w:t>
      </w:r>
      <w:r w:rsidR="00355E88">
        <w:t xml:space="preserve">bootstrapped </w:t>
      </w:r>
      <w:r w:rsidR="00C3152D" w:rsidRPr="00C3152D">
        <w:t>CI 0</w:t>
      </w:r>
      <w:r w:rsidR="001010D3">
        <w:t>.0</w:t>
      </w:r>
      <w:r w:rsidR="00932AF9">
        <w:t>7</w:t>
      </w:r>
      <w:r w:rsidR="00C3152D" w:rsidRPr="00C3152D">
        <w:t>-0.</w:t>
      </w:r>
      <w:r w:rsidR="00932AF9">
        <w:t>19</w:t>
      </w:r>
      <w:r w:rsidR="00C3152D" w:rsidRPr="00C3152D">
        <w:t>, p&lt;0.00</w:t>
      </w:r>
      <w:r w:rsidR="00641A2A">
        <w:t>2</w:t>
      </w:r>
      <w:r w:rsidR="00C3152D" w:rsidRPr="00C3152D">
        <w:t xml:space="preserve">).  Furthermore, this estimate </w:t>
      </w:r>
      <w:r w:rsidR="00890530" w:rsidRPr="00C3152D">
        <w:t xml:space="preserve">is </w:t>
      </w:r>
      <w:r w:rsidR="007274C5">
        <w:t>4</w:t>
      </w:r>
      <w:r w:rsidR="002911B3">
        <w:t>0</w:t>
      </w:r>
      <w:r w:rsidR="00890530" w:rsidRPr="00C3152D">
        <w:t xml:space="preserve">% higher than the </w:t>
      </w:r>
      <w:r w:rsidR="002C470A" w:rsidRPr="00C3152D">
        <w:t xml:space="preserve">standard </w:t>
      </w:r>
      <w:r w:rsidR="00890530" w:rsidRPr="00C3152D">
        <w:t xml:space="preserve">survival estimate based on </w:t>
      </w:r>
      <w:r w:rsidR="002C470A" w:rsidRPr="00C3152D">
        <w:t xml:space="preserve">equally weighted </w:t>
      </w:r>
      <w:r w:rsidR="006C653B" w:rsidRPr="00C3152D">
        <w:t>outcome</w:t>
      </w:r>
      <w:r w:rsidR="002C470A" w:rsidRPr="00C3152D">
        <w:t>s</w:t>
      </w:r>
      <w:r w:rsidR="006C653B" w:rsidRPr="00C3152D">
        <w:t>.</w:t>
      </w:r>
      <w:r w:rsidR="00890530" w:rsidRPr="00C3152D">
        <w:t xml:space="preserve"> </w:t>
      </w:r>
      <w:r w:rsidR="00355E88">
        <w:t>I</w:t>
      </w:r>
      <w:r w:rsidR="000A7855" w:rsidRPr="00C3152D">
        <w:t xml:space="preserve">n this case, traditional </w:t>
      </w:r>
      <w:r w:rsidR="00355E88">
        <w:t xml:space="preserve">analytic </w:t>
      </w:r>
      <w:r w:rsidR="000A7855" w:rsidRPr="00C3152D">
        <w:t>method</w:t>
      </w:r>
      <w:r w:rsidR="003A207E">
        <w:t>s</w:t>
      </w:r>
      <w:r w:rsidR="000A7855" w:rsidRPr="00C3152D">
        <w:t xml:space="preserve"> led to an under</w:t>
      </w:r>
      <w:r w:rsidR="000A7855">
        <w:t>-estimate of potential benefits related to treatment of heart failure patients with digoxin.</w:t>
      </w:r>
    </w:p>
    <w:p w:rsidR="00F80855" w:rsidRDefault="00F80855" w:rsidP="009E3093">
      <w:pPr>
        <w:spacing w:line="480" w:lineRule="auto"/>
        <w:ind w:firstLine="360"/>
      </w:pPr>
    </w:p>
    <w:p w:rsidR="00E62080" w:rsidRPr="00F80855" w:rsidRDefault="006C653B" w:rsidP="009E3093">
      <w:pPr>
        <w:spacing w:line="480" w:lineRule="auto"/>
        <w:rPr>
          <w:b/>
          <w:i/>
        </w:rPr>
      </w:pPr>
      <w:r w:rsidRPr="00F80855">
        <w:rPr>
          <w:b/>
          <w:i/>
        </w:rPr>
        <w:t>Sensitivity analyses</w:t>
      </w:r>
    </w:p>
    <w:p w:rsidR="00EC2110" w:rsidRDefault="00EC2110" w:rsidP="00EC2110">
      <w:pPr>
        <w:spacing w:line="480" w:lineRule="auto"/>
      </w:pPr>
      <w:r>
        <w:tab/>
        <w:t>In the base-case analyses described above, we applied deterministic utility coefficients to our health states taken from the literature. Therefore, we conducted a sensitivity analysis to assess the effect of varying the utility coefficients by a clinically important difference (0.03) on the QALY estimates for health state H</w:t>
      </w:r>
      <w:r w:rsidRPr="006C653B">
        <w:rPr>
          <w:vertAlign w:val="subscript"/>
        </w:rPr>
        <w:t>1</w:t>
      </w:r>
      <w:r>
        <w:t xml:space="preserve"> and H</w:t>
      </w:r>
      <w:r w:rsidRPr="006C653B">
        <w:rPr>
          <w:vertAlign w:val="subscript"/>
        </w:rPr>
        <w:t>2</w:t>
      </w:r>
      <w:r>
        <w:t xml:space="preserve"> for the metformin and DIG studies. Variations in the utility coefficients resulted in changes to both the individual QALYs calculated for each health state and consequently to the differences between study groups.  All sensitivity analyses confirmed that the standard survival estimates over-estimated benefits by 30% to 37% for the observational metformin study and under-estimated benefits of digoxin by 30% to 60% in the DIG study (See Appendix B for full sensitivity results). </w:t>
      </w:r>
    </w:p>
    <w:p w:rsidR="00C56DD8" w:rsidRDefault="00C56DD8" w:rsidP="009E3093">
      <w:pPr>
        <w:spacing w:line="480" w:lineRule="auto"/>
        <w:rPr>
          <w:b/>
        </w:rPr>
      </w:pPr>
    </w:p>
    <w:p w:rsidR="00397BE8" w:rsidRPr="00CD17DF" w:rsidRDefault="00397BE8" w:rsidP="009E3093">
      <w:pPr>
        <w:spacing w:line="480" w:lineRule="auto"/>
        <w:rPr>
          <w:b/>
        </w:rPr>
      </w:pPr>
      <w:r w:rsidRPr="00CD17DF">
        <w:rPr>
          <w:b/>
        </w:rPr>
        <w:t>Discussion</w:t>
      </w:r>
    </w:p>
    <w:p w:rsidR="005E2DE8" w:rsidRDefault="00355E88" w:rsidP="009E3093">
      <w:pPr>
        <w:spacing w:line="480" w:lineRule="auto"/>
        <w:ind w:firstLine="360"/>
      </w:pPr>
      <w:r>
        <w:t>Using heart failure as an example, w</w:t>
      </w:r>
      <w:r w:rsidR="00F5428C">
        <w:t>e</w:t>
      </w:r>
      <w:r w:rsidR="00737272">
        <w:t xml:space="preserve"> have</w:t>
      </w:r>
      <w:r w:rsidR="00F5428C">
        <w:t xml:space="preserve"> </w:t>
      </w:r>
      <w:r w:rsidR="00430105">
        <w:t xml:space="preserve">adapted and </w:t>
      </w:r>
      <w:r w:rsidR="00F5428C">
        <w:t xml:space="preserve">demonstrated a method </w:t>
      </w:r>
      <w:r w:rsidR="00962BA7">
        <w:t>that quality-adjusts survival</w:t>
      </w:r>
      <w:r w:rsidR="00F5428C">
        <w:t xml:space="preserve"> to </w:t>
      </w:r>
      <w:r w:rsidR="00962BA7">
        <w:t xml:space="preserve">deal with </w:t>
      </w:r>
      <w:r w:rsidR="00F5428C">
        <w:t xml:space="preserve">the potentially unequal impact of </w:t>
      </w:r>
      <w:r w:rsidR="00AE1E9A">
        <w:t xml:space="preserve">the individual </w:t>
      </w:r>
      <w:r w:rsidR="00F5428C">
        <w:t xml:space="preserve">components </w:t>
      </w:r>
      <w:r w:rsidR="00AE1E9A">
        <w:t>of</w:t>
      </w:r>
      <w:r w:rsidR="00F5428C">
        <w:t xml:space="preserve"> composite outcome</w:t>
      </w:r>
      <w:r w:rsidR="00AE1E9A">
        <w:t>s</w:t>
      </w:r>
      <w:r w:rsidR="00F5428C">
        <w:t xml:space="preserve">. By incorporating </w:t>
      </w:r>
      <w:r w:rsidR="00E050B4">
        <w:t xml:space="preserve">into </w:t>
      </w:r>
      <w:r w:rsidR="00120934">
        <w:t>survival</w:t>
      </w:r>
      <w:r w:rsidR="00E050B4">
        <w:t xml:space="preserve"> analys</w:t>
      </w:r>
      <w:r w:rsidR="00120934">
        <w:t>e</w:t>
      </w:r>
      <w:r w:rsidR="00E050B4">
        <w:t xml:space="preserve">s </w:t>
      </w:r>
      <w:r w:rsidR="009202C2">
        <w:t xml:space="preserve">an estimate of </w:t>
      </w:r>
      <w:r w:rsidR="00F5428C">
        <w:t xml:space="preserve">the impact on patients HRQL, </w:t>
      </w:r>
      <w:r w:rsidR="002B7A4C">
        <w:t>a weighted</w:t>
      </w:r>
      <w:r w:rsidR="00F5428C">
        <w:t xml:space="preserve"> composite outcome may </w:t>
      </w:r>
      <w:r w:rsidR="00737272">
        <w:t>provide</w:t>
      </w:r>
      <w:r w:rsidR="00F5428C">
        <w:t xml:space="preserve"> a more</w:t>
      </w:r>
      <w:r w:rsidR="00120934">
        <w:t xml:space="preserve"> patient-</w:t>
      </w:r>
      <w:r w:rsidR="0029668C">
        <w:t xml:space="preserve">important </w:t>
      </w:r>
      <w:r w:rsidR="00120934">
        <w:t>representation</w:t>
      </w:r>
      <w:r w:rsidR="00F5428C">
        <w:t xml:space="preserve"> of the benefits </w:t>
      </w:r>
      <w:r w:rsidR="00E050B4">
        <w:t>(</w:t>
      </w:r>
      <w:r w:rsidR="00F5428C">
        <w:t>or harm</w:t>
      </w:r>
      <w:r>
        <w:t>s</w:t>
      </w:r>
      <w:r w:rsidR="00E050B4">
        <w:t>)</w:t>
      </w:r>
      <w:r w:rsidR="00F5428C">
        <w:t xml:space="preserve"> associated with a therapy. In the two</w:t>
      </w:r>
      <w:r w:rsidR="00120934">
        <w:t xml:space="preserve"> case studies we examined</w:t>
      </w:r>
      <w:r w:rsidR="00F5428C">
        <w:t xml:space="preserve">, incorporation of HRQL into the survival analyses resulted in quality adjusted survival estimates which </w:t>
      </w:r>
      <w:r w:rsidR="00120934">
        <w:t xml:space="preserve">ranged from </w:t>
      </w:r>
      <w:r w:rsidR="00FD5C3D">
        <w:t>34</w:t>
      </w:r>
      <w:r w:rsidR="00F5428C">
        <w:t>% lower</w:t>
      </w:r>
      <w:r w:rsidR="00120934">
        <w:t xml:space="preserve"> to 4</w:t>
      </w:r>
      <w:r w:rsidR="00FD5C3D">
        <w:t>0</w:t>
      </w:r>
      <w:r w:rsidR="00120934">
        <w:t>% higher</w:t>
      </w:r>
      <w:r w:rsidR="00F5428C">
        <w:t xml:space="preserve"> </w:t>
      </w:r>
      <w:r w:rsidR="00120934">
        <w:t xml:space="preserve">than those derived from traditional survival analyses </w:t>
      </w:r>
      <w:r>
        <w:t>using</w:t>
      </w:r>
      <w:r w:rsidR="00120934">
        <w:t xml:space="preserve"> </w:t>
      </w:r>
      <w:r w:rsidR="00561BF8">
        <w:t>equal</w:t>
      </w:r>
      <w:r>
        <w:t>ly weighted components for a</w:t>
      </w:r>
      <w:r w:rsidR="00561BF8">
        <w:t xml:space="preserve"> composite </w:t>
      </w:r>
      <w:r w:rsidR="00430105">
        <w:t xml:space="preserve">outcome. </w:t>
      </w:r>
    </w:p>
    <w:p w:rsidR="00EC2110" w:rsidRPr="00624767" w:rsidRDefault="00397BE8" w:rsidP="008A1D7B">
      <w:pPr>
        <w:spacing w:line="480" w:lineRule="auto"/>
        <w:ind w:firstLine="360"/>
      </w:pPr>
      <w:r w:rsidRPr="00624767">
        <w:t xml:space="preserve">Composite outcomes are </w:t>
      </w:r>
      <w:r w:rsidR="00355E88" w:rsidRPr="00624767">
        <w:t>commonly reported,</w:t>
      </w:r>
      <w:r w:rsidR="00964077" w:rsidRPr="00624767">
        <w:t xml:space="preserve"> but</w:t>
      </w:r>
      <w:r w:rsidR="00561BF8" w:rsidRPr="00624767">
        <w:t xml:space="preserve"> </w:t>
      </w:r>
      <w:r w:rsidR="00737272" w:rsidRPr="00624767">
        <w:t>t</w:t>
      </w:r>
      <w:r w:rsidR="00F5428C" w:rsidRPr="00624767">
        <w:t xml:space="preserve">he </w:t>
      </w:r>
      <w:r w:rsidR="00355E88" w:rsidRPr="00624767">
        <w:t>tacit</w:t>
      </w:r>
      <w:r w:rsidR="00EF265B" w:rsidRPr="00624767">
        <w:t xml:space="preserve"> </w:t>
      </w:r>
      <w:r w:rsidR="00D52A9E" w:rsidRPr="00624767">
        <w:t>assum</w:t>
      </w:r>
      <w:r w:rsidR="00F5428C" w:rsidRPr="00624767">
        <w:t xml:space="preserve">ption </w:t>
      </w:r>
      <w:r w:rsidR="00355E88" w:rsidRPr="00624767">
        <w:t>that</w:t>
      </w:r>
      <w:r w:rsidR="00F5428C" w:rsidRPr="00624767">
        <w:t xml:space="preserve"> </w:t>
      </w:r>
      <w:r w:rsidR="00E13662">
        <w:t>each component is of equal importance to patients, providers, and payers seems untenable. Moreover, increasing evidence suggests that the use of equal weights may lead to biased conclusions and consistently lead to overestimates of treatment effects in cardiovascular-related trials.</w:t>
      </w:r>
      <w:r w:rsidR="006506AF" w:rsidRPr="00624767">
        <w:fldChar w:fldCharType="begin"/>
      </w:r>
      <w:r w:rsidR="00DF2C28">
        <w:instrText xml:space="preserve"> ADDIN REFMGR.CITE &lt;Refman&gt;&lt;Cite&gt;&lt;Author&gt;Ferreira-Gonzalez&lt;/Author&gt;&lt;Year&gt;2007&lt;/Year&gt;&lt;RecNum&gt;7219&lt;/RecNum&gt;&lt;IDText&gt;Problems with use of composite end points in cardiovascular trials: systematic review of randomised controlled trials&lt;/IDText&gt;&lt;MDL Ref_Type="Journal"&gt;&lt;Ref_Type&gt;Journal&lt;/Ref_Type&gt;&lt;Ref_ID&gt;7219&lt;/Ref_ID&gt;&lt;Title_Primary&gt;Problems with use of composite end points in cardiovascular trials: systematic review of randomised controlled trials&lt;/Title_Primary&gt;&lt;Authors_Primary&gt;Ferreira-Gonzalez,I.&lt;/Authors_Primary&gt;&lt;Authors_Primary&gt;Busse,J.W.&lt;/Authors_Primary&gt;&lt;Authors_Primary&gt;Heels-Ansdell,D.&lt;/Authors_Primary&gt;&lt;Authors_Primary&gt;Montori,V.M.&lt;/Authors_Primary&gt;&lt;Authors_Primary&gt;Akl,E.A.&lt;/Authors_Primary&gt;&lt;Authors_Primary&gt;Bryant,D.M.&lt;/Authors_Primary&gt;&lt;Authors_Primary&gt;Alonso-Coello,P.&lt;/Authors_Primary&gt;&lt;Authors_Primary&gt;Alonso,J.&lt;/Authors_Primary&gt;&lt;Authors_Primary&gt;Worster,A.&lt;/Authors_Primary&gt;&lt;Authors_Primary&gt;Upadhye,S.&lt;/Authors_Primary&gt;&lt;Authors_Primary&gt;Jaeschke,R.&lt;/Authors_Primary&gt;&lt;Authors_Primary&gt;Schunemann,H.J.&lt;/Authors_Primary&gt;&lt;Authors_Primary&gt;Permanyer-Miralda,G.&lt;/Authors_Primary&gt;&lt;Authors_Primary&gt;Pacheco-Huergo,V.&lt;/Authors_Primary&gt;&lt;Authors_Primary&gt;Domingo-Salvany,A.&lt;/Authors_Primary&gt;&lt;Authors_Primary&gt;Wu,P.&lt;/Authors_Primary&gt;&lt;Authors_Primary&gt;Mills,E.J.&lt;/Authors_Primary&gt;&lt;Authors_Primary&gt;Guyatt,G.H.&lt;/Authors_Primary&gt;&lt;Date_Primary&gt;2007/4/14&lt;/Date_Primary&gt;&lt;Keywords&gt;1&lt;/Keywords&gt;&lt;Keywords&gt;Article&lt;/Keywords&gt;&lt;Keywords&gt;Cardiovascular&lt;/Keywords&gt;&lt;Keywords&gt;Cardiovascular Diseases&lt;/Keywords&gt;&lt;Keywords&gt;Control&lt;/Keywords&gt;&lt;Keywords&gt;Control Group&lt;/Keywords&gt;&lt;Keywords&gt;CONTROLLED TRIAL&lt;/Keywords&gt;&lt;Keywords&gt;CONTROLLED-TRIAL&lt;/Keywords&gt;&lt;Keywords&gt;Death&lt;/Keywords&gt;&lt;Keywords&gt;DESIGN&lt;/Keywords&gt;&lt;Keywords&gt;Endpoint Determination&lt;/Keywords&gt;&lt;Keywords&gt;England&lt;/Keywords&gt;&lt;Keywords&gt;EVENTS&lt;/Keywords&gt;&lt;Keywords&gt;FREQUENCY&lt;/Keywords&gt;&lt;Keywords&gt;Group&lt;/Keywords&gt;&lt;Keywords&gt;Heart&lt;/Keywords&gt;&lt;Keywords&gt;Hospital&lt;/Keywords&gt;&lt;Keywords&gt;Humans&lt;/Keywords&gt;&lt;Keywords&gt;IMPACT&lt;/Keywords&gt;&lt;Keywords&gt;Internal Medicine&lt;/Keywords&gt;&lt;Keywords&gt;Journal Article&lt;/Keywords&gt;&lt;Keywords&gt;LESS&lt;/Keywords&gt;&lt;Keywords&gt;Medicine&lt;/Keywords&gt;&lt;Keywords&gt;methods&lt;/Keywords&gt;&lt;Keywords&gt;Observer Variation&lt;/Keywords&gt;&lt;Keywords&gt;outcome&lt;/Keywords&gt;&lt;Keywords&gt;OUTCOMES&lt;/Keywords&gt;&lt;Keywords&gt;Patient&lt;/Keywords&gt;&lt;Keywords&gt;Patients&lt;/Keywords&gt;&lt;Keywords&gt;prevention &amp;amp; control&lt;/Keywords&gt;&lt;Keywords&gt;Randomized Controlled Trials&lt;/Keywords&gt;&lt;Keywords&gt;RATES&lt;/Keywords&gt;&lt;Keywords&gt;Relative&lt;/Keywords&gt;&lt;Keywords&gt;Research&lt;/Keywords&gt;&lt;Keywords&gt;Review&lt;/Keywords&gt;&lt;Keywords&gt;Risk&lt;/Keywords&gt;&lt;Keywords&gt;Risk Reduction Behavior&lt;/Keywords&gt;&lt;Keywords&gt;standards&lt;/Keywords&gt;&lt;Keywords&gt;Statistics&lt;/Keywords&gt;&lt;Keywords&gt;Support&lt;/Keywords&gt;&lt;Keywords&gt;treatment&lt;/Keywords&gt;&lt;Keywords&gt;TRIAL&lt;/Keywords&gt;&lt;Reprint&gt;Not in File&lt;/Reprint&gt;&lt;Start_Page&gt;786&lt;/Start_Page&gt;&lt;Periodical&gt;BMJ&lt;/Periodical&gt;&lt;Volume&gt;334&lt;/Volume&gt;&lt;Issue&gt;7597&lt;/Issue&gt;&lt;Address&gt;Departament de Medicina, Universitat Autonoma de Barcelona, and Hospital Vall d&amp;apos;Hebron, Barcelona 08035, Spain&lt;/Address&gt;&lt;Web_URL&gt;PM:17403713&lt;/Web_URL&gt;&lt;ZZ_JournalFull&gt;&lt;f name="System"&gt;BMJ&lt;/f&gt;&lt;/ZZ_JournalFull&gt;&lt;ZZ_WorkformID&gt;1&lt;/ZZ_WorkformID&gt;&lt;/MDL&gt;&lt;/Cite&gt;&lt;/Refman&gt;</w:instrText>
      </w:r>
      <w:r w:rsidR="006506AF" w:rsidRPr="00624767">
        <w:fldChar w:fldCharType="separate"/>
      </w:r>
      <w:r w:rsidR="00DF2C28">
        <w:t>(5)</w:t>
      </w:r>
      <w:r w:rsidR="006506AF" w:rsidRPr="00624767">
        <w:fldChar w:fldCharType="end"/>
      </w:r>
      <w:proofErr w:type="gramStart"/>
      <w:r w:rsidR="00EC2110" w:rsidRPr="00624767">
        <w:t xml:space="preserve">  Our</w:t>
      </w:r>
      <w:proofErr w:type="gramEnd"/>
      <w:r w:rsidR="00EC2110" w:rsidRPr="00624767">
        <w:t xml:space="preserve"> results also illustrate that bias may occur in either direction. </w:t>
      </w:r>
    </w:p>
    <w:p w:rsidR="00BE14F5" w:rsidRPr="00624767" w:rsidRDefault="00BE14F5" w:rsidP="00BE14F5">
      <w:pPr>
        <w:pStyle w:val="PlainText"/>
        <w:spacing w:line="480" w:lineRule="auto"/>
        <w:rPr>
          <w:rFonts w:ascii="Times New Roman" w:hAnsi="Times New Roman"/>
          <w:sz w:val="24"/>
          <w:szCs w:val="24"/>
        </w:rPr>
      </w:pPr>
      <w:r w:rsidRPr="00624767">
        <w:rPr>
          <w:rFonts w:ascii="Times New Roman" w:hAnsi="Times New Roman"/>
          <w:sz w:val="24"/>
          <w:szCs w:val="24"/>
        </w:rPr>
        <w:tab/>
      </w:r>
      <w:r w:rsidR="002336E1" w:rsidRPr="002336E1">
        <w:rPr>
          <w:rFonts w:ascii="Times New Roman" w:hAnsi="Times New Roman"/>
          <w:sz w:val="24"/>
          <w:szCs w:val="24"/>
        </w:rPr>
        <w:t>It is important to realize, however, that our</w:t>
      </w:r>
      <w:r w:rsidR="00EC2110" w:rsidRPr="00624767">
        <w:rPr>
          <w:rFonts w:ascii="Times New Roman" w:hAnsi="Times New Roman"/>
          <w:sz w:val="24"/>
          <w:szCs w:val="24"/>
        </w:rPr>
        <w:t xml:space="preserve"> primary focus in undertaking this study was to examine the differences in the magnitude of the QAS estimates between the treatment groups (e.g., digoxin or placebo) and </w:t>
      </w:r>
      <w:r w:rsidR="00EC2110" w:rsidRPr="00DF2C28">
        <w:rPr>
          <w:rFonts w:ascii="Times New Roman" w:hAnsi="Times New Roman"/>
          <w:sz w:val="24"/>
          <w:szCs w:val="24"/>
        </w:rPr>
        <w:t xml:space="preserve">determine how </w:t>
      </w:r>
      <w:r w:rsidR="0029668C" w:rsidRPr="00DF2C28">
        <w:rPr>
          <w:rFonts w:ascii="Times New Roman" w:hAnsi="Times New Roman"/>
          <w:sz w:val="24"/>
          <w:szCs w:val="24"/>
        </w:rPr>
        <w:t>differential</w:t>
      </w:r>
      <w:r w:rsidR="00EC2110" w:rsidRPr="00DF2C28">
        <w:rPr>
          <w:rFonts w:ascii="Times New Roman" w:hAnsi="Times New Roman"/>
          <w:sz w:val="24"/>
          <w:szCs w:val="24"/>
        </w:rPr>
        <w:t xml:space="preserve"> weighting of composite outcomes changes the interpretation of the data. The QAS approach provides survival time associated with 'perfect health' as opposed to overall survival in the traditional unweighted approach.</w:t>
      </w:r>
      <w:r w:rsidR="002336E1" w:rsidRPr="00DF2C28">
        <w:rPr>
          <w:rFonts w:ascii="Times New Roman" w:hAnsi="Times New Roman"/>
          <w:sz w:val="24"/>
          <w:szCs w:val="24"/>
        </w:rPr>
        <w:t xml:space="preserve"> For example, the DIG trial reported that the risk of heart failure</w:t>
      </w:r>
      <w:r w:rsidR="002336E1" w:rsidRPr="002336E1">
        <w:rPr>
          <w:rFonts w:ascii="Times New Roman" w:hAnsi="Times New Roman"/>
          <w:sz w:val="24"/>
          <w:szCs w:val="24"/>
        </w:rPr>
        <w:t xml:space="preserve"> hospitalization or death was significantly lower in the digoxin group [HR 0.75 (95% CI 0.69-0.82)].</w:t>
      </w:r>
      <w:r w:rsidR="006506AF" w:rsidRPr="002336E1">
        <w:rPr>
          <w:rFonts w:ascii="Times New Roman" w:hAnsi="Times New Roman"/>
          <w:sz w:val="24"/>
          <w:szCs w:val="24"/>
        </w:rPr>
        <w:fldChar w:fldCharType="begin"/>
      </w:r>
      <w:r w:rsidR="00DF2C28">
        <w:rPr>
          <w:rFonts w:ascii="Times New Roman" w:hAnsi="Times New Roman"/>
          <w:sz w:val="24"/>
          <w:szCs w:val="24"/>
        </w:rPr>
        <w:instrText xml:space="preserve"> ADDIN REFMGR.CITE &lt;Refman&gt;&lt;Cite&gt;&lt;Author&gt;The Digitalis Investigation Group&lt;/Author&gt;&lt;Year&gt;1997&lt;/Year&gt;&lt;RecNum&gt;6405&lt;/RecNum&gt;&lt;IDText&gt;The effect of digoxin on mortality and morbidity in patients with heart failure.&lt;/IDText&gt;&lt;MDL Ref_Type="Journal"&gt;&lt;Ref_Type&gt;Journal&lt;/Ref_Type&gt;&lt;Ref_ID&gt;6405&lt;/Ref_ID&gt;&lt;Title_Primary&gt;The effect of digoxin on mortality and morbidity in patients with heart failure.&lt;/Title_Primary&gt;&lt;Authors_Primary&gt;The Digitalis Investigation Group&lt;/Authors_Primary&gt;&lt;Date_Primary&gt;1997/2/20&lt;/Date_Primary&gt;&lt;Keywords&gt;adverse effects&lt;/Keywords&gt;&lt;Keywords&gt;Aged&lt;/Keywords&gt;&lt;Keywords&gt;Arrhythmia&lt;/Keywords&gt;&lt;Keywords&gt;Article&lt;/Keywords&gt;&lt;Keywords&gt;cardiac&lt;/Keywords&gt;&lt;Keywords&gt;Cardiotonic Agents&lt;/Keywords&gt;&lt;Keywords&gt;Cardiovascular Diseases&lt;/Keywords&gt;&lt;Keywords&gt;chronic heart failure&lt;/Keywords&gt;&lt;Keywords&gt;CHRONIC-HEART-FAILURE&lt;/Keywords&gt;&lt;Keywords&gt;Clinical Trial&lt;/Keywords&gt;&lt;Keywords&gt;CLINICAL-TRIAL&lt;/Keywords&gt;&lt;Keywords&gt;complications&lt;/Keywords&gt;&lt;Keywords&gt;Confidence Interval&lt;/Keywords&gt;&lt;Keywords&gt;CONTROLLED TRIAL&lt;/Keywords&gt;&lt;Keywords&gt;CONTROLLED-TRIAL&lt;/Keywords&gt;&lt;Keywords&gt;Death&lt;/Keywords&gt;&lt;Keywords&gt;DECREASE&lt;/Keywords&gt;&lt;Keywords&gt;Digoxin&lt;/Keywords&gt;&lt;Keywords&gt;Diuretics&lt;/Keywords&gt;&lt;Keywords&gt;Double-Blind Method&lt;/Keywords&gt;&lt;Keywords&gt;drug therapy&lt;/Keywords&gt;&lt;Keywords&gt;EJECTION&lt;/Keywords&gt;&lt;Keywords&gt;ejection fraction&lt;/Keywords&gt;&lt;Keywords&gt;etiology&lt;/Keywords&gt;&lt;Keywords&gt;FAILURE&lt;/Keywords&gt;&lt;Keywords&gt;Female&lt;/Keywords&gt;&lt;Keywords&gt;Follow Up&lt;/Keywords&gt;&lt;Keywords&gt;FOLLOW-UP&lt;/Keywords&gt;&lt;Keywords&gt;Heart&lt;/Keywords&gt;&lt;Keywords&gt;Heart Failure&lt;/Keywords&gt;&lt;Keywords&gt;Heart Failure,Congestive&lt;/Keywords&gt;&lt;Keywords&gt;HEART-FAILURE&lt;/Keywords&gt;&lt;Keywords&gt;Hospitalization&lt;/Keywords&gt;&lt;Keywords&gt;Humans&lt;/Keywords&gt;&lt;Keywords&gt;INHIBITOR&lt;/Keywords&gt;&lt;Keywords&gt;INTERVAL&lt;/Keywords&gt;&lt;Keywords&gt;Journal Article&lt;/Keywords&gt;&lt;Keywords&gt;left ventricular ejection fraction&lt;/Keywords&gt;&lt;Keywords&gt;LESS&lt;/Keywords&gt;&lt;Keywords&gt;Male&lt;/Keywords&gt;&lt;Keywords&gt;MANAGEMENT&lt;/Keywords&gt;&lt;Keywords&gt;methods&lt;/Keywords&gt;&lt;Keywords&gt;Middle Aged&lt;/Keywords&gt;&lt;Keywords&gt;Morbidity&lt;/Keywords&gt;&lt;Keywords&gt;mortality&lt;/Keywords&gt;&lt;Keywords&gt;Multicenter Studies&lt;/Keywords&gt;&lt;Keywords&gt;Multicenter Study&lt;/Keywords&gt;&lt;Keywords&gt;New York&lt;/Keywords&gt;&lt;Keywords&gt;Patient&lt;/Keywords&gt;&lt;Keywords&gt;Patients&lt;/Keywords&gt;&lt;Keywords&gt;Placebo&lt;/Keywords&gt;&lt;Keywords&gt;Randomized Controlled Trial&lt;/Keywords&gt;&lt;Keywords&gt;Risk&lt;/Keywords&gt;&lt;Keywords&gt;Sinus Rhythm&lt;/Keywords&gt;&lt;Keywords&gt;statistics &amp;amp; numerical data&lt;/Keywords&gt;&lt;Keywords&gt;Stroke Volume&lt;/Keywords&gt;&lt;Keywords&gt;studies&lt;/Keywords&gt;&lt;Keywords&gt;Study&lt;/Keywords&gt;&lt;Keywords&gt;therapeutic use&lt;/Keywords&gt;&lt;Keywords&gt;Treatment Outcome&lt;/Keywords&gt;&lt;Keywords&gt;TRIAL&lt;/Keywords&gt;&lt;Keywords&gt;VENTRICULAR EJECTION FRACTION&lt;/Keywords&gt;&lt;Reprint&gt;Not in File&lt;/Reprint&gt;&lt;Start_Page&gt;525&lt;/Start_Page&gt;&lt;End_Page&gt;533&lt;/End_Page&gt;&lt;Periodical&gt;N.Engl.J.Med&lt;/Periodical&gt;&lt;Volume&gt;336&lt;/Volume&gt;&lt;Issue&gt;8&lt;/Issue&gt;&lt;Address&gt;Mount Sinai Medical Center, New York, NY 10029-6574, USA&lt;/Address&gt;&lt;Web_URL&gt;PM:9036306&lt;/Web_URL&gt;&lt;ZZ_JournalFull&gt;&lt;f name="System"&gt;N.Engl.J.Med&lt;/f&gt;&lt;/ZZ_JournalFull&gt;&lt;ZZ_WorkformID&gt;1&lt;/ZZ_WorkformID&gt;&lt;/MDL&gt;&lt;/Cite&gt;&lt;/Refman&gt;</w:instrText>
      </w:r>
      <w:r w:rsidR="006506AF" w:rsidRPr="002336E1">
        <w:rPr>
          <w:rFonts w:ascii="Times New Roman" w:hAnsi="Times New Roman"/>
          <w:sz w:val="24"/>
          <w:szCs w:val="24"/>
        </w:rPr>
        <w:fldChar w:fldCharType="separate"/>
      </w:r>
      <w:r w:rsidR="00DF2C28">
        <w:rPr>
          <w:rFonts w:ascii="Times New Roman" w:hAnsi="Times New Roman"/>
          <w:sz w:val="24"/>
          <w:szCs w:val="24"/>
        </w:rPr>
        <w:t>(10)</w:t>
      </w:r>
      <w:r w:rsidR="006506AF" w:rsidRPr="002336E1">
        <w:rPr>
          <w:rFonts w:ascii="Times New Roman" w:hAnsi="Times New Roman"/>
          <w:sz w:val="24"/>
          <w:szCs w:val="24"/>
        </w:rPr>
        <w:fldChar w:fldCharType="end"/>
      </w:r>
      <w:r w:rsidR="002336E1" w:rsidRPr="002336E1">
        <w:rPr>
          <w:rFonts w:ascii="Times New Roman" w:hAnsi="Times New Roman"/>
          <w:sz w:val="24"/>
          <w:szCs w:val="24"/>
        </w:rPr>
        <w:t xml:space="preserve">  </w:t>
      </w:r>
      <w:r w:rsidRPr="00624767">
        <w:rPr>
          <w:rFonts w:ascii="Times New Roman" w:hAnsi="Times New Roman"/>
          <w:sz w:val="24"/>
          <w:szCs w:val="24"/>
        </w:rPr>
        <w:t xml:space="preserve">However, the analysis we outlined above quantifies this benefit as a gain of only 0.10 life years using the traditional unweighted approach and only 0.14 quality adjusted life years (QALYS) using the weighted QAS approach – a difference of perhaps questionable clinical significance </w:t>
      </w:r>
      <w:r w:rsidR="00952A2E">
        <w:rPr>
          <w:rFonts w:ascii="Times New Roman" w:hAnsi="Times New Roman"/>
          <w:sz w:val="24"/>
          <w:szCs w:val="24"/>
        </w:rPr>
        <w:t>in this case, however this may not always be the case</w:t>
      </w:r>
      <w:r w:rsidRPr="00624767">
        <w:rPr>
          <w:rFonts w:ascii="Times New Roman" w:hAnsi="Times New Roman"/>
          <w:sz w:val="24"/>
          <w:szCs w:val="24"/>
        </w:rPr>
        <w:t>. Conversely, the gain of 0.54 QALYs observed with metformin therapy is similar to that observed with the use of other proven efficacious therapies versus placebo in heart failure.</w:t>
      </w:r>
      <w:r w:rsidR="006506AF" w:rsidRPr="00624767">
        <w:rPr>
          <w:rFonts w:ascii="Times New Roman" w:hAnsi="Times New Roman"/>
          <w:sz w:val="24"/>
          <w:szCs w:val="24"/>
        </w:rPr>
        <w:fldChar w:fldCharType="begin"/>
      </w:r>
      <w:r w:rsidR="00DF2C28">
        <w:rPr>
          <w:rFonts w:ascii="Times New Roman" w:hAnsi="Times New Roman"/>
          <w:sz w:val="24"/>
          <w:szCs w:val="24"/>
        </w:rPr>
        <w:instrText xml:space="preserve"> ADDIN REFMGR.CITE &lt;Refman&gt;&lt;Cite&gt;&lt;Author&gt;Boyko&lt;/Author&gt;&lt;Year&gt;1999&lt;/Year&gt;&lt;RecNum&gt;7236&lt;/RecNum&gt;&lt;IDText&gt;Economics and cost-effectiveness in evaluating the value of cardiovascular therapies. ACE inhibitors in the management of congestive heart failure: comparative economic data&lt;/IDText&gt;&lt;MDL Ref_Type="Journal"&gt;&lt;Ref_Type&gt;Journal&lt;/Ref_Type&gt;&lt;Ref_ID&gt;7236&lt;/Ref_ID&gt;&lt;Title_Primary&gt;Economics and cost-effectiveness in evaluating the value of cardiovascular therapies. ACE inhibitors in the management of congestive heart failure: comparative economic data&lt;/Title_Primary&gt;&lt;Authors_Primary&gt;Boyko,W.L.,Jr.&lt;/Authors_Primary&gt;&lt;Authors_Primary&gt;Glick,H.A.&lt;/Authors_Primary&gt;&lt;Authors_Primary&gt;Schulman,K.A.&lt;/Authors_Primary&gt;&lt;Date_Primary&gt;1999/5&lt;/Date_Primary&gt;&lt;Keywords&gt;ACE&lt;/Keywords&gt;&lt;Keywords&gt;ACE inhibitor&lt;/Keywords&gt;&lt;Keywords&gt;ACE inhibitors&lt;/Keywords&gt;&lt;Keywords&gt;ACE-INHIBITOR&lt;/Keywords&gt;&lt;Keywords&gt;ACE-INHIBITORS&lt;/Keywords&gt;&lt;Keywords&gt;Angiotensin-Converting Enzyme Inhibitors&lt;/Keywords&gt;&lt;Keywords&gt;Article&lt;/Keywords&gt;&lt;Keywords&gt;Cardiovascular&lt;/Keywords&gt;&lt;Keywords&gt;Congestive Heart Failure&lt;/Keywords&gt;&lt;Keywords&gt;CONGESTIVE-HEART-FAILURE&lt;/Keywords&gt;&lt;Keywords&gt;Cost of Illness&lt;/Keywords&gt;&lt;Keywords&gt;Cost-Benefit Analysis&lt;/Keywords&gt;&lt;Keywords&gt;Developed Countries&lt;/Keywords&gt;&lt;Keywords&gt;drug therapy&lt;/Keywords&gt;&lt;Keywords&gt;economics&lt;/Keywords&gt;&lt;Keywords&gt;Economics,Pharmaceutical&lt;/Keywords&gt;&lt;Keywords&gt;Enzyme Inhibitors&lt;/Keywords&gt;&lt;Keywords&gt;FAILURE&lt;/Keywords&gt;&lt;Keywords&gt;Heart&lt;/Keywords&gt;&lt;Keywords&gt;Heart Failure&lt;/Keywords&gt;&lt;Keywords&gt;Heart Failure,Congestive&lt;/Keywords&gt;&lt;Keywords&gt;HEART-FAILURE&lt;/Keywords&gt;&lt;Keywords&gt;Humans&lt;/Keywords&gt;&lt;Keywords&gt;INHIBITOR&lt;/Keywords&gt;&lt;Keywords&gt;INHIBITORS&lt;/Keywords&gt;&lt;Keywords&gt;Internal Medicine&lt;/Keywords&gt;&lt;Keywords&gt;Journal Article&lt;/Keywords&gt;&lt;Keywords&gt;MANAGEMENT&lt;/Keywords&gt;&lt;Keywords&gt;Medicine&lt;/Keywords&gt;&lt;Keywords&gt;Quality-Adjusted Life Years&lt;/Keywords&gt;&lt;Keywords&gt;Research&lt;/Keywords&gt;&lt;Keywords&gt;Retrospective Studies&lt;/Keywords&gt;&lt;Keywords&gt;therapeutic use&lt;/Keywords&gt;&lt;Keywords&gt;therapy&lt;/Keywords&gt;&lt;Keywords&gt;Treatment Outcome&lt;/Keywords&gt;&lt;Keywords&gt;Universities&lt;/Keywords&gt;&lt;Keywords&gt;VALUE&lt;/Keywords&gt;&lt;Keywords&gt;Washington&lt;/Keywords&gt;&lt;Reprint&gt;Not in File&lt;/Reprint&gt;&lt;Start_Page&gt;S115&lt;/Start_Page&gt;&lt;End_Page&gt;S119&lt;/End_Page&gt;&lt;Periodical&gt;Am.Heart J.&lt;/Periodical&gt;&lt;Volume&gt;137&lt;/Volume&gt;&lt;Issue&gt;5&lt;/Issue&gt;&lt;Address&gt;Clinical Economics Research Unit, Division of General Internal Medicine, Georgetown University Medical Center, Washington, DC, USA&lt;/Address&gt;&lt;Web_URL&gt;PM:10220611&lt;/Web_URL&gt;&lt;ZZ_JournalFull&gt;&lt;f name="System"&gt;Am.Heart J.&lt;/f&gt;&lt;/ZZ_JournalFull&gt;&lt;ZZ_WorkformID&gt;1&lt;/ZZ_WorkformID&gt;&lt;/MDL&gt;&lt;/Cite&gt;&lt;/Refman&gt;</w:instrText>
      </w:r>
      <w:r w:rsidR="006506AF" w:rsidRPr="00624767">
        <w:rPr>
          <w:rFonts w:ascii="Times New Roman" w:hAnsi="Times New Roman"/>
          <w:sz w:val="24"/>
          <w:szCs w:val="24"/>
        </w:rPr>
        <w:fldChar w:fldCharType="separate"/>
      </w:r>
      <w:r w:rsidR="00DF2C28">
        <w:rPr>
          <w:rFonts w:ascii="Times New Roman" w:hAnsi="Times New Roman"/>
          <w:sz w:val="24"/>
          <w:szCs w:val="24"/>
        </w:rPr>
        <w:t>(15)</w:t>
      </w:r>
      <w:r w:rsidR="006506AF" w:rsidRPr="00624767">
        <w:rPr>
          <w:rFonts w:ascii="Times New Roman" w:hAnsi="Times New Roman"/>
          <w:sz w:val="24"/>
          <w:szCs w:val="24"/>
        </w:rPr>
        <w:fldChar w:fldCharType="end"/>
      </w:r>
      <w:r w:rsidRPr="00624767">
        <w:rPr>
          <w:rFonts w:ascii="Times New Roman" w:hAnsi="Times New Roman"/>
          <w:sz w:val="24"/>
          <w:szCs w:val="24"/>
        </w:rPr>
        <w:t xml:space="preserve"> Further, the difference in the QAS estimates for the unweighted and weighted approach for metformin therapy (0.82 vs 0.54) would be similar to the HRQL effects of choosing not to prescribe ACE inhibitors in patients with heart failure.</w:t>
      </w:r>
      <w:r w:rsidR="006506AF" w:rsidRPr="002336E1">
        <w:rPr>
          <w:rFonts w:ascii="Times New Roman" w:hAnsi="Times New Roman"/>
          <w:sz w:val="24"/>
          <w:szCs w:val="24"/>
        </w:rPr>
        <w:fldChar w:fldCharType="begin"/>
      </w:r>
      <w:r w:rsidR="00DF2C28">
        <w:rPr>
          <w:rFonts w:ascii="Times New Roman" w:hAnsi="Times New Roman"/>
          <w:sz w:val="24"/>
          <w:szCs w:val="24"/>
        </w:rPr>
        <w:instrText xml:space="preserve"> ADDIN REFMGR.CITE &lt;Refman&gt;&lt;Cite&gt;&lt;Author&gt;Boyko&lt;/Author&gt;&lt;Year&gt;1999&lt;/Year&gt;&lt;RecNum&gt;7236&lt;/RecNum&gt;&lt;IDText&gt;Economics and cost-effectiveness in evaluating the value of cardiovascular therapies. ACE inhibitors in the management of congestive heart failure: comparative economic data&lt;/IDText&gt;&lt;MDL Ref_Type="Journal"&gt;&lt;Ref_Type&gt;Journal&lt;/Ref_Type&gt;&lt;Ref_ID&gt;7236&lt;/Ref_ID&gt;&lt;Title_Primary&gt;Economics and cost-effectiveness in evaluating the value of cardiovascular therapies. ACE inhibitors in the management of congestive heart failure: comparative economic data&lt;/Title_Primary&gt;&lt;Authors_Primary&gt;Boyko,W.L.,Jr.&lt;/Authors_Primary&gt;&lt;Authors_Primary&gt;Glick,H.A.&lt;/Authors_Primary&gt;&lt;Authors_Primary&gt;Schulman,K.A.&lt;/Authors_Primary&gt;&lt;Date_Primary&gt;1999/5&lt;/Date_Primary&gt;&lt;Keywords&gt;ACE&lt;/Keywords&gt;&lt;Keywords&gt;ACE inhibitor&lt;/Keywords&gt;&lt;Keywords&gt;ACE inhibitors&lt;/Keywords&gt;&lt;Keywords&gt;ACE-INHIBITOR&lt;/Keywords&gt;&lt;Keywords&gt;ACE-INHIBITORS&lt;/Keywords&gt;&lt;Keywords&gt;Angiotensin-Converting Enzyme Inhibitors&lt;/Keywords&gt;&lt;Keywords&gt;Article&lt;/Keywords&gt;&lt;Keywords&gt;Cardiovascular&lt;/Keywords&gt;&lt;Keywords&gt;Congestive Heart Failure&lt;/Keywords&gt;&lt;Keywords&gt;CONGESTIVE-HEART-FAILURE&lt;/Keywords&gt;&lt;Keywords&gt;Cost of Illness&lt;/Keywords&gt;&lt;Keywords&gt;Cost-Benefit Analysis&lt;/Keywords&gt;&lt;Keywords&gt;Developed Countries&lt;/Keywords&gt;&lt;Keywords&gt;drug therapy&lt;/Keywords&gt;&lt;Keywords&gt;economics&lt;/Keywords&gt;&lt;Keywords&gt;Economics,Pharmaceutical&lt;/Keywords&gt;&lt;Keywords&gt;Enzyme Inhibitors&lt;/Keywords&gt;&lt;Keywords&gt;FAILURE&lt;/Keywords&gt;&lt;Keywords&gt;Heart&lt;/Keywords&gt;&lt;Keywords&gt;Heart Failure&lt;/Keywords&gt;&lt;Keywords&gt;Heart Failure,Congestive&lt;/Keywords&gt;&lt;Keywords&gt;HEART-FAILURE&lt;/Keywords&gt;&lt;Keywords&gt;Humans&lt;/Keywords&gt;&lt;Keywords&gt;INHIBITOR&lt;/Keywords&gt;&lt;Keywords&gt;INHIBITORS&lt;/Keywords&gt;&lt;Keywords&gt;Internal Medicine&lt;/Keywords&gt;&lt;Keywords&gt;Journal Article&lt;/Keywords&gt;&lt;Keywords&gt;MANAGEMENT&lt;/Keywords&gt;&lt;Keywords&gt;Medicine&lt;/Keywords&gt;&lt;Keywords&gt;Quality-Adjusted Life Years&lt;/Keywords&gt;&lt;Keywords&gt;Research&lt;/Keywords&gt;&lt;Keywords&gt;Retrospective Studies&lt;/Keywords&gt;&lt;Keywords&gt;therapeutic use&lt;/Keywords&gt;&lt;Keywords&gt;therapy&lt;/Keywords&gt;&lt;Keywords&gt;Treatment Outcome&lt;/Keywords&gt;&lt;Keywords&gt;Universities&lt;/Keywords&gt;&lt;Keywords&gt;VALUE&lt;/Keywords&gt;&lt;Keywords&gt;Washington&lt;/Keywords&gt;&lt;Reprint&gt;Not in File&lt;/Reprint&gt;&lt;Start_Page&gt;S115&lt;/Start_Page&gt;&lt;End_Page&gt;S119&lt;/End_Page&gt;&lt;Periodical&gt;Am.Heart J.&lt;/Periodical&gt;&lt;Volume&gt;137&lt;/Volume&gt;&lt;Issue&gt;5&lt;/Issue&gt;&lt;Address&gt;Clinical Economics Research Unit, Division of General Internal Medicine, Georgetown University Medical Center, Washington, DC, USA&lt;/Address&gt;&lt;Web_URL&gt;PM:10220611&lt;/Web_URL&gt;&lt;ZZ_JournalFull&gt;&lt;f name="System"&gt;Am.Heart J.&lt;/f&gt;&lt;/ZZ_JournalFull&gt;&lt;ZZ_WorkformID&gt;1&lt;/ZZ_WorkformID&gt;&lt;/MDL&gt;&lt;/Cite&gt;&lt;/Refman&gt;</w:instrText>
      </w:r>
      <w:r w:rsidR="006506AF" w:rsidRPr="002336E1">
        <w:rPr>
          <w:rFonts w:ascii="Times New Roman" w:hAnsi="Times New Roman"/>
          <w:sz w:val="24"/>
          <w:szCs w:val="24"/>
        </w:rPr>
        <w:fldChar w:fldCharType="separate"/>
      </w:r>
      <w:r w:rsidR="00DF2C28">
        <w:rPr>
          <w:rFonts w:ascii="Times New Roman" w:hAnsi="Times New Roman"/>
          <w:sz w:val="24"/>
          <w:szCs w:val="24"/>
        </w:rPr>
        <w:t>(15)</w:t>
      </w:r>
      <w:r w:rsidR="006506AF" w:rsidRPr="002336E1">
        <w:rPr>
          <w:rFonts w:ascii="Times New Roman" w:hAnsi="Times New Roman"/>
          <w:sz w:val="24"/>
          <w:szCs w:val="24"/>
        </w:rPr>
        <w:fldChar w:fldCharType="end"/>
      </w:r>
      <w:r w:rsidR="002336E1" w:rsidRPr="002336E1">
        <w:rPr>
          <w:rFonts w:ascii="Times New Roman" w:hAnsi="Times New Roman"/>
          <w:sz w:val="24"/>
          <w:szCs w:val="24"/>
        </w:rPr>
        <w:t xml:space="preserve">  Although in our examples, both therapies remained beneficial after adjustment for HRQL, one could easily foresee clinical trials where marginal benefits using unweighted composite outcomes could be non-significant using the weighted approach or vice versa. In addition, the QAS approach is directly amendable to economic evaluations (e.g., cost utility analysis which incorporate QALYs) unlike most traditional survival analyses evaluating composite outcomes. Thus, by incorporating measures of clinical impact into summary effect estimates, we believe that better informed treatment decisions may result. </w:t>
      </w:r>
    </w:p>
    <w:p w:rsidR="00BE14F5" w:rsidRPr="00624767" w:rsidRDefault="00E13662" w:rsidP="00BE14F5">
      <w:pPr>
        <w:spacing w:line="480" w:lineRule="auto"/>
        <w:ind w:firstLine="360"/>
      </w:pPr>
      <w:r>
        <w:t>Importantly, however, appropriate selection of utility weights is required</w:t>
      </w:r>
      <w:r w:rsidR="00952A2E">
        <w:t>,</w:t>
      </w:r>
      <w:r>
        <w:t xml:space="preserve"> as shown by the modest effect on the QAS estimates in our sensitivity analyses</w:t>
      </w:r>
      <w:r w:rsidR="000E5F65">
        <w:t>.</w:t>
      </w:r>
      <w:r>
        <w:t xml:space="preserve"> Prospective collection of utilities in the setting of randomized controlled trials or cohort studies would permit direct incorporation of study-specific utilities into the QAS method. For example, by collecting utility estimates at baseline, at the time of clinically important events and at regularly scheduled time periods (e.g., every 6 months) a more complete evaluation of the effect of therapies on HRQL in clinical trials could be completed.  Further, since the periods of evaluation are successive, these time specific health states could be easily incorporated into the QAS approach. In studies where prospective collection of utility estimates is not possible, carefully selected literature-based estimates or threshold utility analyses for unknown utility estimates</w:t>
      </w:r>
      <w:r w:rsidR="006506AF" w:rsidRPr="00624767">
        <w:fldChar w:fldCharType="begin"/>
      </w:r>
      <w:r w:rsidR="00DF2C28">
        <w:instrText xml:space="preserve"> ADDIN REFMGR.CITE &lt;Refman&gt;&lt;Cite&gt;&lt;Author&gt;Cole&lt;/Author&gt;&lt;Year&gt;1993&lt;/Year&gt;&lt;RecNum&gt;6007&lt;/RecNum&gt;&lt;IDText&gt;Cox regression models for quality adjusted survival analysis&lt;/IDText&gt;&lt;MDL Ref_Type="Journal"&gt;&lt;Ref_Type&gt;Journal&lt;/Ref_Type&gt;&lt;Ref_ID&gt;6007&lt;/Ref_ID&gt;&lt;Title_Primary&gt;Cox regression models for quality adjusted survival analysis&lt;/Title_Primary&gt;&lt;Authors_Primary&gt;Cole,B.F.&lt;/Authors_Primary&gt;&lt;Authors_Primary&gt;Gelber,R.D.&lt;/Authors_Primary&gt;&lt;Authors_Primary&gt;Goldhirsch,A.&lt;/Authors_Primary&gt;&lt;Date_Primary&gt;1993/5/30&lt;/Date_Primary&gt;&lt;Keywords&gt;administration &amp;amp; dosage&lt;/Keywords&gt;&lt;Keywords&gt;adverse effects&lt;/Keywords&gt;&lt;Keywords&gt;Affect&lt;/Keywords&gt;&lt;Keywords&gt;analysis&lt;/Keywords&gt;&lt;Keywords&gt;Antineoplastic Agents&lt;/Keywords&gt;&lt;Keywords&gt;Boston&lt;/Keywords&gt;&lt;Keywords&gt;Breast Neoplasms&lt;/Keywords&gt;&lt;Keywords&gt;drug therapy&lt;/Keywords&gt;&lt;Keywords&gt;Female&lt;/Keywords&gt;&lt;Keywords&gt;Health&lt;/Keywords&gt;&lt;Keywords&gt;Humans&lt;/Keywords&gt;&lt;Keywords&gt;Lymphatic Metastasis&lt;/Keywords&gt;&lt;Keywords&gt;Massachusetts&lt;/Keywords&gt;&lt;Keywords&gt;Middle Aged&lt;/Keywords&gt;&lt;Keywords&gt;mortality&lt;/Keywords&gt;&lt;Keywords&gt;Neoplasm Recurrence,Local&lt;/Keywords&gt;&lt;Keywords&gt;Neoplasm Staging&lt;/Keywords&gt;&lt;Keywords&gt;pathology&lt;/Keywords&gt;&lt;Keywords&gt;Prognosis&lt;/Keywords&gt;&lt;Keywords&gt;Proportional Hazards Models&lt;/Keywords&gt;&lt;Keywords&gt;psychology&lt;/Keywords&gt;&lt;Keywords&gt;Public Health&lt;/Keywords&gt;&lt;Keywords&gt;Quality of Life&lt;/Keywords&gt;&lt;Keywords&gt;Research Support,Non-U.S.Gov&amp;apos;t&lt;/Keywords&gt;&lt;Keywords&gt;Research Support,U.S.Gov&amp;apos;t,P.H.S.&lt;/Keywords&gt;&lt;Keywords&gt;Survival Analysis&lt;/Keywords&gt;&lt;Keywords&gt;Treatment Outcome&lt;/Keywords&gt;&lt;Reprint&gt;Not in File&lt;/Reprint&gt;&lt;Start_Page&gt;975&lt;/Start_Page&gt;&lt;End_Page&gt;987&lt;/End_Page&gt;&lt;Periodical&gt;Stat.Med.&lt;/Periodical&gt;&lt;Volume&gt;12&lt;/Volume&gt;&lt;Issue&gt;10&lt;/Issue&gt;&lt;Address&gt;Department of Biostatistics, Harvard School of Public Health and Division of Biostatistics, Dana-Farber Cancer Institute, Boston, Massachusetts 02115&lt;/Address&gt;&lt;Web_URL&gt;PM:8337554&lt;/Web_URL&gt;&lt;ZZ_JournalFull&gt;&lt;f name="System"&gt;Stat.Med.&lt;/f&gt;&lt;/ZZ_JournalFull&gt;&lt;ZZ_WorkformID&gt;1&lt;/ZZ_WorkformID&gt;&lt;/MDL&gt;&lt;/Cite&gt;&lt;Cite&gt;&lt;Author&gt;Glasziou&lt;/Author&gt;&lt;Year&gt;1990&lt;/Year&gt;&lt;RecNum&gt;6006&lt;/RecNum&gt;&lt;IDText&gt;Quality adjusted survival analysis&lt;/IDText&gt;&lt;MDL Ref_Type="Journal"&gt;&lt;Ref_Type&gt;Journal&lt;/Ref_Type&gt;&lt;Ref_ID&gt;6006&lt;/Ref_ID&gt;&lt;Title_Primary&gt;Quality adjusted survival analysis&lt;/Title_Primary&gt;&lt;Authors_Primary&gt;Glasziou,P.P.&lt;/Authors_Primary&gt;&lt;Authors_Primary&gt;Simes,R.J.&lt;/Authors_Primary&gt;&lt;Authors_Primary&gt;Gelber,R.D.&lt;/Authors_Primary&gt;&lt;Date_Primary&gt;1990/11&lt;/Date_Primary&gt;&lt;Keywords&gt;analysis&lt;/Keywords&gt;&lt;Keywords&gt;Australia&lt;/Keywords&gt;&lt;Keywords&gt;Breast Neoplasms&lt;/Keywords&gt;&lt;Keywords&gt;Clinical Trials&lt;/Keywords&gt;&lt;Keywords&gt;Female&lt;/Keywords&gt;&lt;Keywords&gt;Health&lt;/Keywords&gt;&lt;Keywords&gt;Humans&lt;/Keywords&gt;&lt;Keywords&gt;Immunologic Deficiency Syndromes&lt;/Keywords&gt;&lt;Keywords&gt;methods&lt;/Keywords&gt;&lt;Keywords&gt;mortality&lt;/Keywords&gt;&lt;Keywords&gt;Ovarian Neoplasms&lt;/Keywords&gt;&lt;Keywords&gt;Public Health&lt;/Keywords&gt;&lt;Keywords&gt;Quality of Life&lt;/Keywords&gt;&lt;Keywords&gt;Survival Analysis&lt;/Keywords&gt;&lt;Keywords&gt;therapy&lt;/Keywords&gt;&lt;Reprint&gt;Not in File&lt;/Reprint&gt;&lt;Start_Page&gt;1259&lt;/Start_Page&gt;&lt;End_Page&gt;1276&lt;/End_Page&gt;&lt;Periodical&gt;Stat.Med.&lt;/Periodical&gt;&lt;Volume&gt;9&lt;/Volume&gt;&lt;Issue&gt;11&lt;/Issue&gt;&lt;Address&gt;Department of Public Health, University of Sydney, Australia&lt;/Address&gt;&lt;Web_URL&gt;PM:2277877&lt;/Web_URL&gt;&lt;ZZ_JournalFull&gt;&lt;f name="System"&gt;Stat.Med.&lt;/f&gt;&lt;/ZZ_JournalFull&gt;&lt;ZZ_WorkformID&gt;1&lt;/ZZ_WorkformID&gt;&lt;/MDL&gt;&lt;/Cite&gt;&lt;/Refman&gt;</w:instrText>
      </w:r>
      <w:r w:rsidR="006506AF" w:rsidRPr="00624767">
        <w:fldChar w:fldCharType="separate"/>
      </w:r>
      <w:r w:rsidR="00DF2C28">
        <w:t>(6;8)</w:t>
      </w:r>
      <w:r w:rsidR="006506AF" w:rsidRPr="00624767">
        <w:fldChar w:fldCharType="end"/>
      </w:r>
      <w:r w:rsidR="00BE14F5" w:rsidRPr="00624767">
        <w:t xml:space="preserve"> may be used but they should be justified and subject to sensitivity analyses such as we illustrated. </w:t>
      </w:r>
    </w:p>
    <w:p w:rsidR="00C0314C" w:rsidRDefault="0008442E" w:rsidP="00A20075">
      <w:pPr>
        <w:autoSpaceDE w:val="0"/>
        <w:autoSpaceDN w:val="0"/>
        <w:adjustRightInd w:val="0"/>
        <w:spacing w:line="480" w:lineRule="auto"/>
        <w:ind w:firstLine="360"/>
      </w:pPr>
      <w:r>
        <w:t xml:space="preserve">Although there are several advantages to using </w:t>
      </w:r>
      <w:r w:rsidR="005E2DE8">
        <w:t>QAS</w:t>
      </w:r>
      <w:r w:rsidR="00607670">
        <w:t xml:space="preserve"> analyses</w:t>
      </w:r>
      <w:r>
        <w:t>, there</w:t>
      </w:r>
      <w:r w:rsidR="003B7CDC">
        <w:t xml:space="preserve"> are also</w:t>
      </w:r>
      <w:r w:rsidR="00CA15D7">
        <w:t xml:space="preserve"> some limitations</w:t>
      </w:r>
      <w:r w:rsidR="003B7CDC">
        <w:t xml:space="preserve">. </w:t>
      </w:r>
      <w:r w:rsidR="00962BA7">
        <w:t>First, t</w:t>
      </w:r>
      <w:r w:rsidR="003C13CC">
        <w:t>he</w:t>
      </w:r>
      <w:r w:rsidR="003B7CDC">
        <w:t xml:space="preserve"> quality adjusted survival estimate</w:t>
      </w:r>
      <w:r w:rsidR="003C13CC">
        <w:t xml:space="preserve"> </w:t>
      </w:r>
      <w:r w:rsidR="00962BA7">
        <w:t>we described</w:t>
      </w:r>
      <w:r w:rsidR="003C13CC">
        <w:t xml:space="preserve"> </w:t>
      </w:r>
      <w:r w:rsidR="001010D3">
        <w:t>must be</w:t>
      </w:r>
      <w:r w:rsidR="003B7CDC">
        <w:t xml:space="preserve"> restricted</w:t>
      </w:r>
      <w:r w:rsidR="00D937E5">
        <w:t xml:space="preserve"> to a set time limit</w:t>
      </w:r>
      <w:r w:rsidR="00332905">
        <w:t>.</w:t>
      </w:r>
      <w:r w:rsidR="003B7CDC">
        <w:t xml:space="preserve"> </w:t>
      </w:r>
      <w:r w:rsidR="00D937E5" w:rsidRPr="00482B55">
        <w:t xml:space="preserve">Thus, </w:t>
      </w:r>
      <w:r w:rsidR="00332905" w:rsidRPr="00482B55">
        <w:t xml:space="preserve">in our analyses, the integration range was limited to the maximum follow-up of </w:t>
      </w:r>
      <w:r w:rsidR="00FD5C3D">
        <w:t>8.0</w:t>
      </w:r>
      <w:r w:rsidR="00332905" w:rsidRPr="00482B55">
        <w:t xml:space="preserve"> years </w:t>
      </w:r>
      <w:r w:rsidR="00A9210C">
        <w:t xml:space="preserve">for the metformin study </w:t>
      </w:r>
      <w:r w:rsidR="00332905" w:rsidRPr="00482B55">
        <w:t>and 4.</w:t>
      </w:r>
      <w:r w:rsidR="00BE14F5">
        <w:t>8</w:t>
      </w:r>
      <w:r w:rsidR="00332905" w:rsidRPr="00482B55">
        <w:t xml:space="preserve"> years for</w:t>
      </w:r>
      <w:r w:rsidR="00332905">
        <w:t xml:space="preserve"> the DIG study</w:t>
      </w:r>
      <w:r w:rsidR="00A9210C">
        <w:t xml:space="preserve"> - </w:t>
      </w:r>
      <w:r w:rsidR="001D67FF">
        <w:t>identical to that used in the traditional survival analysis</w:t>
      </w:r>
      <w:r w:rsidR="00332905">
        <w:t xml:space="preserve">. </w:t>
      </w:r>
      <w:r w:rsidR="00BE14F5">
        <w:t>As such, this method cannot provide ‘lifetime’ estimates associated with the therapy in itself, but could be incorporated into</w:t>
      </w:r>
      <w:r w:rsidR="00BE14F5" w:rsidRPr="00A55CA0">
        <w:t xml:space="preserve"> projected life expectanc</w:t>
      </w:r>
      <w:r w:rsidR="00BE14F5">
        <w:t xml:space="preserve">y models </w:t>
      </w:r>
      <w:r w:rsidR="00BE14F5" w:rsidRPr="00A55CA0">
        <w:t xml:space="preserve">to provide </w:t>
      </w:r>
      <w:r w:rsidR="00BE14F5">
        <w:t>these estimates</w:t>
      </w:r>
      <w:r w:rsidR="003B7CDC">
        <w:t xml:space="preserve">. </w:t>
      </w:r>
      <w:r w:rsidR="00962BA7">
        <w:t>Second</w:t>
      </w:r>
      <w:r w:rsidR="003B7CDC">
        <w:t xml:space="preserve">, </w:t>
      </w:r>
      <w:r w:rsidR="00434942">
        <w:t xml:space="preserve">we used </w:t>
      </w:r>
      <w:r w:rsidR="003B7CDC">
        <w:t xml:space="preserve">the </w:t>
      </w:r>
      <w:r w:rsidR="00434942">
        <w:t xml:space="preserve">simplest presentation of this </w:t>
      </w:r>
      <w:r w:rsidR="003B7CDC">
        <w:t>method</w:t>
      </w:r>
      <w:r w:rsidR="00434942">
        <w:t>, which</w:t>
      </w:r>
      <w:r w:rsidR="003B7CDC">
        <w:t xml:space="preserve"> assumes a progressive health state model</w:t>
      </w:r>
      <w:r w:rsidR="0092366D">
        <w:t xml:space="preserve"> where hospitalization </w:t>
      </w:r>
      <w:r w:rsidR="00434942">
        <w:t>preceded</w:t>
      </w:r>
      <w:r w:rsidR="0092366D">
        <w:t xml:space="preserve"> death.</w:t>
      </w:r>
      <w:r w:rsidR="003B7CDC">
        <w:t xml:space="preserve"> </w:t>
      </w:r>
      <w:r w:rsidR="003C13CC">
        <w:t xml:space="preserve">Although this is appropriate for many </w:t>
      </w:r>
      <w:r>
        <w:t>disease conditions</w:t>
      </w:r>
      <w:r w:rsidR="00CA15D7">
        <w:t xml:space="preserve"> and </w:t>
      </w:r>
      <w:r w:rsidR="00A82595">
        <w:t xml:space="preserve">most </w:t>
      </w:r>
      <w:r w:rsidR="00CA15D7">
        <w:t>composite outcomes</w:t>
      </w:r>
      <w:r w:rsidR="003C13CC">
        <w:t>, it may not be suitable for all</w:t>
      </w:r>
      <w:r w:rsidR="00CA15D7">
        <w:t xml:space="preserve"> (for example, consider a composite outcome of hospitalization or </w:t>
      </w:r>
      <w:r w:rsidR="00A82595">
        <w:t>coronary artery bypass grafting</w:t>
      </w:r>
      <w:r w:rsidR="00CA15D7">
        <w:t>)</w:t>
      </w:r>
      <w:r w:rsidR="003C13CC">
        <w:t xml:space="preserve">. </w:t>
      </w:r>
      <w:r w:rsidR="00BE14F5">
        <w:t>Parametric methods have been developed, however, that overcome these limitations.</w:t>
      </w:r>
      <w:r w:rsidR="006506AF">
        <w:fldChar w:fldCharType="begin"/>
      </w:r>
      <w:r w:rsidR="00DF2C28">
        <w:instrText xml:space="preserve"> ADDIN REFMGR.CITE &lt;Refman&gt;&lt;Cite&gt;&lt;Author&gt;Cole&lt;/Author&gt;&lt;Year&gt;1994&lt;/Year&gt;&lt;RecNum&gt;7198&lt;/RecNum&gt;&lt;IDText&gt;Parametric approaches to quality-adjusted survival analysis. International Breast Cancer Study Group&lt;/IDText&gt;&lt;MDL Ref_Type="Journal"&gt;&lt;Ref_Type&gt;Journal&lt;/Ref_Type&gt;&lt;Ref_ID&gt;7198&lt;/Ref_ID&gt;&lt;Title_Primary&gt;Parametric approaches to quality-adjusted survival analysis. International Breast Cancer Study Group&lt;/Title_Primary&gt;&lt;Authors_Primary&gt;Cole,B.F.&lt;/Authors_Primary&gt;&lt;Authors_Primary&gt;Gelber,R.D.&lt;/Authors_Primary&gt;&lt;Authors_Primary&gt;Anderson,K.M.&lt;/Authors_Primary&gt;&lt;Date_Primary&gt;1994/9&lt;/Date_Primary&gt;&lt;Keywords&gt;1&lt;/Keywords&gt;&lt;Keywords&gt;2&lt;/Keywords&gt;&lt;Keywords&gt;3&lt;/Keywords&gt;&lt;Keywords&gt;analysis&lt;/Keywords&gt;&lt;Keywords&gt;Article&lt;/Keywords&gt;&lt;Keywords&gt;Boston&lt;/Keywords&gt;&lt;Keywords&gt;Breast Neoplasms&lt;/Keywords&gt;&lt;Keywords&gt;Clinical Trial&lt;/Keywords&gt;&lt;Keywords&gt;CLINICAL-TRIAL&lt;/Keywords&gt;&lt;Keywords&gt;Comparative Study&lt;/Keywords&gt;&lt;Keywords&gt;Confidence Interval&lt;/Keywords&gt;&lt;Keywords&gt;Confidence Intervals&lt;/Keywords&gt;&lt;Keywords&gt;Disease&lt;/Keywords&gt;&lt;Keywords&gt;drug therapy&lt;/Keywords&gt;&lt;Keywords&gt;Epidemiologic Methods&lt;/Keywords&gt;&lt;Keywords&gt;EVENTS&lt;/Keywords&gt;&lt;Keywords&gt;FAILURE&lt;/Keywords&gt;&lt;Keywords&gt;Female&lt;/Keywords&gt;&lt;Keywords&gt;function&lt;/Keywords&gt;&lt;Keywords&gt;Group&lt;/Keywords&gt;&lt;Keywords&gt;Hazard&lt;/Keywords&gt;&lt;Keywords&gt;Health&lt;/Keywords&gt;&lt;Keywords&gt;Humans&lt;/Keywords&gt;&lt;Keywords&gt;INTERVAL&lt;/Keywords&gt;&lt;Keywords&gt;Journal Article&lt;/Keywords&gt;&lt;Keywords&gt;LONG&lt;/Keywords&gt;&lt;Keywords&gt;Lymphatic Metastasis&lt;/Keywords&gt;&lt;Keywords&gt;Massachusetts&lt;/Keywords&gt;&lt;Keywords&gt;Mathematics&lt;/Keywords&gt;&lt;Keywords&gt;methods&lt;/Keywords&gt;&lt;Keywords&gt;Model&lt;/Keywords&gt;&lt;Keywords&gt;modeling&lt;/Keywords&gt;&lt;Keywords&gt;Models&lt;/Keywords&gt;&lt;Keywords&gt;Models,Statistical&lt;/Keywords&gt;&lt;Keywords&gt;mortality&lt;/Keywords&gt;&lt;Keywords&gt;Multicenter Studies&lt;/Keywords&gt;&lt;Keywords&gt;Multivariate Analysis&lt;/Keywords&gt;&lt;Keywords&gt;Parameter&lt;/Keywords&gt;&lt;Keywords&gt;pathology&lt;/Keywords&gt;&lt;Keywords&gt;Public Health&lt;/Keywords&gt;&lt;Keywords&gt;Quality of Life&lt;/Keywords&gt;&lt;Keywords&gt;Recurrence&lt;/Keywords&gt;&lt;Keywords&gt;Research&lt;/Keywords&gt;&lt;Keywords&gt;Risk&lt;/Keywords&gt;&lt;Keywords&gt;Risk Factors&lt;/Keywords&gt;&lt;Keywords&gt;Second&lt;/Keywords&gt;&lt;Keywords&gt;Standard&lt;/Keywords&gt;&lt;Keywords&gt;studies&lt;/Keywords&gt;&lt;Keywords&gt;Study&lt;/Keywords&gt;&lt;Keywords&gt;Support&lt;/Keywords&gt;&lt;Keywords&gt;Survival&lt;/Keywords&gt;&lt;Keywords&gt;Survival Analysis&lt;/Keywords&gt;&lt;Keywords&gt;Survival Rate&lt;/Keywords&gt;&lt;Keywords&gt;Symptom&lt;/Keywords&gt;&lt;Keywords&gt;SYMPTOMS&lt;/Keywords&gt;&lt;Keywords&gt;TERM&lt;/Keywords&gt;&lt;Keywords&gt;Time&lt;/Keywords&gt;&lt;Keywords&gt;Time Factors&lt;/Keywords&gt;&lt;Keywords&gt;Toxicity&lt;/Keywords&gt;&lt;Keywords&gt;treatment&lt;/Keywords&gt;&lt;Keywords&gt;TRIAL&lt;/Keywords&gt;&lt;Keywords&gt;VALUE&lt;/Keywords&gt;&lt;Reprint&gt;Not in File&lt;/Reprint&gt;&lt;Start_Page&gt;621&lt;/Start_Page&gt;&lt;End_Page&gt;631&lt;/End_Page&gt;&lt;Periodical&gt;Biometrics&lt;/Periodical&gt;&lt;Volume&gt;50&lt;/Volume&gt;&lt;Issue&gt;3&lt;/Issue&gt;&lt;Address&gt;Department of Biostatistics, Harvard School of Public Health, Boston, Massachusetts 02115&lt;/Address&gt;&lt;Web_URL&gt;PM:7981389&lt;/Web_URL&gt;&lt;ZZ_JournalFull&gt;&lt;f name="System"&gt;Biometrics&lt;/f&gt;&lt;/ZZ_JournalFull&gt;&lt;ZZ_WorkformID&gt;1&lt;/ZZ_WorkformID&gt;&lt;/MDL&gt;&lt;/Cite&gt;&lt;/Refman&gt;</w:instrText>
      </w:r>
      <w:r w:rsidR="006506AF">
        <w:fldChar w:fldCharType="separate"/>
      </w:r>
      <w:r w:rsidR="00DF2C28">
        <w:t>(16)</w:t>
      </w:r>
      <w:r w:rsidR="006506AF">
        <w:fldChar w:fldCharType="end"/>
      </w:r>
      <w:r w:rsidR="00BE14F5">
        <w:t xml:space="preserve"> In addition, these models may be extended to account for repeated failure times and the use of time-varying covariates.</w:t>
      </w:r>
      <w:r w:rsidR="006506AF">
        <w:fldChar w:fldCharType="begin"/>
      </w:r>
      <w:r w:rsidR="00DF2C28">
        <w:instrText xml:space="preserve"> ADDIN REFMGR.CITE &lt;Refman&gt;&lt;Cite&gt;&lt;Author&gt;Cole&lt;/Author&gt;&lt;Year&gt;1993&lt;/Year&gt;&lt;RecNum&gt;6007&lt;/RecNum&gt;&lt;IDText&gt;Cox regression models for quality adjusted survival analysis&lt;/IDText&gt;&lt;MDL Ref_Type="Journal"&gt;&lt;Ref_Type&gt;Journal&lt;/Ref_Type&gt;&lt;Ref_ID&gt;6007&lt;/Ref_ID&gt;&lt;Title_Primary&gt;Cox regression models for quality adjusted survival analysis&lt;/Title_Primary&gt;&lt;Authors_Primary&gt;Cole,B.F.&lt;/Authors_Primary&gt;&lt;Authors_Primary&gt;Gelber,R.D.&lt;/Authors_Primary&gt;&lt;Authors_Primary&gt;Goldhirsch,A.&lt;/Authors_Primary&gt;&lt;Date_Primary&gt;1993/5/30&lt;/Date_Primary&gt;&lt;Keywords&gt;administration &amp;amp; dosage&lt;/Keywords&gt;&lt;Keywords&gt;adverse effects&lt;/Keywords&gt;&lt;Keywords&gt;Affect&lt;/Keywords&gt;&lt;Keywords&gt;analysis&lt;/Keywords&gt;&lt;Keywords&gt;Antineoplastic Agents&lt;/Keywords&gt;&lt;Keywords&gt;Boston&lt;/Keywords&gt;&lt;Keywords&gt;Breast Neoplasms&lt;/Keywords&gt;&lt;Keywords&gt;drug therapy&lt;/Keywords&gt;&lt;Keywords&gt;Female&lt;/Keywords&gt;&lt;Keywords&gt;Health&lt;/Keywords&gt;&lt;Keywords&gt;Humans&lt;/Keywords&gt;&lt;Keywords&gt;Lymphatic Metastasis&lt;/Keywords&gt;&lt;Keywords&gt;Massachusetts&lt;/Keywords&gt;&lt;Keywords&gt;Middle Aged&lt;/Keywords&gt;&lt;Keywords&gt;mortality&lt;/Keywords&gt;&lt;Keywords&gt;Neoplasm Recurrence,Local&lt;/Keywords&gt;&lt;Keywords&gt;Neoplasm Staging&lt;/Keywords&gt;&lt;Keywords&gt;pathology&lt;/Keywords&gt;&lt;Keywords&gt;Prognosis&lt;/Keywords&gt;&lt;Keywords&gt;Proportional Hazards Models&lt;/Keywords&gt;&lt;Keywords&gt;psychology&lt;/Keywords&gt;&lt;Keywords&gt;Public Health&lt;/Keywords&gt;&lt;Keywords&gt;Quality of Life&lt;/Keywords&gt;&lt;Keywords&gt;Research Support,Non-U.S.Gov&amp;apos;t&lt;/Keywords&gt;&lt;Keywords&gt;Research Support,U.S.Gov&amp;apos;t,P.H.S.&lt;/Keywords&gt;&lt;Keywords&gt;Survival Analysis&lt;/Keywords&gt;&lt;Keywords&gt;Treatment Outcome&lt;/Keywords&gt;&lt;Reprint&gt;Not in File&lt;/Reprint&gt;&lt;Start_Page&gt;975&lt;/Start_Page&gt;&lt;End_Page&gt;987&lt;/End_Page&gt;&lt;Periodical&gt;Stat.Med.&lt;/Periodical&gt;&lt;Volume&gt;12&lt;/Volume&gt;&lt;Issue&gt;10&lt;/Issue&gt;&lt;Address&gt;Department of Biostatistics, Harvard School of Public Health and Division of Biostatistics, Dana-Farber Cancer Institute, Boston, Massachusetts 02115&lt;/Address&gt;&lt;Web_URL&gt;PM:8337554&lt;/Web_URL&gt;&lt;ZZ_JournalFull&gt;&lt;f name="System"&gt;Stat.Med.&lt;/f&gt;&lt;/ZZ_JournalFull&gt;&lt;ZZ_WorkformID&gt;1&lt;/ZZ_WorkformID&gt;&lt;/MDL&gt;&lt;/Cite&gt;&lt;/Refman&gt;</w:instrText>
      </w:r>
      <w:r w:rsidR="006506AF">
        <w:fldChar w:fldCharType="separate"/>
      </w:r>
      <w:r w:rsidR="00DF2C28">
        <w:t>(8)</w:t>
      </w:r>
      <w:r w:rsidR="006506AF">
        <w:fldChar w:fldCharType="end"/>
      </w:r>
      <w:r w:rsidR="000F4ED0">
        <w:t xml:space="preserve"> </w:t>
      </w:r>
      <w:r w:rsidR="00962BA7">
        <w:t>Third</w:t>
      </w:r>
      <w:r w:rsidR="00C9319B">
        <w:t xml:space="preserve">, all </w:t>
      </w:r>
      <w:r w:rsidR="00A82595">
        <w:t xml:space="preserve">limitations and </w:t>
      </w:r>
      <w:r w:rsidR="00C9319B">
        <w:t>assumptions associated with Cox proportional hazards regression also appl</w:t>
      </w:r>
      <w:r w:rsidR="00D57AB1">
        <w:t>y</w:t>
      </w:r>
      <w:r w:rsidR="00C9319B">
        <w:t xml:space="preserve"> to th</w:t>
      </w:r>
      <w:r w:rsidR="00A82595">
        <w:t>e QAS</w:t>
      </w:r>
      <w:r w:rsidR="00C9319B">
        <w:t xml:space="preserve"> method.</w:t>
      </w:r>
      <w:r w:rsidR="006506AF">
        <w:fldChar w:fldCharType="begin"/>
      </w:r>
      <w:r w:rsidR="00DF2C28">
        <w:instrText xml:space="preserve"> ADDIN REFMGR.CITE &lt;Refman&gt;&lt;Cite&gt;&lt;Author&gt;Southern&lt;/Author&gt;&lt;Year&gt;2006&lt;/Year&gt;&lt;RecNum&gt;7199&lt;/RecNum&gt;&lt;IDText&gt;Kaplan-Meier methods yielded misleading results in competing risk scenarios&lt;/IDText&gt;&lt;MDL Ref_Type="Journal"&gt;&lt;Ref_Type&gt;Journal&lt;/Ref_Type&gt;&lt;Ref_ID&gt;7199&lt;/Ref_ID&gt;&lt;Title_Primary&gt;Kaplan-Meier methods yielded misleading results in competing risk scenarios&lt;/Title_Primary&gt;&lt;Authors_Primary&gt;Southern,D.A.&lt;/Authors_Primary&gt;&lt;Authors_Primary&gt;Faris,P.D.&lt;/Authors_Primary&gt;&lt;Authors_Primary&gt;Brant,R.&lt;/Authors_Primary&gt;&lt;Authors_Primary&gt;Galbraith,P.D.&lt;/Authors_Primary&gt;&lt;Authors_Primary&gt;Norris,C.M.&lt;/Authors_Primary&gt;&lt;Authors_Primary&gt;Knudtson,M.L.&lt;/Authors_Primary&gt;&lt;Authors_Primary&gt;Ghali,W.A.&lt;/Authors_Primary&gt;&lt;Date_Primary&gt;2006/10&lt;/Date_Primary&gt;&lt;Keywords&gt;Alberta&lt;/Keywords&gt;&lt;Keywords&gt;analysis&lt;/Keywords&gt;&lt;Keywords&gt;Angioplasty,Transluminal,Percutaneous Coronary&lt;/Keywords&gt;&lt;Keywords&gt;Arteries&lt;/Keywords&gt;&lt;Keywords&gt;Artery&lt;/Keywords&gt;&lt;Keywords&gt;Article&lt;/Keywords&gt;&lt;Keywords&gt;bypass&lt;/Keywords&gt;&lt;Keywords&gt;Canada&lt;/Keywords&gt;&lt;Keywords&gt;cardiac&lt;/Keywords&gt;&lt;Keywords&gt;CORONARY&lt;/Keywords&gt;&lt;Keywords&gt;Coronary Artery&lt;/Keywords&gt;&lt;Keywords&gt;Coronary Artery Bypass&lt;/Keywords&gt;&lt;Keywords&gt;CORONARY-ARTERY&lt;/Keywords&gt;&lt;Keywords&gt;Data Interpretation,Statistical&lt;/Keywords&gt;&lt;Keywords&gt;Death&lt;/Keywords&gt;&lt;Keywords&gt;EVENTS&lt;/Keywords&gt;&lt;Keywords&gt;Health&lt;/Keywords&gt;&lt;Keywords&gt;Heart Catheterization&lt;/Keywords&gt;&lt;Keywords&gt;Humans&lt;/Keywords&gt;&lt;Keywords&gt;Incidence&lt;/Keywords&gt;&lt;Keywords&gt;INTERVENTION&lt;/Keywords&gt;&lt;Keywords&gt;Journal Article&lt;/Keywords&gt;&lt;Keywords&gt;Medical Literature&lt;/Keywords&gt;&lt;Keywords&gt;methods&lt;/Keywords&gt;&lt;Keywords&gt;Patient&lt;/Keywords&gt;&lt;Keywords&gt;Patients&lt;/Keywords&gt;&lt;Keywords&gt;RATES&lt;/Keywords&gt;&lt;Keywords&gt;Registries&lt;/Keywords&gt;&lt;Keywords&gt;Research&lt;/Keywords&gt;&lt;Keywords&gt;Research Design&lt;/Keywords&gt;&lt;Keywords&gt;Risk&lt;/Keywords&gt;&lt;Keywords&gt;Support&lt;/Keywords&gt;&lt;Keywords&gt;Survival Analysis&lt;/Keywords&gt;&lt;Keywords&gt;Time&lt;/Keywords&gt;&lt;Keywords&gt;Universities&lt;/Keywords&gt;&lt;Reprint&gt;Not in File&lt;/Reprint&gt;&lt;Start_Page&gt;1110&lt;/Start_Page&gt;&lt;End_Page&gt;1114&lt;/End_Page&gt;&lt;Periodical&gt;J Clin Epidemiol&lt;/Periodical&gt;&lt;Volume&gt;59&lt;/Volume&gt;&lt;Issue&gt;10&lt;/Issue&gt;&lt;Address&gt;Department of Community Health Sciences, University of Calgary, Calgary, Alberta, Canada&lt;/Address&gt;&lt;Web_URL&gt;PM:16980152&lt;/Web_URL&gt;&lt;ZZ_JournalFull&gt;&lt;f name="System"&gt;J Clin Epidemiol&lt;/f&gt;&lt;/ZZ_JournalFull&gt;&lt;ZZ_WorkformID&gt;1&lt;/ZZ_WorkformID&gt;&lt;/MDL&gt;&lt;/Cite&gt;&lt;/Refman&gt;</w:instrText>
      </w:r>
      <w:r w:rsidR="006506AF">
        <w:fldChar w:fldCharType="separate"/>
      </w:r>
      <w:r w:rsidR="00DF2C28">
        <w:t>(17)</w:t>
      </w:r>
      <w:r w:rsidR="006506AF">
        <w:fldChar w:fldCharType="end"/>
      </w:r>
      <w:proofErr w:type="gramStart"/>
      <w:r w:rsidR="00C9319B">
        <w:t xml:space="preserve"> </w:t>
      </w:r>
      <w:r w:rsidR="00607670">
        <w:t xml:space="preserve"> </w:t>
      </w:r>
      <w:r w:rsidR="00624767" w:rsidRPr="008A1D7B">
        <w:t>Fourth</w:t>
      </w:r>
      <w:proofErr w:type="gramEnd"/>
      <w:r w:rsidR="00624767" w:rsidRPr="008A1D7B">
        <w:t>, we used literature derived utility estimates</w:t>
      </w:r>
      <w:r w:rsidR="00624767">
        <w:t xml:space="preserve"> and therefore these weights may not be representative for our study populations. Importantly, other preference based utility measures have been shown to be responsive to HRQL changes in patients with heart failure.</w:t>
      </w:r>
      <w:r w:rsidR="006506AF">
        <w:fldChar w:fldCharType="begin"/>
      </w:r>
      <w:r w:rsidR="00DF2C28">
        <w:instrText xml:space="preserve"> ADDIN REFMGR.CITE &lt;Refman&gt;&lt;Cite&gt;&lt;Author&gt;Eurich&lt;/Author&gt;&lt;Year&gt;2006&lt;/Year&gt;&lt;RecNum&gt;7218&lt;/RecNum&gt;&lt;IDText&gt;Assessing responsiveness of generic and specific health related quality of life measures in heart failure&lt;/IDText&gt;&lt;MDL Ref_Type="Journal"&gt;&lt;Ref_Type&gt;Journal&lt;/Ref_Type&gt;&lt;Ref_ID&gt;7218&lt;/Ref_ID&gt;&lt;Title_Primary&gt;Assessing responsiveness of generic and specific health related quality of life measures in heart failure&lt;/Title_Primary&gt;&lt;Authors_Primary&gt;Eurich,D.T.&lt;/Authors_Primary&gt;&lt;Authors_Primary&gt;Johnson,J.A.&lt;/Authors_Primary&gt;&lt;Authors_Primary&gt;Reid,K.J.&lt;/Authors_Primary&gt;&lt;Authors_Primary&gt;Spertus,J.A.&lt;/Authors_Primary&gt;&lt;Date_Primary&gt;2006&lt;/Date_Primary&gt;&lt;Keywords&gt;Adult&lt;/Keywords&gt;&lt;Keywords&gt;Affect&lt;/Keywords&gt;&lt;Keywords&gt;Age&lt;/Keywords&gt;&lt;Keywords&gt;Aged&lt;/Keywords&gt;&lt;Keywords&gt;Alberta&lt;/Keywords&gt;&lt;Keywords&gt;Article&lt;/Keywords&gt;&lt;Keywords&gt;ASSOCIATION&lt;/Keywords&gt;&lt;Keywords&gt;Canada&lt;/Keywords&gt;&lt;Keywords&gt;Cardiac Output,Low&lt;/Keywords&gt;&lt;Keywords&gt;Cardiomyopathies&lt;/Keywords&gt;&lt;Keywords&gt;Cardiomyopathy&lt;/Keywords&gt;&lt;Keywords&gt;Disease&lt;/Keywords&gt;&lt;Keywords&gt;economics&lt;/Keywords&gt;&lt;Keywords&gt;Evaluation&lt;/Keywords&gt;&lt;Keywords&gt;Evaluation Studies&lt;/Keywords&gt;&lt;Keywords&gt;Exercise Test&lt;/Keywords&gt;&lt;Keywords&gt;FAILURE&lt;/Keywords&gt;&lt;Keywords&gt;Female&lt;/Keywords&gt;&lt;Keywords&gt;Health&lt;/Keywords&gt;&lt;Keywords&gt;Heart&lt;/Keywords&gt;&lt;Keywords&gt;Heart Failure&lt;/Keywords&gt;&lt;Keywords&gt;Heart Failure,Congestive&lt;/Keywords&gt;&lt;Keywords&gt;HEART-FAILURE&lt;/Keywords&gt;&lt;Keywords&gt;Humans&lt;/Keywords&gt;&lt;Keywords&gt;INDEX&lt;/Keywords&gt;&lt;Keywords&gt;INDEXES&lt;/Keywords&gt;&lt;Keywords&gt;Instrumentation&lt;/Keywords&gt;&lt;Keywords&gt;Journal Article&lt;/Keywords&gt;&lt;Keywords&gt;Male&lt;/Keywords&gt;&lt;Keywords&gt;methods&lt;/Keywords&gt;&lt;Keywords&gt;Middle Aged&lt;/Keywords&gt;&lt;Keywords&gt;New York&lt;/Keywords&gt;&lt;Keywords&gt;Outcome Assessment (Health Care)&lt;/Keywords&gt;&lt;Keywords&gt;Patient&lt;/Keywords&gt;&lt;Keywords&gt;Patients&lt;/Keywords&gt;&lt;Keywords&gt;Physician&lt;/Keywords&gt;&lt;Keywords&gt;physiopathology&lt;/Keywords&gt;&lt;Keywords&gt;psychology&lt;/Keywords&gt;&lt;Keywords&gt;Psychometrics&lt;/Keywords&gt;&lt;Keywords&gt;Quality of Life&lt;/Keywords&gt;&lt;Keywords&gt;Questionnaires&lt;/Keywords&gt;&lt;Keywords&gt;Relative&lt;/Keywords&gt;&lt;Keywords&gt;Sickness Impact Profile&lt;/Keywords&gt;&lt;Keywords&gt;Statistics&lt;/Keywords&gt;&lt;Keywords&gt;studies&lt;/Keywords&gt;&lt;Keywords&gt;Study&lt;/Keywords&gt;&lt;Keywords&gt;Symptom&lt;/Keywords&gt;&lt;Keywords&gt;SYMPTOMS&lt;/Keywords&gt;&lt;Keywords&gt;TRIAL&lt;/Keywords&gt;&lt;Keywords&gt;United States&lt;/Keywords&gt;&lt;Keywords&gt;Ventricular Dysfunction,Left&lt;/Keywords&gt;&lt;Keywords&gt;Ventricular Dysfunction,Right&lt;/Keywords&gt;&lt;Reprint&gt;Not in File&lt;/Reprint&gt;&lt;Start_Page&gt;89&lt;/Start_Page&gt;&lt;Periodical&gt;Health Qual.Life Outcomes&lt;/Periodical&gt;&lt;Volume&gt;4&lt;/Volume&gt;&lt;Address&gt;Institute of Health Economics, Edmonton, Alberta, Canada. deurich@ualberta.ca&lt;/Address&gt;&lt;Web_URL&gt;PM:17125512&lt;/Web_URL&gt;&lt;ZZ_JournalFull&gt;&lt;f name="System"&gt;Health Qual.Life Outcomes&lt;/f&gt;&lt;/ZZ_JournalFull&gt;&lt;ZZ_WorkformID&gt;1&lt;/ZZ_WorkformID&gt;&lt;/MDL&gt;&lt;/Cite&gt;&lt;/Refman&gt;</w:instrText>
      </w:r>
      <w:r w:rsidR="006506AF">
        <w:fldChar w:fldCharType="separate"/>
      </w:r>
      <w:r w:rsidR="00DF2C28">
        <w:t>(18)</w:t>
      </w:r>
      <w:r w:rsidR="006506AF">
        <w:fldChar w:fldCharType="end"/>
      </w:r>
      <w:r w:rsidR="00624767">
        <w:t xml:space="preserve"> Therefore, although the actual utility weights assigned to the respective health states may vary, the relative change in HRQL and associated differences in QAS between groups would be expected to be similar irrespective of utility measure; this is support by the sensitivity analysis utilizing different utility coefficients. In addition, we have assumed that utilities remain constant within each health state over time. Limited evidence exists but it is likely improvements and decrements in HRQL are observed in patients with heart failure over time; however, given the high mortality in patients with heart failure, decrements in HRQL over the longer term would still be expected.  </w:t>
      </w:r>
      <w:r w:rsidR="00624767" w:rsidRPr="008A1D7B">
        <w:t>Th</w:t>
      </w:r>
      <w:r w:rsidR="00624767">
        <w:t>u</w:t>
      </w:r>
      <w:r w:rsidR="00624767" w:rsidRPr="008A1D7B">
        <w:t>s</w:t>
      </w:r>
      <w:r w:rsidR="00624767">
        <w:t xml:space="preserve">, this </w:t>
      </w:r>
      <w:r w:rsidR="00624767" w:rsidRPr="008A1D7B">
        <w:t xml:space="preserve">may have potentially over- or underestimated the true impact of the health state on patients. </w:t>
      </w:r>
      <w:r w:rsidR="00624767">
        <w:t xml:space="preserve">As a result, prospective collection of health utilities should be considered in heart failure trials, as previously suggested. </w:t>
      </w:r>
      <w:r w:rsidR="00624767" w:rsidRPr="008A1D7B">
        <w:t>Further, the QAS method incorporates average group utility estimates and not individual patient utilities. As a result, although this will provide appropriate estimates for overall treatment effects, it may not be appropriate for assessment of treatment impact at the individual level</w:t>
      </w:r>
      <w:r w:rsidR="00DF2C28" w:rsidRPr="008A1D7B">
        <w:t>.</w:t>
      </w:r>
      <w:r w:rsidR="008A1D7B">
        <w:t xml:space="preserve"> </w:t>
      </w:r>
      <w:r w:rsidR="00962BA7">
        <w:t xml:space="preserve">Finally, our examples were restricted to one type of composite outcome evaluated for only one common condition.  </w:t>
      </w:r>
      <w:r w:rsidR="003378C3">
        <w:t xml:space="preserve">However, this method can be extended to </w:t>
      </w:r>
      <w:r w:rsidR="00CA15D7">
        <w:t xml:space="preserve">incorporate </w:t>
      </w:r>
      <w:r w:rsidR="003378C3">
        <w:t xml:space="preserve">multiple </w:t>
      </w:r>
      <w:proofErr w:type="gramStart"/>
      <w:r w:rsidR="003378C3">
        <w:t>endpoints which</w:t>
      </w:r>
      <w:proofErr w:type="gramEnd"/>
      <w:r w:rsidR="003378C3">
        <w:t xml:space="preserve"> comprise the composite outcome.</w:t>
      </w:r>
      <w:r w:rsidR="00CA15D7">
        <w:t xml:space="preserve"> </w:t>
      </w:r>
      <w:r w:rsidR="008A1D7B" w:rsidRPr="008A1D7B">
        <w:t>Although computationally more complex, conceptually it is easiest to consider that in the area of cardiovascular research, most composite outcomes are comprised of non-fatal and fatal endpoints. Thus, complex composite outcomes could be distilled into simple 2 health state models with the utility assigned to the non-fatal endpoint weighted according to the distribution of the non-fatal events.</w:t>
      </w:r>
      <w:r w:rsidR="008A1D7B">
        <w:t xml:space="preserve">  </w:t>
      </w:r>
    </w:p>
    <w:p w:rsidR="005A7742" w:rsidRDefault="002E542D" w:rsidP="009E3093">
      <w:pPr>
        <w:spacing w:line="480" w:lineRule="auto"/>
        <w:ind w:firstLine="360"/>
      </w:pPr>
      <w:r>
        <w:t>In conclusion, t</w:t>
      </w:r>
      <w:r w:rsidR="00607670">
        <w:t>houghtful and w</w:t>
      </w:r>
      <w:r w:rsidR="00985932">
        <w:t>ell</w:t>
      </w:r>
      <w:r w:rsidR="00607670">
        <w:t>-</w:t>
      </w:r>
      <w:r w:rsidR="00985932">
        <w:t xml:space="preserve">constructed composite </w:t>
      </w:r>
      <w:r w:rsidR="00BE6BA2">
        <w:t>outcome</w:t>
      </w:r>
      <w:r w:rsidR="00985932">
        <w:t>s are important in observation</w:t>
      </w:r>
      <w:r w:rsidR="00607670">
        <w:t>al</w:t>
      </w:r>
      <w:r w:rsidR="00985932">
        <w:t xml:space="preserve"> studies and clinical trials</w:t>
      </w:r>
      <w:r w:rsidR="00962BA7">
        <w:t xml:space="preserve">, but traditional methods of analysis may </w:t>
      </w:r>
      <w:r w:rsidR="00952A2E">
        <w:t>not show the whole picture</w:t>
      </w:r>
      <w:r w:rsidR="00962BA7">
        <w:t xml:space="preserve">.  </w:t>
      </w:r>
      <w:r w:rsidR="004D44BE">
        <w:t xml:space="preserve">By incorporating </w:t>
      </w:r>
      <w:r w:rsidR="00434942">
        <w:t xml:space="preserve">patient-reported </w:t>
      </w:r>
      <w:r w:rsidR="004D44BE">
        <w:t xml:space="preserve">HRQL into survival analyses, the potential impact of the individual components of the composite outcome on the patient’s health can be assessed more </w:t>
      </w:r>
      <w:r w:rsidR="00635FF6">
        <w:t>directly</w:t>
      </w:r>
      <w:r w:rsidR="0030528D">
        <w:t xml:space="preserve">; therefore, </w:t>
      </w:r>
      <w:r w:rsidR="00267C6E">
        <w:t>the potential benefits</w:t>
      </w:r>
      <w:r w:rsidR="00CB7D57">
        <w:t>,</w:t>
      </w:r>
      <w:r w:rsidR="00267C6E">
        <w:t xml:space="preserve"> harm</w:t>
      </w:r>
      <w:r w:rsidR="00635FF6">
        <w:t>s</w:t>
      </w:r>
      <w:r w:rsidR="00CB7D57">
        <w:t>,</w:t>
      </w:r>
      <w:r w:rsidR="00635FF6">
        <w:t xml:space="preserve"> or costs</w:t>
      </w:r>
      <w:r w:rsidR="00267C6E">
        <w:t xml:space="preserve"> associated with therapy may be more </w:t>
      </w:r>
      <w:r w:rsidR="00A82595">
        <w:t xml:space="preserve">precisely quantified and </w:t>
      </w:r>
      <w:r w:rsidR="00267C6E">
        <w:t>transparent to patients</w:t>
      </w:r>
      <w:r w:rsidR="00CB7D57">
        <w:t>,</w:t>
      </w:r>
      <w:r w:rsidR="00267C6E">
        <w:t xml:space="preserve"> providers</w:t>
      </w:r>
      <w:r w:rsidR="00CB7D57">
        <w:t>,</w:t>
      </w:r>
      <w:r w:rsidR="00267C6E">
        <w:t xml:space="preserve"> and</w:t>
      </w:r>
      <w:r w:rsidR="0008442E">
        <w:t xml:space="preserve"> </w:t>
      </w:r>
      <w:r w:rsidR="00635FF6">
        <w:t>policy-makers</w:t>
      </w:r>
      <w:r w:rsidR="00267C6E">
        <w:t>.</w:t>
      </w:r>
    </w:p>
    <w:p w:rsidR="005C1F7C" w:rsidRDefault="005C1F7C" w:rsidP="005C1F7C">
      <w:pPr>
        <w:tabs>
          <w:tab w:val="right" w:pos="360"/>
          <w:tab w:val="left" w:pos="540"/>
        </w:tabs>
        <w:ind w:left="540" w:hanging="540"/>
        <w:rPr>
          <w:b/>
        </w:rPr>
      </w:pPr>
      <w:r>
        <w:br w:type="page"/>
      </w:r>
      <w:r w:rsidRPr="00832546">
        <w:rPr>
          <w:b/>
        </w:rPr>
        <w:t>Funding</w:t>
      </w:r>
    </w:p>
    <w:p w:rsidR="005C1F7C" w:rsidRPr="00832546" w:rsidRDefault="005C1F7C" w:rsidP="005C1F7C">
      <w:pPr>
        <w:tabs>
          <w:tab w:val="right" w:pos="360"/>
          <w:tab w:val="left" w:pos="540"/>
        </w:tabs>
        <w:ind w:left="540" w:hanging="540"/>
        <w:rPr>
          <w:b/>
        </w:rPr>
      </w:pPr>
    </w:p>
    <w:p w:rsidR="005C1F7C" w:rsidRPr="009E3093" w:rsidRDefault="005C1F7C" w:rsidP="005C1F7C">
      <w:pPr>
        <w:pStyle w:val="Heading4"/>
        <w:spacing w:line="480" w:lineRule="auto"/>
        <w:rPr>
          <w:b w:val="0"/>
        </w:rPr>
      </w:pPr>
      <w:r w:rsidRPr="009E3093">
        <w:rPr>
          <w:b w:val="0"/>
        </w:rPr>
        <w:t>Dr. Eurich h</w:t>
      </w:r>
      <w:r w:rsidR="00476F92">
        <w:rPr>
          <w:b w:val="0"/>
        </w:rPr>
        <w:t>e</w:t>
      </w:r>
      <w:r w:rsidRPr="009E3093">
        <w:rPr>
          <w:b w:val="0"/>
        </w:rPr>
        <w:t xml:space="preserve">ld </w:t>
      </w:r>
      <w:r w:rsidRPr="009E3093">
        <w:rPr>
          <w:b w:val="0"/>
          <w:lang w:val="en-GB"/>
        </w:rPr>
        <w:t xml:space="preserve">a Doctoral Research award with </w:t>
      </w:r>
      <w:r w:rsidRPr="009E3093">
        <w:rPr>
          <w:b w:val="0"/>
        </w:rPr>
        <w:t xml:space="preserve">Canadian Institutes for Health Research (CIHR).  Dr. Majumdar and Dr. McAlister are New Investigators with the Canadian Institutes for Health Research (CIHR) and are </w:t>
      </w:r>
      <w:r w:rsidR="00A82595">
        <w:rPr>
          <w:b w:val="0"/>
        </w:rPr>
        <w:t>Health Scholars</w:t>
      </w:r>
      <w:r w:rsidRPr="009E3093">
        <w:rPr>
          <w:b w:val="0"/>
        </w:rPr>
        <w:t xml:space="preserve"> with the Alberta Heritage Foundation for Medical Research (AHFMR).  Dr. McAlister and Dr. Tsuyuki hold the Merck Frosst/Aventis Chair in Patient Health Management. Dr. Yasui holds a Canada Research Chair in Biostatistics and Epidemiologic Methods and is a Health Scholar support by AHFMR. </w:t>
      </w:r>
      <w:r w:rsidRPr="009E3093">
        <w:rPr>
          <w:b w:val="0"/>
          <w:lang w:val="en-GB"/>
        </w:rPr>
        <w:t xml:space="preserve">Dr. Johnson holds a Canada Research Chair in Diabetes Health Outcomes, is a Health Scholar supported by AHFMR, and is Chair of a New Emerging Team (NET) grant to the Alliance for Canadian Health Outcomes Research in Diabetes (ACHORD).  </w:t>
      </w:r>
      <w:r w:rsidRPr="009E3093">
        <w:rPr>
          <w:b w:val="0"/>
        </w:rPr>
        <w:t xml:space="preserve">The </w:t>
      </w:r>
      <w:proofErr w:type="gramStart"/>
      <w:r w:rsidRPr="009E3093">
        <w:rPr>
          <w:b w:val="0"/>
        </w:rPr>
        <w:t>ACHORD NET grant is sponsored by the Canadian Diabetes Association, the Heart and Stroke Foundation of Canada, The Kidney Foundation of Canada, the CIHR - Institute of Nutrition, Metabolism and Diabetes and the CIHR - Institute of Circulatory and Respiratory Health</w:t>
      </w:r>
      <w:proofErr w:type="gramEnd"/>
      <w:r w:rsidRPr="009E3093">
        <w:rPr>
          <w:b w:val="0"/>
        </w:rPr>
        <w:t>. </w:t>
      </w:r>
    </w:p>
    <w:p w:rsidR="005C1F7C" w:rsidRPr="005816F8" w:rsidRDefault="005C1F7C" w:rsidP="005C1F7C">
      <w:pPr>
        <w:spacing w:line="480" w:lineRule="auto"/>
      </w:pPr>
      <w:r w:rsidRPr="005816F8">
        <w:t>These study sponsors did not play any role in study design</w:t>
      </w:r>
      <w:r>
        <w:t xml:space="preserve"> or conduct</w:t>
      </w:r>
      <w:r w:rsidRPr="005816F8">
        <w:t>; collection, analysis, interpretation of data; writing of the report; or in the decision to submit the paper for publication.</w:t>
      </w:r>
      <w:r>
        <w:t xml:space="preserve"> </w:t>
      </w:r>
    </w:p>
    <w:p w:rsidR="004561FC" w:rsidRDefault="004561FC" w:rsidP="005C1F7C">
      <w:pPr>
        <w:spacing w:line="480" w:lineRule="auto"/>
      </w:pPr>
    </w:p>
    <w:p w:rsidR="004561FC" w:rsidRDefault="004561FC" w:rsidP="005C1F7C">
      <w:pPr>
        <w:spacing w:line="480" w:lineRule="auto"/>
      </w:pPr>
      <w:r>
        <w:t>We would also like to extend our gratitude to Qi Lui for her assistant with the data analysis.</w:t>
      </w:r>
    </w:p>
    <w:p w:rsidR="005C1F7C" w:rsidRDefault="004561FC" w:rsidP="005C1F7C">
      <w:pPr>
        <w:spacing w:line="480" w:lineRule="auto"/>
      </w:pPr>
      <w:r>
        <w:t xml:space="preserve"> </w:t>
      </w:r>
    </w:p>
    <w:p w:rsidR="005C1F7C" w:rsidRDefault="005C1F7C" w:rsidP="005C1F7C">
      <w:pPr>
        <w:spacing w:line="480" w:lineRule="auto"/>
      </w:pPr>
      <w:r>
        <w:t>This study is based on non-identifiable data provided by the Saskatchewan Department of Health.  The interpretation and conclusions contained herein do not necessarily represent those of the Government of Saskatchewan or the Saskatchewan Department of Health.</w:t>
      </w:r>
    </w:p>
    <w:p w:rsidR="005C1F7C" w:rsidRDefault="005C1F7C" w:rsidP="005C1F7C">
      <w:pPr>
        <w:spacing w:line="480" w:lineRule="auto"/>
      </w:pPr>
    </w:p>
    <w:p w:rsidR="005F0529" w:rsidRDefault="005C1F7C" w:rsidP="005C1F7C">
      <w:pPr>
        <w:tabs>
          <w:tab w:val="right" w:pos="540"/>
          <w:tab w:val="left" w:pos="720"/>
        </w:tabs>
        <w:spacing w:line="480" w:lineRule="auto"/>
      </w:pPr>
      <w:r>
        <w:t xml:space="preserve">The Digitalis Investigation Group (DIG) is conducted and supported by the NHLBI in collaboration with the DIG Study Investigators. This Manuscript was prepared using a limited access dataset obtained </w:t>
      </w:r>
      <w:r w:rsidR="007D5C9C">
        <w:t>from</w:t>
      </w:r>
      <w:r>
        <w:t xml:space="preserve"> the NHLBI and does not necessarily reflect the opinions or views of the DIG study or the NHLBI.</w:t>
      </w:r>
    </w:p>
    <w:p w:rsidR="005F0529" w:rsidRDefault="005F0529" w:rsidP="005C1F7C">
      <w:pPr>
        <w:tabs>
          <w:tab w:val="right" w:pos="540"/>
          <w:tab w:val="left" w:pos="720"/>
        </w:tabs>
        <w:spacing w:line="480" w:lineRule="auto"/>
      </w:pPr>
    </w:p>
    <w:p w:rsidR="005F0529" w:rsidRDefault="005F0529" w:rsidP="005F0529">
      <w:pPr>
        <w:tabs>
          <w:tab w:val="left" w:pos="2880"/>
        </w:tabs>
        <w:spacing w:line="480" w:lineRule="auto"/>
        <w:rPr>
          <w:b/>
        </w:rPr>
      </w:pPr>
      <w:r>
        <w:rPr>
          <w:b/>
        </w:rPr>
        <w:t>Competing Interest Statement</w:t>
      </w:r>
    </w:p>
    <w:p w:rsidR="005F0529" w:rsidRDefault="005F0529" w:rsidP="005F0529">
      <w:pPr>
        <w:tabs>
          <w:tab w:val="left" w:pos="2880"/>
        </w:tabs>
        <w:spacing w:line="480" w:lineRule="auto"/>
      </w:pPr>
      <w:r>
        <w:t xml:space="preserve">All authors declare that they </w:t>
      </w:r>
      <w:r w:rsidR="00A82595">
        <w:t xml:space="preserve">have </w:t>
      </w:r>
      <w:r>
        <w:t>no competing interest</w:t>
      </w:r>
      <w:r w:rsidR="00A82595">
        <w:t>s</w:t>
      </w:r>
      <w:r>
        <w:t xml:space="preserve"> and therefore have none to declare.</w:t>
      </w:r>
    </w:p>
    <w:p w:rsidR="00624767" w:rsidRDefault="00992F02" w:rsidP="00624767">
      <w:pPr>
        <w:tabs>
          <w:tab w:val="right" w:pos="540"/>
          <w:tab w:val="left" w:pos="720"/>
        </w:tabs>
        <w:ind w:left="1440" w:hanging="1440"/>
        <w:rPr>
          <w:b/>
        </w:rPr>
      </w:pPr>
      <w:r>
        <w:br w:type="page"/>
      </w:r>
      <w:r w:rsidR="005C1F7C">
        <w:rPr>
          <w:b/>
        </w:rPr>
        <w:t xml:space="preserve">Figure 1. </w:t>
      </w:r>
      <w:r w:rsidR="00624767">
        <w:rPr>
          <w:b/>
        </w:rPr>
        <w:t>Partitioned Survival Functions for All-Cause Mortality and All-Cause</w:t>
      </w:r>
    </w:p>
    <w:p w:rsidR="00624767" w:rsidRDefault="00624767" w:rsidP="00624767">
      <w:pPr>
        <w:tabs>
          <w:tab w:val="right" w:pos="540"/>
          <w:tab w:val="left" w:pos="720"/>
        </w:tabs>
        <w:ind w:left="1440" w:hanging="1440"/>
        <w:rPr>
          <w:b/>
        </w:rPr>
      </w:pPr>
      <w:r>
        <w:rPr>
          <w:b/>
        </w:rPr>
        <w:tab/>
      </w:r>
      <w:r>
        <w:rPr>
          <w:b/>
        </w:rPr>
        <w:tab/>
        <w:t xml:space="preserve">    Hospitalization</w:t>
      </w:r>
      <w:r w:rsidRPr="00A01C4E">
        <w:rPr>
          <w:b/>
        </w:rPr>
        <w:t xml:space="preserve"> </w:t>
      </w:r>
      <w:r>
        <w:rPr>
          <w:b/>
        </w:rPr>
        <w:t>in Observational Study of Antidiabetic Agents in Patients with</w:t>
      </w:r>
    </w:p>
    <w:p w:rsidR="005C1F7C" w:rsidRDefault="00624767" w:rsidP="00992F02">
      <w:pPr>
        <w:tabs>
          <w:tab w:val="right" w:pos="540"/>
          <w:tab w:val="left" w:pos="720"/>
        </w:tabs>
        <w:ind w:left="1440" w:hanging="1440"/>
        <w:rPr>
          <w:b/>
        </w:rPr>
      </w:pPr>
      <w:r>
        <w:rPr>
          <w:b/>
        </w:rPr>
        <w:tab/>
      </w:r>
      <w:r>
        <w:rPr>
          <w:b/>
        </w:rPr>
        <w:tab/>
        <w:t xml:space="preserve">    Heart Failure.</w:t>
      </w:r>
    </w:p>
    <w:p w:rsidR="00624767" w:rsidRDefault="00624767" w:rsidP="00992F02">
      <w:pPr>
        <w:tabs>
          <w:tab w:val="right" w:pos="540"/>
          <w:tab w:val="left" w:pos="720"/>
        </w:tabs>
        <w:ind w:left="1440" w:hanging="1440"/>
        <w:rPr>
          <w:b/>
        </w:rPr>
      </w:pPr>
    </w:p>
    <w:p w:rsidR="005C1F7C" w:rsidRDefault="005C1F7C" w:rsidP="005C1F7C">
      <w:pPr>
        <w:numPr>
          <w:ilvl w:val="0"/>
          <w:numId w:val="1"/>
        </w:numPr>
        <w:tabs>
          <w:tab w:val="right" w:pos="360"/>
          <w:tab w:val="left" w:pos="540"/>
        </w:tabs>
        <w:spacing w:line="480" w:lineRule="auto"/>
        <w:rPr>
          <w:b/>
        </w:rPr>
      </w:pPr>
      <w:r w:rsidRPr="00A629E5">
        <w:rPr>
          <w:b/>
        </w:rPr>
        <w:t>Sulfonylurea Therapy</w:t>
      </w:r>
    </w:p>
    <w:p w:rsidR="005C1F7C" w:rsidRDefault="006506AF" w:rsidP="005C1F7C">
      <w:pPr>
        <w:tabs>
          <w:tab w:val="right" w:pos="360"/>
          <w:tab w:val="left" w:pos="540"/>
        </w:tabs>
        <w:spacing w:line="480" w:lineRule="auto"/>
      </w:pPr>
      <w:r w:rsidRPr="006506AF">
        <w:rPr>
          <w:noProof/>
          <w:color w:val="008000"/>
        </w:rPr>
        <w:pict>
          <v:shapetype id="_x0000_t202" coordsize="21600,21600" o:spt="202" path="m0,0l0,21600,21600,21600,21600,0xe">
            <v:stroke joinstyle="miter"/>
            <v:path gradientshapeok="t" o:connecttype="rect"/>
          </v:shapetype>
          <v:shape id="_x0000_s1129" type="#_x0000_t202" style="position:absolute;margin-left:37.5pt;margin-top:226.2pt;width:63pt;height:33pt;z-index:251638784" filled="f" stroked="f">
            <v:textbox style="mso-next-textbox:#_x0000_s1129">
              <w:txbxContent>
                <w:p w:rsidR="000A70C2" w:rsidRDefault="000A70C2" w:rsidP="005C1F7C">
                  <w:pPr>
                    <w:jc w:val="center"/>
                    <w:rPr>
                      <w:sz w:val="20"/>
                      <w:szCs w:val="20"/>
                    </w:rPr>
                  </w:pPr>
                  <w:r>
                    <w:rPr>
                      <w:sz w:val="20"/>
                      <w:szCs w:val="20"/>
                    </w:rPr>
                    <w:t>H</w:t>
                  </w:r>
                  <w:r w:rsidRPr="0097462F">
                    <w:rPr>
                      <w:sz w:val="20"/>
                      <w:szCs w:val="20"/>
                      <w:vertAlign w:val="subscript"/>
                    </w:rPr>
                    <w:t>1</w:t>
                  </w:r>
                </w:p>
                <w:p w:rsidR="000A70C2" w:rsidRPr="0012580F" w:rsidRDefault="000A70C2" w:rsidP="005C1F7C">
                  <w:pPr>
                    <w:jc w:val="center"/>
                    <w:rPr>
                      <w:sz w:val="20"/>
                      <w:szCs w:val="20"/>
                    </w:rPr>
                  </w:pPr>
                  <w:r w:rsidRPr="0012580F">
                    <w:rPr>
                      <w:sz w:val="20"/>
                      <w:szCs w:val="20"/>
                    </w:rPr>
                    <w:t>1.</w:t>
                  </w:r>
                  <w:r>
                    <w:rPr>
                      <w:sz w:val="20"/>
                      <w:szCs w:val="20"/>
                    </w:rPr>
                    <w:t>21</w:t>
                  </w:r>
                  <w:r w:rsidRPr="0012580F">
                    <w:rPr>
                      <w:sz w:val="20"/>
                      <w:szCs w:val="20"/>
                    </w:rPr>
                    <w:t xml:space="preserve"> </w:t>
                  </w:r>
                  <w:r>
                    <w:rPr>
                      <w:sz w:val="20"/>
                      <w:szCs w:val="20"/>
                    </w:rPr>
                    <w:t>Y</w:t>
                  </w:r>
                  <w:r w:rsidRPr="0012580F">
                    <w:rPr>
                      <w:sz w:val="20"/>
                      <w:szCs w:val="20"/>
                    </w:rPr>
                    <w:t>ears</w:t>
                  </w:r>
                </w:p>
              </w:txbxContent>
            </v:textbox>
          </v:shape>
        </w:pict>
      </w:r>
      <w:r w:rsidRPr="006506AF">
        <w:rPr>
          <w:noProof/>
          <w:color w:val="008000"/>
        </w:rPr>
        <w:pict>
          <v:shape id="_x0000_s1135" type="#_x0000_t202" style="position:absolute;margin-left:252pt;margin-top:202.95pt;width:63pt;height:29.25pt;z-index:251644928" filled="f" stroked="f">
            <v:textbox style="mso-next-textbox:#_x0000_s1135">
              <w:txbxContent>
                <w:p w:rsidR="000A70C2" w:rsidRDefault="000A70C2" w:rsidP="005C1F7C">
                  <w:pPr>
                    <w:jc w:val="center"/>
                    <w:rPr>
                      <w:sz w:val="20"/>
                      <w:szCs w:val="20"/>
                    </w:rPr>
                  </w:pPr>
                  <w:r>
                    <w:rPr>
                      <w:sz w:val="20"/>
                      <w:szCs w:val="20"/>
                    </w:rPr>
                    <w:t>Total</w:t>
                  </w:r>
                </w:p>
                <w:p w:rsidR="000A70C2" w:rsidRPr="0012580F" w:rsidRDefault="000A70C2" w:rsidP="005C1F7C">
                  <w:pPr>
                    <w:jc w:val="center"/>
                    <w:rPr>
                      <w:sz w:val="20"/>
                      <w:szCs w:val="20"/>
                    </w:rPr>
                  </w:pPr>
                  <w:r>
                    <w:rPr>
                      <w:sz w:val="20"/>
                      <w:szCs w:val="20"/>
                    </w:rPr>
                    <w:t>4.10</w:t>
                  </w:r>
                  <w:r w:rsidRPr="0012580F">
                    <w:rPr>
                      <w:sz w:val="20"/>
                      <w:szCs w:val="20"/>
                    </w:rPr>
                    <w:t xml:space="preserve"> </w:t>
                  </w:r>
                  <w:r>
                    <w:rPr>
                      <w:sz w:val="20"/>
                      <w:szCs w:val="20"/>
                    </w:rPr>
                    <w:t>Y</w:t>
                  </w:r>
                  <w:r w:rsidRPr="0012580F">
                    <w:rPr>
                      <w:sz w:val="20"/>
                      <w:szCs w:val="20"/>
                    </w:rPr>
                    <w:t>ears</w:t>
                  </w:r>
                </w:p>
              </w:txbxContent>
            </v:textbox>
          </v:shape>
        </w:pict>
      </w:r>
      <w:r w:rsidRPr="006506AF">
        <w:rPr>
          <w:noProof/>
          <w:color w:val="008000"/>
        </w:rPr>
        <w:pict>
          <v:shape id="_x0000_s1131" type="#_x0000_t202" style="position:absolute;margin-left:153pt;margin-top:179.7pt;width:63pt;height:34.5pt;z-index:251640832" filled="f" stroked="f">
            <v:textbox style="mso-next-textbox:#_x0000_s1131">
              <w:txbxContent>
                <w:p w:rsidR="000A70C2" w:rsidRDefault="000A70C2" w:rsidP="005C1F7C">
                  <w:pPr>
                    <w:jc w:val="center"/>
                    <w:rPr>
                      <w:sz w:val="20"/>
                      <w:szCs w:val="20"/>
                    </w:rPr>
                  </w:pPr>
                  <w:r>
                    <w:rPr>
                      <w:sz w:val="20"/>
                      <w:szCs w:val="20"/>
                    </w:rPr>
                    <w:t>H</w:t>
                  </w:r>
                  <w:r w:rsidRPr="0097462F">
                    <w:rPr>
                      <w:sz w:val="20"/>
                      <w:szCs w:val="20"/>
                      <w:vertAlign w:val="subscript"/>
                    </w:rPr>
                    <w:t>2</w:t>
                  </w:r>
                </w:p>
                <w:p w:rsidR="000A70C2" w:rsidRPr="0012580F" w:rsidRDefault="000A70C2" w:rsidP="005C1F7C">
                  <w:pPr>
                    <w:jc w:val="center"/>
                    <w:rPr>
                      <w:sz w:val="20"/>
                      <w:szCs w:val="20"/>
                    </w:rPr>
                  </w:pPr>
                  <w:r>
                    <w:rPr>
                      <w:sz w:val="20"/>
                      <w:szCs w:val="20"/>
                    </w:rPr>
                    <w:t>2.89</w:t>
                  </w:r>
                  <w:r w:rsidRPr="0012580F">
                    <w:rPr>
                      <w:sz w:val="20"/>
                      <w:szCs w:val="20"/>
                    </w:rPr>
                    <w:t xml:space="preserve"> </w:t>
                  </w:r>
                  <w:r>
                    <w:rPr>
                      <w:sz w:val="20"/>
                      <w:szCs w:val="20"/>
                    </w:rPr>
                    <w:t>Y</w:t>
                  </w:r>
                  <w:r w:rsidRPr="0012580F">
                    <w:rPr>
                      <w:sz w:val="20"/>
                      <w:szCs w:val="20"/>
                    </w:rPr>
                    <w:t>ears</w:t>
                  </w:r>
                </w:p>
              </w:txbxContent>
            </v:textbox>
          </v:shape>
        </w:pict>
      </w:r>
      <w:r w:rsidRPr="006506AF">
        <w:rPr>
          <w:noProof/>
          <w:color w:val="008000"/>
        </w:rPr>
        <w:pict>
          <v:shapetype id="_x0000_t87" coordsize="21600,21600" o:spt="87" adj="1800,10800" path="m2160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128" type="#_x0000_t87" style="position:absolute;margin-left:90pt;margin-top:197.05pt;width:9pt;height:81pt;z-index:251637760"/>
        </w:pict>
      </w:r>
      <w:r w:rsidRPr="006506AF">
        <w:rPr>
          <w:noProof/>
          <w:color w:val="008000"/>
        </w:rPr>
        <w:pict>
          <v:shape id="_x0000_s1130" type="#_x0000_t87" style="position:absolute;margin-left:207pt;margin-top:136.4pt;width:9pt;height:117pt;z-index:251639808" adj=",10246"/>
        </w:pict>
      </w:r>
      <w:r w:rsidRPr="006506AF">
        <w:rPr>
          <w:noProof/>
          <w:color w:val="008000"/>
        </w:rPr>
        <w:pict>
          <v:shape id="_x0000_s1134" type="#_x0000_t87" style="position:absolute;margin-left:306pt;margin-top:179.9pt;width:18pt;height:99pt;z-index:251643904" adj=",7800"/>
        </w:pict>
      </w:r>
      <w:r>
        <w:rPr>
          <w:noProof/>
        </w:rPr>
        <w:pict>
          <v:shape id="_x0000_s1127" type="#_x0000_t202" style="position:absolute;margin-left:-9pt;margin-top:124.2pt;width:27pt;height:54pt;z-index:251636736" filled="f" stroked="f">
            <v:textbox style="layout-flow:vertical;mso-layout-flow-alt:bottom-to-top;mso-next-textbox:#_x0000_s1127">
              <w:txbxContent>
                <w:p w:rsidR="000A70C2" w:rsidRPr="006A63A0" w:rsidRDefault="000A70C2" w:rsidP="005C1F7C">
                  <w:r w:rsidRPr="006A63A0">
                    <w:t>Survival</w:t>
                  </w:r>
                </w:p>
              </w:txbxContent>
            </v:textbox>
          </v:shape>
        </w:pict>
      </w:r>
      <w:r w:rsidRPr="006506AF">
        <w:rPr>
          <w:noProof/>
          <w:color w:val="008000"/>
        </w:rPr>
        <w:pict>
          <v:shape id="_x0000_s1132" type="#_x0000_t202" style="position:absolute;margin-left:180pt;margin-top:295.2pt;width:99pt;height:27pt;z-index:251641856" filled="f" stroked="f">
            <v:textbox style="mso-next-textbox:#_x0000_s1132">
              <w:txbxContent>
                <w:p w:rsidR="000A70C2" w:rsidRPr="00EA52EC" w:rsidRDefault="000A70C2" w:rsidP="005C1F7C">
                  <w:r w:rsidRPr="00EA52EC">
                    <w:t xml:space="preserve">Time (Years) </w:t>
                  </w:r>
                </w:p>
              </w:txbxContent>
            </v:textbox>
          </v:shape>
        </w:pict>
      </w:r>
      <w:r w:rsidR="00ED032A">
        <w:rPr>
          <w:b/>
          <w:noProof/>
        </w:rPr>
        <w:drawing>
          <wp:inline distT="0" distB="0" distL="0" distR="0">
            <wp:extent cx="6299200" cy="4330700"/>
            <wp:effectExtent l="2540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6299200" cy="4330700"/>
                    </a:xfrm>
                    <a:prstGeom prst="rect">
                      <a:avLst/>
                    </a:prstGeom>
                    <a:noFill/>
                    <a:ln w="9525">
                      <a:noFill/>
                      <a:miter lim="800000"/>
                      <a:headEnd/>
                      <a:tailEnd/>
                    </a:ln>
                  </pic:spPr>
                </pic:pic>
              </a:graphicData>
            </a:graphic>
          </wp:inline>
        </w:drawing>
      </w:r>
    </w:p>
    <w:p w:rsidR="005C1F7C" w:rsidRDefault="005C1F7C" w:rsidP="005C1F7C">
      <w:pPr>
        <w:tabs>
          <w:tab w:val="right" w:pos="360"/>
          <w:tab w:val="left" w:pos="540"/>
        </w:tabs>
        <w:spacing w:line="480" w:lineRule="auto"/>
        <w:ind w:left="540" w:hanging="540"/>
        <w:rPr>
          <w:b/>
        </w:rPr>
      </w:pPr>
    </w:p>
    <w:p w:rsidR="005C1F7C" w:rsidRDefault="005C1F7C" w:rsidP="005C1F7C">
      <w:pPr>
        <w:tabs>
          <w:tab w:val="right" w:pos="360"/>
          <w:tab w:val="left" w:pos="540"/>
        </w:tabs>
        <w:spacing w:line="480" w:lineRule="auto"/>
        <w:ind w:left="900" w:hanging="540"/>
      </w:pPr>
      <w:r>
        <w:rPr>
          <w:b/>
        </w:rPr>
        <w:br w:type="page"/>
      </w:r>
      <w:r w:rsidRPr="00B364D6">
        <w:rPr>
          <w:b/>
        </w:rPr>
        <w:t xml:space="preserve">B. Metformin </w:t>
      </w:r>
      <w:r w:rsidR="009638A0">
        <w:rPr>
          <w:b/>
        </w:rPr>
        <w:t>Therapy</w:t>
      </w:r>
    </w:p>
    <w:p w:rsidR="005C1F7C" w:rsidRDefault="006506AF" w:rsidP="005C1F7C">
      <w:pPr>
        <w:tabs>
          <w:tab w:val="right" w:pos="360"/>
          <w:tab w:val="left" w:pos="540"/>
        </w:tabs>
        <w:spacing w:line="480" w:lineRule="auto"/>
        <w:rPr>
          <w:b/>
        </w:rPr>
      </w:pPr>
      <w:r w:rsidRPr="006506AF">
        <w:rPr>
          <w:noProof/>
          <w:color w:val="008000"/>
        </w:rPr>
        <w:pict>
          <v:shape id="_x0000_s1137" type="#_x0000_t202" style="position:absolute;margin-left:54pt;margin-top:221.25pt;width:63pt;height:39.15pt;z-index:251646976" filled="f" stroked="f">
            <v:textbox style="mso-next-textbox:#_x0000_s1137">
              <w:txbxContent>
                <w:p w:rsidR="000A70C2" w:rsidRDefault="000A70C2" w:rsidP="005C1F7C">
                  <w:pPr>
                    <w:jc w:val="center"/>
                    <w:rPr>
                      <w:sz w:val="20"/>
                      <w:szCs w:val="20"/>
                    </w:rPr>
                  </w:pPr>
                  <w:r>
                    <w:rPr>
                      <w:sz w:val="20"/>
                      <w:szCs w:val="20"/>
                    </w:rPr>
                    <w:t>H</w:t>
                  </w:r>
                  <w:r w:rsidRPr="0097462F">
                    <w:rPr>
                      <w:sz w:val="20"/>
                      <w:szCs w:val="20"/>
                      <w:vertAlign w:val="subscript"/>
                    </w:rPr>
                    <w:t>1</w:t>
                  </w:r>
                </w:p>
                <w:p w:rsidR="000A70C2" w:rsidRPr="0012580F" w:rsidRDefault="000A70C2" w:rsidP="005C1F7C">
                  <w:pPr>
                    <w:jc w:val="center"/>
                    <w:rPr>
                      <w:sz w:val="20"/>
                      <w:szCs w:val="20"/>
                    </w:rPr>
                  </w:pPr>
                  <w:r>
                    <w:rPr>
                      <w:sz w:val="20"/>
                      <w:szCs w:val="20"/>
                    </w:rPr>
                    <w:t>1.52</w:t>
                  </w:r>
                  <w:r w:rsidRPr="0012580F">
                    <w:rPr>
                      <w:sz w:val="20"/>
                      <w:szCs w:val="20"/>
                    </w:rPr>
                    <w:t xml:space="preserve"> </w:t>
                  </w:r>
                  <w:r>
                    <w:rPr>
                      <w:sz w:val="20"/>
                      <w:szCs w:val="20"/>
                    </w:rPr>
                    <w:t>Y</w:t>
                  </w:r>
                  <w:r w:rsidRPr="0012580F">
                    <w:rPr>
                      <w:sz w:val="20"/>
                      <w:szCs w:val="20"/>
                    </w:rPr>
                    <w:t>ears</w:t>
                  </w:r>
                </w:p>
              </w:txbxContent>
            </v:textbox>
          </v:shape>
        </w:pict>
      </w:r>
      <w:r w:rsidRPr="006506AF">
        <w:rPr>
          <w:noProof/>
          <w:color w:val="008000"/>
        </w:rPr>
        <w:pict>
          <v:shape id="_x0000_s1141" type="#_x0000_t202" style="position:absolute;margin-left:262.95pt;margin-top:181.9pt;width:63pt;height:33.5pt;z-index:251651072" filled="f" stroked="f">
            <v:textbox style="mso-next-textbox:#_x0000_s1141">
              <w:txbxContent>
                <w:p w:rsidR="000A70C2" w:rsidRDefault="000A70C2" w:rsidP="005C1F7C">
                  <w:pPr>
                    <w:jc w:val="center"/>
                    <w:rPr>
                      <w:sz w:val="20"/>
                      <w:szCs w:val="20"/>
                    </w:rPr>
                  </w:pPr>
                  <w:r>
                    <w:rPr>
                      <w:sz w:val="20"/>
                      <w:szCs w:val="20"/>
                    </w:rPr>
                    <w:t>Total</w:t>
                  </w:r>
                </w:p>
                <w:p w:rsidR="000A70C2" w:rsidRPr="0012580F" w:rsidRDefault="000A70C2" w:rsidP="005C1F7C">
                  <w:pPr>
                    <w:jc w:val="center"/>
                    <w:rPr>
                      <w:sz w:val="20"/>
                      <w:szCs w:val="20"/>
                    </w:rPr>
                  </w:pPr>
                  <w:r>
                    <w:rPr>
                      <w:sz w:val="20"/>
                      <w:szCs w:val="20"/>
                    </w:rPr>
                    <w:t>4.92 Y</w:t>
                  </w:r>
                  <w:r w:rsidRPr="0012580F">
                    <w:rPr>
                      <w:sz w:val="20"/>
                      <w:szCs w:val="20"/>
                    </w:rPr>
                    <w:t>ears</w:t>
                  </w:r>
                </w:p>
              </w:txbxContent>
            </v:textbox>
          </v:shape>
        </w:pict>
      </w:r>
      <w:r w:rsidRPr="006506AF">
        <w:rPr>
          <w:noProof/>
          <w:color w:val="008000"/>
        </w:rPr>
        <w:pict>
          <v:shape id="_x0000_s1139" type="#_x0000_t202" style="position:absolute;margin-left:163.35pt;margin-top:150.95pt;width:63pt;height:28.45pt;z-index:251649024" filled="f" stroked="f">
            <v:textbox style="mso-next-textbox:#_x0000_s1139">
              <w:txbxContent>
                <w:p w:rsidR="000A70C2" w:rsidRDefault="000A70C2" w:rsidP="005C1F7C">
                  <w:pPr>
                    <w:jc w:val="center"/>
                    <w:rPr>
                      <w:sz w:val="20"/>
                      <w:szCs w:val="20"/>
                    </w:rPr>
                  </w:pPr>
                  <w:r>
                    <w:rPr>
                      <w:sz w:val="20"/>
                      <w:szCs w:val="20"/>
                    </w:rPr>
                    <w:t>H</w:t>
                  </w:r>
                  <w:r w:rsidRPr="0097462F">
                    <w:rPr>
                      <w:sz w:val="20"/>
                      <w:szCs w:val="20"/>
                      <w:vertAlign w:val="subscript"/>
                    </w:rPr>
                    <w:t>2</w:t>
                  </w:r>
                </w:p>
                <w:p w:rsidR="000A70C2" w:rsidRPr="0012580F" w:rsidRDefault="000A70C2" w:rsidP="005C1F7C">
                  <w:pPr>
                    <w:jc w:val="center"/>
                    <w:rPr>
                      <w:sz w:val="20"/>
                      <w:szCs w:val="20"/>
                    </w:rPr>
                  </w:pPr>
                  <w:r>
                    <w:rPr>
                      <w:sz w:val="20"/>
                      <w:szCs w:val="20"/>
                    </w:rPr>
                    <w:t>3.40</w:t>
                  </w:r>
                  <w:r w:rsidRPr="0012580F">
                    <w:rPr>
                      <w:sz w:val="20"/>
                      <w:szCs w:val="20"/>
                    </w:rPr>
                    <w:t xml:space="preserve"> </w:t>
                  </w:r>
                  <w:r>
                    <w:rPr>
                      <w:sz w:val="20"/>
                      <w:szCs w:val="20"/>
                    </w:rPr>
                    <w:t>Y</w:t>
                  </w:r>
                  <w:r w:rsidRPr="0012580F">
                    <w:rPr>
                      <w:sz w:val="20"/>
                      <w:szCs w:val="20"/>
                    </w:rPr>
                    <w:t>ears</w:t>
                  </w:r>
                </w:p>
              </w:txbxContent>
            </v:textbox>
          </v:shape>
        </w:pict>
      </w:r>
      <w:r w:rsidRPr="006506AF">
        <w:rPr>
          <w:noProof/>
          <w:color w:val="008000"/>
        </w:rPr>
        <w:pict>
          <v:shape id="_x0000_s1140" type="#_x0000_t87" style="position:absolute;margin-left:315pt;margin-top:143.65pt;width:18pt;height:134.8pt;z-index:251650048" adj=",7800"/>
        </w:pict>
      </w:r>
      <w:r w:rsidRPr="006506AF">
        <w:rPr>
          <w:noProof/>
          <w:color w:val="008000"/>
        </w:rPr>
        <w:pict>
          <v:shape id="_x0000_s1158" type="#_x0000_t202" style="position:absolute;margin-left:197.5pt;margin-top:295.8pt;width:99pt;height:27pt;z-index:251668480" filled="f" stroked="f">
            <v:textbox style="mso-next-textbox:#_x0000_s1158">
              <w:txbxContent>
                <w:p w:rsidR="000A70C2" w:rsidRPr="00EA52EC" w:rsidRDefault="000A70C2" w:rsidP="005C1F7C">
                  <w:r w:rsidRPr="00EA52EC">
                    <w:t xml:space="preserve">Time (Years) </w:t>
                  </w:r>
                </w:p>
              </w:txbxContent>
            </v:textbox>
          </v:shape>
        </w:pict>
      </w:r>
      <w:r w:rsidRPr="006506AF">
        <w:rPr>
          <w:noProof/>
          <w:color w:val="008000"/>
        </w:rPr>
        <w:pict>
          <v:shape id="_x0000_s1138" type="#_x0000_t87" style="position:absolute;margin-left:3in;margin-top:110.2pt;width:12pt;height:128.25pt;z-index:251648000" adj=",8446"/>
        </w:pict>
      </w:r>
      <w:r w:rsidRPr="006506AF">
        <w:rPr>
          <w:noProof/>
          <w:color w:val="008000"/>
        </w:rPr>
        <w:pict>
          <v:shape id="_x0000_s1133" type="#_x0000_t202" style="position:absolute;margin-left:0;margin-top:115.8pt;width:27pt;height:54pt;z-index:251642880" filled="f" stroked="f">
            <v:textbox style="layout-flow:vertical;mso-layout-flow-alt:bottom-to-top;mso-next-textbox:#_x0000_s1133">
              <w:txbxContent>
                <w:p w:rsidR="000A70C2" w:rsidRPr="00EA52EC" w:rsidRDefault="000A70C2" w:rsidP="005C1F7C">
                  <w:r w:rsidRPr="00EA52EC">
                    <w:t>Survival</w:t>
                  </w:r>
                </w:p>
              </w:txbxContent>
            </v:textbox>
          </v:shape>
        </w:pict>
      </w:r>
      <w:r w:rsidRPr="006506AF">
        <w:rPr>
          <w:noProof/>
          <w:color w:val="008000"/>
        </w:rPr>
        <w:pict>
          <v:shape id="_x0000_s1136" type="#_x0000_t87" style="position:absolute;margin-left:108pt;margin-top:187.8pt;width:9pt;height:90pt;z-index:251645952"/>
        </w:pict>
      </w:r>
      <w:r w:rsidR="00ED032A">
        <w:rPr>
          <w:noProof/>
        </w:rPr>
        <w:drawing>
          <wp:inline distT="0" distB="0" distL="0" distR="0">
            <wp:extent cx="6299200" cy="4330700"/>
            <wp:effectExtent l="2540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6299200" cy="4330700"/>
                    </a:xfrm>
                    <a:prstGeom prst="rect">
                      <a:avLst/>
                    </a:prstGeom>
                    <a:noFill/>
                    <a:ln w="9525">
                      <a:noFill/>
                      <a:miter lim="800000"/>
                      <a:headEnd/>
                      <a:tailEnd/>
                    </a:ln>
                  </pic:spPr>
                </pic:pic>
              </a:graphicData>
            </a:graphic>
          </wp:inline>
        </w:drawing>
      </w:r>
      <w:r w:rsidR="005C1F7C">
        <w:br w:type="page"/>
      </w:r>
      <w:r w:rsidR="005C1F7C">
        <w:rPr>
          <w:b/>
        </w:rPr>
        <w:t>Figure 2. Partitioned Survival Functions for Death due to Worsening Heart Failure or Hospitalization Related to that Diagnosis</w:t>
      </w:r>
      <w:r w:rsidR="00624767">
        <w:rPr>
          <w:b/>
        </w:rPr>
        <w:t xml:space="preserve"> in a Randomized Trial of Digoxin</w:t>
      </w:r>
      <w:r w:rsidR="005C1F7C">
        <w:rPr>
          <w:b/>
        </w:rPr>
        <w:t>.</w:t>
      </w:r>
    </w:p>
    <w:p w:rsidR="005C1F7C" w:rsidRDefault="005C1F7C" w:rsidP="005C1F7C">
      <w:pPr>
        <w:numPr>
          <w:ilvl w:val="0"/>
          <w:numId w:val="3"/>
        </w:numPr>
        <w:tabs>
          <w:tab w:val="right" w:pos="360"/>
          <w:tab w:val="left" w:pos="540"/>
        </w:tabs>
        <w:spacing w:line="480" w:lineRule="auto"/>
        <w:rPr>
          <w:b/>
        </w:rPr>
      </w:pPr>
      <w:r>
        <w:rPr>
          <w:b/>
        </w:rPr>
        <w:t>Placebo Group</w:t>
      </w:r>
    </w:p>
    <w:p w:rsidR="005C1F7C" w:rsidRDefault="006506AF" w:rsidP="005C1F7C">
      <w:pPr>
        <w:tabs>
          <w:tab w:val="right" w:pos="360"/>
          <w:tab w:val="left" w:pos="540"/>
        </w:tabs>
        <w:spacing w:line="480" w:lineRule="auto"/>
        <w:rPr>
          <w:b/>
        </w:rPr>
      </w:pPr>
      <w:r w:rsidRPr="006506AF">
        <w:rPr>
          <w:noProof/>
          <w:color w:val="008000"/>
        </w:rPr>
        <w:pict>
          <v:shape id="_x0000_s1144" type="#_x0000_t202" style="position:absolute;margin-left:46.5pt;margin-top:182.7pt;width:63pt;height:31.5pt;z-index:251654144" filled="f" stroked="f">
            <v:textbox style="mso-next-textbox:#_x0000_s1144">
              <w:txbxContent>
                <w:p w:rsidR="000A70C2" w:rsidRDefault="000A70C2" w:rsidP="005C1F7C">
                  <w:pPr>
                    <w:jc w:val="center"/>
                    <w:rPr>
                      <w:sz w:val="20"/>
                      <w:szCs w:val="20"/>
                    </w:rPr>
                  </w:pPr>
                  <w:r>
                    <w:rPr>
                      <w:sz w:val="20"/>
                      <w:szCs w:val="20"/>
                    </w:rPr>
                    <w:t>H</w:t>
                  </w:r>
                  <w:r w:rsidRPr="00191C6D">
                    <w:rPr>
                      <w:sz w:val="20"/>
                      <w:szCs w:val="20"/>
                      <w:vertAlign w:val="subscript"/>
                    </w:rPr>
                    <w:t>1</w:t>
                  </w:r>
                </w:p>
                <w:p w:rsidR="000A70C2" w:rsidRPr="0012580F" w:rsidRDefault="000A70C2" w:rsidP="005C1F7C">
                  <w:pPr>
                    <w:jc w:val="center"/>
                    <w:rPr>
                      <w:sz w:val="20"/>
                      <w:szCs w:val="20"/>
                    </w:rPr>
                  </w:pPr>
                  <w:r>
                    <w:rPr>
                      <w:sz w:val="20"/>
                      <w:szCs w:val="20"/>
                    </w:rPr>
                    <w:t>3.32</w:t>
                  </w:r>
                  <w:r w:rsidRPr="0012580F">
                    <w:rPr>
                      <w:sz w:val="20"/>
                      <w:szCs w:val="20"/>
                    </w:rPr>
                    <w:t xml:space="preserve"> </w:t>
                  </w:r>
                  <w:r>
                    <w:rPr>
                      <w:sz w:val="20"/>
                      <w:szCs w:val="20"/>
                    </w:rPr>
                    <w:t>Y</w:t>
                  </w:r>
                  <w:r w:rsidRPr="0012580F">
                    <w:rPr>
                      <w:sz w:val="20"/>
                      <w:szCs w:val="20"/>
                    </w:rPr>
                    <w:t>ears</w:t>
                  </w:r>
                </w:p>
              </w:txbxContent>
            </v:textbox>
          </v:shape>
        </w:pict>
      </w:r>
      <w:r w:rsidRPr="006506AF">
        <w:rPr>
          <w:noProof/>
          <w:color w:val="008000"/>
        </w:rPr>
        <w:pict>
          <v:shape id="_x0000_s1146" type="#_x0000_t202" style="position:absolute;margin-left:180pt;margin-top:124.2pt;width:63pt;height:36pt;z-index:251656192" filled="f" stroked="f">
            <v:textbox style="mso-next-textbox:#_x0000_s1146">
              <w:txbxContent>
                <w:p w:rsidR="000A70C2" w:rsidRDefault="000A70C2" w:rsidP="005C1F7C">
                  <w:pPr>
                    <w:jc w:val="center"/>
                    <w:rPr>
                      <w:sz w:val="20"/>
                      <w:szCs w:val="20"/>
                    </w:rPr>
                  </w:pPr>
                  <w:r>
                    <w:rPr>
                      <w:sz w:val="20"/>
                      <w:szCs w:val="20"/>
                    </w:rPr>
                    <w:t>H</w:t>
                  </w:r>
                  <w:r w:rsidRPr="00191C6D">
                    <w:rPr>
                      <w:sz w:val="20"/>
                      <w:szCs w:val="20"/>
                      <w:vertAlign w:val="subscript"/>
                    </w:rPr>
                    <w:t>2</w:t>
                  </w:r>
                </w:p>
                <w:p w:rsidR="000A70C2" w:rsidRPr="0012580F" w:rsidRDefault="000A70C2" w:rsidP="005C1F7C">
                  <w:pPr>
                    <w:jc w:val="center"/>
                    <w:rPr>
                      <w:sz w:val="20"/>
                      <w:szCs w:val="20"/>
                    </w:rPr>
                  </w:pPr>
                  <w:r>
                    <w:rPr>
                      <w:sz w:val="20"/>
                      <w:szCs w:val="20"/>
                    </w:rPr>
                    <w:t>1.02</w:t>
                  </w:r>
                  <w:r w:rsidRPr="0012580F">
                    <w:rPr>
                      <w:sz w:val="20"/>
                      <w:szCs w:val="20"/>
                    </w:rPr>
                    <w:t xml:space="preserve"> </w:t>
                  </w:r>
                  <w:r>
                    <w:rPr>
                      <w:sz w:val="20"/>
                      <w:szCs w:val="20"/>
                    </w:rPr>
                    <w:t>Y</w:t>
                  </w:r>
                  <w:r w:rsidRPr="0012580F">
                    <w:rPr>
                      <w:sz w:val="20"/>
                      <w:szCs w:val="20"/>
                    </w:rPr>
                    <w:t>ears</w:t>
                  </w:r>
                </w:p>
              </w:txbxContent>
            </v:textbox>
          </v:shape>
        </w:pict>
      </w:r>
      <w:r w:rsidRPr="006506AF">
        <w:rPr>
          <w:noProof/>
          <w:color w:val="008000"/>
        </w:rPr>
        <w:pict>
          <v:shape id="_x0000_s1150" type="#_x0000_t202" style="position:absolute;margin-left:252pt;margin-top:151.2pt;width:63pt;height:36pt;z-index:251660288" filled="f" stroked="f">
            <v:textbox style="mso-next-textbox:#_x0000_s1150">
              <w:txbxContent>
                <w:p w:rsidR="000A70C2" w:rsidRDefault="000A70C2" w:rsidP="005C1F7C">
                  <w:pPr>
                    <w:jc w:val="center"/>
                    <w:rPr>
                      <w:sz w:val="20"/>
                      <w:szCs w:val="20"/>
                    </w:rPr>
                  </w:pPr>
                  <w:r>
                    <w:rPr>
                      <w:sz w:val="20"/>
                      <w:szCs w:val="20"/>
                    </w:rPr>
                    <w:t>Total</w:t>
                  </w:r>
                </w:p>
                <w:p w:rsidR="000A70C2" w:rsidRPr="0012580F" w:rsidRDefault="000A70C2" w:rsidP="005C1F7C">
                  <w:pPr>
                    <w:jc w:val="center"/>
                    <w:rPr>
                      <w:sz w:val="20"/>
                      <w:szCs w:val="20"/>
                    </w:rPr>
                  </w:pPr>
                  <w:r>
                    <w:rPr>
                      <w:sz w:val="20"/>
                      <w:szCs w:val="20"/>
                    </w:rPr>
                    <w:t>4.34 Y</w:t>
                  </w:r>
                  <w:r w:rsidRPr="0012580F">
                    <w:rPr>
                      <w:sz w:val="20"/>
                      <w:szCs w:val="20"/>
                    </w:rPr>
                    <w:t>ears</w:t>
                  </w:r>
                </w:p>
              </w:txbxContent>
            </v:textbox>
          </v:shape>
        </w:pict>
      </w:r>
      <w:r w:rsidRPr="006506AF">
        <w:rPr>
          <w:noProof/>
          <w:color w:val="008000"/>
        </w:rPr>
        <w:pict>
          <v:shape id="_x0000_s1147" type="#_x0000_t202" style="position:absolute;margin-left:162pt;margin-top:277.2pt;width:99pt;height:27pt;z-index:251657216" filled="f" stroked="f">
            <v:textbox style="mso-next-textbox:#_x0000_s1147">
              <w:txbxContent>
                <w:p w:rsidR="000A70C2" w:rsidRPr="004404B6" w:rsidRDefault="000A70C2" w:rsidP="005C1F7C">
                  <w:r w:rsidRPr="004404B6">
                    <w:t>Time (</w:t>
                  </w:r>
                  <w:r>
                    <w:t>Years</w:t>
                  </w:r>
                  <w:r w:rsidRPr="004404B6">
                    <w:t xml:space="preserve">) </w:t>
                  </w:r>
                </w:p>
              </w:txbxContent>
            </v:textbox>
          </v:shape>
        </w:pict>
      </w:r>
      <w:r w:rsidRPr="006506AF">
        <w:rPr>
          <w:noProof/>
          <w:color w:val="008000"/>
        </w:rPr>
        <w:pict>
          <v:shape id="_x0000_s1145" type="#_x0000_t87" style="position:absolute;margin-left:234pt;margin-top:85.95pt;width:9pt;height:117pt;z-index:251655168" adj=",8446"/>
        </w:pict>
      </w:r>
      <w:r w:rsidRPr="006506AF">
        <w:rPr>
          <w:noProof/>
          <w:color w:val="008000"/>
        </w:rPr>
        <w:pict>
          <v:shape id="_x0000_s1149" type="#_x0000_t87" style="position:absolute;margin-left:306pt;margin-top:106.2pt;width:18pt;height:156.25pt;z-index:251659264" adj=",7800"/>
        </w:pict>
      </w:r>
      <w:r w:rsidRPr="006506AF">
        <w:rPr>
          <w:noProof/>
          <w:color w:val="008000"/>
        </w:rPr>
        <w:pict>
          <v:shape id="_x0000_s1143" type="#_x0000_t87" style="position:absolute;margin-left:99pt;margin-top:124.2pt;width:9pt;height:138.6pt;z-index:251653120"/>
        </w:pict>
      </w:r>
      <w:r w:rsidR="00ED032A">
        <w:rPr>
          <w:b/>
          <w:noProof/>
        </w:rPr>
        <w:drawing>
          <wp:inline distT="0" distB="0" distL="0" distR="0">
            <wp:extent cx="5930900" cy="4089400"/>
            <wp:effectExtent l="2540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930900" cy="4089400"/>
                    </a:xfrm>
                    <a:prstGeom prst="rect">
                      <a:avLst/>
                    </a:prstGeom>
                    <a:noFill/>
                    <a:ln w="9525">
                      <a:noFill/>
                      <a:miter lim="800000"/>
                      <a:headEnd/>
                      <a:tailEnd/>
                    </a:ln>
                  </pic:spPr>
                </pic:pic>
              </a:graphicData>
            </a:graphic>
          </wp:inline>
        </w:drawing>
      </w:r>
      <w:r w:rsidRPr="006506AF">
        <w:rPr>
          <w:noProof/>
        </w:rPr>
        <w:pict>
          <v:shape id="_x0000_s1142" type="#_x0000_t202" style="position:absolute;margin-left:-18pt;margin-top:124.2pt;width:27pt;height:54pt;z-index:251652096;mso-position-horizontal-relative:text;mso-position-vertical-relative:text" filled="f" stroked="f">
            <v:textbox style="layout-flow:vertical;mso-layout-flow-alt:bottom-to-top;mso-next-textbox:#_x0000_s1142">
              <w:txbxContent>
                <w:p w:rsidR="000A70C2" w:rsidRPr="004404B6" w:rsidRDefault="000A70C2" w:rsidP="005C1F7C">
                  <w:r w:rsidRPr="004404B6">
                    <w:t>Survival</w:t>
                  </w:r>
                </w:p>
              </w:txbxContent>
            </v:textbox>
          </v:shape>
        </w:pict>
      </w:r>
    </w:p>
    <w:p w:rsidR="005C1F7C" w:rsidRPr="00B364D6" w:rsidRDefault="005C1F7C" w:rsidP="005C1F7C">
      <w:pPr>
        <w:tabs>
          <w:tab w:val="right" w:pos="360"/>
          <w:tab w:val="left" w:pos="540"/>
        </w:tabs>
        <w:spacing w:line="480" w:lineRule="auto"/>
        <w:ind w:left="900" w:hanging="540"/>
        <w:rPr>
          <w:b/>
        </w:rPr>
      </w:pPr>
      <w:r>
        <w:rPr>
          <w:b/>
        </w:rPr>
        <w:br w:type="page"/>
      </w:r>
      <w:r w:rsidRPr="00B364D6">
        <w:rPr>
          <w:b/>
        </w:rPr>
        <w:t xml:space="preserve">B. </w:t>
      </w:r>
      <w:r>
        <w:rPr>
          <w:b/>
        </w:rPr>
        <w:t>Digoxin</w:t>
      </w:r>
      <w:r w:rsidRPr="00B364D6">
        <w:rPr>
          <w:b/>
        </w:rPr>
        <w:t xml:space="preserve"> Group</w:t>
      </w:r>
    </w:p>
    <w:p w:rsidR="005C1F7C" w:rsidRDefault="006506AF" w:rsidP="005C1F7C">
      <w:pPr>
        <w:jc w:val="center"/>
      </w:pPr>
      <w:r w:rsidRPr="006506AF">
        <w:rPr>
          <w:noProof/>
          <w:color w:val="008000"/>
        </w:rPr>
        <w:pict>
          <v:shape id="_x0000_s1156" type="#_x0000_t202" style="position:absolute;left:0;text-align:left;margin-left:264.75pt;margin-top:157.05pt;width:63pt;height:31.35pt;z-index:251666432" filled="f" stroked="f">
            <v:textbox style="mso-next-textbox:#_x0000_s1156">
              <w:txbxContent>
                <w:p w:rsidR="000A70C2" w:rsidRDefault="000A70C2" w:rsidP="005C1F7C">
                  <w:pPr>
                    <w:jc w:val="center"/>
                    <w:rPr>
                      <w:sz w:val="20"/>
                      <w:szCs w:val="20"/>
                    </w:rPr>
                  </w:pPr>
                  <w:r>
                    <w:rPr>
                      <w:sz w:val="20"/>
                      <w:szCs w:val="20"/>
                    </w:rPr>
                    <w:t>Total</w:t>
                  </w:r>
                </w:p>
                <w:p w:rsidR="000A70C2" w:rsidRPr="0012580F" w:rsidRDefault="000A70C2" w:rsidP="005C1F7C">
                  <w:pPr>
                    <w:jc w:val="center"/>
                    <w:rPr>
                      <w:sz w:val="20"/>
                      <w:szCs w:val="20"/>
                    </w:rPr>
                  </w:pPr>
                  <w:r>
                    <w:rPr>
                      <w:sz w:val="20"/>
                      <w:szCs w:val="20"/>
                    </w:rPr>
                    <w:t>4.44 Y</w:t>
                  </w:r>
                  <w:r w:rsidRPr="0012580F">
                    <w:rPr>
                      <w:sz w:val="20"/>
                      <w:szCs w:val="20"/>
                    </w:rPr>
                    <w:t>ears</w:t>
                  </w:r>
                </w:p>
              </w:txbxContent>
            </v:textbox>
          </v:shape>
        </w:pict>
      </w:r>
      <w:r w:rsidRPr="006506AF">
        <w:rPr>
          <w:noProof/>
          <w:color w:val="008000"/>
        </w:rPr>
        <w:pict>
          <v:shape id="_x0000_s1154" type="#_x0000_t202" style="position:absolute;left:0;text-align:left;margin-left:180pt;margin-top:121.8pt;width:63pt;height:30.6pt;z-index:251664384" filled="f" stroked="f">
            <v:textbox style="mso-next-textbox:#_x0000_s1154">
              <w:txbxContent>
                <w:p w:rsidR="000A70C2" w:rsidRDefault="000A70C2" w:rsidP="005C1F7C">
                  <w:pPr>
                    <w:jc w:val="center"/>
                    <w:rPr>
                      <w:sz w:val="20"/>
                      <w:szCs w:val="20"/>
                    </w:rPr>
                  </w:pPr>
                  <w:r>
                    <w:rPr>
                      <w:sz w:val="20"/>
                      <w:szCs w:val="20"/>
                    </w:rPr>
                    <w:t>H</w:t>
                  </w:r>
                  <w:r w:rsidRPr="00191C6D">
                    <w:rPr>
                      <w:sz w:val="20"/>
                      <w:szCs w:val="20"/>
                      <w:vertAlign w:val="subscript"/>
                    </w:rPr>
                    <w:t>2</w:t>
                  </w:r>
                </w:p>
                <w:p w:rsidR="000A70C2" w:rsidRPr="0012580F" w:rsidRDefault="000A70C2" w:rsidP="005C1F7C">
                  <w:pPr>
                    <w:jc w:val="center"/>
                    <w:rPr>
                      <w:sz w:val="20"/>
                      <w:szCs w:val="20"/>
                    </w:rPr>
                  </w:pPr>
                  <w:r>
                    <w:rPr>
                      <w:sz w:val="20"/>
                      <w:szCs w:val="20"/>
                    </w:rPr>
                    <w:t>0.78</w:t>
                  </w:r>
                  <w:r w:rsidRPr="0012580F">
                    <w:rPr>
                      <w:sz w:val="20"/>
                      <w:szCs w:val="20"/>
                    </w:rPr>
                    <w:t xml:space="preserve"> </w:t>
                  </w:r>
                  <w:r>
                    <w:rPr>
                      <w:sz w:val="20"/>
                      <w:szCs w:val="20"/>
                    </w:rPr>
                    <w:t>Y</w:t>
                  </w:r>
                  <w:r w:rsidRPr="0012580F">
                    <w:rPr>
                      <w:sz w:val="20"/>
                      <w:szCs w:val="20"/>
                    </w:rPr>
                    <w:t>ears</w:t>
                  </w:r>
                </w:p>
              </w:txbxContent>
            </v:textbox>
          </v:shape>
        </w:pict>
      </w:r>
      <w:r w:rsidRPr="006506AF">
        <w:rPr>
          <w:noProof/>
          <w:color w:val="008000"/>
        </w:rPr>
        <w:pict>
          <v:shape id="_x0000_s1152" type="#_x0000_t202" style="position:absolute;left:0;text-align:left;margin-left:62.5pt;margin-top:181.05pt;width:74.25pt;height:34.35pt;z-index:251662336" filled="f" stroked="f">
            <v:textbox style="mso-next-textbox:#_x0000_s1152">
              <w:txbxContent>
                <w:p w:rsidR="000A70C2" w:rsidRDefault="000A70C2" w:rsidP="005C1F7C">
                  <w:pPr>
                    <w:jc w:val="center"/>
                    <w:rPr>
                      <w:sz w:val="20"/>
                      <w:szCs w:val="20"/>
                    </w:rPr>
                  </w:pPr>
                  <w:r>
                    <w:rPr>
                      <w:sz w:val="20"/>
                      <w:szCs w:val="20"/>
                    </w:rPr>
                    <w:t>H</w:t>
                  </w:r>
                  <w:r w:rsidRPr="00191C6D">
                    <w:rPr>
                      <w:sz w:val="20"/>
                      <w:szCs w:val="20"/>
                      <w:vertAlign w:val="subscript"/>
                    </w:rPr>
                    <w:t>1</w:t>
                  </w:r>
                </w:p>
                <w:p w:rsidR="000A70C2" w:rsidRPr="0012580F" w:rsidRDefault="000A70C2" w:rsidP="005C1F7C">
                  <w:pPr>
                    <w:jc w:val="center"/>
                    <w:rPr>
                      <w:sz w:val="20"/>
                      <w:szCs w:val="20"/>
                    </w:rPr>
                  </w:pPr>
                  <w:r>
                    <w:rPr>
                      <w:sz w:val="20"/>
                      <w:szCs w:val="20"/>
                    </w:rPr>
                    <w:t>3.66 Y</w:t>
                  </w:r>
                  <w:r w:rsidRPr="0012580F">
                    <w:rPr>
                      <w:sz w:val="20"/>
                      <w:szCs w:val="20"/>
                    </w:rPr>
                    <w:t>ears</w:t>
                  </w:r>
                </w:p>
              </w:txbxContent>
            </v:textbox>
          </v:shape>
        </w:pict>
      </w:r>
      <w:r w:rsidRPr="006506AF">
        <w:rPr>
          <w:noProof/>
          <w:color w:val="008000"/>
        </w:rPr>
        <w:pict>
          <v:shape id="_x0000_s1157" type="#_x0000_t202" style="position:absolute;left:0;text-align:left;margin-left:172.5pt;margin-top:278.55pt;width:99pt;height:27pt;z-index:251667456" filled="f" stroked="f">
            <v:textbox style="mso-next-textbox:#_x0000_s1157">
              <w:txbxContent>
                <w:p w:rsidR="000A70C2" w:rsidRPr="00BD73EE" w:rsidRDefault="000A70C2" w:rsidP="005C1F7C">
                  <w:r w:rsidRPr="00BD73EE">
                    <w:t xml:space="preserve">Time (Years) </w:t>
                  </w:r>
                </w:p>
              </w:txbxContent>
            </v:textbox>
          </v:shape>
        </w:pict>
      </w:r>
      <w:r w:rsidRPr="006506AF">
        <w:rPr>
          <w:noProof/>
          <w:color w:val="008000"/>
        </w:rPr>
        <w:pict>
          <v:shape id="_x0000_s1151" type="#_x0000_t87" style="position:absolute;left:0;text-align:left;margin-left:119.25pt;margin-top:124.8pt;width:9pt;height:135pt;z-index:251661312"/>
        </w:pict>
      </w:r>
      <w:r w:rsidRPr="006506AF">
        <w:rPr>
          <w:noProof/>
          <w:color w:val="008000"/>
        </w:rPr>
        <w:pict>
          <v:shape id="_x0000_s1155" type="#_x0000_t87" style="position:absolute;left:0;text-align:left;margin-left:318pt;margin-top:115.8pt;width:18pt;height:2in;z-index:251665408" adj=",7800"/>
        </w:pict>
      </w:r>
      <w:r w:rsidRPr="006506AF">
        <w:rPr>
          <w:noProof/>
          <w:color w:val="008000"/>
        </w:rPr>
        <w:pict>
          <v:shape id="_x0000_s1153" type="#_x0000_t87" style="position:absolute;left:0;text-align:left;margin-left:233.25pt;margin-top:88.8pt;width:18.75pt;height:111pt;z-index:251663360" adj=",8446"/>
        </w:pict>
      </w:r>
      <w:r w:rsidRPr="006506AF">
        <w:rPr>
          <w:noProof/>
          <w:color w:val="008000"/>
        </w:rPr>
        <w:pict>
          <v:shape id="_x0000_s1148" type="#_x0000_t202" style="position:absolute;left:0;text-align:left;margin-left:-9pt;margin-top:106.8pt;width:27pt;height:54pt;z-index:251658240" filled="f" stroked="f">
            <v:textbox style="layout-flow:vertical;mso-layout-flow-alt:bottom-to-top;mso-next-textbox:#_x0000_s1148">
              <w:txbxContent>
                <w:p w:rsidR="000A70C2" w:rsidRPr="00BD73EE" w:rsidRDefault="000A70C2" w:rsidP="005C1F7C">
                  <w:r w:rsidRPr="00BD73EE">
                    <w:t>Survival</w:t>
                  </w:r>
                </w:p>
              </w:txbxContent>
            </v:textbox>
          </v:shape>
        </w:pict>
      </w:r>
      <w:r w:rsidR="00ED032A">
        <w:rPr>
          <w:noProof/>
        </w:rPr>
        <w:drawing>
          <wp:inline distT="0" distB="0" distL="0" distR="0">
            <wp:extent cx="5930900" cy="4089400"/>
            <wp:effectExtent l="2540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5930900" cy="4089400"/>
                    </a:xfrm>
                    <a:prstGeom prst="rect">
                      <a:avLst/>
                    </a:prstGeom>
                    <a:noFill/>
                    <a:ln w="9525">
                      <a:noFill/>
                      <a:miter lim="800000"/>
                      <a:headEnd/>
                      <a:tailEnd/>
                    </a:ln>
                  </pic:spPr>
                </pic:pic>
              </a:graphicData>
            </a:graphic>
          </wp:inline>
        </w:drawing>
      </w:r>
    </w:p>
    <w:p w:rsidR="00D04991" w:rsidRPr="00BB65C9" w:rsidRDefault="00D04991" w:rsidP="00C60964">
      <w:pPr>
        <w:spacing w:line="480" w:lineRule="auto"/>
        <w:rPr>
          <w:b/>
        </w:rPr>
      </w:pPr>
      <w:r>
        <w:br w:type="page"/>
      </w:r>
      <w:r w:rsidRPr="00BB65C9">
        <w:rPr>
          <w:b/>
        </w:rPr>
        <w:t>Legend:</w:t>
      </w:r>
    </w:p>
    <w:p w:rsidR="00D04991" w:rsidRDefault="00BB65C9" w:rsidP="00C60964">
      <w:pPr>
        <w:spacing w:line="480" w:lineRule="auto"/>
      </w:pPr>
      <w:r>
        <w:t xml:space="preserve">Figure 1 A &amp; B </w:t>
      </w:r>
    </w:p>
    <w:p w:rsidR="00BB65C9" w:rsidRDefault="006506AF" w:rsidP="00C60964">
      <w:pPr>
        <w:spacing w:line="480" w:lineRule="auto"/>
      </w:pPr>
      <w:r w:rsidRPr="006506AF">
        <w:rPr>
          <w:noProof/>
          <w:lang w:val="en-CA" w:eastAsia="en-CA"/>
        </w:rPr>
        <w:pict>
          <v:shapetype id="_x0000_t32" coordsize="21600,21600" o:spt="32" o:oned="t" path="m0,0l21600,21600e" filled="f">
            <v:path arrowok="t" fillok="f" o:connecttype="none"/>
            <o:lock v:ext="edit" shapetype="t"/>
          </v:shapetype>
          <v:shape id="_x0000_s1171" type="#_x0000_t32" style="position:absolute;margin-left:127.5pt;margin-top:8.55pt;width:93pt;height:0;z-index:251675648" o:connectortype="straight" strokecolor="red" strokeweight="1.5pt">
            <v:stroke dashstyle="dash"/>
          </v:shape>
        </w:pict>
      </w:r>
      <w:r w:rsidR="00BB65C9">
        <w:tab/>
        <w:t xml:space="preserve">All-Cause Mortality – </w:t>
      </w:r>
    </w:p>
    <w:p w:rsidR="00BB65C9" w:rsidRDefault="006506AF" w:rsidP="00C60964">
      <w:pPr>
        <w:spacing w:line="480" w:lineRule="auto"/>
      </w:pPr>
      <w:r w:rsidRPr="006506AF">
        <w:rPr>
          <w:noProof/>
          <w:lang w:val="en-CA" w:eastAsia="en-CA"/>
        </w:rPr>
        <w:pict>
          <v:shape id="_x0000_s1172" type="#_x0000_t32" style="position:absolute;margin-left:208.5pt;margin-top:8.7pt;width:93pt;height:0;z-index:251676672" o:connectortype="straight" strokecolor="#030" strokeweight="1.5pt"/>
        </w:pict>
      </w:r>
      <w:r w:rsidR="00BB65C9">
        <w:tab/>
        <w:t>All-Cause Hospitalization or Morta</w:t>
      </w:r>
      <w:r w:rsidR="009E2274">
        <w:t>lity</w:t>
      </w:r>
      <w:r w:rsidR="00BB65C9">
        <w:t xml:space="preserve">- </w:t>
      </w:r>
    </w:p>
    <w:p w:rsidR="00BB65C9" w:rsidRDefault="00BB65C9" w:rsidP="00C60964">
      <w:pPr>
        <w:spacing w:line="480" w:lineRule="auto"/>
      </w:pPr>
    </w:p>
    <w:p w:rsidR="00BB65C9" w:rsidRDefault="00BB65C9" w:rsidP="00BB65C9">
      <w:pPr>
        <w:spacing w:line="480" w:lineRule="auto"/>
      </w:pPr>
      <w:r>
        <w:t xml:space="preserve">Figure 2 A &amp; B </w:t>
      </w:r>
    </w:p>
    <w:p w:rsidR="00BB65C9" w:rsidRDefault="006506AF" w:rsidP="00BB65C9">
      <w:pPr>
        <w:spacing w:line="480" w:lineRule="auto"/>
      </w:pPr>
      <w:r w:rsidRPr="006506AF">
        <w:rPr>
          <w:noProof/>
          <w:lang w:val="en-CA" w:eastAsia="en-CA"/>
        </w:rPr>
        <w:pict>
          <v:shape id="_x0000_s1174" type="#_x0000_t32" style="position:absolute;margin-left:180pt;margin-top:8.55pt;width:93pt;height:0;z-index:251677696" o:connectortype="straight" strokecolor="red" strokeweight="1.5pt">
            <v:stroke dashstyle="dash"/>
          </v:shape>
        </w:pict>
      </w:r>
      <w:r w:rsidR="00BB65C9">
        <w:tab/>
        <w:t>Hear</w:t>
      </w:r>
      <w:r w:rsidR="0009035B">
        <w:t>t</w:t>
      </w:r>
      <w:r w:rsidR="00BB65C9">
        <w:t xml:space="preserve"> Failure Related Mortality – </w:t>
      </w:r>
    </w:p>
    <w:p w:rsidR="00BB65C9" w:rsidRDefault="006506AF" w:rsidP="00BB65C9">
      <w:pPr>
        <w:spacing w:line="480" w:lineRule="auto"/>
      </w:pPr>
      <w:r w:rsidRPr="006506AF">
        <w:rPr>
          <w:noProof/>
          <w:lang w:val="en-CA" w:eastAsia="en-CA"/>
        </w:rPr>
        <w:pict>
          <v:shape id="_x0000_s1175" type="#_x0000_t32" style="position:absolute;margin-left:269.25pt;margin-top:8.7pt;width:93pt;height:0;z-index:251678720" o:connectortype="straight" strokecolor="#030" strokeweight="1.5pt"/>
        </w:pict>
      </w:r>
      <w:r w:rsidR="00BB65C9">
        <w:tab/>
        <w:t xml:space="preserve">Heart Failure Related Hospitalization or Mortality - </w:t>
      </w:r>
    </w:p>
    <w:p w:rsidR="005A50B1" w:rsidRDefault="005A50B1" w:rsidP="00C60964">
      <w:pPr>
        <w:spacing w:line="480" w:lineRule="auto"/>
        <w:sectPr w:rsidR="005A50B1">
          <w:headerReference w:type="even" r:id="rId13"/>
          <w:headerReference w:type="default" r:id="rId14"/>
          <w:footerReference w:type="even" r:id="rId15"/>
          <w:footerReference w:type="default" r:id="rId16"/>
          <w:pgSz w:w="12240" w:h="15840"/>
          <w:pgMar w:top="1440" w:right="1440" w:bottom="1440" w:left="1440" w:header="706" w:footer="706" w:gutter="0"/>
          <w:cols w:space="708"/>
          <w:docGrid w:linePitch="360"/>
        </w:sectPr>
      </w:pPr>
    </w:p>
    <w:p w:rsidR="009B542A" w:rsidRDefault="00F3488F" w:rsidP="00C60964">
      <w:pPr>
        <w:spacing w:line="480" w:lineRule="auto"/>
        <w:rPr>
          <w:b/>
        </w:rPr>
      </w:pPr>
      <w:r>
        <w:rPr>
          <w:b/>
        </w:rPr>
        <w:t xml:space="preserve">Table </w:t>
      </w:r>
      <w:r w:rsidR="00E106B1">
        <w:rPr>
          <w:b/>
        </w:rPr>
        <w:t>I</w:t>
      </w:r>
      <w:r>
        <w:rPr>
          <w:b/>
        </w:rPr>
        <w:t xml:space="preserve">. Integrated Survival Time for Sulfonylurea and Metformin </w:t>
      </w:r>
      <w:r w:rsidR="007D0C59">
        <w:rPr>
          <w:b/>
        </w:rPr>
        <w:t>G</w:t>
      </w:r>
      <w:r>
        <w:rPr>
          <w:b/>
        </w:rPr>
        <w:t>roups per Health State</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57"/>
        <w:gridCol w:w="1951"/>
        <w:gridCol w:w="1952"/>
        <w:gridCol w:w="1952"/>
        <w:gridCol w:w="1952"/>
      </w:tblGrid>
      <w:tr w:rsidR="00062181" w:rsidRPr="00062181">
        <w:tc>
          <w:tcPr>
            <w:tcW w:w="1657" w:type="dxa"/>
            <w:tcBorders>
              <w:top w:val="single" w:sz="12" w:space="0" w:color="auto"/>
              <w:left w:val="nil"/>
              <w:bottom w:val="single" w:sz="12" w:space="0" w:color="auto"/>
              <w:right w:val="nil"/>
            </w:tcBorders>
            <w:shd w:val="clear" w:color="auto" w:fill="auto"/>
            <w:vAlign w:val="center"/>
          </w:tcPr>
          <w:p w:rsidR="00062181" w:rsidRPr="00062181" w:rsidRDefault="00062181" w:rsidP="00062181">
            <w:pPr>
              <w:spacing w:line="480" w:lineRule="auto"/>
              <w:jc w:val="center"/>
              <w:rPr>
                <w:b/>
                <w:sz w:val="22"/>
                <w:szCs w:val="22"/>
              </w:rPr>
            </w:pPr>
            <w:r w:rsidRPr="00062181">
              <w:rPr>
                <w:b/>
                <w:sz w:val="22"/>
                <w:szCs w:val="22"/>
              </w:rPr>
              <w:t>Group</w:t>
            </w:r>
          </w:p>
        </w:tc>
        <w:tc>
          <w:tcPr>
            <w:tcW w:w="1951" w:type="dxa"/>
            <w:tcBorders>
              <w:top w:val="single" w:sz="12" w:space="0" w:color="auto"/>
              <w:left w:val="nil"/>
              <w:bottom w:val="single" w:sz="12" w:space="0" w:color="auto"/>
              <w:right w:val="nil"/>
            </w:tcBorders>
            <w:shd w:val="clear" w:color="auto" w:fill="auto"/>
            <w:vAlign w:val="center"/>
          </w:tcPr>
          <w:p w:rsidR="00062181" w:rsidRPr="00062181" w:rsidRDefault="00062181" w:rsidP="00062181">
            <w:pPr>
              <w:spacing w:line="480" w:lineRule="auto"/>
              <w:jc w:val="center"/>
              <w:rPr>
                <w:b/>
                <w:sz w:val="22"/>
                <w:szCs w:val="22"/>
              </w:rPr>
            </w:pPr>
            <w:r w:rsidRPr="00062181">
              <w:rPr>
                <w:b/>
                <w:sz w:val="22"/>
                <w:szCs w:val="22"/>
              </w:rPr>
              <w:t>Survival in H</w:t>
            </w:r>
            <w:r w:rsidRPr="00062181">
              <w:rPr>
                <w:b/>
                <w:sz w:val="22"/>
                <w:szCs w:val="22"/>
                <w:vertAlign w:val="subscript"/>
              </w:rPr>
              <w:t>1</w:t>
            </w:r>
            <w:r w:rsidRPr="00062181">
              <w:rPr>
                <w:b/>
                <w:sz w:val="22"/>
                <w:szCs w:val="22"/>
              </w:rPr>
              <w:t xml:space="preserve"> </w:t>
            </w:r>
          </w:p>
          <w:p w:rsidR="00062181" w:rsidRPr="00062181" w:rsidRDefault="00062181" w:rsidP="00062181">
            <w:pPr>
              <w:spacing w:line="480" w:lineRule="auto"/>
              <w:jc w:val="center"/>
              <w:rPr>
                <w:b/>
                <w:sz w:val="22"/>
                <w:szCs w:val="22"/>
              </w:rPr>
            </w:pPr>
            <w:r w:rsidRPr="00062181">
              <w:rPr>
                <w:b/>
                <w:sz w:val="22"/>
                <w:szCs w:val="22"/>
              </w:rPr>
              <w:t>(95% CI)</w:t>
            </w:r>
          </w:p>
        </w:tc>
        <w:tc>
          <w:tcPr>
            <w:tcW w:w="1952" w:type="dxa"/>
            <w:tcBorders>
              <w:top w:val="single" w:sz="12" w:space="0" w:color="auto"/>
              <w:left w:val="nil"/>
              <w:bottom w:val="single" w:sz="12" w:space="0" w:color="auto"/>
              <w:right w:val="nil"/>
            </w:tcBorders>
            <w:shd w:val="clear" w:color="auto" w:fill="auto"/>
            <w:vAlign w:val="center"/>
          </w:tcPr>
          <w:p w:rsidR="00062181" w:rsidRPr="00062181" w:rsidRDefault="00062181" w:rsidP="00062181">
            <w:pPr>
              <w:spacing w:line="480" w:lineRule="auto"/>
              <w:jc w:val="center"/>
              <w:rPr>
                <w:b/>
                <w:sz w:val="22"/>
                <w:szCs w:val="22"/>
              </w:rPr>
            </w:pPr>
            <w:r w:rsidRPr="00062181">
              <w:rPr>
                <w:b/>
                <w:sz w:val="22"/>
                <w:szCs w:val="22"/>
              </w:rPr>
              <w:t>Survival in H</w:t>
            </w:r>
            <w:r w:rsidRPr="00062181">
              <w:rPr>
                <w:b/>
                <w:sz w:val="22"/>
                <w:szCs w:val="22"/>
                <w:vertAlign w:val="subscript"/>
              </w:rPr>
              <w:t>2</w:t>
            </w:r>
            <w:r w:rsidRPr="00062181">
              <w:rPr>
                <w:b/>
                <w:sz w:val="22"/>
                <w:szCs w:val="22"/>
              </w:rPr>
              <w:t xml:space="preserve"> </w:t>
            </w:r>
          </w:p>
          <w:p w:rsidR="00062181" w:rsidRPr="00062181" w:rsidRDefault="00062181" w:rsidP="00062181">
            <w:pPr>
              <w:spacing w:line="480" w:lineRule="auto"/>
              <w:jc w:val="center"/>
              <w:rPr>
                <w:b/>
                <w:sz w:val="22"/>
                <w:szCs w:val="22"/>
              </w:rPr>
            </w:pPr>
            <w:r w:rsidRPr="00062181">
              <w:rPr>
                <w:b/>
                <w:sz w:val="22"/>
                <w:szCs w:val="22"/>
              </w:rPr>
              <w:t>(95% CI)</w:t>
            </w:r>
          </w:p>
        </w:tc>
        <w:tc>
          <w:tcPr>
            <w:tcW w:w="1952" w:type="dxa"/>
            <w:tcBorders>
              <w:top w:val="single" w:sz="12" w:space="0" w:color="auto"/>
              <w:left w:val="nil"/>
              <w:bottom w:val="single" w:sz="12" w:space="0" w:color="auto"/>
              <w:right w:val="nil"/>
            </w:tcBorders>
            <w:shd w:val="clear" w:color="auto" w:fill="auto"/>
            <w:vAlign w:val="center"/>
          </w:tcPr>
          <w:p w:rsidR="00062181" w:rsidRPr="00062181" w:rsidRDefault="00062181" w:rsidP="00062181">
            <w:pPr>
              <w:spacing w:line="480" w:lineRule="auto"/>
              <w:jc w:val="center"/>
              <w:rPr>
                <w:b/>
                <w:sz w:val="22"/>
                <w:szCs w:val="22"/>
              </w:rPr>
            </w:pPr>
            <w:r w:rsidRPr="00062181">
              <w:rPr>
                <w:b/>
                <w:sz w:val="22"/>
                <w:szCs w:val="22"/>
              </w:rPr>
              <w:t xml:space="preserve">Total Survival </w:t>
            </w:r>
          </w:p>
          <w:p w:rsidR="00062181" w:rsidRPr="00062181" w:rsidRDefault="00062181" w:rsidP="00062181">
            <w:pPr>
              <w:spacing w:line="480" w:lineRule="auto"/>
              <w:jc w:val="center"/>
              <w:rPr>
                <w:b/>
                <w:sz w:val="22"/>
                <w:szCs w:val="22"/>
              </w:rPr>
            </w:pPr>
            <w:r w:rsidRPr="00062181">
              <w:rPr>
                <w:b/>
                <w:sz w:val="22"/>
                <w:szCs w:val="22"/>
              </w:rPr>
              <w:t>(95% CI)</w:t>
            </w:r>
          </w:p>
        </w:tc>
        <w:tc>
          <w:tcPr>
            <w:tcW w:w="1952" w:type="dxa"/>
            <w:tcBorders>
              <w:top w:val="single" w:sz="12" w:space="0" w:color="auto"/>
              <w:left w:val="nil"/>
              <w:bottom w:val="single" w:sz="12" w:space="0" w:color="auto"/>
              <w:right w:val="nil"/>
            </w:tcBorders>
            <w:shd w:val="clear" w:color="auto" w:fill="auto"/>
          </w:tcPr>
          <w:p w:rsidR="00062181" w:rsidRPr="00062181" w:rsidRDefault="00062181" w:rsidP="00062181">
            <w:pPr>
              <w:spacing w:line="480" w:lineRule="auto"/>
              <w:jc w:val="center"/>
              <w:rPr>
                <w:b/>
                <w:sz w:val="22"/>
                <w:szCs w:val="22"/>
              </w:rPr>
            </w:pPr>
            <w:r w:rsidRPr="00062181">
              <w:rPr>
                <w:b/>
                <w:sz w:val="22"/>
                <w:szCs w:val="22"/>
              </w:rPr>
              <w:t>Quality Adjusted Survival (95% CI)</w:t>
            </w:r>
          </w:p>
        </w:tc>
      </w:tr>
      <w:tr w:rsidR="00062181" w:rsidRPr="00062181">
        <w:trPr>
          <w:trHeight w:val="555"/>
        </w:trPr>
        <w:tc>
          <w:tcPr>
            <w:tcW w:w="1657" w:type="dxa"/>
            <w:tcBorders>
              <w:top w:val="nil"/>
              <w:left w:val="nil"/>
              <w:bottom w:val="nil"/>
              <w:right w:val="nil"/>
            </w:tcBorders>
            <w:shd w:val="clear" w:color="auto" w:fill="auto"/>
            <w:vAlign w:val="center"/>
          </w:tcPr>
          <w:p w:rsidR="00062181" w:rsidRPr="00062181" w:rsidRDefault="00062181" w:rsidP="00062181">
            <w:pPr>
              <w:spacing w:line="480" w:lineRule="auto"/>
              <w:jc w:val="center"/>
              <w:rPr>
                <w:b/>
                <w:sz w:val="22"/>
                <w:szCs w:val="22"/>
              </w:rPr>
            </w:pPr>
            <w:r w:rsidRPr="00062181">
              <w:rPr>
                <w:b/>
                <w:sz w:val="22"/>
                <w:szCs w:val="22"/>
              </w:rPr>
              <w:t>Sulfonylurea</w:t>
            </w:r>
          </w:p>
        </w:tc>
        <w:tc>
          <w:tcPr>
            <w:tcW w:w="1951" w:type="dxa"/>
            <w:tcBorders>
              <w:left w:val="nil"/>
              <w:bottom w:val="nil"/>
              <w:right w:val="nil"/>
            </w:tcBorders>
            <w:shd w:val="clear" w:color="auto" w:fill="auto"/>
            <w:vAlign w:val="center"/>
          </w:tcPr>
          <w:p w:rsidR="00062181" w:rsidRPr="00062181" w:rsidRDefault="00655680" w:rsidP="00062181">
            <w:pPr>
              <w:spacing w:line="480" w:lineRule="auto"/>
              <w:jc w:val="center"/>
              <w:rPr>
                <w:sz w:val="22"/>
                <w:szCs w:val="22"/>
              </w:rPr>
            </w:pPr>
            <w:r>
              <w:rPr>
                <w:sz w:val="22"/>
                <w:szCs w:val="22"/>
              </w:rPr>
              <w:t>1.21</w:t>
            </w:r>
          </w:p>
          <w:p w:rsidR="00062181" w:rsidRPr="00062181" w:rsidRDefault="00062181" w:rsidP="00655680">
            <w:pPr>
              <w:spacing w:line="480" w:lineRule="auto"/>
              <w:jc w:val="center"/>
              <w:rPr>
                <w:sz w:val="22"/>
                <w:szCs w:val="22"/>
              </w:rPr>
            </w:pPr>
            <w:r w:rsidRPr="00062181">
              <w:rPr>
                <w:sz w:val="22"/>
                <w:szCs w:val="22"/>
              </w:rPr>
              <w:t>(</w:t>
            </w:r>
            <w:r w:rsidR="00655680">
              <w:rPr>
                <w:sz w:val="22"/>
                <w:szCs w:val="22"/>
              </w:rPr>
              <w:t>1.06-1.32</w:t>
            </w:r>
            <w:r w:rsidRPr="00062181">
              <w:rPr>
                <w:sz w:val="22"/>
                <w:szCs w:val="22"/>
              </w:rPr>
              <w:t>)</w:t>
            </w:r>
          </w:p>
        </w:tc>
        <w:tc>
          <w:tcPr>
            <w:tcW w:w="1952" w:type="dxa"/>
            <w:tcBorders>
              <w:left w:val="nil"/>
              <w:bottom w:val="nil"/>
              <w:right w:val="nil"/>
            </w:tcBorders>
            <w:shd w:val="clear" w:color="auto" w:fill="auto"/>
            <w:vAlign w:val="center"/>
          </w:tcPr>
          <w:p w:rsidR="00062181" w:rsidRPr="00062181" w:rsidRDefault="00655680" w:rsidP="00062181">
            <w:pPr>
              <w:spacing w:line="480" w:lineRule="auto"/>
              <w:jc w:val="center"/>
              <w:rPr>
                <w:sz w:val="22"/>
                <w:szCs w:val="22"/>
              </w:rPr>
            </w:pPr>
            <w:r>
              <w:rPr>
                <w:sz w:val="22"/>
                <w:szCs w:val="22"/>
              </w:rPr>
              <w:t>2.89</w:t>
            </w:r>
          </w:p>
          <w:p w:rsidR="00062181" w:rsidRPr="00062181" w:rsidRDefault="00062181" w:rsidP="00655680">
            <w:pPr>
              <w:spacing w:line="480" w:lineRule="auto"/>
              <w:jc w:val="center"/>
              <w:rPr>
                <w:sz w:val="22"/>
                <w:szCs w:val="22"/>
              </w:rPr>
            </w:pPr>
            <w:r w:rsidRPr="00062181">
              <w:rPr>
                <w:sz w:val="22"/>
                <w:szCs w:val="22"/>
              </w:rPr>
              <w:t>(</w:t>
            </w:r>
            <w:r w:rsidR="00655680">
              <w:rPr>
                <w:sz w:val="22"/>
                <w:szCs w:val="22"/>
              </w:rPr>
              <w:t>2.65-3.17</w:t>
            </w:r>
            <w:r w:rsidRPr="00062181">
              <w:rPr>
                <w:sz w:val="22"/>
                <w:szCs w:val="22"/>
              </w:rPr>
              <w:t>)</w:t>
            </w:r>
          </w:p>
        </w:tc>
        <w:tc>
          <w:tcPr>
            <w:tcW w:w="1952" w:type="dxa"/>
            <w:tcBorders>
              <w:left w:val="nil"/>
              <w:bottom w:val="nil"/>
              <w:right w:val="nil"/>
            </w:tcBorders>
            <w:shd w:val="clear" w:color="auto" w:fill="auto"/>
            <w:vAlign w:val="center"/>
          </w:tcPr>
          <w:p w:rsidR="00062181" w:rsidRPr="00062181" w:rsidRDefault="00655680" w:rsidP="00062181">
            <w:pPr>
              <w:spacing w:line="480" w:lineRule="auto"/>
              <w:jc w:val="center"/>
              <w:rPr>
                <w:sz w:val="22"/>
                <w:szCs w:val="22"/>
              </w:rPr>
            </w:pPr>
            <w:r>
              <w:rPr>
                <w:sz w:val="22"/>
                <w:szCs w:val="22"/>
              </w:rPr>
              <w:t>4.10</w:t>
            </w:r>
          </w:p>
          <w:p w:rsidR="00062181" w:rsidRPr="00062181" w:rsidRDefault="00062181" w:rsidP="00655680">
            <w:pPr>
              <w:spacing w:line="480" w:lineRule="auto"/>
              <w:jc w:val="center"/>
              <w:rPr>
                <w:sz w:val="22"/>
                <w:szCs w:val="22"/>
              </w:rPr>
            </w:pPr>
            <w:r w:rsidRPr="00062181">
              <w:rPr>
                <w:sz w:val="22"/>
                <w:szCs w:val="22"/>
              </w:rPr>
              <w:t>(</w:t>
            </w:r>
            <w:r w:rsidR="00655680">
              <w:rPr>
                <w:sz w:val="22"/>
                <w:szCs w:val="22"/>
              </w:rPr>
              <w:t>3.82-4.41</w:t>
            </w:r>
            <w:r w:rsidRPr="00062181">
              <w:rPr>
                <w:sz w:val="22"/>
                <w:szCs w:val="22"/>
              </w:rPr>
              <w:t>)</w:t>
            </w:r>
          </w:p>
        </w:tc>
        <w:tc>
          <w:tcPr>
            <w:tcW w:w="1952" w:type="dxa"/>
            <w:tcBorders>
              <w:left w:val="nil"/>
              <w:bottom w:val="nil"/>
              <w:right w:val="nil"/>
            </w:tcBorders>
            <w:shd w:val="clear" w:color="auto" w:fill="auto"/>
            <w:vAlign w:val="center"/>
          </w:tcPr>
          <w:p w:rsidR="00062181" w:rsidRDefault="00655680" w:rsidP="00062181">
            <w:pPr>
              <w:spacing w:line="480" w:lineRule="auto"/>
              <w:jc w:val="center"/>
              <w:rPr>
                <w:sz w:val="22"/>
                <w:szCs w:val="20"/>
              </w:rPr>
            </w:pPr>
            <w:r>
              <w:rPr>
                <w:sz w:val="22"/>
                <w:szCs w:val="20"/>
              </w:rPr>
              <w:t>2.63</w:t>
            </w:r>
          </w:p>
          <w:p w:rsidR="00062181" w:rsidRPr="00062181" w:rsidRDefault="00062181" w:rsidP="00655680">
            <w:pPr>
              <w:spacing w:line="480" w:lineRule="auto"/>
              <w:jc w:val="center"/>
              <w:rPr>
                <w:sz w:val="22"/>
                <w:szCs w:val="22"/>
              </w:rPr>
            </w:pPr>
            <w:r>
              <w:rPr>
                <w:sz w:val="22"/>
                <w:szCs w:val="20"/>
              </w:rPr>
              <w:t>(</w:t>
            </w:r>
            <w:r w:rsidR="00655680">
              <w:rPr>
                <w:sz w:val="22"/>
                <w:szCs w:val="20"/>
              </w:rPr>
              <w:t>2.45-2.82</w:t>
            </w:r>
            <w:r>
              <w:rPr>
                <w:sz w:val="22"/>
                <w:szCs w:val="20"/>
              </w:rPr>
              <w:t>)</w:t>
            </w:r>
          </w:p>
        </w:tc>
      </w:tr>
      <w:tr w:rsidR="00062181" w:rsidRPr="00062181">
        <w:trPr>
          <w:trHeight w:val="555"/>
        </w:trPr>
        <w:tc>
          <w:tcPr>
            <w:tcW w:w="1657" w:type="dxa"/>
            <w:tcBorders>
              <w:top w:val="nil"/>
              <w:left w:val="nil"/>
              <w:bottom w:val="single" w:sz="12" w:space="0" w:color="auto"/>
              <w:right w:val="nil"/>
            </w:tcBorders>
            <w:shd w:val="clear" w:color="auto" w:fill="auto"/>
          </w:tcPr>
          <w:p w:rsidR="00062181" w:rsidRPr="00062181" w:rsidRDefault="00062181" w:rsidP="00062181">
            <w:pPr>
              <w:spacing w:line="480" w:lineRule="auto"/>
              <w:jc w:val="center"/>
              <w:rPr>
                <w:b/>
                <w:sz w:val="22"/>
                <w:szCs w:val="22"/>
              </w:rPr>
            </w:pPr>
            <w:r w:rsidRPr="00062181">
              <w:rPr>
                <w:b/>
                <w:sz w:val="22"/>
                <w:szCs w:val="22"/>
              </w:rPr>
              <w:t>Metformin</w:t>
            </w:r>
          </w:p>
        </w:tc>
        <w:tc>
          <w:tcPr>
            <w:tcW w:w="1951" w:type="dxa"/>
            <w:tcBorders>
              <w:top w:val="nil"/>
              <w:left w:val="nil"/>
              <w:bottom w:val="single" w:sz="12" w:space="0" w:color="auto"/>
              <w:right w:val="nil"/>
            </w:tcBorders>
            <w:shd w:val="clear" w:color="auto" w:fill="auto"/>
          </w:tcPr>
          <w:p w:rsidR="00062181" w:rsidRPr="00062181" w:rsidRDefault="00655680" w:rsidP="00062181">
            <w:pPr>
              <w:spacing w:line="480" w:lineRule="auto"/>
              <w:jc w:val="center"/>
              <w:rPr>
                <w:sz w:val="22"/>
                <w:szCs w:val="22"/>
              </w:rPr>
            </w:pPr>
            <w:r>
              <w:rPr>
                <w:sz w:val="22"/>
                <w:szCs w:val="22"/>
              </w:rPr>
              <w:t>1.52</w:t>
            </w:r>
          </w:p>
          <w:p w:rsidR="00062181" w:rsidRPr="00062181" w:rsidRDefault="00062181" w:rsidP="00655680">
            <w:pPr>
              <w:spacing w:line="480" w:lineRule="auto"/>
              <w:jc w:val="center"/>
              <w:rPr>
                <w:sz w:val="22"/>
                <w:szCs w:val="22"/>
              </w:rPr>
            </w:pPr>
            <w:r w:rsidRPr="00062181">
              <w:rPr>
                <w:sz w:val="22"/>
                <w:szCs w:val="22"/>
              </w:rPr>
              <w:t>(</w:t>
            </w:r>
            <w:r w:rsidR="00655680">
              <w:rPr>
                <w:sz w:val="22"/>
                <w:szCs w:val="22"/>
              </w:rPr>
              <w:t>1.27-1.82</w:t>
            </w:r>
            <w:r w:rsidRPr="00062181">
              <w:rPr>
                <w:sz w:val="22"/>
                <w:szCs w:val="22"/>
              </w:rPr>
              <w:t>)</w:t>
            </w:r>
          </w:p>
        </w:tc>
        <w:tc>
          <w:tcPr>
            <w:tcW w:w="1952" w:type="dxa"/>
            <w:tcBorders>
              <w:top w:val="nil"/>
              <w:left w:val="nil"/>
              <w:bottom w:val="single" w:sz="12" w:space="0" w:color="auto"/>
              <w:right w:val="nil"/>
            </w:tcBorders>
            <w:shd w:val="clear" w:color="auto" w:fill="auto"/>
          </w:tcPr>
          <w:p w:rsidR="00062181" w:rsidRPr="00062181" w:rsidRDefault="00655680" w:rsidP="00062181">
            <w:pPr>
              <w:spacing w:line="480" w:lineRule="auto"/>
              <w:jc w:val="center"/>
              <w:rPr>
                <w:sz w:val="22"/>
                <w:szCs w:val="22"/>
              </w:rPr>
            </w:pPr>
            <w:r>
              <w:rPr>
                <w:sz w:val="22"/>
                <w:szCs w:val="22"/>
              </w:rPr>
              <w:t>3.40</w:t>
            </w:r>
          </w:p>
          <w:p w:rsidR="00062181" w:rsidRPr="00062181" w:rsidRDefault="00062181" w:rsidP="00655680">
            <w:pPr>
              <w:spacing w:line="480" w:lineRule="auto"/>
              <w:jc w:val="center"/>
              <w:rPr>
                <w:sz w:val="22"/>
                <w:szCs w:val="22"/>
              </w:rPr>
            </w:pPr>
            <w:r w:rsidRPr="00062181">
              <w:rPr>
                <w:sz w:val="22"/>
                <w:szCs w:val="22"/>
              </w:rPr>
              <w:t>(</w:t>
            </w:r>
            <w:r w:rsidR="00655680">
              <w:rPr>
                <w:sz w:val="22"/>
                <w:szCs w:val="22"/>
              </w:rPr>
              <w:t>2.81-3.92</w:t>
            </w:r>
            <w:r w:rsidRPr="00062181">
              <w:rPr>
                <w:sz w:val="22"/>
                <w:szCs w:val="22"/>
              </w:rPr>
              <w:t>)</w:t>
            </w:r>
          </w:p>
        </w:tc>
        <w:tc>
          <w:tcPr>
            <w:tcW w:w="1952" w:type="dxa"/>
            <w:tcBorders>
              <w:top w:val="nil"/>
              <w:left w:val="nil"/>
              <w:bottom w:val="single" w:sz="12" w:space="0" w:color="auto"/>
              <w:right w:val="nil"/>
            </w:tcBorders>
            <w:shd w:val="clear" w:color="auto" w:fill="auto"/>
          </w:tcPr>
          <w:p w:rsidR="00062181" w:rsidRPr="00062181" w:rsidRDefault="00655680" w:rsidP="00062181">
            <w:pPr>
              <w:spacing w:line="480" w:lineRule="auto"/>
              <w:jc w:val="center"/>
              <w:rPr>
                <w:sz w:val="22"/>
                <w:szCs w:val="22"/>
              </w:rPr>
            </w:pPr>
            <w:r>
              <w:rPr>
                <w:sz w:val="22"/>
                <w:szCs w:val="22"/>
              </w:rPr>
              <w:t>4.92</w:t>
            </w:r>
          </w:p>
          <w:p w:rsidR="00062181" w:rsidRPr="00062181" w:rsidRDefault="00062181" w:rsidP="00655680">
            <w:pPr>
              <w:spacing w:line="480" w:lineRule="auto"/>
              <w:jc w:val="center"/>
              <w:rPr>
                <w:sz w:val="22"/>
                <w:szCs w:val="22"/>
              </w:rPr>
            </w:pPr>
            <w:r w:rsidRPr="00062181">
              <w:rPr>
                <w:sz w:val="22"/>
                <w:szCs w:val="22"/>
              </w:rPr>
              <w:t>(</w:t>
            </w:r>
            <w:r w:rsidR="00655680">
              <w:rPr>
                <w:sz w:val="22"/>
                <w:szCs w:val="22"/>
              </w:rPr>
              <w:t>4.35-5.41</w:t>
            </w:r>
            <w:r w:rsidRPr="00062181">
              <w:rPr>
                <w:sz w:val="22"/>
                <w:szCs w:val="22"/>
              </w:rPr>
              <w:t>)</w:t>
            </w:r>
          </w:p>
        </w:tc>
        <w:tc>
          <w:tcPr>
            <w:tcW w:w="1952" w:type="dxa"/>
            <w:tcBorders>
              <w:top w:val="nil"/>
              <w:left w:val="nil"/>
              <w:bottom w:val="single" w:sz="12" w:space="0" w:color="auto"/>
              <w:right w:val="nil"/>
            </w:tcBorders>
            <w:shd w:val="clear" w:color="auto" w:fill="auto"/>
          </w:tcPr>
          <w:p w:rsidR="00062181" w:rsidRPr="00062181" w:rsidRDefault="00655680" w:rsidP="00062181">
            <w:pPr>
              <w:spacing w:line="480" w:lineRule="auto"/>
              <w:jc w:val="center"/>
              <w:rPr>
                <w:sz w:val="22"/>
                <w:szCs w:val="20"/>
              </w:rPr>
            </w:pPr>
            <w:r>
              <w:rPr>
                <w:sz w:val="22"/>
                <w:szCs w:val="20"/>
              </w:rPr>
              <w:t>3.17</w:t>
            </w:r>
          </w:p>
          <w:p w:rsidR="00062181" w:rsidRPr="00062181" w:rsidRDefault="00062181" w:rsidP="00655680">
            <w:pPr>
              <w:spacing w:line="480" w:lineRule="auto"/>
              <w:jc w:val="center"/>
              <w:rPr>
                <w:sz w:val="22"/>
                <w:szCs w:val="22"/>
              </w:rPr>
            </w:pPr>
            <w:r w:rsidRPr="00062181">
              <w:rPr>
                <w:sz w:val="22"/>
                <w:szCs w:val="20"/>
              </w:rPr>
              <w:t>(</w:t>
            </w:r>
            <w:r w:rsidR="00655680">
              <w:rPr>
                <w:sz w:val="22"/>
                <w:szCs w:val="20"/>
              </w:rPr>
              <w:t>2.81-3.48)</w:t>
            </w:r>
          </w:p>
        </w:tc>
      </w:tr>
    </w:tbl>
    <w:p w:rsidR="008913FD" w:rsidRDefault="00655680">
      <w:pPr>
        <w:spacing w:line="360" w:lineRule="auto"/>
        <w:rPr>
          <w:b/>
        </w:rPr>
      </w:pPr>
      <w:r>
        <w:t>Note- All Values in Years; 95% Confidence Intervals (CI) generated from the bootstrap procedure (500 samples)</w:t>
      </w:r>
      <w:r w:rsidR="00B265BE">
        <w:br w:type="page"/>
      </w:r>
      <w:r w:rsidR="00C56DD8" w:rsidDel="00C56DD8">
        <w:rPr>
          <w:b/>
        </w:rPr>
        <w:t xml:space="preserve"> </w:t>
      </w:r>
    </w:p>
    <w:p w:rsidR="008913FD" w:rsidRDefault="00B265BE">
      <w:pPr>
        <w:spacing w:line="360" w:lineRule="auto"/>
        <w:rPr>
          <w:b/>
        </w:rPr>
      </w:pPr>
      <w:r>
        <w:rPr>
          <w:b/>
        </w:rPr>
        <w:t xml:space="preserve">Table </w:t>
      </w:r>
      <w:r w:rsidR="00E106B1">
        <w:rPr>
          <w:b/>
        </w:rPr>
        <w:t>II</w:t>
      </w:r>
      <w:r>
        <w:rPr>
          <w:b/>
        </w:rPr>
        <w:t>. Integrated Survival Time for Placebo and Digoxin Groups per Health State</w:t>
      </w:r>
    </w:p>
    <w:p w:rsidR="00B265BE" w:rsidRDefault="00B265BE" w:rsidP="00B265BE">
      <w:pPr>
        <w:spacing w:line="480" w:lineRule="auto"/>
        <w:rPr>
          <w:b/>
        </w:rPr>
      </w:pP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57"/>
        <w:gridCol w:w="1952"/>
        <w:gridCol w:w="1953"/>
        <w:gridCol w:w="1953"/>
        <w:gridCol w:w="1953"/>
      </w:tblGrid>
      <w:tr w:rsidR="00B265BE" w:rsidRPr="00532843">
        <w:tc>
          <w:tcPr>
            <w:tcW w:w="1657" w:type="dxa"/>
            <w:tcBorders>
              <w:top w:val="single" w:sz="12" w:space="0" w:color="auto"/>
              <w:left w:val="nil"/>
              <w:bottom w:val="single" w:sz="12" w:space="0" w:color="auto"/>
              <w:right w:val="nil"/>
            </w:tcBorders>
            <w:vAlign w:val="center"/>
          </w:tcPr>
          <w:p w:rsidR="00B265BE" w:rsidRPr="00532843" w:rsidRDefault="00B265BE" w:rsidP="00532843">
            <w:pPr>
              <w:spacing w:line="480" w:lineRule="auto"/>
              <w:jc w:val="center"/>
              <w:rPr>
                <w:b/>
                <w:sz w:val="22"/>
                <w:szCs w:val="22"/>
              </w:rPr>
            </w:pPr>
            <w:r w:rsidRPr="00532843">
              <w:rPr>
                <w:b/>
                <w:sz w:val="22"/>
                <w:szCs w:val="22"/>
              </w:rPr>
              <w:t>Group</w:t>
            </w:r>
          </w:p>
        </w:tc>
        <w:tc>
          <w:tcPr>
            <w:tcW w:w="1952" w:type="dxa"/>
            <w:tcBorders>
              <w:top w:val="single" w:sz="12" w:space="0" w:color="auto"/>
              <w:left w:val="nil"/>
              <w:bottom w:val="single" w:sz="12" w:space="0" w:color="auto"/>
              <w:right w:val="nil"/>
            </w:tcBorders>
            <w:vAlign w:val="center"/>
          </w:tcPr>
          <w:p w:rsidR="00B265BE" w:rsidRPr="00532843" w:rsidRDefault="00B265BE" w:rsidP="00532843">
            <w:pPr>
              <w:spacing w:line="480" w:lineRule="auto"/>
              <w:jc w:val="center"/>
              <w:rPr>
                <w:b/>
                <w:sz w:val="22"/>
                <w:szCs w:val="22"/>
              </w:rPr>
            </w:pPr>
            <w:r w:rsidRPr="00532843">
              <w:rPr>
                <w:b/>
                <w:sz w:val="22"/>
                <w:szCs w:val="22"/>
              </w:rPr>
              <w:t>Survival in H</w:t>
            </w:r>
            <w:r w:rsidRPr="00532843">
              <w:rPr>
                <w:b/>
                <w:sz w:val="22"/>
                <w:szCs w:val="22"/>
                <w:vertAlign w:val="subscript"/>
              </w:rPr>
              <w:t>1</w:t>
            </w:r>
            <w:r w:rsidRPr="00532843">
              <w:rPr>
                <w:b/>
                <w:sz w:val="22"/>
                <w:szCs w:val="22"/>
              </w:rPr>
              <w:t xml:space="preserve"> </w:t>
            </w:r>
          </w:p>
          <w:p w:rsidR="00B265BE" w:rsidRPr="00532843" w:rsidRDefault="00B265BE" w:rsidP="00532843">
            <w:pPr>
              <w:spacing w:line="480" w:lineRule="auto"/>
              <w:jc w:val="center"/>
              <w:rPr>
                <w:b/>
                <w:sz w:val="22"/>
                <w:szCs w:val="22"/>
              </w:rPr>
            </w:pPr>
            <w:r w:rsidRPr="00532843">
              <w:rPr>
                <w:b/>
                <w:sz w:val="22"/>
                <w:szCs w:val="22"/>
              </w:rPr>
              <w:t>(</w:t>
            </w:r>
            <w:r w:rsidR="00A833C4" w:rsidRPr="00532843">
              <w:rPr>
                <w:b/>
                <w:sz w:val="22"/>
                <w:szCs w:val="22"/>
              </w:rPr>
              <w:t>95% CI</w:t>
            </w:r>
            <w:r w:rsidRPr="00532843">
              <w:rPr>
                <w:b/>
                <w:sz w:val="22"/>
                <w:szCs w:val="22"/>
              </w:rPr>
              <w:t>)</w:t>
            </w:r>
          </w:p>
        </w:tc>
        <w:tc>
          <w:tcPr>
            <w:tcW w:w="1953" w:type="dxa"/>
            <w:tcBorders>
              <w:top w:val="single" w:sz="12" w:space="0" w:color="auto"/>
              <w:left w:val="nil"/>
              <w:bottom w:val="single" w:sz="12" w:space="0" w:color="auto"/>
              <w:right w:val="nil"/>
            </w:tcBorders>
            <w:vAlign w:val="center"/>
          </w:tcPr>
          <w:p w:rsidR="00B265BE" w:rsidRPr="00532843" w:rsidRDefault="00B265BE" w:rsidP="00532843">
            <w:pPr>
              <w:spacing w:line="480" w:lineRule="auto"/>
              <w:jc w:val="center"/>
              <w:rPr>
                <w:b/>
                <w:sz w:val="22"/>
                <w:szCs w:val="22"/>
              </w:rPr>
            </w:pPr>
            <w:r w:rsidRPr="00532843">
              <w:rPr>
                <w:b/>
                <w:sz w:val="22"/>
                <w:szCs w:val="22"/>
              </w:rPr>
              <w:t>Survival in H</w:t>
            </w:r>
            <w:r w:rsidRPr="00532843">
              <w:rPr>
                <w:b/>
                <w:sz w:val="22"/>
                <w:szCs w:val="22"/>
                <w:vertAlign w:val="subscript"/>
              </w:rPr>
              <w:t>2</w:t>
            </w:r>
            <w:r w:rsidRPr="00532843">
              <w:rPr>
                <w:b/>
                <w:sz w:val="22"/>
                <w:szCs w:val="22"/>
              </w:rPr>
              <w:t xml:space="preserve"> </w:t>
            </w:r>
          </w:p>
          <w:p w:rsidR="00B265BE" w:rsidRPr="00532843" w:rsidRDefault="00B265BE" w:rsidP="00532843">
            <w:pPr>
              <w:spacing w:line="480" w:lineRule="auto"/>
              <w:jc w:val="center"/>
              <w:rPr>
                <w:b/>
                <w:sz w:val="22"/>
                <w:szCs w:val="22"/>
              </w:rPr>
            </w:pPr>
            <w:r w:rsidRPr="00532843">
              <w:rPr>
                <w:b/>
                <w:sz w:val="22"/>
                <w:szCs w:val="22"/>
              </w:rPr>
              <w:t>(</w:t>
            </w:r>
            <w:r w:rsidR="00A833C4" w:rsidRPr="00532843">
              <w:rPr>
                <w:b/>
                <w:sz w:val="22"/>
                <w:szCs w:val="22"/>
              </w:rPr>
              <w:t>95% CI</w:t>
            </w:r>
            <w:r w:rsidRPr="00532843">
              <w:rPr>
                <w:b/>
                <w:sz w:val="22"/>
                <w:szCs w:val="22"/>
              </w:rPr>
              <w:t>)</w:t>
            </w:r>
          </w:p>
        </w:tc>
        <w:tc>
          <w:tcPr>
            <w:tcW w:w="1953" w:type="dxa"/>
            <w:tcBorders>
              <w:top w:val="single" w:sz="12" w:space="0" w:color="auto"/>
              <w:left w:val="nil"/>
              <w:bottom w:val="single" w:sz="12" w:space="0" w:color="auto"/>
              <w:right w:val="nil"/>
            </w:tcBorders>
            <w:vAlign w:val="center"/>
          </w:tcPr>
          <w:p w:rsidR="00B265BE" w:rsidRPr="00532843" w:rsidRDefault="00B265BE" w:rsidP="00532843">
            <w:pPr>
              <w:spacing w:line="480" w:lineRule="auto"/>
              <w:jc w:val="center"/>
              <w:rPr>
                <w:b/>
                <w:sz w:val="22"/>
                <w:szCs w:val="22"/>
              </w:rPr>
            </w:pPr>
            <w:r w:rsidRPr="00532843">
              <w:rPr>
                <w:b/>
                <w:sz w:val="22"/>
                <w:szCs w:val="22"/>
              </w:rPr>
              <w:t xml:space="preserve">Total Survival </w:t>
            </w:r>
          </w:p>
          <w:p w:rsidR="00B265BE" w:rsidRPr="00532843" w:rsidRDefault="00B265BE" w:rsidP="00532843">
            <w:pPr>
              <w:spacing w:line="480" w:lineRule="auto"/>
              <w:jc w:val="center"/>
              <w:rPr>
                <w:b/>
                <w:sz w:val="22"/>
                <w:szCs w:val="22"/>
              </w:rPr>
            </w:pPr>
            <w:r w:rsidRPr="00532843">
              <w:rPr>
                <w:b/>
                <w:sz w:val="22"/>
                <w:szCs w:val="22"/>
              </w:rPr>
              <w:t>(</w:t>
            </w:r>
            <w:r w:rsidR="00A833C4" w:rsidRPr="00532843">
              <w:rPr>
                <w:b/>
                <w:sz w:val="22"/>
                <w:szCs w:val="22"/>
              </w:rPr>
              <w:t>95% CI</w:t>
            </w:r>
            <w:r w:rsidRPr="00532843">
              <w:rPr>
                <w:b/>
                <w:sz w:val="22"/>
                <w:szCs w:val="22"/>
              </w:rPr>
              <w:t>)</w:t>
            </w:r>
          </w:p>
        </w:tc>
        <w:tc>
          <w:tcPr>
            <w:tcW w:w="1953" w:type="dxa"/>
            <w:tcBorders>
              <w:top w:val="single" w:sz="12" w:space="0" w:color="auto"/>
              <w:left w:val="nil"/>
              <w:bottom w:val="single" w:sz="12" w:space="0" w:color="auto"/>
              <w:right w:val="nil"/>
            </w:tcBorders>
          </w:tcPr>
          <w:p w:rsidR="00B265BE" w:rsidRPr="00532843" w:rsidRDefault="00B265BE" w:rsidP="00532843">
            <w:pPr>
              <w:spacing w:line="480" w:lineRule="auto"/>
              <w:jc w:val="center"/>
              <w:rPr>
                <w:b/>
                <w:sz w:val="22"/>
                <w:szCs w:val="22"/>
              </w:rPr>
            </w:pPr>
            <w:r w:rsidRPr="00532843">
              <w:rPr>
                <w:b/>
                <w:sz w:val="22"/>
                <w:szCs w:val="22"/>
              </w:rPr>
              <w:t>Quality Adjusted Survival (</w:t>
            </w:r>
            <w:r w:rsidR="00A833C4" w:rsidRPr="00532843">
              <w:rPr>
                <w:b/>
                <w:sz w:val="22"/>
                <w:szCs w:val="22"/>
              </w:rPr>
              <w:t>95% CI)</w:t>
            </w:r>
          </w:p>
        </w:tc>
      </w:tr>
      <w:tr w:rsidR="00B265BE" w:rsidRPr="00532843">
        <w:trPr>
          <w:trHeight w:val="555"/>
        </w:trPr>
        <w:tc>
          <w:tcPr>
            <w:tcW w:w="1657" w:type="dxa"/>
            <w:tcBorders>
              <w:top w:val="nil"/>
              <w:left w:val="nil"/>
              <w:bottom w:val="nil"/>
              <w:right w:val="nil"/>
            </w:tcBorders>
          </w:tcPr>
          <w:p w:rsidR="00B265BE" w:rsidRPr="00532843" w:rsidRDefault="00B265BE" w:rsidP="00532843">
            <w:pPr>
              <w:spacing w:line="480" w:lineRule="auto"/>
              <w:jc w:val="center"/>
              <w:rPr>
                <w:b/>
                <w:sz w:val="22"/>
                <w:szCs w:val="22"/>
              </w:rPr>
            </w:pPr>
            <w:r w:rsidRPr="00532843">
              <w:rPr>
                <w:b/>
                <w:sz w:val="22"/>
                <w:szCs w:val="22"/>
              </w:rPr>
              <w:t>Placebo</w:t>
            </w:r>
          </w:p>
        </w:tc>
        <w:tc>
          <w:tcPr>
            <w:tcW w:w="1952" w:type="dxa"/>
            <w:tcBorders>
              <w:left w:val="nil"/>
              <w:bottom w:val="nil"/>
              <w:right w:val="nil"/>
            </w:tcBorders>
          </w:tcPr>
          <w:p w:rsidR="00B265BE" w:rsidRPr="00532843" w:rsidRDefault="00B265BE" w:rsidP="00532843">
            <w:pPr>
              <w:spacing w:line="480" w:lineRule="auto"/>
              <w:jc w:val="center"/>
              <w:rPr>
                <w:sz w:val="22"/>
                <w:szCs w:val="22"/>
              </w:rPr>
            </w:pPr>
            <w:r w:rsidRPr="00532843">
              <w:rPr>
                <w:sz w:val="22"/>
                <w:szCs w:val="22"/>
              </w:rPr>
              <w:t>3.</w:t>
            </w:r>
            <w:r w:rsidR="00362D1F">
              <w:rPr>
                <w:sz w:val="22"/>
                <w:szCs w:val="22"/>
              </w:rPr>
              <w:t>3</w:t>
            </w:r>
            <w:r w:rsidRPr="00532843">
              <w:rPr>
                <w:sz w:val="22"/>
                <w:szCs w:val="22"/>
              </w:rPr>
              <w:t>2</w:t>
            </w:r>
          </w:p>
          <w:p w:rsidR="00A833C4" w:rsidRPr="00532843" w:rsidRDefault="00A833C4" w:rsidP="00532843">
            <w:pPr>
              <w:spacing w:line="480" w:lineRule="auto"/>
              <w:jc w:val="center"/>
              <w:rPr>
                <w:sz w:val="22"/>
                <w:szCs w:val="22"/>
              </w:rPr>
            </w:pPr>
            <w:r w:rsidRPr="00532843">
              <w:rPr>
                <w:sz w:val="22"/>
                <w:szCs w:val="22"/>
              </w:rPr>
              <w:t>(3.13-3.27)</w:t>
            </w:r>
          </w:p>
        </w:tc>
        <w:tc>
          <w:tcPr>
            <w:tcW w:w="1953" w:type="dxa"/>
            <w:tcBorders>
              <w:left w:val="nil"/>
              <w:bottom w:val="nil"/>
              <w:right w:val="nil"/>
            </w:tcBorders>
          </w:tcPr>
          <w:p w:rsidR="00B265BE" w:rsidRPr="00532843" w:rsidRDefault="00B265BE" w:rsidP="00532843">
            <w:pPr>
              <w:spacing w:line="480" w:lineRule="auto"/>
              <w:jc w:val="center"/>
              <w:rPr>
                <w:sz w:val="22"/>
                <w:szCs w:val="22"/>
              </w:rPr>
            </w:pPr>
            <w:r w:rsidRPr="00532843">
              <w:rPr>
                <w:sz w:val="22"/>
                <w:szCs w:val="22"/>
              </w:rPr>
              <w:t>1.0</w:t>
            </w:r>
            <w:r w:rsidR="00362D1F">
              <w:rPr>
                <w:sz w:val="22"/>
                <w:szCs w:val="22"/>
              </w:rPr>
              <w:t>2</w:t>
            </w:r>
          </w:p>
          <w:p w:rsidR="00A833C4" w:rsidRPr="00532843" w:rsidRDefault="00A833C4" w:rsidP="00362D1F">
            <w:pPr>
              <w:spacing w:line="480" w:lineRule="auto"/>
              <w:jc w:val="center"/>
              <w:rPr>
                <w:sz w:val="22"/>
                <w:szCs w:val="22"/>
              </w:rPr>
            </w:pPr>
            <w:r w:rsidRPr="00532843">
              <w:rPr>
                <w:sz w:val="22"/>
                <w:szCs w:val="22"/>
              </w:rPr>
              <w:t>(</w:t>
            </w:r>
            <w:r w:rsidR="00362D1F">
              <w:rPr>
                <w:sz w:val="22"/>
                <w:szCs w:val="22"/>
              </w:rPr>
              <w:t>0.98-1.09</w:t>
            </w:r>
            <w:r w:rsidRPr="00532843">
              <w:rPr>
                <w:sz w:val="22"/>
                <w:szCs w:val="22"/>
              </w:rPr>
              <w:t>)</w:t>
            </w:r>
          </w:p>
        </w:tc>
        <w:tc>
          <w:tcPr>
            <w:tcW w:w="1953" w:type="dxa"/>
            <w:tcBorders>
              <w:left w:val="nil"/>
              <w:bottom w:val="nil"/>
              <w:right w:val="nil"/>
            </w:tcBorders>
          </w:tcPr>
          <w:p w:rsidR="00B265BE" w:rsidRPr="00532843" w:rsidRDefault="00B265BE" w:rsidP="00532843">
            <w:pPr>
              <w:spacing w:line="480" w:lineRule="auto"/>
              <w:jc w:val="center"/>
              <w:rPr>
                <w:sz w:val="22"/>
                <w:szCs w:val="22"/>
              </w:rPr>
            </w:pPr>
            <w:r w:rsidRPr="00532843">
              <w:rPr>
                <w:sz w:val="22"/>
                <w:szCs w:val="22"/>
              </w:rPr>
              <w:t>4.</w:t>
            </w:r>
            <w:r w:rsidR="00FD02BF">
              <w:rPr>
                <w:sz w:val="22"/>
                <w:szCs w:val="22"/>
              </w:rPr>
              <w:t>34</w:t>
            </w:r>
          </w:p>
          <w:p w:rsidR="00A833C4" w:rsidRPr="00532843" w:rsidRDefault="00A833C4" w:rsidP="00362D1F">
            <w:pPr>
              <w:spacing w:line="480" w:lineRule="auto"/>
              <w:jc w:val="center"/>
              <w:rPr>
                <w:sz w:val="22"/>
                <w:szCs w:val="22"/>
              </w:rPr>
            </w:pPr>
            <w:r w:rsidRPr="00532843">
              <w:rPr>
                <w:sz w:val="22"/>
                <w:szCs w:val="22"/>
              </w:rPr>
              <w:t>(4.</w:t>
            </w:r>
            <w:r w:rsidR="00362D1F">
              <w:rPr>
                <w:sz w:val="22"/>
                <w:szCs w:val="22"/>
              </w:rPr>
              <w:t>30</w:t>
            </w:r>
            <w:r w:rsidRPr="00532843">
              <w:rPr>
                <w:sz w:val="22"/>
                <w:szCs w:val="22"/>
              </w:rPr>
              <w:t>-4.</w:t>
            </w:r>
            <w:r w:rsidR="00362D1F">
              <w:rPr>
                <w:sz w:val="22"/>
                <w:szCs w:val="22"/>
              </w:rPr>
              <w:t>39</w:t>
            </w:r>
            <w:r w:rsidRPr="00532843">
              <w:rPr>
                <w:sz w:val="22"/>
                <w:szCs w:val="22"/>
              </w:rPr>
              <w:t>)</w:t>
            </w:r>
          </w:p>
        </w:tc>
        <w:tc>
          <w:tcPr>
            <w:tcW w:w="1953" w:type="dxa"/>
            <w:tcBorders>
              <w:left w:val="nil"/>
              <w:bottom w:val="nil"/>
              <w:right w:val="nil"/>
            </w:tcBorders>
          </w:tcPr>
          <w:p w:rsidR="00B265BE" w:rsidRPr="00532843" w:rsidRDefault="00B265BE" w:rsidP="00532843">
            <w:pPr>
              <w:spacing w:line="480" w:lineRule="auto"/>
              <w:jc w:val="center"/>
              <w:rPr>
                <w:sz w:val="22"/>
                <w:szCs w:val="20"/>
              </w:rPr>
            </w:pPr>
            <w:r w:rsidRPr="00532843">
              <w:rPr>
                <w:sz w:val="22"/>
                <w:szCs w:val="20"/>
              </w:rPr>
              <w:t>3.2</w:t>
            </w:r>
            <w:r w:rsidR="00362D1F">
              <w:rPr>
                <w:sz w:val="22"/>
                <w:szCs w:val="20"/>
              </w:rPr>
              <w:t>7</w:t>
            </w:r>
          </w:p>
          <w:p w:rsidR="00A833C4" w:rsidRPr="00532843" w:rsidRDefault="00FD02BF" w:rsidP="00362D1F">
            <w:pPr>
              <w:spacing w:line="480" w:lineRule="auto"/>
              <w:jc w:val="center"/>
              <w:rPr>
                <w:sz w:val="22"/>
                <w:szCs w:val="20"/>
              </w:rPr>
            </w:pPr>
            <w:r w:rsidRPr="00532843">
              <w:rPr>
                <w:sz w:val="22"/>
                <w:szCs w:val="20"/>
              </w:rPr>
              <w:t>(3.</w:t>
            </w:r>
            <w:r>
              <w:rPr>
                <w:sz w:val="22"/>
                <w:szCs w:val="20"/>
              </w:rPr>
              <w:t>23</w:t>
            </w:r>
            <w:r w:rsidRPr="00532843">
              <w:rPr>
                <w:sz w:val="22"/>
                <w:szCs w:val="20"/>
              </w:rPr>
              <w:t>-3.3</w:t>
            </w:r>
            <w:r>
              <w:rPr>
                <w:sz w:val="22"/>
                <w:szCs w:val="20"/>
              </w:rPr>
              <w:t>1</w:t>
            </w:r>
            <w:r w:rsidRPr="00532843">
              <w:rPr>
                <w:sz w:val="22"/>
                <w:szCs w:val="20"/>
              </w:rPr>
              <w:t>)</w:t>
            </w:r>
            <w:r w:rsidRPr="00532843" w:rsidDel="00FD02BF">
              <w:rPr>
                <w:sz w:val="22"/>
                <w:szCs w:val="20"/>
              </w:rPr>
              <w:t xml:space="preserve"> </w:t>
            </w:r>
          </w:p>
        </w:tc>
      </w:tr>
      <w:tr w:rsidR="00B265BE" w:rsidRPr="00532843">
        <w:trPr>
          <w:trHeight w:val="555"/>
        </w:trPr>
        <w:tc>
          <w:tcPr>
            <w:tcW w:w="1657" w:type="dxa"/>
            <w:tcBorders>
              <w:top w:val="nil"/>
              <w:left w:val="nil"/>
              <w:bottom w:val="single" w:sz="12" w:space="0" w:color="auto"/>
              <w:right w:val="nil"/>
            </w:tcBorders>
          </w:tcPr>
          <w:p w:rsidR="00B265BE" w:rsidRPr="00532843" w:rsidRDefault="00B265BE" w:rsidP="00532843">
            <w:pPr>
              <w:spacing w:line="480" w:lineRule="auto"/>
              <w:jc w:val="center"/>
              <w:rPr>
                <w:b/>
                <w:sz w:val="22"/>
                <w:szCs w:val="22"/>
              </w:rPr>
            </w:pPr>
            <w:r w:rsidRPr="00532843">
              <w:rPr>
                <w:b/>
                <w:sz w:val="22"/>
                <w:szCs w:val="22"/>
              </w:rPr>
              <w:t>Digoxin</w:t>
            </w:r>
          </w:p>
        </w:tc>
        <w:tc>
          <w:tcPr>
            <w:tcW w:w="1952" w:type="dxa"/>
            <w:tcBorders>
              <w:top w:val="nil"/>
              <w:left w:val="nil"/>
              <w:bottom w:val="single" w:sz="12" w:space="0" w:color="auto"/>
              <w:right w:val="nil"/>
            </w:tcBorders>
          </w:tcPr>
          <w:p w:rsidR="00B265BE" w:rsidRPr="00532843" w:rsidRDefault="00B265BE" w:rsidP="00532843">
            <w:pPr>
              <w:spacing w:line="480" w:lineRule="auto"/>
              <w:jc w:val="center"/>
              <w:rPr>
                <w:sz w:val="22"/>
                <w:szCs w:val="22"/>
              </w:rPr>
            </w:pPr>
            <w:r w:rsidRPr="00532843">
              <w:rPr>
                <w:sz w:val="22"/>
                <w:szCs w:val="22"/>
              </w:rPr>
              <w:t>3.</w:t>
            </w:r>
            <w:r w:rsidR="00362D1F">
              <w:rPr>
                <w:sz w:val="22"/>
                <w:szCs w:val="22"/>
              </w:rPr>
              <w:t>66</w:t>
            </w:r>
          </w:p>
          <w:p w:rsidR="00A833C4" w:rsidRPr="00532843" w:rsidRDefault="00A833C4" w:rsidP="00532843">
            <w:pPr>
              <w:spacing w:line="480" w:lineRule="auto"/>
              <w:jc w:val="center"/>
              <w:rPr>
                <w:sz w:val="22"/>
                <w:szCs w:val="22"/>
              </w:rPr>
            </w:pPr>
            <w:r w:rsidRPr="00532843">
              <w:rPr>
                <w:sz w:val="22"/>
                <w:szCs w:val="22"/>
              </w:rPr>
              <w:t>(3.44-3.56)</w:t>
            </w:r>
          </w:p>
        </w:tc>
        <w:tc>
          <w:tcPr>
            <w:tcW w:w="1953" w:type="dxa"/>
            <w:tcBorders>
              <w:top w:val="nil"/>
              <w:left w:val="nil"/>
              <w:bottom w:val="single" w:sz="12" w:space="0" w:color="auto"/>
              <w:right w:val="nil"/>
            </w:tcBorders>
          </w:tcPr>
          <w:p w:rsidR="00B265BE" w:rsidRPr="00532843" w:rsidRDefault="00B265BE" w:rsidP="00532843">
            <w:pPr>
              <w:spacing w:line="480" w:lineRule="auto"/>
              <w:jc w:val="center"/>
              <w:rPr>
                <w:sz w:val="22"/>
                <w:szCs w:val="22"/>
              </w:rPr>
            </w:pPr>
            <w:r w:rsidRPr="00532843">
              <w:rPr>
                <w:sz w:val="22"/>
                <w:szCs w:val="22"/>
              </w:rPr>
              <w:t>0.</w:t>
            </w:r>
            <w:r w:rsidR="00362D1F">
              <w:rPr>
                <w:sz w:val="22"/>
                <w:szCs w:val="22"/>
              </w:rPr>
              <w:t>78</w:t>
            </w:r>
          </w:p>
          <w:p w:rsidR="00A833C4" w:rsidRPr="00532843" w:rsidRDefault="00A833C4" w:rsidP="00362D1F">
            <w:pPr>
              <w:spacing w:line="480" w:lineRule="auto"/>
              <w:jc w:val="center"/>
              <w:rPr>
                <w:sz w:val="22"/>
                <w:szCs w:val="22"/>
              </w:rPr>
            </w:pPr>
            <w:r w:rsidRPr="00532843">
              <w:rPr>
                <w:sz w:val="22"/>
                <w:szCs w:val="22"/>
              </w:rPr>
              <w:t>(</w:t>
            </w:r>
            <w:r w:rsidR="00362D1F">
              <w:rPr>
                <w:sz w:val="22"/>
                <w:szCs w:val="22"/>
              </w:rPr>
              <w:t>0.72-0.83</w:t>
            </w:r>
            <w:r w:rsidRPr="00532843">
              <w:rPr>
                <w:sz w:val="22"/>
                <w:szCs w:val="22"/>
              </w:rPr>
              <w:t>)</w:t>
            </w:r>
          </w:p>
        </w:tc>
        <w:tc>
          <w:tcPr>
            <w:tcW w:w="1953" w:type="dxa"/>
            <w:tcBorders>
              <w:top w:val="nil"/>
              <w:left w:val="nil"/>
              <w:bottom w:val="single" w:sz="12" w:space="0" w:color="auto"/>
              <w:right w:val="nil"/>
            </w:tcBorders>
          </w:tcPr>
          <w:p w:rsidR="00B265BE" w:rsidRPr="00532843" w:rsidRDefault="00B265BE" w:rsidP="00532843">
            <w:pPr>
              <w:spacing w:line="480" w:lineRule="auto"/>
              <w:jc w:val="center"/>
              <w:rPr>
                <w:sz w:val="22"/>
                <w:szCs w:val="22"/>
              </w:rPr>
            </w:pPr>
            <w:r w:rsidRPr="00532843">
              <w:rPr>
                <w:sz w:val="22"/>
                <w:szCs w:val="22"/>
              </w:rPr>
              <w:t>4.</w:t>
            </w:r>
            <w:r w:rsidR="00FD02BF">
              <w:rPr>
                <w:sz w:val="22"/>
                <w:szCs w:val="22"/>
              </w:rPr>
              <w:t>44</w:t>
            </w:r>
          </w:p>
          <w:p w:rsidR="00A833C4" w:rsidRPr="00532843" w:rsidRDefault="00A833C4" w:rsidP="00362D1F">
            <w:pPr>
              <w:spacing w:line="480" w:lineRule="auto"/>
              <w:jc w:val="center"/>
              <w:rPr>
                <w:sz w:val="22"/>
                <w:szCs w:val="22"/>
              </w:rPr>
            </w:pPr>
            <w:r w:rsidRPr="00532843">
              <w:rPr>
                <w:sz w:val="22"/>
                <w:szCs w:val="22"/>
              </w:rPr>
              <w:t>(4.</w:t>
            </w:r>
            <w:r w:rsidR="00362D1F">
              <w:rPr>
                <w:sz w:val="22"/>
                <w:szCs w:val="22"/>
              </w:rPr>
              <w:t>38</w:t>
            </w:r>
            <w:r w:rsidRPr="00532843">
              <w:rPr>
                <w:sz w:val="22"/>
                <w:szCs w:val="22"/>
              </w:rPr>
              <w:t>-4.</w:t>
            </w:r>
            <w:r w:rsidR="00362D1F">
              <w:rPr>
                <w:sz w:val="22"/>
                <w:szCs w:val="22"/>
              </w:rPr>
              <w:t>48</w:t>
            </w:r>
            <w:r w:rsidRPr="00532843">
              <w:rPr>
                <w:sz w:val="22"/>
                <w:szCs w:val="22"/>
              </w:rPr>
              <w:t>)</w:t>
            </w:r>
          </w:p>
        </w:tc>
        <w:tc>
          <w:tcPr>
            <w:tcW w:w="1953" w:type="dxa"/>
            <w:tcBorders>
              <w:top w:val="nil"/>
              <w:left w:val="nil"/>
              <w:bottom w:val="single" w:sz="12" w:space="0" w:color="auto"/>
              <w:right w:val="nil"/>
            </w:tcBorders>
          </w:tcPr>
          <w:p w:rsidR="00B265BE" w:rsidRPr="00532843" w:rsidRDefault="00B265BE" w:rsidP="00532843">
            <w:pPr>
              <w:spacing w:line="480" w:lineRule="auto"/>
              <w:jc w:val="center"/>
              <w:rPr>
                <w:sz w:val="22"/>
                <w:szCs w:val="20"/>
              </w:rPr>
            </w:pPr>
            <w:r w:rsidRPr="00532843">
              <w:rPr>
                <w:sz w:val="22"/>
                <w:szCs w:val="20"/>
              </w:rPr>
              <w:t>3.</w:t>
            </w:r>
            <w:r w:rsidR="00362D1F">
              <w:rPr>
                <w:sz w:val="22"/>
                <w:szCs w:val="20"/>
              </w:rPr>
              <w:t>41</w:t>
            </w:r>
          </w:p>
          <w:p w:rsidR="00A833C4" w:rsidRPr="00532843" w:rsidRDefault="00362D1F" w:rsidP="00362D1F">
            <w:pPr>
              <w:spacing w:line="480" w:lineRule="auto"/>
              <w:jc w:val="center"/>
              <w:rPr>
                <w:sz w:val="22"/>
                <w:szCs w:val="22"/>
              </w:rPr>
            </w:pPr>
            <w:r w:rsidRPr="00532843">
              <w:rPr>
                <w:sz w:val="22"/>
                <w:szCs w:val="20"/>
              </w:rPr>
              <w:t>(</w:t>
            </w:r>
            <w:r>
              <w:rPr>
                <w:sz w:val="22"/>
                <w:szCs w:val="20"/>
              </w:rPr>
              <w:t>3.36</w:t>
            </w:r>
            <w:r w:rsidRPr="00532843">
              <w:rPr>
                <w:sz w:val="22"/>
                <w:szCs w:val="20"/>
              </w:rPr>
              <w:t>-3.</w:t>
            </w:r>
            <w:r>
              <w:rPr>
                <w:sz w:val="22"/>
                <w:szCs w:val="20"/>
              </w:rPr>
              <w:t>44</w:t>
            </w:r>
            <w:r w:rsidRPr="00532843">
              <w:rPr>
                <w:sz w:val="22"/>
                <w:szCs w:val="20"/>
              </w:rPr>
              <w:t>)</w:t>
            </w:r>
          </w:p>
        </w:tc>
      </w:tr>
    </w:tbl>
    <w:p w:rsidR="00E454F8" w:rsidRDefault="00295D37" w:rsidP="00B265BE">
      <w:pPr>
        <w:tabs>
          <w:tab w:val="right" w:pos="360"/>
          <w:tab w:val="left" w:pos="540"/>
        </w:tabs>
        <w:spacing w:line="480" w:lineRule="auto"/>
        <w:ind w:left="540" w:hanging="540"/>
      </w:pPr>
      <w:r>
        <w:t>Note- All Values in Years; 95% C</w:t>
      </w:r>
      <w:r w:rsidR="00E454F8">
        <w:t>onfidence Intervals (CI) generated from the bootstrap</w:t>
      </w:r>
    </w:p>
    <w:p w:rsidR="00B265BE" w:rsidRDefault="00295D37" w:rsidP="00B265BE">
      <w:pPr>
        <w:tabs>
          <w:tab w:val="right" w:pos="360"/>
          <w:tab w:val="left" w:pos="540"/>
        </w:tabs>
        <w:spacing w:line="480" w:lineRule="auto"/>
        <w:ind w:left="540" w:hanging="540"/>
        <w:sectPr w:rsidR="00B265BE">
          <w:pgSz w:w="15840" w:h="12240" w:orient="landscape"/>
          <w:pgMar w:top="1440" w:right="1440" w:bottom="1440" w:left="1440" w:header="706" w:footer="706" w:gutter="0"/>
          <w:cols w:space="708"/>
          <w:docGrid w:linePitch="360"/>
        </w:sectPr>
      </w:pPr>
      <w:proofErr w:type="gramStart"/>
      <w:r>
        <w:t>procedure</w:t>
      </w:r>
      <w:proofErr w:type="gramEnd"/>
      <w:r>
        <w:t xml:space="preserve"> (500 samples)</w:t>
      </w:r>
    </w:p>
    <w:p w:rsidR="005C1F7C" w:rsidRDefault="005C1F7C" w:rsidP="00DD64FB">
      <w:pPr>
        <w:tabs>
          <w:tab w:val="right" w:pos="540"/>
          <w:tab w:val="left" w:pos="720"/>
        </w:tabs>
        <w:spacing w:line="480" w:lineRule="auto"/>
        <w:ind w:left="1440" w:hanging="1440"/>
      </w:pPr>
    </w:p>
    <w:p w:rsidR="005F0529" w:rsidRPr="00B265BE" w:rsidRDefault="005C1F7C" w:rsidP="00DD64FB">
      <w:pPr>
        <w:tabs>
          <w:tab w:val="right" w:pos="540"/>
          <w:tab w:val="left" w:pos="720"/>
        </w:tabs>
        <w:spacing w:line="480" w:lineRule="auto"/>
        <w:ind w:left="720" w:hanging="720"/>
        <w:rPr>
          <w:b/>
        </w:rPr>
      </w:pPr>
      <w:r>
        <w:tab/>
      </w:r>
      <w:r w:rsidR="005F0529" w:rsidRPr="00B265BE">
        <w:rPr>
          <w:b/>
        </w:rPr>
        <w:t>Figure Legends</w:t>
      </w:r>
    </w:p>
    <w:p w:rsidR="005F0529" w:rsidRDefault="005F0529" w:rsidP="00DD64FB">
      <w:pPr>
        <w:spacing w:line="480" w:lineRule="auto"/>
        <w:rPr>
          <w:b/>
        </w:rPr>
      </w:pPr>
      <w:r>
        <w:rPr>
          <w:b/>
        </w:rPr>
        <w:t>Figure 1 A &amp; B</w:t>
      </w:r>
    </w:p>
    <w:p w:rsidR="005F0529" w:rsidRDefault="005F0529" w:rsidP="00DD64FB">
      <w:pPr>
        <w:spacing w:line="480" w:lineRule="auto"/>
      </w:pPr>
    </w:p>
    <w:p w:rsidR="005F0529" w:rsidRPr="00B265BE" w:rsidRDefault="006506AF" w:rsidP="00DD64FB">
      <w:pPr>
        <w:spacing w:line="480" w:lineRule="auto"/>
      </w:pPr>
      <w:r>
        <w:rPr>
          <w:noProof/>
        </w:rPr>
        <w:pict>
          <v:line id="_x0000_s1159" style="position:absolute;z-index:251669504" from="2.85pt,8.55pt" to="44.85pt,8.55pt" strokecolor="red" strokeweight="2.25pt">
            <v:stroke dashstyle="dash"/>
          </v:line>
        </w:pict>
      </w:r>
      <w:r w:rsidR="005F0529">
        <w:tab/>
      </w:r>
      <w:r w:rsidR="005F0529">
        <w:tab/>
      </w:r>
      <w:r w:rsidR="00C5442D">
        <w:tab/>
      </w:r>
      <w:r w:rsidR="005F0529" w:rsidRPr="00B265BE">
        <w:t>All-Cause Mortality</w:t>
      </w:r>
    </w:p>
    <w:p w:rsidR="005F0529" w:rsidRPr="00B265BE" w:rsidRDefault="006506AF" w:rsidP="005F0529">
      <w:pPr>
        <w:spacing w:line="480" w:lineRule="auto"/>
      </w:pPr>
      <w:r>
        <w:rPr>
          <w:noProof/>
        </w:rPr>
        <w:pict>
          <v:line id="_x0000_s1160" style="position:absolute;z-index:251670528" from="3.75pt,7.6pt" to="45.75pt,7.6pt" strokecolor="#969696" strokeweight="2.25pt"/>
        </w:pict>
      </w:r>
      <w:r w:rsidR="005F0529" w:rsidRPr="00B265BE">
        <w:tab/>
      </w:r>
      <w:r w:rsidR="005F0529" w:rsidRPr="00B265BE">
        <w:tab/>
      </w:r>
      <w:r w:rsidR="00C5442D">
        <w:tab/>
      </w:r>
      <w:r w:rsidR="005F0529" w:rsidRPr="00B265BE">
        <w:t>All Cause Hospitalization or Mortality</w:t>
      </w:r>
      <w:r>
        <w:rPr>
          <w:noProof/>
        </w:rPr>
        <w:pict>
          <v:line id="_x0000_s1161" style="position:absolute;z-index:251671552;mso-position-horizontal-relative:text;mso-position-vertical-relative:text" from="3.6pt,7pt" to="45.6pt,7pt" strokecolor="#396" strokeweight="2.25pt"/>
        </w:pict>
      </w:r>
    </w:p>
    <w:p w:rsidR="005F0529" w:rsidRDefault="005F0529" w:rsidP="005F0529">
      <w:pPr>
        <w:spacing w:line="480" w:lineRule="auto"/>
      </w:pPr>
    </w:p>
    <w:p w:rsidR="005F0529" w:rsidRDefault="005F0529" w:rsidP="005F0529">
      <w:pPr>
        <w:rPr>
          <w:b/>
        </w:rPr>
      </w:pPr>
      <w:r>
        <w:rPr>
          <w:b/>
        </w:rPr>
        <w:t>Figure 2 A &amp; B</w:t>
      </w:r>
    </w:p>
    <w:p w:rsidR="005F0529" w:rsidRDefault="005F0529" w:rsidP="005F0529"/>
    <w:p w:rsidR="005F0529" w:rsidRPr="00B265BE" w:rsidRDefault="006506AF" w:rsidP="005F0529">
      <w:pPr>
        <w:spacing w:line="480" w:lineRule="auto"/>
      </w:pPr>
      <w:r>
        <w:rPr>
          <w:noProof/>
        </w:rPr>
        <w:pict>
          <v:line id="_x0000_s1162" style="position:absolute;z-index:251672576" from="2.85pt,8.55pt" to="44.85pt,8.55pt" strokecolor="red" strokeweight="2.25pt">
            <v:stroke dashstyle="dash"/>
          </v:line>
        </w:pict>
      </w:r>
      <w:r w:rsidR="005F0529">
        <w:tab/>
      </w:r>
      <w:r w:rsidR="005F0529">
        <w:tab/>
      </w:r>
      <w:r w:rsidR="00C5442D">
        <w:tab/>
      </w:r>
      <w:r w:rsidR="005F0529">
        <w:t>HF-Related</w:t>
      </w:r>
      <w:r w:rsidR="005F0529" w:rsidRPr="00B265BE">
        <w:t xml:space="preserve"> Mortality</w:t>
      </w:r>
    </w:p>
    <w:p w:rsidR="005F0529" w:rsidRPr="00B265BE" w:rsidRDefault="006506AF" w:rsidP="005F0529">
      <w:r>
        <w:rPr>
          <w:noProof/>
        </w:rPr>
        <w:pict>
          <v:line id="_x0000_s1163" style="position:absolute;z-index:251673600" from="3.75pt,7.6pt" to="45.75pt,7.6pt" strokecolor="#969696" strokeweight="2.25pt"/>
        </w:pict>
      </w:r>
      <w:r w:rsidR="005F0529" w:rsidRPr="00B265BE">
        <w:tab/>
      </w:r>
      <w:r w:rsidR="005F0529" w:rsidRPr="00B265BE">
        <w:tab/>
      </w:r>
      <w:r w:rsidR="00C5442D">
        <w:tab/>
      </w:r>
      <w:r w:rsidR="005F0529" w:rsidRPr="00B265BE">
        <w:t>HF</w:t>
      </w:r>
      <w:r w:rsidR="00C5442D">
        <w:t>-</w:t>
      </w:r>
      <w:r w:rsidR="005F0529" w:rsidRPr="00B265BE">
        <w:t>Related Hospitalization or Mortality</w:t>
      </w:r>
      <w:r>
        <w:rPr>
          <w:noProof/>
        </w:rPr>
        <w:pict>
          <v:line id="_x0000_s1164" style="position:absolute;z-index:251674624;mso-position-horizontal-relative:text;mso-position-vertical-relative:text" from="3.6pt,7pt" to="45.6pt,7pt" strokecolor="#396" strokeweight="2.25pt"/>
        </w:pict>
      </w:r>
    </w:p>
    <w:p w:rsidR="00624767" w:rsidRPr="00A5591A" w:rsidRDefault="00624767" w:rsidP="00624767">
      <w:pPr>
        <w:spacing w:line="480" w:lineRule="auto"/>
        <w:jc w:val="center"/>
        <w:rPr>
          <w:b/>
        </w:rPr>
      </w:pPr>
      <w:r>
        <w:br w:type="page"/>
      </w:r>
      <w:r>
        <w:rPr>
          <w:b/>
        </w:rPr>
        <w:t xml:space="preserve">Appendix A - </w:t>
      </w:r>
      <w:r w:rsidRPr="00A5591A">
        <w:rPr>
          <w:b/>
        </w:rPr>
        <w:t xml:space="preserve">QAS </w:t>
      </w:r>
      <w:r>
        <w:rPr>
          <w:b/>
        </w:rPr>
        <w:t>Method</w:t>
      </w:r>
    </w:p>
    <w:p w:rsidR="00624767" w:rsidRDefault="00624767" w:rsidP="00624767">
      <w:pPr>
        <w:spacing w:line="480" w:lineRule="auto"/>
      </w:pPr>
      <w:r>
        <w:tab/>
        <w:t>This method is an adaptation of the Q-TWIST (quality adjusted time without symptoms and toxicity) methodology.</w:t>
      </w:r>
      <w:r w:rsidR="006506AF">
        <w:fldChar w:fldCharType="begin"/>
      </w:r>
      <w:r w:rsidR="00DF2C28">
        <w:instrText xml:space="preserve"> ADDIN REFMGR.CITE &lt;Refman&gt;&lt;Cite&gt;&lt;Author&gt;Glasziou&lt;/Author&gt;&lt;Year&gt;1990&lt;/Year&gt;&lt;RecNum&gt;6006&lt;/RecNum&gt;&lt;IDText&gt;Quality adjusted survival analysis&lt;/IDText&gt;&lt;MDL Ref_Type="Journal"&gt;&lt;Ref_Type&gt;Journal&lt;/Ref_Type&gt;&lt;Ref_ID&gt;6006&lt;/Ref_ID&gt;&lt;Title_Primary&gt;Quality adjusted survival analysis&lt;/Title_Primary&gt;&lt;Authors_Primary&gt;Glasziou,P.P.&lt;/Authors_Primary&gt;&lt;Authors_Primary&gt;Simes,R.J.&lt;/Authors_Primary&gt;&lt;Authors_Primary&gt;Gelber,R.D.&lt;/Authors_Primary&gt;&lt;Date_Primary&gt;1990/11&lt;/Date_Primary&gt;&lt;Keywords&gt;analysis&lt;/Keywords&gt;&lt;Keywords&gt;Australia&lt;/Keywords&gt;&lt;Keywords&gt;Breast Neoplasms&lt;/Keywords&gt;&lt;Keywords&gt;Clinical Trials&lt;/Keywords&gt;&lt;Keywords&gt;Female&lt;/Keywords&gt;&lt;Keywords&gt;Health&lt;/Keywords&gt;&lt;Keywords&gt;Humans&lt;/Keywords&gt;&lt;Keywords&gt;Immunologic Deficiency Syndromes&lt;/Keywords&gt;&lt;Keywords&gt;methods&lt;/Keywords&gt;&lt;Keywords&gt;mortality&lt;/Keywords&gt;&lt;Keywords&gt;Ovarian Neoplasms&lt;/Keywords&gt;&lt;Keywords&gt;Public Health&lt;/Keywords&gt;&lt;Keywords&gt;Quality of Life&lt;/Keywords&gt;&lt;Keywords&gt;Survival Analysis&lt;/Keywords&gt;&lt;Keywords&gt;therapy&lt;/Keywords&gt;&lt;Reprint&gt;Not in File&lt;/Reprint&gt;&lt;Start_Page&gt;1259&lt;/Start_Page&gt;&lt;End_Page&gt;1276&lt;/End_Page&gt;&lt;Periodical&gt;Stat.Med.&lt;/Periodical&gt;&lt;Volume&gt;9&lt;/Volume&gt;&lt;Issue&gt;11&lt;/Issue&gt;&lt;Address&gt;Department of Public Health, University of Sydney, Australia&lt;/Address&gt;&lt;Web_URL&gt;PM:2277877&lt;/Web_URL&gt;&lt;ZZ_JournalFull&gt;&lt;f name="System"&gt;Stat.Med.&lt;/f&gt;&lt;/ZZ_JournalFull&gt;&lt;ZZ_WorkformID&gt;1&lt;/ZZ_WorkformID&gt;&lt;/MDL&gt;&lt;/Cite&gt;&lt;/Refman&gt;</w:instrText>
      </w:r>
      <w:r w:rsidR="006506AF">
        <w:fldChar w:fldCharType="separate"/>
      </w:r>
      <w:r w:rsidR="00DF2C28">
        <w:t>(6)</w:t>
      </w:r>
      <w:r w:rsidR="006506AF">
        <w:fldChar w:fldCharType="end"/>
      </w:r>
      <w:r>
        <w:t xml:space="preserve"> The Q-Twist method was originally designed to evaluate the impact of treatments on Health Related Quality of Life (HRQL) in breast cancer trials.</w:t>
      </w:r>
      <w:r w:rsidRPr="006E31C9">
        <w:t xml:space="preserve"> </w:t>
      </w:r>
      <w:r>
        <w:t>The Quality Adjusted Survival (QAS) Analysis by Cole et al. was an adaptation of this methodology which extended the standard Q-Twist methodology to Cox’s proportional hazards regression to allow for adjustment of covariates.</w:t>
      </w:r>
      <w:r w:rsidR="006506AF">
        <w:fldChar w:fldCharType="begin"/>
      </w:r>
      <w:r w:rsidR="00DF2C28">
        <w:instrText xml:space="preserve"> ADDIN REFMGR.CITE &lt;Refman&gt;&lt;Cite&gt;&lt;Author&gt;Cole&lt;/Author&gt;&lt;Year&gt;1993&lt;/Year&gt;&lt;RecNum&gt;6007&lt;/RecNum&gt;&lt;IDText&gt;Cox regression models for quality adjusted survival analysis&lt;/IDText&gt;&lt;MDL Ref_Type="Journal"&gt;&lt;Ref_Type&gt;Journal&lt;/Ref_Type&gt;&lt;Ref_ID&gt;6007&lt;/Ref_ID&gt;&lt;Title_Primary&gt;Cox regression models for quality adjusted survival analysis&lt;/Title_Primary&gt;&lt;Authors_Primary&gt;Cole,B.F.&lt;/Authors_Primary&gt;&lt;Authors_Primary&gt;Gelber,R.D.&lt;/Authors_Primary&gt;&lt;Authors_Primary&gt;Goldhirsch,A.&lt;/Authors_Primary&gt;&lt;Date_Primary&gt;1993/5/30&lt;/Date_Primary&gt;&lt;Keywords&gt;administration &amp;amp; dosage&lt;/Keywords&gt;&lt;Keywords&gt;adverse effects&lt;/Keywords&gt;&lt;Keywords&gt;Affect&lt;/Keywords&gt;&lt;Keywords&gt;analysis&lt;/Keywords&gt;&lt;Keywords&gt;Antineoplastic Agents&lt;/Keywords&gt;&lt;Keywords&gt;Boston&lt;/Keywords&gt;&lt;Keywords&gt;Breast Neoplasms&lt;/Keywords&gt;&lt;Keywords&gt;drug therapy&lt;/Keywords&gt;&lt;Keywords&gt;Female&lt;/Keywords&gt;&lt;Keywords&gt;Health&lt;/Keywords&gt;&lt;Keywords&gt;Humans&lt;/Keywords&gt;&lt;Keywords&gt;Lymphatic Metastasis&lt;/Keywords&gt;&lt;Keywords&gt;Massachusetts&lt;/Keywords&gt;&lt;Keywords&gt;Middle Aged&lt;/Keywords&gt;&lt;Keywords&gt;mortality&lt;/Keywords&gt;&lt;Keywords&gt;Neoplasm Recurrence,Local&lt;/Keywords&gt;&lt;Keywords&gt;Neoplasm Staging&lt;/Keywords&gt;&lt;Keywords&gt;pathology&lt;/Keywords&gt;&lt;Keywords&gt;Prognosis&lt;/Keywords&gt;&lt;Keywords&gt;Proportional Hazards Models&lt;/Keywords&gt;&lt;Keywords&gt;psychology&lt;/Keywords&gt;&lt;Keywords&gt;Public Health&lt;/Keywords&gt;&lt;Keywords&gt;Quality of Life&lt;/Keywords&gt;&lt;Keywords&gt;Research Support,Non-U.S.Gov&amp;apos;t&lt;/Keywords&gt;&lt;Keywords&gt;Research Support,U.S.Gov&amp;apos;t,P.H.S.&lt;/Keywords&gt;&lt;Keywords&gt;Survival Analysis&lt;/Keywords&gt;&lt;Keywords&gt;Treatment Outcome&lt;/Keywords&gt;&lt;Reprint&gt;Not in File&lt;/Reprint&gt;&lt;Start_Page&gt;975&lt;/Start_Page&gt;&lt;End_Page&gt;987&lt;/End_Page&gt;&lt;Periodical&gt;Stat.Med.&lt;/Periodical&gt;&lt;Volume&gt;12&lt;/Volume&gt;&lt;Issue&gt;10&lt;/Issue&gt;&lt;Address&gt;Department of Biostatistics, Harvard School of Public Health and Division of Biostatistics, Dana-Farber Cancer Institute, Boston, Massachusetts 02115&lt;/Address&gt;&lt;Web_URL&gt;PM:8337554&lt;/Web_URL&gt;&lt;ZZ_JournalFull&gt;&lt;f name="System"&gt;Stat.Med.&lt;/f&gt;&lt;/ZZ_JournalFull&gt;&lt;ZZ_WorkformID&gt;1&lt;/ZZ_WorkformID&gt;&lt;/MDL&gt;&lt;/Cite&gt;&lt;/Refman&gt;</w:instrText>
      </w:r>
      <w:r w:rsidR="006506AF">
        <w:fldChar w:fldCharType="separate"/>
      </w:r>
      <w:r w:rsidR="00DF2C28">
        <w:t>(8)</w:t>
      </w:r>
      <w:r w:rsidR="006506AF">
        <w:fldChar w:fldCharType="end"/>
      </w:r>
      <w:r>
        <w:t xml:space="preserve"> </w:t>
      </w:r>
    </w:p>
    <w:p w:rsidR="00624767" w:rsidRDefault="00624767" w:rsidP="00624767">
      <w:pPr>
        <w:spacing w:line="480" w:lineRule="auto"/>
        <w:ind w:firstLine="360"/>
      </w:pPr>
      <w:r>
        <w:t xml:space="preserve">To compute the QAS endpoint, health </w:t>
      </w:r>
      <w:proofErr w:type="gramStart"/>
      <w:r>
        <w:t>states which differ in HRQL</w:t>
      </w:r>
      <w:proofErr w:type="gramEnd"/>
      <w:r>
        <w:t xml:space="preserve"> are first identified. Once identified, each health state is assigned a corresponding utility coefficient or ‘weight’ representing the degree of health relative to the state of perfect health. By convention, a utility coefficient of 1 indicates perfect health and zero represents death. Negative utility coefficients are </w:t>
      </w:r>
      <w:proofErr w:type="gramStart"/>
      <w:r>
        <w:t>possible which</w:t>
      </w:r>
      <w:proofErr w:type="gramEnd"/>
      <w:r>
        <w:t xml:space="preserve"> represents health states worse than death.  The quality adjusted survival time is computed by multiplying the time spent in each heath state by its corresponding utility coefficient or ‘weight’. These quality adjusted survival times for each health state are then summated to provide a measure of the total QAS.</w:t>
      </w:r>
      <w:r w:rsidR="006506AF">
        <w:fldChar w:fldCharType="begin"/>
      </w:r>
      <w:r w:rsidR="00DF2C28">
        <w:instrText xml:space="preserve"> ADDIN REFMGR.CITE &lt;Refman&gt;&lt;Cite&gt;&lt;Author&gt;Cole&lt;/Author&gt;&lt;Year&gt;1993&lt;/Year&gt;&lt;RecNum&gt;6007&lt;/RecNum&gt;&lt;IDText&gt;Cox regression models for quality adjusted survival analysis&lt;/IDText&gt;&lt;MDL Ref_Type="Journal"&gt;&lt;Ref_Type&gt;Journal&lt;/Ref_Type&gt;&lt;Ref_ID&gt;6007&lt;/Ref_ID&gt;&lt;Title_Primary&gt;Cox regression models for quality adjusted survival analysis&lt;/Title_Primary&gt;&lt;Authors_Primary&gt;Cole,B.F.&lt;/Authors_Primary&gt;&lt;Authors_Primary&gt;Gelber,R.D.&lt;/Authors_Primary&gt;&lt;Authors_Primary&gt;Goldhirsch,A.&lt;/Authors_Primary&gt;&lt;Date_Primary&gt;1993/5/30&lt;/Date_Primary&gt;&lt;Keywords&gt;administration &amp;amp; dosage&lt;/Keywords&gt;&lt;Keywords&gt;adverse effects&lt;/Keywords&gt;&lt;Keywords&gt;Affect&lt;/Keywords&gt;&lt;Keywords&gt;analysis&lt;/Keywords&gt;&lt;Keywords&gt;Antineoplastic Agents&lt;/Keywords&gt;&lt;Keywords&gt;Boston&lt;/Keywords&gt;&lt;Keywords&gt;Breast Neoplasms&lt;/Keywords&gt;&lt;Keywords&gt;drug therapy&lt;/Keywords&gt;&lt;Keywords&gt;Female&lt;/Keywords&gt;&lt;Keywords&gt;Health&lt;/Keywords&gt;&lt;Keywords&gt;Humans&lt;/Keywords&gt;&lt;Keywords&gt;Lymphatic Metastasis&lt;/Keywords&gt;&lt;Keywords&gt;Massachusetts&lt;/Keywords&gt;&lt;Keywords&gt;Middle Aged&lt;/Keywords&gt;&lt;Keywords&gt;mortality&lt;/Keywords&gt;&lt;Keywords&gt;Neoplasm Recurrence,Local&lt;/Keywords&gt;&lt;Keywords&gt;Neoplasm Staging&lt;/Keywords&gt;&lt;Keywords&gt;pathology&lt;/Keywords&gt;&lt;Keywords&gt;Prognosis&lt;/Keywords&gt;&lt;Keywords&gt;Proportional Hazards Models&lt;/Keywords&gt;&lt;Keywords&gt;psychology&lt;/Keywords&gt;&lt;Keywords&gt;Public Health&lt;/Keywords&gt;&lt;Keywords&gt;Quality of Life&lt;/Keywords&gt;&lt;Keywords&gt;Research Support,Non-U.S.Gov&amp;apos;t&lt;/Keywords&gt;&lt;Keywords&gt;Research Support,U.S.Gov&amp;apos;t,P.H.S.&lt;/Keywords&gt;&lt;Keywords&gt;Survival Analysis&lt;/Keywords&gt;&lt;Keywords&gt;Treatment Outcome&lt;/Keywords&gt;&lt;Reprint&gt;Not in File&lt;/Reprint&gt;&lt;Start_Page&gt;975&lt;/Start_Page&gt;&lt;End_Page&gt;987&lt;/End_Page&gt;&lt;Periodical&gt;Stat.Med.&lt;/Periodical&gt;&lt;Volume&gt;12&lt;/Volume&gt;&lt;Issue&gt;10&lt;/Issue&gt;&lt;Address&gt;Department of Biostatistics, Harvard School of Public Health and Division of Biostatistics, Dana-Farber Cancer Institute, Boston, Massachusetts 02115&lt;/Address&gt;&lt;Web_URL&gt;PM:8337554&lt;/Web_URL&gt;&lt;ZZ_JournalFull&gt;&lt;f name="System"&gt;Stat.Med.&lt;/f&gt;&lt;/ZZ_JournalFull&gt;&lt;ZZ_WorkformID&gt;1&lt;/ZZ_WorkformID&gt;&lt;/MDL&gt;&lt;/Cite&gt;&lt;/Refman&gt;</w:instrText>
      </w:r>
      <w:r w:rsidR="006506AF">
        <w:fldChar w:fldCharType="separate"/>
      </w:r>
      <w:r w:rsidR="00DF2C28">
        <w:t>(8)</w:t>
      </w:r>
      <w:r w:rsidR="006506AF">
        <w:fldChar w:fldCharType="end"/>
      </w:r>
    </w:p>
    <w:p w:rsidR="00624767" w:rsidRDefault="00624767" w:rsidP="00624767">
      <w:pPr>
        <w:spacing w:line="480" w:lineRule="auto"/>
        <w:ind w:firstLine="360"/>
      </w:pPr>
      <w:r>
        <w:t>To calculate the time spend in each corresponding health state, Cox proportional hazards regression (with or without adjustment for covariates) is used to generate survival functions (i.e., survival curves) for the successive health states (transition times) originating from the same time point.</w:t>
      </w:r>
      <w:r w:rsidR="006506AF">
        <w:fldChar w:fldCharType="begin"/>
      </w:r>
      <w:r w:rsidR="00DF2C28">
        <w:instrText xml:space="preserve"> ADDIN REFMGR.CITE &lt;Refman&gt;&lt;Cite&gt;&lt;Author&gt;Cole&lt;/Author&gt;&lt;Year&gt;1993&lt;/Year&gt;&lt;RecNum&gt;6007&lt;/RecNum&gt;&lt;IDText&gt;Cox regression models for quality adjusted survival analysis&lt;/IDText&gt;&lt;MDL Ref_Type="Journal"&gt;&lt;Ref_Type&gt;Journal&lt;/Ref_Type&gt;&lt;Ref_ID&gt;6007&lt;/Ref_ID&gt;&lt;Title_Primary&gt;Cox regression models for quality adjusted survival analysis&lt;/Title_Primary&gt;&lt;Authors_Primary&gt;Cole,B.F.&lt;/Authors_Primary&gt;&lt;Authors_Primary&gt;Gelber,R.D.&lt;/Authors_Primary&gt;&lt;Authors_Primary&gt;Goldhirsch,A.&lt;/Authors_Primary&gt;&lt;Date_Primary&gt;1993/5/30&lt;/Date_Primary&gt;&lt;Keywords&gt;administration &amp;amp; dosage&lt;/Keywords&gt;&lt;Keywords&gt;adverse effects&lt;/Keywords&gt;&lt;Keywords&gt;Affect&lt;/Keywords&gt;&lt;Keywords&gt;analysis&lt;/Keywords&gt;&lt;Keywords&gt;Antineoplastic Agents&lt;/Keywords&gt;&lt;Keywords&gt;Boston&lt;/Keywords&gt;&lt;Keywords&gt;Breast Neoplasms&lt;/Keywords&gt;&lt;Keywords&gt;drug therapy&lt;/Keywords&gt;&lt;Keywords&gt;Female&lt;/Keywords&gt;&lt;Keywords&gt;Health&lt;/Keywords&gt;&lt;Keywords&gt;Humans&lt;/Keywords&gt;&lt;Keywords&gt;Lymphatic Metastasis&lt;/Keywords&gt;&lt;Keywords&gt;Massachusetts&lt;/Keywords&gt;&lt;Keywords&gt;Middle Aged&lt;/Keywords&gt;&lt;Keywords&gt;mortality&lt;/Keywords&gt;&lt;Keywords&gt;Neoplasm Recurrence,Local&lt;/Keywords&gt;&lt;Keywords&gt;Neoplasm Staging&lt;/Keywords&gt;&lt;Keywords&gt;pathology&lt;/Keywords&gt;&lt;Keywords&gt;Prognosis&lt;/Keywords&gt;&lt;Keywords&gt;Proportional Hazards Models&lt;/Keywords&gt;&lt;Keywords&gt;psychology&lt;/Keywords&gt;&lt;Keywords&gt;Public Health&lt;/Keywords&gt;&lt;Keywords&gt;Quality of Life&lt;/Keywords&gt;&lt;Keywords&gt;Research Support,Non-U.S.Gov&amp;apos;t&lt;/Keywords&gt;&lt;Keywords&gt;Research Support,U.S.Gov&amp;apos;t,P.H.S.&lt;/Keywords&gt;&lt;Keywords&gt;Survival Analysis&lt;/Keywords&gt;&lt;Keywords&gt;Treatment Outcome&lt;/Keywords&gt;&lt;Reprint&gt;Not in File&lt;/Reprint&gt;&lt;Start_Page&gt;975&lt;/Start_Page&gt;&lt;End_Page&gt;987&lt;/End_Page&gt;&lt;Periodical&gt;Stat.Med.&lt;/Periodical&gt;&lt;Volume&gt;12&lt;/Volume&gt;&lt;Issue&gt;10&lt;/Issue&gt;&lt;Address&gt;Department of Biostatistics, Harvard School of Public Health and Division of Biostatistics, Dana-Farber Cancer Institute, Boston, Massachusetts 02115&lt;/Address&gt;&lt;Web_URL&gt;PM:8337554&lt;/Web_URL&gt;&lt;ZZ_JournalFull&gt;&lt;f name="System"&gt;Stat.Med.&lt;/f&gt;&lt;/ZZ_JournalFull&gt;&lt;ZZ_WorkformID&gt;1&lt;/ZZ_WorkformID&gt;&lt;/MDL&gt;&lt;/Cite&gt;&lt;/Refman&gt;</w:instrText>
      </w:r>
      <w:r w:rsidR="006506AF">
        <w:fldChar w:fldCharType="separate"/>
      </w:r>
      <w:r w:rsidR="00DF2C28">
        <w:t>(8)</w:t>
      </w:r>
      <w:r w:rsidR="006506AF">
        <w:fldChar w:fldCharType="end"/>
      </w:r>
      <w:r>
        <w:t xml:space="preserve"> Since the area under the survival curve for an event of interest represents an estimate of the mean survival time for a subject being free from the event, the mean duration of a health state can be estimated.</w:t>
      </w:r>
      <w:r w:rsidR="006506AF">
        <w:fldChar w:fldCharType="begin"/>
      </w:r>
      <w:r w:rsidR="00DF2C28">
        <w:instrText xml:space="preserve"> ADDIN REFMGR.CITE &lt;Refman&gt;&lt;Cite&gt;&lt;Author&gt;Kaplan&lt;/Author&gt;&lt;Year&gt;1958&lt;/Year&gt;&lt;RecNum&gt;7232&lt;/RecNum&gt;&lt;IDText&gt;Nonparametric estimation from icomplet observations&lt;/IDText&gt;&lt;MDL Ref_Type="Journal"&gt;&lt;Ref_Type&gt;Journal&lt;/Ref_Type&gt;&lt;Ref_ID&gt;7232&lt;/Ref_ID&gt;&lt;Title_Primary&gt;Nonparametric estimation from icomplet observations&lt;/Title_Primary&gt;&lt;Authors_Primary&gt;Kaplan,E.L.&lt;/Authors_Primary&gt;&lt;Authors_Primary&gt;Meier,P.&lt;/Authors_Primary&gt;&lt;Date_Primary&gt;1958&lt;/Date_Primary&gt;&lt;Keywords&gt;Observation&lt;/Keywords&gt;&lt;Reprint&gt;Not in File&lt;/Reprint&gt;&lt;Start_Page&gt;457&lt;/Start_Page&gt;&lt;End_Page&gt;481&lt;/End_Page&gt;&lt;Periodical&gt;Journal of the American Statistical Association&lt;/Periodical&gt;&lt;Volume&gt;54&lt;/Volume&gt;&lt;Web_URL_Link4&gt;&lt;f name="System"&gt;Journal of the American Statistical Association&lt;/f&gt;&lt;/Web_URL_Link4&gt;&lt;ZZ_WorkformID&gt;1&lt;/ZZ_WorkformID&gt;&lt;/MDL&gt;&lt;/Cite&gt;&lt;/Refman&gt;</w:instrText>
      </w:r>
      <w:r w:rsidR="006506AF">
        <w:fldChar w:fldCharType="separate"/>
      </w:r>
      <w:r w:rsidR="00DF2C28">
        <w:t>(19)</w:t>
      </w:r>
      <w:r w:rsidR="006506AF">
        <w:fldChar w:fldCharType="end"/>
      </w:r>
      <w:r>
        <w:t xml:space="preserve"> The area between the survival curves for the successive health states represents the mean time spent in each health state, also known as a partitioned survival analysis.</w:t>
      </w:r>
      <w:r w:rsidR="006506AF">
        <w:fldChar w:fldCharType="begin"/>
      </w:r>
      <w:r w:rsidR="00DF2C28">
        <w:instrText xml:space="preserve"> ADDIN REFMGR.CITE &lt;Refman&gt;&lt;Cite&gt;&lt;Author&gt;Glasziou&lt;/Author&gt;&lt;Year&gt;1990&lt;/Year&gt;&lt;RecNum&gt;6006&lt;/RecNum&gt;&lt;IDText&gt;Quality adjusted survival analysis&lt;/IDText&gt;&lt;MDL Ref_Type="Journal"&gt;&lt;Ref_Type&gt;Journal&lt;/Ref_Type&gt;&lt;Ref_ID&gt;6006&lt;/Ref_ID&gt;&lt;Title_Primary&gt;Quality adjusted survival analysis&lt;/Title_Primary&gt;&lt;Authors_Primary&gt;Glasziou,P.P.&lt;/Authors_Primary&gt;&lt;Authors_Primary&gt;Simes,R.J.&lt;/Authors_Primary&gt;&lt;Authors_Primary&gt;Gelber,R.D.&lt;/Authors_Primary&gt;&lt;Date_Primary&gt;1990/11&lt;/Date_Primary&gt;&lt;Keywords&gt;analysis&lt;/Keywords&gt;&lt;Keywords&gt;Australia&lt;/Keywords&gt;&lt;Keywords&gt;Breast Neoplasms&lt;/Keywords&gt;&lt;Keywords&gt;Clinical Trials&lt;/Keywords&gt;&lt;Keywords&gt;Female&lt;/Keywords&gt;&lt;Keywords&gt;Health&lt;/Keywords&gt;&lt;Keywords&gt;Humans&lt;/Keywords&gt;&lt;Keywords&gt;Immunologic Deficiency Syndromes&lt;/Keywords&gt;&lt;Keywords&gt;methods&lt;/Keywords&gt;&lt;Keywords&gt;mortality&lt;/Keywords&gt;&lt;Keywords&gt;Ovarian Neoplasms&lt;/Keywords&gt;&lt;Keywords&gt;Public Health&lt;/Keywords&gt;&lt;Keywords&gt;Quality of Life&lt;/Keywords&gt;&lt;Keywords&gt;Survival Analysis&lt;/Keywords&gt;&lt;Keywords&gt;therapy&lt;/Keywords&gt;&lt;Reprint&gt;Not in File&lt;/Reprint&gt;&lt;Start_Page&gt;1259&lt;/Start_Page&gt;&lt;End_Page&gt;1276&lt;/End_Page&gt;&lt;Periodical&gt;Stat.Med.&lt;/Periodical&gt;&lt;Volume&gt;9&lt;/Volume&gt;&lt;Issue&gt;11&lt;/Issue&gt;&lt;Address&gt;Department of Public Health, University of Sydney, Australia&lt;/Address&gt;&lt;Web_URL&gt;PM:2277877&lt;/Web_URL&gt;&lt;ZZ_JournalFull&gt;&lt;f name="System"&gt;Stat.Med.&lt;/f&gt;&lt;/ZZ_JournalFull&gt;&lt;ZZ_WorkformID&gt;1&lt;/ZZ_WorkformID&gt;&lt;/MDL&gt;&lt;/Cite&gt;&lt;/Refman&gt;</w:instrText>
      </w:r>
      <w:r w:rsidR="006506AF">
        <w:fldChar w:fldCharType="separate"/>
      </w:r>
      <w:r w:rsidR="00DF2C28">
        <w:t>(6)</w:t>
      </w:r>
      <w:r w:rsidR="006506AF">
        <w:fldChar w:fldCharType="end"/>
      </w:r>
      <w:r>
        <w:t xml:space="preserve"> Due to censoring, the entire survival curve cannot often be calculated. Thus, the area under the survival curve is restricted to an upper limit.</w:t>
      </w:r>
      <w:r w:rsidR="006506AF">
        <w:fldChar w:fldCharType="begin"/>
      </w:r>
      <w:r w:rsidR="00DF2C28">
        <w:instrText xml:space="preserve"> ADDIN REFMGR.CITE &lt;Refman&gt;&lt;Cite&gt;&lt;Author&gt;Cole&lt;/Author&gt;&lt;Year&gt;1993&lt;/Year&gt;&lt;RecNum&gt;6007&lt;/RecNum&gt;&lt;IDText&gt;Cox regression models for quality adjusted survival analysis&lt;/IDText&gt;&lt;MDL Ref_Type="Journal"&gt;&lt;Ref_Type&gt;Journal&lt;/Ref_Type&gt;&lt;Ref_ID&gt;6007&lt;/Ref_ID&gt;&lt;Title_Primary&gt;Cox regression models for quality adjusted survival analysis&lt;/Title_Primary&gt;&lt;Authors_Primary&gt;Cole,B.F.&lt;/Authors_Primary&gt;&lt;Authors_Primary&gt;Gelber,R.D.&lt;/Authors_Primary&gt;&lt;Authors_Primary&gt;Goldhirsch,A.&lt;/Authors_Primary&gt;&lt;Date_Primary&gt;1993/5/30&lt;/Date_Primary&gt;&lt;Keywords&gt;administration &amp;amp; dosage&lt;/Keywords&gt;&lt;Keywords&gt;adverse effects&lt;/Keywords&gt;&lt;Keywords&gt;Affect&lt;/Keywords&gt;&lt;Keywords&gt;analysis&lt;/Keywords&gt;&lt;Keywords&gt;Antineoplastic Agents&lt;/Keywords&gt;&lt;Keywords&gt;Boston&lt;/Keywords&gt;&lt;Keywords&gt;Breast Neoplasms&lt;/Keywords&gt;&lt;Keywords&gt;drug therapy&lt;/Keywords&gt;&lt;Keywords&gt;Female&lt;/Keywords&gt;&lt;Keywords&gt;Health&lt;/Keywords&gt;&lt;Keywords&gt;Humans&lt;/Keywords&gt;&lt;Keywords&gt;Lymphatic Metastasis&lt;/Keywords&gt;&lt;Keywords&gt;Massachusetts&lt;/Keywords&gt;&lt;Keywords&gt;Middle Aged&lt;/Keywords&gt;&lt;Keywords&gt;mortality&lt;/Keywords&gt;&lt;Keywords&gt;Neoplasm Recurrence,Local&lt;/Keywords&gt;&lt;Keywords&gt;Neoplasm Staging&lt;/Keywords&gt;&lt;Keywords&gt;pathology&lt;/Keywords&gt;&lt;Keywords&gt;Prognosis&lt;/Keywords&gt;&lt;Keywords&gt;Proportional Hazards Models&lt;/Keywords&gt;&lt;Keywords&gt;psychology&lt;/Keywords&gt;&lt;Keywords&gt;Public Health&lt;/Keywords&gt;&lt;Keywords&gt;Quality of Life&lt;/Keywords&gt;&lt;Keywords&gt;Research Support,Non-U.S.Gov&amp;apos;t&lt;/Keywords&gt;&lt;Keywords&gt;Research Support,U.S.Gov&amp;apos;t,P.H.S.&lt;/Keywords&gt;&lt;Keywords&gt;Survival Analysis&lt;/Keywords&gt;&lt;Keywords&gt;Treatment Outcome&lt;/Keywords&gt;&lt;Reprint&gt;Not in File&lt;/Reprint&gt;&lt;Start_Page&gt;975&lt;/Start_Page&gt;&lt;End_Page&gt;987&lt;/End_Page&gt;&lt;Periodical&gt;Stat.Med.&lt;/Periodical&gt;&lt;Volume&gt;12&lt;/Volume&gt;&lt;Issue&gt;10&lt;/Issue&gt;&lt;Address&gt;Department of Biostatistics, Harvard School of Public Health and Division of Biostatistics, Dana-Farber Cancer Institute, Boston, Massachusetts 02115&lt;/Address&gt;&lt;Web_URL&gt;PM:8337554&lt;/Web_URL&gt;&lt;ZZ_JournalFull&gt;&lt;f name="System"&gt;Stat.Med.&lt;/f&gt;&lt;/ZZ_JournalFull&gt;&lt;ZZ_WorkformID&gt;1&lt;/ZZ_WorkformID&gt;&lt;/MDL&gt;&lt;/Cite&gt;&lt;/Refman&gt;</w:instrText>
      </w:r>
      <w:r w:rsidR="006506AF">
        <w:fldChar w:fldCharType="separate"/>
      </w:r>
      <w:proofErr w:type="gramStart"/>
      <w:r w:rsidR="00DF2C28">
        <w:t>(8)</w:t>
      </w:r>
      <w:r w:rsidR="006506AF">
        <w:fldChar w:fldCharType="end"/>
      </w:r>
      <w:r>
        <w:t xml:space="preserve"> Since the total QAS time is influenced by the range of integration</w:t>
      </w:r>
      <w:proofErr w:type="gramEnd"/>
      <w:r>
        <w:t xml:space="preserve">, it is critical that the upper limit of integration is identical for both treatment groups to avoid introducing bias. Furthermore, as the survival curves continue to change over </w:t>
      </w:r>
      <w:r w:rsidRPr="00482B55">
        <w:t xml:space="preserve">time, the QAS difference observed between </w:t>
      </w:r>
      <w:proofErr w:type="gramStart"/>
      <w:r w:rsidRPr="00482B55">
        <w:t>treatment</w:t>
      </w:r>
      <w:proofErr w:type="gramEnd"/>
      <w:r w:rsidRPr="00482B55">
        <w:t xml:space="preserve"> groups may potentially vary depending on the time range.</w:t>
      </w:r>
      <w:r w:rsidRPr="00F224C5">
        <w:t xml:space="preserve"> </w:t>
      </w:r>
      <w:r>
        <w:t>The restricted limit may represent a specific time period (e.g. 5 years) or may represent the upper limit of follow-up. Therefore, the mean survival time is computed by integrating the survival curve from zero to the upper limit.</w:t>
      </w:r>
      <w:r w:rsidR="006506AF">
        <w:fldChar w:fldCharType="begin"/>
      </w:r>
      <w:r w:rsidR="00DF2C28">
        <w:instrText xml:space="preserve"> ADDIN REFMGR.CITE &lt;Refman&gt;&lt;Cite&gt;&lt;Author&gt;Cole&lt;/Author&gt;&lt;Year&gt;1993&lt;/Year&gt;&lt;RecNum&gt;6007&lt;/RecNum&gt;&lt;IDText&gt;Cox regression models for quality adjusted survival analysis&lt;/IDText&gt;&lt;MDL Ref_Type="Journal"&gt;&lt;Ref_Type&gt;Journal&lt;/Ref_Type&gt;&lt;Ref_ID&gt;6007&lt;/Ref_ID&gt;&lt;Title_Primary&gt;Cox regression models for quality adjusted survival analysis&lt;/Title_Primary&gt;&lt;Authors_Primary&gt;Cole,B.F.&lt;/Authors_Primary&gt;&lt;Authors_Primary&gt;Gelber,R.D.&lt;/Authors_Primary&gt;&lt;Authors_Primary&gt;Goldhirsch,A.&lt;/Authors_Primary&gt;&lt;Date_Primary&gt;1993/5/30&lt;/Date_Primary&gt;&lt;Keywords&gt;administration &amp;amp; dosage&lt;/Keywords&gt;&lt;Keywords&gt;adverse effects&lt;/Keywords&gt;&lt;Keywords&gt;Affect&lt;/Keywords&gt;&lt;Keywords&gt;analysis&lt;/Keywords&gt;&lt;Keywords&gt;Antineoplastic Agents&lt;/Keywords&gt;&lt;Keywords&gt;Boston&lt;/Keywords&gt;&lt;Keywords&gt;Breast Neoplasms&lt;/Keywords&gt;&lt;Keywords&gt;drug therapy&lt;/Keywords&gt;&lt;Keywords&gt;Female&lt;/Keywords&gt;&lt;Keywords&gt;Health&lt;/Keywords&gt;&lt;Keywords&gt;Humans&lt;/Keywords&gt;&lt;Keywords&gt;Lymphatic Metastasis&lt;/Keywords&gt;&lt;Keywords&gt;Massachusetts&lt;/Keywords&gt;&lt;Keywords&gt;Middle Aged&lt;/Keywords&gt;&lt;Keywords&gt;mortality&lt;/Keywords&gt;&lt;Keywords&gt;Neoplasm Recurrence,Local&lt;/Keywords&gt;&lt;Keywords&gt;Neoplasm Staging&lt;/Keywords&gt;&lt;Keywords&gt;pathology&lt;/Keywords&gt;&lt;Keywords&gt;Prognosis&lt;/Keywords&gt;&lt;Keywords&gt;Proportional Hazards Models&lt;/Keywords&gt;&lt;Keywords&gt;psychology&lt;/Keywords&gt;&lt;Keywords&gt;Public Health&lt;/Keywords&gt;&lt;Keywords&gt;Quality of Life&lt;/Keywords&gt;&lt;Keywords&gt;Research Support,Non-U.S.Gov&amp;apos;t&lt;/Keywords&gt;&lt;Keywords&gt;Research Support,U.S.Gov&amp;apos;t,P.H.S.&lt;/Keywords&gt;&lt;Keywords&gt;Survival Analysis&lt;/Keywords&gt;&lt;Keywords&gt;Treatment Outcome&lt;/Keywords&gt;&lt;Reprint&gt;Not in File&lt;/Reprint&gt;&lt;Start_Page&gt;975&lt;/Start_Page&gt;&lt;End_Page&gt;987&lt;/End_Page&gt;&lt;Periodical&gt;Stat.Med.&lt;/Periodical&gt;&lt;Volume&gt;12&lt;/Volume&gt;&lt;Issue&gt;10&lt;/Issue&gt;&lt;Address&gt;Department of Biostatistics, Harvard School of Public Health and Division of Biostatistics, Dana-Farber Cancer Institute, Boston, Massachusetts 02115&lt;/Address&gt;&lt;Web_URL&gt;PM:8337554&lt;/Web_URL&gt;&lt;ZZ_JournalFull&gt;&lt;f name="System"&gt;Stat.Med.&lt;/f&gt;&lt;/ZZ_JournalFull&gt;&lt;ZZ_WorkformID&gt;1&lt;/ZZ_WorkformID&gt;&lt;/MDL&gt;&lt;/Cite&gt;&lt;/Refman&gt;</w:instrText>
      </w:r>
      <w:r w:rsidR="006506AF">
        <w:fldChar w:fldCharType="separate"/>
      </w:r>
      <w:r w:rsidR="00DF2C28">
        <w:t>(8)</w:t>
      </w:r>
      <w:r w:rsidR="006506AF">
        <w:fldChar w:fldCharType="end"/>
      </w:r>
      <w:r>
        <w:t xml:space="preserve"> </w:t>
      </w:r>
    </w:p>
    <w:p w:rsidR="00624767" w:rsidRDefault="00624767" w:rsidP="00624767">
      <w:pPr>
        <w:spacing w:line="480" w:lineRule="auto"/>
        <w:ind w:firstLine="360"/>
      </w:pPr>
      <w:r w:rsidRPr="00DA0D00">
        <w:t xml:space="preserve">To compare QAS between treatment groups, </w:t>
      </w:r>
      <w:r>
        <w:t>the QAS estimates are derived by including the treatment group as a covariate in the model or by stratifying on the treatment variable if the proportional hazards assumption is violated.</w:t>
      </w:r>
      <w:r w:rsidRPr="00DA0D00">
        <w:t xml:space="preserve"> </w:t>
      </w:r>
      <w:r>
        <w:t xml:space="preserve">By convention, if one of the health states is censored for the patient, all </w:t>
      </w:r>
      <w:proofErr w:type="gramStart"/>
      <w:r>
        <w:t>subsequent  health</w:t>
      </w:r>
      <w:proofErr w:type="gramEnd"/>
      <w:r>
        <w:t xml:space="preserve"> states are also censored.</w:t>
      </w:r>
      <w:r w:rsidR="006506AF">
        <w:fldChar w:fldCharType="begin"/>
      </w:r>
      <w:r w:rsidR="00DF2C28">
        <w:instrText xml:space="preserve"> ADDIN REFMGR.CITE &lt;Refman&gt;&lt;Cite&gt;&lt;Author&gt;Cole&lt;/Author&gt;&lt;Year&gt;1993&lt;/Year&gt;&lt;RecNum&gt;6007&lt;/RecNum&gt;&lt;IDText&gt;Cox regression models for quality adjusted survival analysis&lt;/IDText&gt;&lt;MDL Ref_Type="Journal"&gt;&lt;Ref_Type&gt;Journal&lt;/Ref_Type&gt;&lt;Ref_ID&gt;6007&lt;/Ref_ID&gt;&lt;Title_Primary&gt;Cox regression models for quality adjusted survival analysis&lt;/Title_Primary&gt;&lt;Authors_Primary&gt;Cole,B.F.&lt;/Authors_Primary&gt;&lt;Authors_Primary&gt;Gelber,R.D.&lt;/Authors_Primary&gt;&lt;Authors_Primary&gt;Goldhirsch,A.&lt;/Authors_Primary&gt;&lt;Date_Primary&gt;1993/5/30&lt;/Date_Primary&gt;&lt;Keywords&gt;administration &amp;amp; dosage&lt;/Keywords&gt;&lt;Keywords&gt;adverse effects&lt;/Keywords&gt;&lt;Keywords&gt;Affect&lt;/Keywords&gt;&lt;Keywords&gt;analysis&lt;/Keywords&gt;&lt;Keywords&gt;Antineoplastic Agents&lt;/Keywords&gt;&lt;Keywords&gt;Boston&lt;/Keywords&gt;&lt;Keywords&gt;Breast Neoplasms&lt;/Keywords&gt;&lt;Keywords&gt;drug therapy&lt;/Keywords&gt;&lt;Keywords&gt;Female&lt;/Keywords&gt;&lt;Keywords&gt;Health&lt;/Keywords&gt;&lt;Keywords&gt;Humans&lt;/Keywords&gt;&lt;Keywords&gt;Lymphatic Metastasis&lt;/Keywords&gt;&lt;Keywords&gt;Massachusetts&lt;/Keywords&gt;&lt;Keywords&gt;Middle Aged&lt;/Keywords&gt;&lt;Keywords&gt;mortality&lt;/Keywords&gt;&lt;Keywords&gt;Neoplasm Recurrence,Local&lt;/Keywords&gt;&lt;Keywords&gt;Neoplasm Staging&lt;/Keywords&gt;&lt;Keywords&gt;pathology&lt;/Keywords&gt;&lt;Keywords&gt;Prognosis&lt;/Keywords&gt;&lt;Keywords&gt;Proportional Hazards Models&lt;/Keywords&gt;&lt;Keywords&gt;psychology&lt;/Keywords&gt;&lt;Keywords&gt;Public Health&lt;/Keywords&gt;&lt;Keywords&gt;Quality of Life&lt;/Keywords&gt;&lt;Keywords&gt;Research Support,Non-U.S.Gov&amp;apos;t&lt;/Keywords&gt;&lt;Keywords&gt;Research Support,U.S.Gov&amp;apos;t,P.H.S.&lt;/Keywords&gt;&lt;Keywords&gt;Survival Analysis&lt;/Keywords&gt;&lt;Keywords&gt;Treatment Outcome&lt;/Keywords&gt;&lt;Reprint&gt;Not in File&lt;/Reprint&gt;&lt;Start_Page&gt;975&lt;/Start_Page&gt;&lt;End_Page&gt;987&lt;/End_Page&gt;&lt;Periodical&gt;Stat.Med.&lt;/Periodical&gt;&lt;Volume&gt;12&lt;/Volume&gt;&lt;Issue&gt;10&lt;/Issue&gt;&lt;Address&gt;Department of Biostatistics, Harvard School of Public Health and Division of Biostatistics, Dana-Farber Cancer Institute, Boston, Massachusetts 02115&lt;/Address&gt;&lt;Web_URL&gt;PM:8337554&lt;/Web_URL&gt;&lt;ZZ_JournalFull&gt;&lt;f name="System"&gt;Stat.Med.&lt;/f&gt;&lt;/ZZ_JournalFull&gt;&lt;ZZ_WorkformID&gt;1&lt;/ZZ_WorkformID&gt;&lt;/MDL&gt;&lt;/Cite&gt;&lt;/Refman&gt;</w:instrText>
      </w:r>
      <w:r w:rsidR="006506AF">
        <w:fldChar w:fldCharType="separate"/>
      </w:r>
      <w:r w:rsidR="00DF2C28">
        <w:t>(8)</w:t>
      </w:r>
      <w:r w:rsidR="006506AF">
        <w:fldChar w:fldCharType="end"/>
      </w:r>
      <w:r>
        <w:t xml:space="preserve"> Importantly, the proportional hazards assumption should be evaluated for each health state. </w:t>
      </w:r>
    </w:p>
    <w:p w:rsidR="00624767" w:rsidRPr="006C57A0" w:rsidRDefault="00624767" w:rsidP="00624767">
      <w:pPr>
        <w:pStyle w:val="PlainText"/>
        <w:spacing w:line="480" w:lineRule="auto"/>
        <w:rPr>
          <w:rFonts w:ascii="Times New Roman" w:hAnsi="Times New Roman"/>
          <w:sz w:val="24"/>
          <w:szCs w:val="24"/>
        </w:rPr>
      </w:pPr>
      <w:r w:rsidRPr="006C57A0">
        <w:rPr>
          <w:rFonts w:ascii="Times New Roman" w:hAnsi="Times New Roman"/>
          <w:sz w:val="24"/>
          <w:szCs w:val="24"/>
        </w:rPr>
        <w:tab/>
        <w:t>Previous research has shown that the mean QAS time estimates are asymptotically normally distributed, under widely-applicable regularity conditions.</w:t>
      </w:r>
      <w:r w:rsidR="006506AF" w:rsidRPr="006C57A0">
        <w:rPr>
          <w:rFonts w:ascii="Times New Roman" w:hAnsi="Times New Roman"/>
          <w:sz w:val="24"/>
          <w:szCs w:val="24"/>
        </w:rPr>
        <w:fldChar w:fldCharType="begin"/>
      </w:r>
      <w:r w:rsidR="00DF2C28">
        <w:rPr>
          <w:rFonts w:ascii="Times New Roman" w:hAnsi="Times New Roman"/>
          <w:sz w:val="24"/>
          <w:szCs w:val="24"/>
        </w:rPr>
        <w:instrText xml:space="preserve"> ADDIN REFMGR.CITE &lt;Refman&gt;&lt;Cite&gt;&lt;Author&gt;Cole&lt;/Author&gt;&lt;Year&gt;1993&lt;/Year&gt;&lt;RecNum&gt;6007&lt;/RecNum&gt;&lt;IDText&gt;Cox regression models for quality adjusted survival analysis&lt;/IDText&gt;&lt;MDL Ref_Type="Journal"&gt;&lt;Ref_Type&gt;Journal&lt;/Ref_Type&gt;&lt;Ref_ID&gt;6007&lt;/Ref_ID&gt;&lt;Title_Primary&gt;Cox regression models for quality adjusted survival analysis&lt;/Title_Primary&gt;&lt;Authors_Primary&gt;Cole,B.F.&lt;/Authors_Primary&gt;&lt;Authors_Primary&gt;Gelber,R.D.&lt;/Authors_Primary&gt;&lt;Authors_Primary&gt;Goldhirsch,A.&lt;/Authors_Primary&gt;&lt;Date_Primary&gt;1993/5/30&lt;/Date_Primary&gt;&lt;Keywords&gt;administration &amp;amp; dosage&lt;/Keywords&gt;&lt;Keywords&gt;adverse effects&lt;/Keywords&gt;&lt;Keywords&gt;Affect&lt;/Keywords&gt;&lt;Keywords&gt;analysis&lt;/Keywords&gt;&lt;Keywords&gt;Antineoplastic Agents&lt;/Keywords&gt;&lt;Keywords&gt;Boston&lt;/Keywords&gt;&lt;Keywords&gt;Breast Neoplasms&lt;/Keywords&gt;&lt;Keywords&gt;drug therapy&lt;/Keywords&gt;&lt;Keywords&gt;Female&lt;/Keywords&gt;&lt;Keywords&gt;Health&lt;/Keywords&gt;&lt;Keywords&gt;Humans&lt;/Keywords&gt;&lt;Keywords&gt;Lymphatic Metastasis&lt;/Keywords&gt;&lt;Keywords&gt;Massachusetts&lt;/Keywords&gt;&lt;Keywords&gt;Middle Aged&lt;/Keywords&gt;&lt;Keywords&gt;mortality&lt;/Keywords&gt;&lt;Keywords&gt;Neoplasm Recurrence,Local&lt;/Keywords&gt;&lt;Keywords&gt;Neoplasm Staging&lt;/Keywords&gt;&lt;Keywords&gt;pathology&lt;/Keywords&gt;&lt;Keywords&gt;Prognosis&lt;/Keywords&gt;&lt;Keywords&gt;Proportional Hazards Models&lt;/Keywords&gt;&lt;Keywords&gt;psychology&lt;/Keywords&gt;&lt;Keywords&gt;Public Health&lt;/Keywords&gt;&lt;Keywords&gt;Quality of Life&lt;/Keywords&gt;&lt;Keywords&gt;Research Support,Non-U.S.Gov&amp;apos;t&lt;/Keywords&gt;&lt;Keywords&gt;Research Support,U.S.Gov&amp;apos;t,P.H.S.&lt;/Keywords&gt;&lt;Keywords&gt;Survival Analysis&lt;/Keywords&gt;&lt;Keywords&gt;Treatment Outcome&lt;/Keywords&gt;&lt;Reprint&gt;Not in File&lt;/Reprint&gt;&lt;Start_Page&gt;975&lt;/Start_Page&gt;&lt;End_Page&gt;987&lt;/End_Page&gt;&lt;Periodical&gt;Stat.Med.&lt;/Periodical&gt;&lt;Volume&gt;12&lt;/Volume&gt;&lt;Issue&gt;10&lt;/Issue&gt;&lt;Address&gt;Department of Biostatistics, Harvard School of Public Health and Division of Biostatistics, Dana-Farber Cancer Institute, Boston, Massachusetts 02115&lt;/Address&gt;&lt;Web_URL&gt;PM:8337554&lt;/Web_URL&gt;&lt;ZZ_JournalFull&gt;&lt;f name="System"&gt;Stat.Med.&lt;/f&gt;&lt;/ZZ_JournalFull&gt;&lt;ZZ_WorkformID&gt;1&lt;/ZZ_WorkformID&gt;&lt;/MDL&gt;&lt;/Cite&gt;&lt;Cite&gt;&lt;Author&gt;Tsiatis&lt;/Author&gt;&lt;Year&gt;2000&lt;/Year&gt;&lt;RecNum&gt;6012&lt;/RecNum&gt;&lt;IDText&gt;Estimating the distribution of quality-adjusted life with censored data&lt;/IDText&gt;&lt;MDL Ref_Type="Journal"&gt;&lt;Ref_Type&gt;Journal&lt;/Ref_Type&gt;&lt;Ref_ID&gt;6012&lt;/Ref_ID&gt;&lt;Title_Primary&gt;Estimating the distribution of quality-adjusted life with censored data&lt;/Title_Primary&gt;&lt;Authors_Primary&gt;Tsiatis,A.A.&lt;/Authors_Primary&gt;&lt;Date_Primary&gt;2000/4&lt;/Date_Primary&gt;&lt;Keywords&gt;adverse effects&lt;/Keywords&gt;&lt;Keywords&gt;Cardiovascular&lt;/Keywords&gt;&lt;Keywords&gt;Cardiovascular Agents&lt;/Keywords&gt;&lt;Keywords&gt;Comparative Study&lt;/Keywords&gt;&lt;Keywords&gt;Data Interpretation,Statistical&lt;/Keywords&gt;&lt;Keywords&gt;Humans&lt;/Keywords&gt;&lt;Keywords&gt;Quality-Adjusted Life Years&lt;/Keywords&gt;&lt;Keywords&gt;Randomized Controlled Trials&lt;/Keywords&gt;&lt;Keywords&gt;Statistics&lt;/Keywords&gt;&lt;Keywords&gt;statistics &amp;amp; numerical data&lt;/Keywords&gt;&lt;Keywords&gt;Survival Analysis&lt;/Keywords&gt;&lt;Keywords&gt;therapeutic use&lt;/Keywords&gt;&lt;Reprint&gt;Not in File&lt;/Reprint&gt;&lt;Start_Page&gt;S177&lt;/Start_Page&gt;&lt;End_Page&gt;S181&lt;/End_Page&gt;&lt;Periodical&gt;Am.Heart J.&lt;/Periodical&gt;&lt;Volume&gt;139&lt;/Volume&gt;&lt;Issue&gt;4&lt;/Issue&gt;&lt;Address&gt;Department of Statistics, North Carolina State University, Raleigh, NC 27695, USA. tsiatis@stat.ncsu.edu&lt;/Address&gt;&lt;Web_URL&gt;PM:10740127&lt;/Web_URL&gt;&lt;ZZ_JournalFull&gt;&lt;f name="System"&gt;Am.Heart J.&lt;/f&gt;&lt;/ZZ_JournalFull&gt;&lt;ZZ_WorkformID&gt;1&lt;/ZZ_WorkformID&gt;&lt;/MDL&gt;&lt;/Cite&gt;&lt;/Refman&gt;</w:instrText>
      </w:r>
      <w:r w:rsidR="006506AF" w:rsidRPr="006C57A0">
        <w:rPr>
          <w:rFonts w:ascii="Times New Roman" w:hAnsi="Times New Roman"/>
          <w:sz w:val="24"/>
          <w:szCs w:val="24"/>
        </w:rPr>
        <w:fldChar w:fldCharType="separate"/>
      </w:r>
      <w:r w:rsidR="00DF2C28">
        <w:rPr>
          <w:rFonts w:ascii="Times New Roman" w:hAnsi="Times New Roman"/>
          <w:sz w:val="24"/>
          <w:szCs w:val="24"/>
        </w:rPr>
        <w:t>(8;20)</w:t>
      </w:r>
      <w:r w:rsidR="006506AF" w:rsidRPr="006C57A0">
        <w:rPr>
          <w:rFonts w:ascii="Times New Roman" w:hAnsi="Times New Roman"/>
          <w:sz w:val="24"/>
          <w:szCs w:val="24"/>
        </w:rPr>
        <w:fldChar w:fldCharType="end"/>
      </w:r>
      <w:r w:rsidRPr="006C57A0">
        <w:rPr>
          <w:rFonts w:ascii="Times New Roman" w:hAnsi="Times New Roman"/>
          <w:sz w:val="24"/>
          <w:szCs w:val="24"/>
        </w:rPr>
        <w:t xml:space="preserve"> Resampling methods, such as the bootstrap method</w:t>
      </w:r>
      <w:r w:rsidR="006506AF" w:rsidRPr="006C57A0">
        <w:rPr>
          <w:rFonts w:ascii="Times New Roman" w:hAnsi="Times New Roman"/>
          <w:sz w:val="24"/>
          <w:szCs w:val="24"/>
        </w:rPr>
        <w:fldChar w:fldCharType="begin"/>
      </w:r>
      <w:r w:rsidR="00DF2C28">
        <w:rPr>
          <w:rFonts w:ascii="Times New Roman" w:hAnsi="Times New Roman"/>
          <w:sz w:val="24"/>
          <w:szCs w:val="24"/>
        </w:rPr>
        <w:instrText xml:space="preserve"> ADDIN REFMGR.CITE &lt;Refman&gt;&lt;Cite&gt;&lt;Author&gt;Hinkley&lt;/Author&gt;&lt;Year&gt;1988&lt;/Year&gt;&lt;RecNum&gt;7233&lt;/RecNum&gt;&lt;IDText&gt;Bootstrap Methods&lt;/IDText&gt;&lt;MDL Ref_Type="Journal"&gt;&lt;Ref_Type&gt;Journal&lt;/Ref_Type&gt;&lt;Ref_ID&gt;7233&lt;/Ref_ID&gt;&lt;Title_Primary&gt;Bootstrap Methods&lt;/Title_Primary&gt;&lt;Authors_Primary&gt;Hinkley,D.V.&lt;/Authors_Primary&gt;&lt;Date_Primary&gt;1988&lt;/Date_Primary&gt;&lt;Keywords&gt;Article&lt;/Keywords&gt;&lt;Keywords&gt;England&lt;/Keywords&gt;&lt;Keywords&gt;methods&lt;/Keywords&gt;&lt;Keywords&gt;Time&lt;/Keywords&gt;&lt;Reprint&gt;Not in File&lt;/Reprint&gt;&lt;Start_Page&gt;321&lt;/Start_Page&gt;&lt;End_Page&gt;337&lt;/End_Page&gt;&lt;Periodical&gt;Journal of the Royal Statistical Society Series B-Methodological&lt;/Periodical&gt;&lt;Volume&gt;50&lt;/Volume&gt;&lt;Issue&gt;3&lt;/Issue&gt;&lt;Web_URL&gt;ISI:A1988Q939300001&lt;/Web_URL&gt;&lt;ZZ_JournalFull&gt;&lt;f name="System"&gt;Journal of the Royal Statistical Society Series B-Methodological&lt;/f&gt;&lt;/ZZ_JournalFull&gt;&lt;ZZ_WorkformID&gt;1&lt;/ZZ_WorkformID&gt;&lt;/MDL&gt;&lt;/Cite&gt;&lt;Cite&gt;&lt;Author&gt;Efron&lt;/Author&gt;&lt;Year&gt;1981&lt;/Year&gt;&lt;RecNum&gt;7240&lt;/RecNum&gt;&lt;IDText&gt;Censored-Data and the Bootstrap&lt;/IDText&gt;&lt;MDL Ref_Type="Journal"&gt;&lt;Ref_Type&gt;Journal&lt;/Ref_Type&gt;&lt;Ref_ID&gt;7240&lt;/Ref_ID&gt;&lt;Title_Primary&gt;Censored-Data and the Bootstrap&lt;/Title_Primary&gt;&lt;Authors_Primary&gt;Efron,B.&lt;/Authors_Primary&gt;&lt;Date_Primary&gt;1981&lt;/Date_Primary&gt;&lt;Keywords&gt;Article&lt;/Keywords&gt;&lt;Keywords&gt;Time&lt;/Keywords&gt;&lt;Reprint&gt;Not in File&lt;/Reprint&gt;&lt;Start_Page&gt;312&lt;/Start_Page&gt;&lt;End_Page&gt;319&lt;/End_Page&gt;&lt;Periodical&gt;Journal of the American Statistical Association&lt;/Periodical&gt;&lt;Volume&gt;76&lt;/Volume&gt;&lt;Issue&gt;374&lt;/Issue&gt;&lt;ISSN_ISBN&gt;0162-1459&lt;/ISSN_ISBN&gt;&lt;Web_URL&gt;ISI:A1981LT69100018&lt;/Web_URL&gt;&lt;ZZ_JournalFull&gt;&lt;f name="System"&gt;Journal of the American Statistical Association&lt;/f&gt;&lt;/ZZ_JournalFull&gt;&lt;ZZ_WorkformID&gt;1&lt;/ZZ_WorkformID&gt;&lt;/MDL&gt;&lt;/Cite&gt;&lt;/Refman&gt;</w:instrText>
      </w:r>
      <w:r w:rsidR="006506AF" w:rsidRPr="006C57A0">
        <w:rPr>
          <w:rFonts w:ascii="Times New Roman" w:hAnsi="Times New Roman"/>
          <w:sz w:val="24"/>
          <w:szCs w:val="24"/>
        </w:rPr>
        <w:fldChar w:fldCharType="separate"/>
      </w:r>
      <w:r w:rsidR="00DF2C28">
        <w:rPr>
          <w:rFonts w:ascii="Times New Roman" w:hAnsi="Times New Roman"/>
          <w:sz w:val="24"/>
          <w:szCs w:val="24"/>
        </w:rPr>
        <w:t>(13;21)</w:t>
      </w:r>
      <w:r w:rsidR="006506AF" w:rsidRPr="006C57A0">
        <w:rPr>
          <w:rFonts w:ascii="Times New Roman" w:hAnsi="Times New Roman"/>
          <w:sz w:val="24"/>
          <w:szCs w:val="24"/>
        </w:rPr>
        <w:fldChar w:fldCharType="end"/>
      </w:r>
      <w:r w:rsidRPr="006C57A0">
        <w:rPr>
          <w:rFonts w:ascii="Times New Roman" w:hAnsi="Times New Roman"/>
          <w:sz w:val="24"/>
          <w:szCs w:val="24"/>
        </w:rPr>
        <w:t xml:space="preserve"> are used to then generate variance estimates around the QAS estimate. It is important to realize, however, that it is neither tenable nor appropriate to compare the confidence intervals of QAS from the unweighted and weighted methods and infer their underlying QAS differences.  This is because the two confidence intervals are derived from the same sample and, therefore, are not statistically independent of one another.  This is </w:t>
      </w:r>
      <w:r>
        <w:rPr>
          <w:rFonts w:ascii="Times New Roman" w:hAnsi="Times New Roman"/>
          <w:sz w:val="24"/>
          <w:szCs w:val="24"/>
        </w:rPr>
        <w:t>a</w:t>
      </w:r>
      <w:r w:rsidRPr="006C57A0">
        <w:rPr>
          <w:rFonts w:ascii="Times New Roman" w:hAnsi="Times New Roman"/>
          <w:sz w:val="24"/>
          <w:szCs w:val="24"/>
        </w:rPr>
        <w:t xml:space="preserve">nalogous to comparing two confidence intervals in a paired t-test scenario, where an overlap of the confidence intervals of the two groups is irrelevant to the </w:t>
      </w:r>
      <w:r>
        <w:rPr>
          <w:rFonts w:ascii="Times New Roman" w:hAnsi="Times New Roman"/>
          <w:sz w:val="24"/>
          <w:szCs w:val="24"/>
        </w:rPr>
        <w:t>intended inference.</w:t>
      </w:r>
    </w:p>
    <w:p w:rsidR="00624767" w:rsidRPr="006C57A0" w:rsidRDefault="00624767" w:rsidP="00624767">
      <w:pPr>
        <w:spacing w:line="480" w:lineRule="auto"/>
        <w:rPr>
          <w:color w:val="000080"/>
        </w:rPr>
      </w:pPr>
      <w:r w:rsidRPr="006C57A0">
        <w:t>See Hinkley DV. Bootstrap Methods. Journal of the Royal Statistical Society Series B-Methodological 1988; 50(3)</w:t>
      </w:r>
      <w:proofErr w:type="gramStart"/>
      <w:r w:rsidRPr="006C57A0">
        <w:t>:321</w:t>
      </w:r>
      <w:proofErr w:type="gramEnd"/>
      <w:r w:rsidRPr="006C57A0">
        <w:t xml:space="preserve">-337 or Efron B. Censored-Data and the Bootstrap. </w:t>
      </w:r>
      <w:r w:rsidRPr="006C57A0">
        <w:rPr>
          <w:i/>
        </w:rPr>
        <w:t>Journal of the American Statistical Association</w:t>
      </w:r>
      <w:r w:rsidRPr="006C57A0">
        <w:t xml:space="preserve"> 1981</w:t>
      </w:r>
      <w:proofErr w:type="gramStart"/>
      <w:r w:rsidRPr="006C57A0">
        <w:t>;76</w:t>
      </w:r>
      <w:proofErr w:type="gramEnd"/>
      <w:r w:rsidRPr="006C57A0">
        <w:t xml:space="preserve">(374):312-319 for a detailed description of the bootstrap method. </w:t>
      </w:r>
    </w:p>
    <w:p w:rsidR="00624767" w:rsidRDefault="00624767" w:rsidP="00624767">
      <w:pPr>
        <w:spacing w:line="480" w:lineRule="auto"/>
        <w:rPr>
          <w:u w:val="single"/>
        </w:rPr>
      </w:pPr>
    </w:p>
    <w:p w:rsidR="00624767" w:rsidRDefault="00624767" w:rsidP="00624767">
      <w:pPr>
        <w:spacing w:line="480" w:lineRule="auto"/>
        <w:rPr>
          <w:u w:val="single"/>
        </w:rPr>
      </w:pPr>
      <w:r w:rsidRPr="00A5591A">
        <w:rPr>
          <w:u w:val="single"/>
        </w:rPr>
        <w:t>Manusc</w:t>
      </w:r>
      <w:r>
        <w:rPr>
          <w:u w:val="single"/>
        </w:rPr>
        <w:t>ript Examples</w:t>
      </w:r>
    </w:p>
    <w:p w:rsidR="00624767" w:rsidRDefault="00624767" w:rsidP="00624767">
      <w:pPr>
        <w:spacing w:before="60" w:after="60" w:line="480" w:lineRule="auto"/>
        <w:rPr>
          <w:u w:val="single"/>
        </w:rPr>
      </w:pPr>
      <w:r>
        <w:rPr>
          <w:u w:val="single"/>
        </w:rPr>
        <w:t>Data Sources</w:t>
      </w:r>
    </w:p>
    <w:p w:rsidR="00624767" w:rsidRPr="00FC511E" w:rsidRDefault="00624767" w:rsidP="00624767">
      <w:pPr>
        <w:spacing w:before="60" w:after="60" w:line="480" w:lineRule="auto"/>
        <w:ind w:firstLine="360"/>
        <w:rPr>
          <w:i/>
        </w:rPr>
      </w:pPr>
      <w:r w:rsidRPr="00FC511E">
        <w:rPr>
          <w:i/>
        </w:rPr>
        <w:t xml:space="preserve">i. Metformin Use in </w:t>
      </w:r>
      <w:r>
        <w:rPr>
          <w:i/>
        </w:rPr>
        <w:t>H</w:t>
      </w:r>
      <w:r w:rsidRPr="00FC511E">
        <w:rPr>
          <w:i/>
        </w:rPr>
        <w:t>eart Failure</w:t>
      </w:r>
    </w:p>
    <w:p w:rsidR="00624767" w:rsidRDefault="00624767" w:rsidP="00624767">
      <w:pPr>
        <w:spacing w:line="480" w:lineRule="auto"/>
        <w:ind w:firstLine="360"/>
      </w:pPr>
      <w:r>
        <w:t>The data sources and population studied were previously described in detail.</w:t>
      </w:r>
      <w:r w:rsidR="006506AF">
        <w:fldChar w:fldCharType="begin"/>
      </w:r>
      <w:r w:rsidR="00DF2C28">
        <w:instrText xml:space="preserve"> ADDIN REFMGR.CITE &lt;Refman&gt;&lt;Cite&gt;&lt;Author&gt;Eurich&lt;/Author&gt;&lt;Year&gt;2005&lt;/Year&gt;&lt;RecNum&gt;6041&lt;/RecNum&gt;&lt;IDText&gt;Improved Clinical Outcomes Associated With Metformin in Patients With Diabetes and Heart Failure&lt;/IDText&gt;&lt;MDL Ref_Type="Journal"&gt;&lt;Ref_Type&gt;Journal&lt;/Ref_Type&gt;&lt;Ref_ID&gt;6041&lt;/Ref_ID&gt;&lt;Title_Primary&gt;Improved Clinical Outcomes Associated With Metformin in Patients With Diabetes and Heart Failure&lt;/Title_Primary&gt;&lt;Authors_Primary&gt;Eurich,Dean T.&lt;/Authors_Primary&gt;&lt;Authors_Primary&gt;Majumdar,Sumit R.&lt;/Authors_Primary&gt;&lt;Authors_Primary&gt;McAlister,Finlay A.&lt;/Authors_Primary&gt;&lt;Authors_Primary&gt;Tsuyuki,Ross T.&lt;/Authors_Primary&gt;&lt;Authors_Primary&gt;Johnson,Jeffrey A.&lt;/Authors_Primary&gt;&lt;Date_Primary&gt;2005/10/1&lt;/Date_Primary&gt;&lt;Keywords&gt;2&lt;/Keywords&gt;&lt;Keywords&gt;Acidosis&lt;/Keywords&gt;&lt;Keywords&gt;Age&lt;/Keywords&gt;&lt;Keywords&gt;Antidiabetic Agent&lt;/Keywords&gt;&lt;Keywords&gt;Databases&lt;/Keywords&gt;&lt;Keywords&gt;Death&lt;/Keywords&gt;&lt;Keywords&gt;Diabetes&lt;/Keywords&gt;&lt;Keywords&gt;FAILURE&lt;/Keywords&gt;&lt;Keywords&gt;Follow Up&lt;/Keywords&gt;&lt;Keywords&gt;Health&lt;/Keywords&gt;&lt;Keywords&gt;Heart&lt;/Keywords&gt;&lt;Keywords&gt;Heart Failure&lt;/Keywords&gt;&lt;Keywords&gt;HEART-FAILURE&lt;/Keywords&gt;&lt;Keywords&gt;Hospitalization&lt;/Keywords&gt;&lt;Keywords&gt;Lactic Acidosis&lt;/Keywords&gt;&lt;Keywords&gt;LACTIC-ACIDOSIS&lt;/Keywords&gt;&lt;Keywords&gt;Male&lt;/Keywords&gt;&lt;Keywords&gt;Metformin&lt;/Keywords&gt;&lt;Keywords&gt;Model&lt;/Keywords&gt;&lt;Keywords&gt;Monotherapy&lt;/Keywords&gt;&lt;Keywords&gt;Morbidity&lt;/Keywords&gt;&lt;Keywords&gt;mortality&lt;/Keywords&gt;&lt;Keywords&gt;n&lt;/Keywords&gt;&lt;Keywords&gt;Oral Antidiabetic Agent&lt;/Keywords&gt;&lt;Keywords&gt;Patient&lt;/Keywords&gt;&lt;Keywords&gt;Patients&lt;/Keywords&gt;&lt;Keywords&gt;Proportional Hazards Models&lt;/Keywords&gt;&lt;Keywords&gt;Records&lt;/Keywords&gt;&lt;Keywords&gt;Research&lt;/Keywords&gt;&lt;Keywords&gt;Research Design&lt;/Keywords&gt;&lt;Keywords&gt;Saskatchewan&lt;/Keywords&gt;&lt;Keywords&gt;Study&lt;/Keywords&gt;&lt;Keywords&gt;Sulfonylurea&lt;/Keywords&gt;&lt;Keywords&gt;therapy&lt;/Keywords&gt;&lt;Keywords&gt;Time&lt;/Keywords&gt;&lt;Keywords&gt;Type 2 diabetes&lt;/Keywords&gt;&lt;Reprint&gt;Not in File&lt;/Reprint&gt;&lt;Start_Page&gt;2345&lt;/Start_Page&gt;&lt;End_Page&gt;2351&lt;/End_Page&gt;&lt;Periodical&gt;Diabetes Care&lt;/Periodical&gt;&lt;Volume&gt;28&lt;/Volume&gt;&lt;Issue&gt;10&lt;/Issue&gt;&lt;Web_URL&gt;http://care.diabetesjournals.org/cgi/content/abstract/28/10/2345&lt;/Web_URL&gt;&lt;ZZ_JournalFull&gt;&lt;f name="System"&gt;Diabetes Care&lt;/f&gt;&lt;/ZZ_JournalFull&gt;&lt;ZZ_WorkformID&gt;1&lt;/ZZ_WorkformID&gt;&lt;/MDL&gt;&lt;/Cite&gt;&lt;/Refman&gt;</w:instrText>
      </w:r>
      <w:r w:rsidR="006506AF">
        <w:fldChar w:fldCharType="separate"/>
      </w:r>
      <w:r w:rsidR="00DF2C28">
        <w:t>(9)</w:t>
      </w:r>
      <w:r w:rsidR="006506AF">
        <w:fldChar w:fldCharType="end"/>
      </w:r>
      <w:r>
        <w:t xml:space="preserve"> Briefly, between January 1, 1991 and December 31, 1999, 1,833 eligible subjects newly treated with oral antidiabetic agents and had incident heart failure were identified using the administrative databases of Saskatchewan Health. Subjects were categorized into three mutually exclusive groups according to oral antidiabetic prescription claims: 773 (42%) were treated with sulfonylurea therapy alone, 208 (11%) with metformin alone, and 852 (47%) were treated with combinations of sulfonylurea and metformin. For the illustrative purposes of this paper, only individuals who received either metformin or sulfonylurea monotherapy were included. All subjects were prospectively followed until death, termination of Saskatchewan Health coverage, or December 31, 1999, providing a maximum follow-up of 9 years. However, for illustrative purposes, the upper limit was truncated to 8 years to ensure comparability in follow-up time between treatment groups.</w:t>
      </w:r>
    </w:p>
    <w:p w:rsidR="00624767" w:rsidRDefault="00624767" w:rsidP="00624767">
      <w:pPr>
        <w:spacing w:line="480" w:lineRule="auto"/>
        <w:ind w:firstLine="360"/>
      </w:pPr>
      <w:r>
        <w:rPr>
          <w:lang w:val="en-CA"/>
        </w:rPr>
        <w:t>The mean age of the study cohort at baseline was</w:t>
      </w:r>
      <w:r>
        <w:t xml:space="preserve"> 74 (SD 10) years, 59% were male, and mean follow-up was 2.3 (SD 1.9) years following the diagnosis of heart failure.  The sulfonylurea group was slightly older, had less comorbidity, and had fewer prescription claims for heart failure-related medications compared to the metformin monotherapy group (Table 1). </w:t>
      </w:r>
    </w:p>
    <w:p w:rsidR="00624767" w:rsidRDefault="00624767" w:rsidP="00624767">
      <w:pPr>
        <w:spacing w:line="480" w:lineRule="auto"/>
        <w:ind w:firstLine="360"/>
      </w:pPr>
      <w:r>
        <w:t>Using standard Cox proportional hazards regression techniques, after adjustment for potentially confounding variables (i.e., age, sex, a modified Chronic Disease Score (CDS)</w:t>
      </w:r>
      <w:r w:rsidR="006506AF">
        <w:fldChar w:fldCharType="begin"/>
      </w:r>
      <w:r w:rsidR="00DF2C28">
        <w:instrText xml:space="preserve"> ADDIN REFMGR.CITE &lt;Refman&gt;&lt;Cite&gt;&lt;Author&gt;Eurich&lt;/Author&gt;&lt;Year&gt;2004&lt;/Year&gt;&lt;RecNum&gt;331&lt;/RecNum&gt;&lt;IDText&gt;Reduced mortality associated with the use of ACE inhibitors in patients with type 2 diabetes&lt;/IDText&gt;&lt;MDL Ref_Type="Journal"&gt;&lt;Ref_Type&gt;Journal&lt;/Ref_Type&gt;&lt;Ref_ID&gt;331&lt;/Ref_ID&gt;&lt;Title_Primary&gt;Reduced mortality associated with the use of ACE inhibitors in patients with type 2 diabetes&lt;/Title_Primary&gt;&lt;Authors_Primary&gt;Eurich,D.T.&lt;/Authors_Primary&gt;&lt;Authors_Primary&gt;Majumdar,S.R.&lt;/Authors_Primary&gt;&lt;Authors_Primary&gt;Tsuyuki,R.T.&lt;/Authors_Primary&gt;&lt;Authors_Primary&gt;Johnson,J.A.&lt;/Authors_Primary&gt;&lt;Date_Primary&gt;2004/6&lt;/Date_Primary&gt;&lt;Keywords&gt;Alberta&lt;/Keywords&gt;&lt;Keywords&gt;Canada&lt;/Keywords&gt;&lt;Keywords&gt;Cardiovascular&lt;/Keywords&gt;&lt;Keywords&gt;Control&lt;/Keywords&gt;&lt;Keywords&gt;Databases&lt;/Keywords&gt;&lt;Keywords&gt;Death&lt;/Keywords&gt;&lt;Keywords&gt;Diabetes&lt;/Keywords&gt;&lt;Keywords&gt;Disease&lt;/Keywords&gt;&lt;Keywords&gt;economics&lt;/Keywords&gt;&lt;Keywords&gt;Female&lt;/Keywords&gt;&lt;Keywords&gt;Health&lt;/Keywords&gt;&lt;Keywords&gt;Hypoglycemic Agents&lt;/Keywords&gt;&lt;Keywords&gt;mortality&lt;/Keywords&gt;&lt;Keywords&gt;Proportional Hazards Models&lt;/Keywords&gt;&lt;Keywords&gt;Research&lt;/Keywords&gt;&lt;Keywords&gt;Research Design&lt;/Keywords&gt;&lt;Keywords&gt;Saskatchewan&lt;/Keywords&gt;&lt;Keywords&gt;therapy&lt;/Keywords&gt;&lt;Reprint&gt;Not in File&lt;/Reprint&gt;&lt;Start_Page&gt;1330&lt;/Start_Page&gt;&lt;End_Page&gt;1334&lt;/End_Page&gt;&lt;Periodical&gt;Diabetes Care&lt;/Periodical&gt;&lt;Volume&gt;27&lt;/Volume&gt;&lt;Issue&gt;6&lt;/Issue&gt;&lt;Address&gt;Institute of Health Economics #1200, 10405 Jasper Ave., Edmonton, Alberta, Canada T5J 3N4&lt;/Address&gt;&lt;Web_URL&gt;PM:15161784&lt;/Web_URL&gt;&lt;ZZ_JournalFull&gt;&lt;f name="System"&gt;Diabetes Care&lt;/f&gt;&lt;/ZZ_JournalFull&gt;&lt;ZZ_WorkformID&gt;1&lt;/ZZ_WorkformID&gt;&lt;/MDL&gt;&lt;/Cite&gt;&lt;Cite&gt;&lt;Author&gt;Johnson&lt;/Author&gt;&lt;Year&gt;2002&lt;/Year&gt;&lt;RecNum&gt;160&lt;/RecNum&gt;&lt;IDText&gt;Decreased mortality associated with metformin use compared to sulfonylurea monotherapy in type 2 diabetes mellitus&lt;/IDText&gt;&lt;MDL Ref_Type="Journal"&gt;&lt;Ref_Type&gt;Journal&lt;/Ref_Type&gt;&lt;Ref_ID&gt;160&lt;/Ref_ID&gt;&lt;Title_Primary&gt;Decreased mortality associated with metformin use compared to sulfonylurea monotherapy in type 2 diabetes mellitus&lt;/Title_Primary&gt;&lt;Authors_Primary&gt;Johnson,J.A.&lt;/Authors_Primary&gt;&lt;Authors_Primary&gt;Majumdar,S.R.&lt;/Authors_Primary&gt;&lt;Authors_Primary&gt;Simpson,S.H.&lt;/Authors_Primary&gt;&lt;Authors_Primary&gt;Toth,E.L.&lt;/Authors_Primary&gt;&lt;Date_Primary&gt;2002&lt;/Date_Primary&gt;&lt;Keywords&gt;Diabetes&lt;/Keywords&gt;&lt;Keywords&gt;Diabetes Mellitus&lt;/Keywords&gt;&lt;Keywords&gt;Metformin&lt;/Keywords&gt;&lt;Keywords&gt;mortality&lt;/Keywords&gt;&lt;Reprint&gt;Not in File&lt;/Reprint&gt;&lt;Start_Page&gt;2244&lt;/Start_Page&gt;&lt;End_Page&gt;2248&lt;/End_Page&gt;&lt;Periodical&gt;Diabetes Care&lt;/Periodical&gt;&lt;Volume&gt;25&lt;/Volume&gt;&lt;Web_URL_Link4&gt;&lt;f name="System"&gt;Diabetes Care&lt;/f&gt;&lt;/Web_URL_Link4&gt;&lt;ZZ_WorkformID&gt;1&lt;/ZZ_WorkformID&gt;&lt;/MDL&gt;&lt;/Cite&gt;&lt;/Refman&gt;</w:instrText>
      </w:r>
      <w:r w:rsidR="006506AF">
        <w:fldChar w:fldCharType="separate"/>
      </w:r>
      <w:r w:rsidR="00DF2C28">
        <w:t>(22;23)</w:t>
      </w:r>
      <w:r w:rsidR="006506AF">
        <w:fldChar w:fldCharType="end"/>
      </w:r>
      <w:r>
        <w:t>, therapies known to affect heart failure outcomes: ACE inhibitors; angiotensin II blockers; beta-blockers; antiplatelet agents; nitrates; lipid-lowering therapies; antiarrhythmic agents; and spironolactone, and total physician visits prior to heart failure diagnosis), a reduction in the hazard of events in favor of the metformin group compared to sulfonylurea therapy was observed for both all-cause mortality</w:t>
      </w:r>
      <w:r w:rsidRPr="00736187">
        <w:t xml:space="preserve"> </w:t>
      </w:r>
      <w:r>
        <w:t>[69 (33%) vs. 404 (52%); hazards ratio (HR) 0.70 (95% CI 0.54-0.91)] and the composite outcome of “all-cause mortality or all-cause hospitalization” [160 (77%) vs. 658 (85%); HR 0.83 (95% CI 0.70-0.99)].</w:t>
      </w:r>
      <w:r w:rsidR="006506AF">
        <w:fldChar w:fldCharType="begin"/>
      </w:r>
      <w:r w:rsidR="00DF2C28">
        <w:instrText xml:space="preserve"> ADDIN REFMGR.CITE &lt;Refman&gt;&lt;Cite&gt;&lt;Author&gt;Eurich&lt;/Author&gt;&lt;Year&gt;2005&lt;/Year&gt;&lt;RecNum&gt;6041&lt;/RecNum&gt;&lt;IDText&gt;Improved Clinical Outcomes Associated With Metformin in Patients With Diabetes and Heart Failure&lt;/IDText&gt;&lt;MDL Ref_Type="Journal"&gt;&lt;Ref_Type&gt;Journal&lt;/Ref_Type&gt;&lt;Ref_ID&gt;6041&lt;/Ref_ID&gt;&lt;Title_Primary&gt;Improved Clinical Outcomes Associated With Metformin in Patients With Diabetes and Heart Failure&lt;/Title_Primary&gt;&lt;Authors_Primary&gt;Eurich,Dean T.&lt;/Authors_Primary&gt;&lt;Authors_Primary&gt;Majumdar,Sumit R.&lt;/Authors_Primary&gt;&lt;Authors_Primary&gt;McAlister,Finlay A.&lt;/Authors_Primary&gt;&lt;Authors_Primary&gt;Tsuyuki,Ross T.&lt;/Authors_Primary&gt;&lt;Authors_Primary&gt;Johnson,Jeffrey A.&lt;/Authors_Primary&gt;&lt;Date_Primary&gt;2005/10/1&lt;/Date_Primary&gt;&lt;Keywords&gt;2&lt;/Keywords&gt;&lt;Keywords&gt;Acidosis&lt;/Keywords&gt;&lt;Keywords&gt;Age&lt;/Keywords&gt;&lt;Keywords&gt;Antidiabetic Agent&lt;/Keywords&gt;&lt;Keywords&gt;Databases&lt;/Keywords&gt;&lt;Keywords&gt;Death&lt;/Keywords&gt;&lt;Keywords&gt;Diabetes&lt;/Keywords&gt;&lt;Keywords&gt;FAILURE&lt;/Keywords&gt;&lt;Keywords&gt;Follow Up&lt;/Keywords&gt;&lt;Keywords&gt;Health&lt;/Keywords&gt;&lt;Keywords&gt;Heart&lt;/Keywords&gt;&lt;Keywords&gt;Heart Failure&lt;/Keywords&gt;&lt;Keywords&gt;HEART-FAILURE&lt;/Keywords&gt;&lt;Keywords&gt;Hospitalization&lt;/Keywords&gt;&lt;Keywords&gt;Lactic Acidosis&lt;/Keywords&gt;&lt;Keywords&gt;LACTIC-ACIDOSIS&lt;/Keywords&gt;&lt;Keywords&gt;Male&lt;/Keywords&gt;&lt;Keywords&gt;Metformin&lt;/Keywords&gt;&lt;Keywords&gt;Model&lt;/Keywords&gt;&lt;Keywords&gt;Monotherapy&lt;/Keywords&gt;&lt;Keywords&gt;Morbidity&lt;/Keywords&gt;&lt;Keywords&gt;mortality&lt;/Keywords&gt;&lt;Keywords&gt;n&lt;/Keywords&gt;&lt;Keywords&gt;Oral Antidiabetic Agent&lt;/Keywords&gt;&lt;Keywords&gt;Patient&lt;/Keywords&gt;&lt;Keywords&gt;Patients&lt;/Keywords&gt;&lt;Keywords&gt;Proportional Hazards Models&lt;/Keywords&gt;&lt;Keywords&gt;Records&lt;/Keywords&gt;&lt;Keywords&gt;Research&lt;/Keywords&gt;&lt;Keywords&gt;Research Design&lt;/Keywords&gt;&lt;Keywords&gt;Saskatchewan&lt;/Keywords&gt;&lt;Keywords&gt;Study&lt;/Keywords&gt;&lt;Keywords&gt;Sulfonylurea&lt;/Keywords&gt;&lt;Keywords&gt;therapy&lt;/Keywords&gt;&lt;Keywords&gt;Time&lt;/Keywords&gt;&lt;Keywords&gt;Type 2 diabetes&lt;/Keywords&gt;&lt;Reprint&gt;Not in File&lt;/Reprint&gt;&lt;Start_Page&gt;2345&lt;/Start_Page&gt;&lt;End_Page&gt;2351&lt;/End_Page&gt;&lt;Periodical&gt;Diabetes Care&lt;/Periodical&gt;&lt;Volume&gt;28&lt;/Volume&gt;&lt;Issue&gt;10&lt;/Issue&gt;&lt;Web_URL&gt;http://care.diabetesjournals.org/cgi/content/abstract/28/10/2345&lt;/Web_URL&gt;&lt;ZZ_JournalFull&gt;&lt;f name="System"&gt;Diabetes Care&lt;/f&gt;&lt;/ZZ_JournalFull&gt;&lt;ZZ_WorkformID&gt;1&lt;/ZZ_WorkformID&gt;&lt;/MDL&gt;&lt;/Cite&gt;&lt;/Refman&gt;</w:instrText>
      </w:r>
      <w:r w:rsidR="006506AF">
        <w:fldChar w:fldCharType="separate"/>
      </w:r>
      <w:r w:rsidR="00DF2C28">
        <w:t>(9)</w:t>
      </w:r>
      <w:r w:rsidR="006506AF">
        <w:fldChar w:fldCharType="end"/>
      </w:r>
      <w:r>
        <w:t xml:space="preserve">  </w:t>
      </w:r>
    </w:p>
    <w:p w:rsidR="00624767" w:rsidRDefault="00624767" w:rsidP="00624767">
      <w:pPr>
        <w:spacing w:line="480" w:lineRule="auto"/>
        <w:ind w:firstLine="360"/>
        <w:rPr>
          <w:i/>
        </w:rPr>
      </w:pPr>
    </w:p>
    <w:p w:rsidR="00624767" w:rsidRPr="00EB4663" w:rsidRDefault="00624767" w:rsidP="00624767">
      <w:pPr>
        <w:spacing w:line="480" w:lineRule="auto"/>
        <w:ind w:firstLine="360"/>
        <w:rPr>
          <w:i/>
        </w:rPr>
      </w:pPr>
      <w:r w:rsidRPr="00EB4663">
        <w:rPr>
          <w:i/>
        </w:rPr>
        <w:t>ii. The D</w:t>
      </w:r>
      <w:r>
        <w:rPr>
          <w:i/>
        </w:rPr>
        <w:t>IG</w:t>
      </w:r>
      <w:r w:rsidRPr="00EB4663">
        <w:rPr>
          <w:i/>
        </w:rPr>
        <w:t xml:space="preserve"> Study</w:t>
      </w:r>
    </w:p>
    <w:p w:rsidR="00624767" w:rsidRDefault="00624767" w:rsidP="00624767">
      <w:pPr>
        <w:spacing w:line="480" w:lineRule="auto"/>
        <w:ind w:firstLine="360"/>
      </w:pPr>
      <w:r>
        <w:t>The rationale, design, and results of the DIG study has been previously described in detail.</w:t>
      </w:r>
      <w:r w:rsidR="006506AF">
        <w:fldChar w:fldCharType="begin"/>
      </w:r>
      <w:r w:rsidR="00DF2C28">
        <w:instrText xml:space="preserve"> ADDIN REFMGR.CITE &lt;Refman&gt;&lt;Cite&gt;&lt;Author&gt;The Digitalis Investigation Group&lt;/Author&gt;&lt;Year&gt;1996&lt;/Year&gt;&lt;RecNum&gt;6406&lt;/RecNum&gt;&lt;IDText&gt;Rationale, design, implementation, and baseline characteristics of patients in the DIG trial: a large, simple, long-term trial to evaluate the effect of digitalis on mortality in heart failure&lt;/IDText&gt;&lt;MDL Ref_Type="Journal"&gt;&lt;Ref_Type&gt;Journal&lt;/Ref_Type&gt;&lt;Ref_ID&gt;6406&lt;/Ref_ID&gt;&lt;Title_Primary&gt;Rationale, design, implementation, and baseline characteristics of patients in the DIG trial: a large, simple, long-term trial to evaluate the effect of digitalis on mortality in heart failure&lt;/Title_Primary&gt;&lt;Authors_Primary&gt;The Digitalis Investigation Group&lt;/Authors_Primary&gt;&lt;Date_Primary&gt;1996/2&lt;/Date_Primary&gt;&lt;Keywords&gt;Aged&lt;/Keywords&gt;&lt;Keywords&gt;Article&lt;/Keywords&gt;&lt;Keywords&gt;Canada&lt;/Keywords&gt;&lt;Keywords&gt;Clinical Trial&lt;/Keywords&gt;&lt;Keywords&gt;CLINICAL-TRIAL&lt;/Keywords&gt;&lt;Keywords&gt;Data Collection&lt;/Keywords&gt;&lt;Keywords&gt;Digitalis Glycosides&lt;/Keywords&gt;&lt;Keywords&gt;Digoxin&lt;/Keywords&gt;&lt;Keywords&gt;drug therapy&lt;/Keywords&gt;&lt;Keywords&gt;EJECTION&lt;/Keywords&gt;&lt;Keywords&gt;ejection fraction&lt;/Keywords&gt;&lt;Keywords&gt;FAILURE&lt;/Keywords&gt;&lt;Keywords&gt;Female&lt;/Keywords&gt;&lt;Keywords&gt;Follow Up&lt;/Keywords&gt;&lt;Keywords&gt;FOLLOW-UP&lt;/Keywords&gt;&lt;Keywords&gt;Heart&lt;/Keywords&gt;&lt;Keywords&gt;Heart Failure&lt;/Keywords&gt;&lt;Keywords&gt;Heart Failure,Congestive&lt;/Keywords&gt;&lt;Keywords&gt;HEART-FAILURE&lt;/Keywords&gt;&lt;Keywords&gt;Humans&lt;/Keywords&gt;&lt;Keywords&gt;Journal Article&lt;/Keywords&gt;&lt;Keywords&gt;Male&lt;/Keywords&gt;&lt;Keywords&gt;Middle Aged&lt;/Keywords&gt;&lt;Keywords&gt;mortality&lt;/Keywords&gt;&lt;Keywords&gt;Multicenter Studies&lt;/Keywords&gt;&lt;Keywords&gt;Patient&lt;/Keywords&gt;&lt;Keywords&gt;Patient Selection&lt;/Keywords&gt;&lt;Keywords&gt;Patients&lt;/Keywords&gt;&lt;Keywords&gt;Randomized Controlled Trials&lt;/Keywords&gt;&lt;Keywords&gt;Sinus Rhythm&lt;/Keywords&gt;&lt;Keywords&gt;standards&lt;/Keywords&gt;&lt;Keywords&gt;statistics &amp;amp; numerical data&lt;/Keywords&gt;&lt;Keywords&gt;studies&lt;/Keywords&gt;&lt;Keywords&gt;Study&lt;/Keywords&gt;&lt;Keywords&gt;therapeutic use&lt;/Keywords&gt;&lt;Keywords&gt;Treatment Outcome&lt;/Keywords&gt;&lt;Keywords&gt;TRIAL&lt;/Keywords&gt;&lt;Keywords&gt;United States&lt;/Keywords&gt;&lt;Reprint&gt;Not in File&lt;/Reprint&gt;&lt;Start_Page&gt;77&lt;/Start_Page&gt;&lt;End_Page&gt;97&lt;/End_Page&gt;&lt;Periodical&gt;Control Clin.Trials&lt;/Periodical&gt;&lt;Volume&gt;17&lt;/Volume&gt;&lt;Issue&gt;1&lt;/Issue&gt;&lt;Web_URL&gt;&lt;u&gt;PM:8721804&lt;/u&gt;&lt;/Web_URL&gt;&lt;ZZ_JournalFull&gt;&lt;f name="System"&gt;Control Clin.Trials&lt;/f&gt;&lt;/ZZ_JournalFull&gt;&lt;ZZ_WorkformID&gt;1&lt;/ZZ_WorkformID&gt;&lt;/MDL&gt;&lt;/Cite&gt;&lt;Cite&gt;&lt;Author&gt;The Digitalis Investigation Group&lt;/Author&gt;&lt;Year&gt;1997&lt;/Year&gt;&lt;RecNum&gt;6405&lt;/RecNum&gt;&lt;IDText&gt;The effect of digoxin on mortality and morbidity in patients with heart failure.&lt;/IDText&gt;&lt;MDL Ref_Type="Journal"&gt;&lt;Ref_Type&gt;Journal&lt;/Ref_Type&gt;&lt;Ref_ID&gt;6405&lt;/Ref_ID&gt;&lt;Title_Primary&gt;The effect of digoxin on mortality and morbidity in patients with heart failure.&lt;/Title_Primary&gt;&lt;Authors_Primary&gt;The Digitalis Investigation Group&lt;/Authors_Primary&gt;&lt;Date_Primary&gt;1997/2/20&lt;/Date_Primary&gt;&lt;Keywords&gt;adverse effects&lt;/Keywords&gt;&lt;Keywords&gt;Aged&lt;/Keywords&gt;&lt;Keywords&gt;Arrhythmia&lt;/Keywords&gt;&lt;Keywords&gt;Article&lt;/Keywords&gt;&lt;Keywords&gt;cardiac&lt;/Keywords&gt;&lt;Keywords&gt;Cardiotonic Agents&lt;/Keywords&gt;&lt;Keywords&gt;Cardiovascular Diseases&lt;/Keywords&gt;&lt;Keywords&gt;chronic heart failure&lt;/Keywords&gt;&lt;Keywords&gt;CHRONIC-HEART-FAILURE&lt;/Keywords&gt;&lt;Keywords&gt;Clinical Trial&lt;/Keywords&gt;&lt;Keywords&gt;CLINICAL-TRIAL&lt;/Keywords&gt;&lt;Keywords&gt;complications&lt;/Keywords&gt;&lt;Keywords&gt;Confidence Interval&lt;/Keywords&gt;&lt;Keywords&gt;CONTROLLED TRIAL&lt;/Keywords&gt;&lt;Keywords&gt;CONTROLLED-TRIAL&lt;/Keywords&gt;&lt;Keywords&gt;Death&lt;/Keywords&gt;&lt;Keywords&gt;DECREASE&lt;/Keywords&gt;&lt;Keywords&gt;Digoxin&lt;/Keywords&gt;&lt;Keywords&gt;Diuretics&lt;/Keywords&gt;&lt;Keywords&gt;Double-Blind Method&lt;/Keywords&gt;&lt;Keywords&gt;drug therapy&lt;/Keywords&gt;&lt;Keywords&gt;EJECTION&lt;/Keywords&gt;&lt;Keywords&gt;ejection fraction&lt;/Keywords&gt;&lt;Keywords&gt;etiology&lt;/Keywords&gt;&lt;Keywords&gt;FAILURE&lt;/Keywords&gt;&lt;Keywords&gt;Female&lt;/Keywords&gt;&lt;Keywords&gt;Follow Up&lt;/Keywords&gt;&lt;Keywords&gt;FOLLOW-UP&lt;/Keywords&gt;&lt;Keywords&gt;Heart&lt;/Keywords&gt;&lt;Keywords&gt;Heart Failure&lt;/Keywords&gt;&lt;Keywords&gt;Heart Failure,Congestive&lt;/Keywords&gt;&lt;Keywords&gt;HEART-FAILURE&lt;/Keywords&gt;&lt;Keywords&gt;Hospitalization&lt;/Keywords&gt;&lt;Keywords&gt;Humans&lt;/Keywords&gt;&lt;Keywords&gt;INHIBITOR&lt;/Keywords&gt;&lt;Keywords&gt;INTERVAL&lt;/Keywords&gt;&lt;Keywords&gt;Journal Article&lt;/Keywords&gt;&lt;Keywords&gt;left ventricular ejection fraction&lt;/Keywords&gt;&lt;Keywords&gt;LESS&lt;/Keywords&gt;&lt;Keywords&gt;Male&lt;/Keywords&gt;&lt;Keywords&gt;MANAGEMENT&lt;/Keywords&gt;&lt;Keywords&gt;methods&lt;/Keywords&gt;&lt;Keywords&gt;Middle Aged&lt;/Keywords&gt;&lt;Keywords&gt;Morbidity&lt;/Keywords&gt;&lt;Keywords&gt;mortality&lt;/Keywords&gt;&lt;Keywords&gt;Multicenter Studies&lt;/Keywords&gt;&lt;Keywords&gt;Multicenter Study&lt;/Keywords&gt;&lt;Keywords&gt;New York&lt;/Keywords&gt;&lt;Keywords&gt;Patient&lt;/Keywords&gt;&lt;Keywords&gt;Patients&lt;/Keywords&gt;&lt;Keywords&gt;Placebo&lt;/Keywords&gt;&lt;Keywords&gt;Randomized Controlled Trial&lt;/Keywords&gt;&lt;Keywords&gt;Risk&lt;/Keywords&gt;&lt;Keywords&gt;Sinus Rhythm&lt;/Keywords&gt;&lt;Keywords&gt;statistics &amp;amp; numerical data&lt;/Keywords&gt;&lt;Keywords&gt;Stroke Volume&lt;/Keywords&gt;&lt;Keywords&gt;studies&lt;/Keywords&gt;&lt;Keywords&gt;Study&lt;/Keywords&gt;&lt;Keywords&gt;therapeutic use&lt;/Keywords&gt;&lt;Keywords&gt;Treatment Outcome&lt;/Keywords&gt;&lt;Keywords&gt;TRIAL&lt;/Keywords&gt;&lt;Keywords&gt;VENTRICULAR EJECTION FRACTION&lt;/Keywords&gt;&lt;Reprint&gt;Not in File&lt;/Reprint&gt;&lt;Start_Page&gt;525&lt;/Start_Page&gt;&lt;End_Page&gt;533&lt;/End_Page&gt;&lt;Periodical&gt;N.Engl.J.Med&lt;/Periodical&gt;&lt;Volume&gt;336&lt;/Volume&gt;&lt;Issue&gt;8&lt;/Issue&gt;&lt;Address&gt;Mount Sinai Medical Center, New York, NY 10029-6574, USA&lt;/Address&gt;&lt;Web_URL&gt;PM:9036306&lt;/Web_URL&gt;&lt;ZZ_JournalFull&gt;&lt;f name="System"&gt;N.Engl.J.Med&lt;/f&gt;&lt;/ZZ_JournalFull&gt;&lt;ZZ_WorkformID&gt;1&lt;/ZZ_WorkformID&gt;&lt;/MDL&gt;&lt;/Cite&gt;&lt;/Refman&gt;</w:instrText>
      </w:r>
      <w:r w:rsidR="006506AF">
        <w:fldChar w:fldCharType="separate"/>
      </w:r>
      <w:r w:rsidR="00DF2C28">
        <w:t>(10</w:t>
      </w:r>
      <w:proofErr w:type="gramStart"/>
      <w:r w:rsidR="00DF2C28">
        <w:t>;24</w:t>
      </w:r>
      <w:proofErr w:type="gramEnd"/>
      <w:r w:rsidR="00DF2C28">
        <w:t>)</w:t>
      </w:r>
      <w:r w:rsidR="006506AF">
        <w:fldChar w:fldCharType="end"/>
      </w:r>
      <w:r>
        <w:t xml:space="preserve"> A total of 6800 patients with heart failure and a left ventricular ejection fraction ≤0.45 percent were randomly assigned to receive either digoxin or placebo. </w:t>
      </w:r>
      <w:r>
        <w:rPr>
          <w:lang w:val="en-CA"/>
        </w:rPr>
        <w:t xml:space="preserve">The mean age of the DIG study participants was </w:t>
      </w:r>
      <w:r>
        <w:t xml:space="preserve">63 (SD 11) years, 78% were male, and mean follow-up was 37 (range 28 to 58) months following randomization.  There were no significant differences between the baseline characteristics between the digoxin or placebo patients (Table 2). </w:t>
      </w:r>
      <w:r w:rsidR="006506AF">
        <w:fldChar w:fldCharType="begin"/>
      </w:r>
      <w:r w:rsidR="00DF2C28">
        <w:instrText xml:space="preserve"> ADDIN REFMGR.CITE &lt;Refman&gt;&lt;Cite&gt;&lt;Author&gt;The Digitalis Investigation Group&lt;/Author&gt;&lt;Year&gt;1997&lt;/Year&gt;&lt;RecNum&gt;6405&lt;/RecNum&gt;&lt;IDText&gt;The effect of digoxin on mortality and morbidity in patients with heart failure.&lt;/IDText&gt;&lt;MDL Ref_Type="Journal"&gt;&lt;Ref_Type&gt;Journal&lt;/Ref_Type&gt;&lt;Ref_ID&gt;6405&lt;/Ref_ID&gt;&lt;Title_Primary&gt;The effect of digoxin on mortality and morbidity in patients with heart failure.&lt;/Title_Primary&gt;&lt;Authors_Primary&gt;The Digitalis Investigation Group&lt;/Authors_Primary&gt;&lt;Date_Primary&gt;1997/2/20&lt;/Date_Primary&gt;&lt;Keywords&gt;adverse effects&lt;/Keywords&gt;&lt;Keywords&gt;Aged&lt;/Keywords&gt;&lt;Keywords&gt;Arrhythmia&lt;/Keywords&gt;&lt;Keywords&gt;Article&lt;/Keywords&gt;&lt;Keywords&gt;cardiac&lt;/Keywords&gt;&lt;Keywords&gt;Cardiotonic Agents&lt;/Keywords&gt;&lt;Keywords&gt;Cardiovascular Diseases&lt;/Keywords&gt;&lt;Keywords&gt;chronic heart failure&lt;/Keywords&gt;&lt;Keywords&gt;CHRONIC-HEART-FAILURE&lt;/Keywords&gt;&lt;Keywords&gt;Clinical Trial&lt;/Keywords&gt;&lt;Keywords&gt;CLINICAL-TRIAL&lt;/Keywords&gt;&lt;Keywords&gt;complications&lt;/Keywords&gt;&lt;Keywords&gt;Confidence Interval&lt;/Keywords&gt;&lt;Keywords&gt;CONTROLLED TRIAL&lt;/Keywords&gt;&lt;Keywords&gt;CONTROLLED-TRIAL&lt;/Keywords&gt;&lt;Keywords&gt;Death&lt;/Keywords&gt;&lt;Keywords&gt;DECREASE&lt;/Keywords&gt;&lt;Keywords&gt;Digoxin&lt;/Keywords&gt;&lt;Keywords&gt;Diuretics&lt;/Keywords&gt;&lt;Keywords&gt;Double-Blind Method&lt;/Keywords&gt;&lt;Keywords&gt;drug therapy&lt;/Keywords&gt;&lt;Keywords&gt;EJECTION&lt;/Keywords&gt;&lt;Keywords&gt;ejection fraction&lt;/Keywords&gt;&lt;Keywords&gt;etiology&lt;/Keywords&gt;&lt;Keywords&gt;FAILURE&lt;/Keywords&gt;&lt;Keywords&gt;Female&lt;/Keywords&gt;&lt;Keywords&gt;Follow Up&lt;/Keywords&gt;&lt;Keywords&gt;FOLLOW-UP&lt;/Keywords&gt;&lt;Keywords&gt;Heart&lt;/Keywords&gt;&lt;Keywords&gt;Heart Failure&lt;/Keywords&gt;&lt;Keywords&gt;Heart Failure,Congestive&lt;/Keywords&gt;&lt;Keywords&gt;HEART-FAILURE&lt;/Keywords&gt;&lt;Keywords&gt;Hospitalization&lt;/Keywords&gt;&lt;Keywords&gt;Humans&lt;/Keywords&gt;&lt;Keywords&gt;INHIBITOR&lt;/Keywords&gt;&lt;Keywords&gt;INTERVAL&lt;/Keywords&gt;&lt;Keywords&gt;Journal Article&lt;/Keywords&gt;&lt;Keywords&gt;left ventricular ejection fraction&lt;/Keywords&gt;&lt;Keywords&gt;LESS&lt;/Keywords&gt;&lt;Keywords&gt;Male&lt;/Keywords&gt;&lt;Keywords&gt;MANAGEMENT&lt;/Keywords&gt;&lt;Keywords&gt;methods&lt;/Keywords&gt;&lt;Keywords&gt;Middle Aged&lt;/Keywords&gt;&lt;Keywords&gt;Morbidity&lt;/Keywords&gt;&lt;Keywords&gt;mortality&lt;/Keywords&gt;&lt;Keywords&gt;Multicenter Studies&lt;/Keywords&gt;&lt;Keywords&gt;Multicenter Study&lt;/Keywords&gt;&lt;Keywords&gt;New York&lt;/Keywords&gt;&lt;Keywords&gt;Patient&lt;/Keywords&gt;&lt;Keywords&gt;Patients&lt;/Keywords&gt;&lt;Keywords&gt;Placebo&lt;/Keywords&gt;&lt;Keywords&gt;Randomized Controlled Trial&lt;/Keywords&gt;&lt;Keywords&gt;Risk&lt;/Keywords&gt;&lt;Keywords&gt;Sinus Rhythm&lt;/Keywords&gt;&lt;Keywords&gt;statistics &amp;amp; numerical data&lt;/Keywords&gt;&lt;Keywords&gt;Stroke Volume&lt;/Keywords&gt;&lt;Keywords&gt;studies&lt;/Keywords&gt;&lt;Keywords&gt;Study&lt;/Keywords&gt;&lt;Keywords&gt;therapeutic use&lt;/Keywords&gt;&lt;Keywords&gt;Treatment Outcome&lt;/Keywords&gt;&lt;Keywords&gt;TRIAL&lt;/Keywords&gt;&lt;Keywords&gt;VENTRICULAR EJECTION FRACTION&lt;/Keywords&gt;&lt;Reprint&gt;Not in File&lt;/Reprint&gt;&lt;Start_Page&gt;525&lt;/Start_Page&gt;&lt;End_Page&gt;533&lt;/End_Page&gt;&lt;Periodical&gt;N.Engl.J.Med&lt;/Periodical&gt;&lt;Volume&gt;336&lt;/Volume&gt;&lt;Issue&gt;8&lt;/Issue&gt;&lt;Address&gt;Mount Sinai Medical Center, New York, NY 10029-6574, USA&lt;/Address&gt;&lt;Web_URL&gt;PM:9036306&lt;/Web_URL&gt;&lt;ZZ_JournalFull&gt;&lt;f name="System"&gt;N.Engl.J.Med&lt;/f&gt;&lt;/ZZ_JournalFull&gt;&lt;ZZ_WorkformID&gt;1&lt;/ZZ_WorkformID&gt;&lt;/MDL&gt;&lt;/Cite&gt;&lt;/Refman&gt;</w:instrText>
      </w:r>
      <w:r w:rsidR="006506AF">
        <w:fldChar w:fldCharType="separate"/>
      </w:r>
      <w:r w:rsidR="00DF2C28">
        <w:t>(10)</w:t>
      </w:r>
      <w:r w:rsidR="006506AF">
        <w:fldChar w:fldCharType="end"/>
      </w:r>
      <w:r>
        <w:t xml:space="preserve"> After an average follow-up of 37 months, there was no difference between the study groups with respect to the primary outcome of all-cause mortality [1194 (35%) in placebo group versus 1181 (35%) in digoxin group; HR 0.99 (95% CI 0.91-1.07)]. There was a trend toward a lower risk of heart failure related mortality in the digoxin group compared to the placebo group [394 (12%) vs. 449 (13%); HR 0.88 (95% CI 0.77-1.01)]. In addition, the risk for the composite outcome of death due to worsening heart failure or hospitalization related to that diagnosis was lower in the digoxin group [1041 (31%) in digoxin group vs. 1291 (38%) in placebo group; HR 0.75 (95% CI 0.69-0.82)].</w:t>
      </w:r>
      <w:r w:rsidR="006506AF">
        <w:fldChar w:fldCharType="begin"/>
      </w:r>
      <w:r w:rsidR="00DF2C28">
        <w:instrText xml:space="preserve"> ADDIN REFMGR.CITE &lt;Refman&gt;&lt;Cite&gt;&lt;Author&gt;The Digitalis Investigation Group&lt;/Author&gt;&lt;Year&gt;1997&lt;/Year&gt;&lt;RecNum&gt;6405&lt;/RecNum&gt;&lt;IDText&gt;The effect of digoxin on mortality and morbidity in patients with heart failure.&lt;/IDText&gt;&lt;MDL Ref_Type="Journal"&gt;&lt;Ref_Type&gt;Journal&lt;/Ref_Type&gt;&lt;Ref_ID&gt;6405&lt;/Ref_ID&gt;&lt;Title_Primary&gt;The effect of digoxin on mortality and morbidity in patients with heart failure.&lt;/Title_Primary&gt;&lt;Authors_Primary&gt;The Digitalis Investigation Group&lt;/Authors_Primary&gt;&lt;Date_Primary&gt;1997/2/20&lt;/Date_Primary&gt;&lt;Keywords&gt;adverse effects&lt;/Keywords&gt;&lt;Keywords&gt;Aged&lt;/Keywords&gt;&lt;Keywords&gt;Arrhythmia&lt;/Keywords&gt;&lt;Keywords&gt;Article&lt;/Keywords&gt;&lt;Keywords&gt;cardiac&lt;/Keywords&gt;&lt;Keywords&gt;Cardiotonic Agents&lt;/Keywords&gt;&lt;Keywords&gt;Cardiovascular Diseases&lt;/Keywords&gt;&lt;Keywords&gt;chronic heart failure&lt;/Keywords&gt;&lt;Keywords&gt;CHRONIC-HEART-FAILURE&lt;/Keywords&gt;&lt;Keywords&gt;Clinical Trial&lt;/Keywords&gt;&lt;Keywords&gt;CLINICAL-TRIAL&lt;/Keywords&gt;&lt;Keywords&gt;complications&lt;/Keywords&gt;&lt;Keywords&gt;Confidence Interval&lt;/Keywords&gt;&lt;Keywords&gt;CONTROLLED TRIAL&lt;/Keywords&gt;&lt;Keywords&gt;CONTROLLED-TRIAL&lt;/Keywords&gt;&lt;Keywords&gt;Death&lt;/Keywords&gt;&lt;Keywords&gt;DECREASE&lt;/Keywords&gt;&lt;Keywords&gt;Digoxin&lt;/Keywords&gt;&lt;Keywords&gt;Diuretics&lt;/Keywords&gt;&lt;Keywords&gt;Double-Blind Method&lt;/Keywords&gt;&lt;Keywords&gt;drug therapy&lt;/Keywords&gt;&lt;Keywords&gt;EJECTION&lt;/Keywords&gt;&lt;Keywords&gt;ejection fraction&lt;/Keywords&gt;&lt;Keywords&gt;etiology&lt;/Keywords&gt;&lt;Keywords&gt;FAILURE&lt;/Keywords&gt;&lt;Keywords&gt;Female&lt;/Keywords&gt;&lt;Keywords&gt;Follow Up&lt;/Keywords&gt;&lt;Keywords&gt;FOLLOW-UP&lt;/Keywords&gt;&lt;Keywords&gt;Heart&lt;/Keywords&gt;&lt;Keywords&gt;Heart Failure&lt;/Keywords&gt;&lt;Keywords&gt;Heart Failure,Congestive&lt;/Keywords&gt;&lt;Keywords&gt;HEART-FAILURE&lt;/Keywords&gt;&lt;Keywords&gt;Hospitalization&lt;/Keywords&gt;&lt;Keywords&gt;Humans&lt;/Keywords&gt;&lt;Keywords&gt;INHIBITOR&lt;/Keywords&gt;&lt;Keywords&gt;INTERVAL&lt;/Keywords&gt;&lt;Keywords&gt;Journal Article&lt;/Keywords&gt;&lt;Keywords&gt;left ventricular ejection fraction&lt;/Keywords&gt;&lt;Keywords&gt;LESS&lt;/Keywords&gt;&lt;Keywords&gt;Male&lt;/Keywords&gt;&lt;Keywords&gt;MANAGEMENT&lt;/Keywords&gt;&lt;Keywords&gt;methods&lt;/Keywords&gt;&lt;Keywords&gt;Middle Aged&lt;/Keywords&gt;&lt;Keywords&gt;Morbidity&lt;/Keywords&gt;&lt;Keywords&gt;mortality&lt;/Keywords&gt;&lt;Keywords&gt;Multicenter Studies&lt;/Keywords&gt;&lt;Keywords&gt;Multicenter Study&lt;/Keywords&gt;&lt;Keywords&gt;New York&lt;/Keywords&gt;&lt;Keywords&gt;Patient&lt;/Keywords&gt;&lt;Keywords&gt;Patients&lt;/Keywords&gt;&lt;Keywords&gt;Placebo&lt;/Keywords&gt;&lt;Keywords&gt;Randomized Controlled Trial&lt;/Keywords&gt;&lt;Keywords&gt;Risk&lt;/Keywords&gt;&lt;Keywords&gt;Sinus Rhythm&lt;/Keywords&gt;&lt;Keywords&gt;statistics &amp;amp; numerical data&lt;/Keywords&gt;&lt;Keywords&gt;Stroke Volume&lt;/Keywords&gt;&lt;Keywords&gt;studies&lt;/Keywords&gt;&lt;Keywords&gt;Study&lt;/Keywords&gt;&lt;Keywords&gt;therapeutic use&lt;/Keywords&gt;&lt;Keywords&gt;Treatment Outcome&lt;/Keywords&gt;&lt;Keywords&gt;TRIAL&lt;/Keywords&gt;&lt;Keywords&gt;VENTRICULAR EJECTION FRACTION&lt;/Keywords&gt;&lt;Reprint&gt;Not in File&lt;/Reprint&gt;&lt;Start_Page&gt;525&lt;/Start_Page&gt;&lt;End_Page&gt;533&lt;/End_Page&gt;&lt;Periodical&gt;N.Engl.J.Med&lt;/Periodical&gt;&lt;Volume&gt;336&lt;/Volume&gt;&lt;Issue&gt;8&lt;/Issue&gt;&lt;Address&gt;Mount Sinai Medical Center, New York, NY 10029-6574, USA&lt;/Address&gt;&lt;Web_URL&gt;PM:9036306&lt;/Web_URL&gt;&lt;ZZ_JournalFull&gt;&lt;f name="System"&gt;N.Engl.J.Med&lt;/f&gt;&lt;/ZZ_JournalFull&gt;&lt;ZZ_WorkformID&gt;1&lt;/ZZ_WorkformID&gt;&lt;/MDL&gt;&lt;/Cite&gt;&lt;/Refman&gt;</w:instrText>
      </w:r>
      <w:r w:rsidR="006506AF">
        <w:fldChar w:fldCharType="separate"/>
      </w:r>
      <w:r w:rsidR="00DF2C28">
        <w:t>(10)</w:t>
      </w:r>
      <w:r w:rsidR="006506AF">
        <w:fldChar w:fldCharType="end"/>
      </w:r>
    </w:p>
    <w:p w:rsidR="00624767" w:rsidRDefault="00624767" w:rsidP="00624767">
      <w:pPr>
        <w:spacing w:line="480" w:lineRule="auto"/>
        <w:rPr>
          <w:u w:val="single"/>
        </w:rPr>
      </w:pPr>
    </w:p>
    <w:p w:rsidR="00624767" w:rsidRPr="00F80855" w:rsidRDefault="00624767" w:rsidP="00624767">
      <w:pPr>
        <w:spacing w:line="480" w:lineRule="auto"/>
      </w:pPr>
      <w:r w:rsidRPr="00F80855">
        <w:rPr>
          <w:u w:val="single"/>
        </w:rPr>
        <w:t>Weighted Composite Outcome</w:t>
      </w:r>
    </w:p>
    <w:p w:rsidR="00624767" w:rsidRDefault="00624767" w:rsidP="00624767">
      <w:pPr>
        <w:spacing w:line="480" w:lineRule="auto"/>
        <w:ind w:firstLine="360"/>
      </w:pPr>
      <w:r>
        <w:t>We applied the QAS analysis to the all-cause mortality or hospitalization composite outcome in the metformin study and to the heart failure-specific mortality or hospitalization composite outcome in the DIG study.  In these two examples, we considered three potential successive health states patients may transition through during the periods of the study: 1) state H</w:t>
      </w:r>
      <w:r w:rsidRPr="000A3A2D">
        <w:rPr>
          <w:vertAlign w:val="subscript"/>
        </w:rPr>
        <w:t>1</w:t>
      </w:r>
      <w:r>
        <w:t xml:space="preserve"> was the initial health state of the patient and represents the state of health prior to a hospitalization, death or censoring at the end of follow-up; 2) state H</w:t>
      </w:r>
      <w:r w:rsidRPr="00CE13CC">
        <w:rPr>
          <w:vertAlign w:val="subscript"/>
        </w:rPr>
        <w:t>2</w:t>
      </w:r>
      <w:r>
        <w:t xml:space="preserve"> was the health state of the patient after a hospitalization until either death or censoring at the end of follow-up; 3) state H</w:t>
      </w:r>
      <w:r>
        <w:rPr>
          <w:vertAlign w:val="subscript"/>
        </w:rPr>
        <w:t>3</w:t>
      </w:r>
      <w:r>
        <w:t xml:space="preserve"> was the final health state dead. </w:t>
      </w:r>
    </w:p>
    <w:p w:rsidR="00624767" w:rsidRDefault="00624767" w:rsidP="00624767">
      <w:pPr>
        <w:spacing w:line="480" w:lineRule="auto"/>
        <w:ind w:firstLine="360"/>
      </w:pPr>
      <w:r>
        <w:t>Each health state is associated with a different HRQL, represented by a utility coefficient.</w:t>
      </w:r>
      <w:r w:rsidR="006506AF">
        <w:fldChar w:fldCharType="begin"/>
      </w:r>
      <w:r w:rsidR="00DF2C28">
        <w:instrText xml:space="preserve"> ADDIN REFMGR.CITE &lt;Refman&gt;&lt;Cite&gt;&lt;Author&gt;Cole&lt;/Author&gt;&lt;Year&gt;1993&lt;/Year&gt;&lt;RecNum&gt;6007&lt;/RecNum&gt;&lt;IDText&gt;Cox regression models for quality adjusted survival analysis&lt;/IDText&gt;&lt;MDL Ref_Type="Journal"&gt;&lt;Ref_Type&gt;Journal&lt;/Ref_Type&gt;&lt;Ref_ID&gt;6007&lt;/Ref_ID&gt;&lt;Title_Primary&gt;Cox regression models for quality adjusted survival analysis&lt;/Title_Primary&gt;&lt;Authors_Primary&gt;Cole,B.F.&lt;/Authors_Primary&gt;&lt;Authors_Primary&gt;Gelber,R.D.&lt;/Authors_Primary&gt;&lt;Authors_Primary&gt;Goldhirsch,A.&lt;/Authors_Primary&gt;&lt;Date_Primary&gt;1993/5/30&lt;/Date_Primary&gt;&lt;Keywords&gt;administration &amp;amp; dosage&lt;/Keywords&gt;&lt;Keywords&gt;adverse effects&lt;/Keywords&gt;&lt;Keywords&gt;Affect&lt;/Keywords&gt;&lt;Keywords&gt;analysis&lt;/Keywords&gt;&lt;Keywords&gt;Antineoplastic Agents&lt;/Keywords&gt;&lt;Keywords&gt;Boston&lt;/Keywords&gt;&lt;Keywords&gt;Breast Neoplasms&lt;/Keywords&gt;&lt;Keywords&gt;drug therapy&lt;/Keywords&gt;&lt;Keywords&gt;Female&lt;/Keywords&gt;&lt;Keywords&gt;Health&lt;/Keywords&gt;&lt;Keywords&gt;Humans&lt;/Keywords&gt;&lt;Keywords&gt;Lymphatic Metastasis&lt;/Keywords&gt;&lt;Keywords&gt;Massachusetts&lt;/Keywords&gt;&lt;Keywords&gt;Middle Aged&lt;/Keywords&gt;&lt;Keywords&gt;mortality&lt;/Keywords&gt;&lt;Keywords&gt;Neoplasm Recurrence,Local&lt;/Keywords&gt;&lt;Keywords&gt;Neoplasm Staging&lt;/Keywords&gt;&lt;Keywords&gt;pathology&lt;/Keywords&gt;&lt;Keywords&gt;Prognosis&lt;/Keywords&gt;&lt;Keywords&gt;Proportional Hazards Models&lt;/Keywords&gt;&lt;Keywords&gt;psychology&lt;/Keywords&gt;&lt;Keywords&gt;Public Health&lt;/Keywords&gt;&lt;Keywords&gt;Quality of Life&lt;/Keywords&gt;&lt;Keywords&gt;Research Support,Non-U.S.Gov&amp;apos;t&lt;/Keywords&gt;&lt;Keywords&gt;Research Support,U.S.Gov&amp;apos;t,P.H.S.&lt;/Keywords&gt;&lt;Keywords&gt;Survival Analysis&lt;/Keywords&gt;&lt;Keywords&gt;Treatment Outcome&lt;/Keywords&gt;&lt;Reprint&gt;Not in File&lt;/Reprint&gt;&lt;Start_Page&gt;975&lt;/Start_Page&gt;&lt;End_Page&gt;987&lt;/End_Page&gt;&lt;Periodical&gt;Stat.Med.&lt;/Periodical&gt;&lt;Volume&gt;12&lt;/Volume&gt;&lt;Issue&gt;10&lt;/Issue&gt;&lt;Address&gt;Department of Biostatistics, Harvard School of Public Health and Division of Biostatistics, Dana-Farber Cancer Institute, Boston, Massachusetts 02115&lt;/Address&gt;&lt;Web_URL&gt;PM:8337554&lt;/Web_URL&gt;&lt;ZZ_JournalFull&gt;&lt;f name="System"&gt;Stat.Med.&lt;/f&gt;&lt;/ZZ_JournalFull&gt;&lt;ZZ_WorkformID&gt;1&lt;/ZZ_WorkformID&gt;&lt;/MDL&gt;&lt;/Cite&gt;&lt;/Refman&gt;</w:instrText>
      </w:r>
      <w:r w:rsidR="006506AF">
        <w:fldChar w:fldCharType="separate"/>
      </w:r>
      <w:r w:rsidR="00DF2C28">
        <w:t>(8)</w:t>
      </w:r>
      <w:r w:rsidR="006506AF">
        <w:fldChar w:fldCharType="end"/>
      </w:r>
      <w:proofErr w:type="gramStart"/>
      <w:r>
        <w:t xml:space="preserve">  Traditional</w:t>
      </w:r>
      <w:proofErr w:type="gramEnd"/>
      <w:r>
        <w:t xml:space="preserve"> survival analysis assumes that each health state before and after a hospitalization (i.e., H</w:t>
      </w:r>
      <w:r w:rsidRPr="007A1AE4">
        <w:rPr>
          <w:vertAlign w:val="subscript"/>
        </w:rPr>
        <w:t>1</w:t>
      </w:r>
      <w:r>
        <w:t xml:space="preserve"> and H</w:t>
      </w:r>
      <w:r w:rsidRPr="007A1AE4">
        <w:rPr>
          <w:vertAlign w:val="subscript"/>
        </w:rPr>
        <w:t>2</w:t>
      </w:r>
      <w:r>
        <w:t>) is of equal importance with a corresponding utility coefficient equal to 1 (i.e., perfect health). The QAS approach, however, accounts for potential differences in health states by assigning unequal utility coefficients to the health states to reflect the differential impact on the patients’ quality of life. For state H</w:t>
      </w:r>
      <w:r w:rsidRPr="005E551A">
        <w:rPr>
          <w:vertAlign w:val="subscript"/>
        </w:rPr>
        <w:t>1</w:t>
      </w:r>
      <w:r>
        <w:t>, the utility coefficient was set at 0.81, based on Health Utilities Index Mark 3 (HUI3) scores observed for subjects with heart disease and diabetes in the Canadian population,</w:t>
      </w:r>
      <w:r w:rsidR="006506AF">
        <w:fldChar w:fldCharType="begin"/>
      </w:r>
      <w:r w:rsidR="00DF2C28">
        <w:instrText xml:space="preserve"> ADDIN REFMGR.CITE &lt;Refman&gt;&lt;Cite&gt;&lt;Author&gt;Maddigan&lt;/Author&gt;&lt;Year&gt;2005&lt;/Year&gt;&lt;RecNum&gt;6008&lt;/RecNum&gt;&lt;IDText&gt;Health-related quality of life deficits associated with diabetes and comorbidities in a Canadian National Population Health Survey&lt;/IDText&gt;&lt;MDL Ref_Type="Journal"&gt;&lt;Ref_Type&gt;Journal&lt;/Ref_Type&gt;&lt;Ref_ID&gt;6008&lt;/Ref_ID&gt;&lt;Title_Primary&gt;Health-related quality of life deficits associated with diabetes and comorbidities in a Canadian National Population Health Survey&lt;/Title_Primary&gt;&lt;Authors_Primary&gt;Maddigan,S.L.&lt;/Authors_Primary&gt;&lt;Authors_Primary&gt;Feeny,D.H.&lt;/Authors_Primary&gt;&lt;Authors_Primary&gt;Johnson,J.A.&lt;/Authors_Primary&gt;&lt;Date_Primary&gt;2005/6&lt;/Date_Primary&gt;&lt;Keywords&gt;Activities of Daily Living&lt;/Keywords&gt;&lt;Keywords&gt;Adult&lt;/Keywords&gt;&lt;Keywords&gt;Aged&lt;/Keywords&gt;&lt;Keywords&gt;Alberta&lt;/Keywords&gt;&lt;Keywords&gt;analysis&lt;/Keywords&gt;&lt;Keywords&gt;Arthritis&lt;/Keywords&gt;&lt;Keywords&gt;Canada&lt;/Keywords&gt;&lt;Keywords&gt;Cerebrovascular Accident&lt;/Keywords&gt;&lt;Keywords&gt;Chronic Disease&lt;/Keywords&gt;&lt;Keywords&gt;Comorbidity&lt;/Keywords&gt;&lt;Keywords&gt;complications&lt;/Keywords&gt;&lt;Keywords&gt;Control&lt;/Keywords&gt;&lt;Keywords&gt;Diabetes&lt;/Keywords&gt;&lt;Keywords&gt;Diabetes Complications&lt;/Keywords&gt;&lt;Keywords&gt;Diabetes Mellitus&lt;/Keywords&gt;&lt;Keywords&gt;Disease&lt;/Keywords&gt;&lt;Keywords&gt;Female&lt;/Keywords&gt;&lt;Keywords&gt;Health&lt;/Keywords&gt;&lt;Keywords&gt;Heart&lt;/Keywords&gt;&lt;Keywords&gt;Heart Diseases&lt;/Keywords&gt;&lt;Keywords&gt;Humans&lt;/Keywords&gt;&lt;Keywords&gt;Male&lt;/Keywords&gt;&lt;Keywords&gt;methods&lt;/Keywords&gt;&lt;Keywords&gt;Middle Aged&lt;/Keywords&gt;&lt;Keywords&gt;physiopathology&lt;/Keywords&gt;&lt;Keywords&gt;Population&lt;/Keywords&gt;&lt;Keywords&gt;psychology&lt;/Keywords&gt;&lt;Keywords&gt;Public Health&lt;/Keywords&gt;&lt;Keywords&gt;Quality of Life&lt;/Keywords&gt;&lt;Keywords&gt;Research Support,Non-U.S.Gov&amp;apos;t&lt;/Keywords&gt;&lt;Keywords&gt;Sickness Impact Profile&lt;/Keywords&gt;&lt;Reprint&gt;Not in File&lt;/Reprint&gt;&lt;Start_Page&gt;1311&lt;/Start_Page&gt;&lt;End_Page&gt;1320&lt;/End_Page&gt;&lt;Periodical&gt;Qual.Life Res.&lt;/Periodical&gt;&lt;Volume&gt;14&lt;/Volume&gt;&lt;Issue&gt;5&lt;/Issue&gt;&lt;Address&gt;Department of Public Health Sciences, University of Alberta, Edmonton, Canada&lt;/Address&gt;&lt;Web_URL&gt;PM:16047506&lt;/Web_URL&gt;&lt;ZZ_JournalFull&gt;&lt;f name="System"&gt;Qual.Life Res.&lt;/f&gt;&lt;/ZZ_JournalFull&gt;&lt;ZZ_WorkformID&gt;1&lt;/ZZ_WorkformID&gt;&lt;/MDL&gt;&lt;/Cite&gt;&lt;/Refman&gt;</w:instrText>
      </w:r>
      <w:r w:rsidR="006506AF">
        <w:fldChar w:fldCharType="separate"/>
      </w:r>
      <w:r w:rsidR="00DF2C28">
        <w:t>(11)</w:t>
      </w:r>
      <w:r w:rsidR="006506AF">
        <w:fldChar w:fldCharType="end"/>
      </w:r>
      <w:r>
        <w:t xml:space="preserve"> and is similar to utility weights observed in patients with heart failure alone.</w:t>
      </w:r>
      <w:r w:rsidR="006506AF">
        <w:fldChar w:fldCharType="begin"/>
      </w:r>
      <w:r w:rsidR="00DF2C28">
        <w:instrText xml:space="preserve"> ADDIN REFMGR.CITE &lt;Refman&gt;&lt;Cite&gt;&lt;Author&gt;Nichol&lt;/Author&gt;&lt;Year&gt;2004&lt;/Year&gt;&lt;RecNum&gt;6407&lt;/RecNum&gt;&lt;IDText&gt;Cost-effectiveness of cardiac resynchronization therapy in patients with symptomatic heart failure&lt;/IDText&gt;&lt;MDL Ref_Type="Journal"&gt;&lt;Ref_Type&gt;Journal&lt;/Ref_Type&gt;&lt;Ref_ID&gt;6407&lt;/Ref_ID&gt;&lt;Title_Primary&gt;Cost-effectiveness of cardiac resynchronization therapy in patients with symptomatic heart failure&lt;/Title_Primary&gt;&lt;Authors_Primary&gt;Nichol,G.&lt;/Authors_Primary&gt;&lt;Authors_Primary&gt;Kaul,P.&lt;/Authors_Primary&gt;&lt;Authors_Primary&gt;Huszti,E.&lt;/Authors_Primary&gt;&lt;Authors_Primary&gt;Bridges,J.F.&lt;/Authors_Primary&gt;&lt;Date_Primary&gt;2004/9/7&lt;/Date_Primary&gt;&lt;Keywords&gt;analysis&lt;/Keywords&gt;&lt;Keywords&gt;Article&lt;/Keywords&gt;&lt;Keywords&gt;cardiac&lt;/Keywords&gt;&lt;Keywords&gt;Cardiac Pacing,Artificial&lt;/Keywords&gt;&lt;Keywords&gt;Computer Simulation&lt;/Keywords&gt;&lt;Keywords&gt;Cost-Benefit Analysis&lt;/Keywords&gt;&lt;Keywords&gt;Death&lt;/Keywords&gt;&lt;Keywords&gt;Decision Support Techniques&lt;/Keywords&gt;&lt;Keywords&gt;Defibrillators,Implantable&lt;/Keywords&gt;&lt;Keywords&gt;drug therapy&lt;/Keywords&gt;&lt;Keywords&gt;economics&lt;/Keywords&gt;&lt;Keywords&gt;EJECTION&lt;/Keywords&gt;&lt;Keywords&gt;ejection fraction&lt;/Keywords&gt;&lt;Keywords&gt;Electric Countershock&lt;/Keywords&gt;&lt;Keywords&gt;FAILURE&lt;/Keywords&gt;&lt;Keywords&gt;function&lt;/Keywords&gt;&lt;Keywords&gt;Health&lt;/Keywords&gt;&lt;Keywords&gt;Heart&lt;/Keywords&gt;&lt;Keywords&gt;Heart Failure&lt;/Keywords&gt;&lt;Keywords&gt;Heart Failure,Congestive&lt;/Keywords&gt;&lt;Keywords&gt;HEART-FAILURE&lt;/Keywords&gt;&lt;Keywords&gt;Hospitalization&lt;/Keywords&gt;&lt;Keywords&gt;Humans&lt;/Keywords&gt;&lt;Keywords&gt;INTERVENTION&lt;/Keywords&gt;&lt;Keywords&gt;Journal Article&lt;/Keywords&gt;&lt;Keywords&gt;Life Expectancy&lt;/Keywords&gt;&lt;Keywords&gt;Markov Chains&lt;/Keywords&gt;&lt;Keywords&gt;Model&lt;/Keywords&gt;&lt;Keywords&gt;Monte Carlo Method&lt;/Keywords&gt;&lt;Keywords&gt;Morbidity&lt;/Keywords&gt;&lt;Keywords&gt;Patient&lt;/Keywords&gt;&lt;Keywords&gt;Patients&lt;/Keywords&gt;&lt;Keywords&gt;PERSPECTIVE&lt;/Keywords&gt;&lt;Keywords&gt;Population&lt;/Keywords&gt;&lt;Keywords&gt;Quality of Life&lt;/Keywords&gt;&lt;Keywords&gt;Quality-Adjusted Life Years&lt;/Keywords&gt;&lt;Keywords&gt;Research&lt;/Keywords&gt;&lt;Keywords&gt;Review&lt;/Keywords&gt;&lt;Keywords&gt;Risk&lt;/Keywords&gt;&lt;Keywords&gt;SYSTEM&lt;/Keywords&gt;&lt;Keywords&gt;therapy&lt;/Keywords&gt;&lt;Keywords&gt;Time&lt;/Keywords&gt;&lt;Keywords&gt;TRIAL&lt;/Keywords&gt;&lt;Keywords&gt;Universities&lt;/Keywords&gt;&lt;Keywords&gt;Ventricular Function&lt;/Keywords&gt;&lt;Keywords&gt;VENTRICULAR-FUNCTION&lt;/Keywords&gt;&lt;Keywords&gt;Washington&lt;/Keywords&gt;&lt;Reprint&gt;Not in File&lt;/Reprint&gt;&lt;Start_Page&gt;343&lt;/Start_Page&gt;&lt;End_Page&gt;351&lt;/End_Page&gt;&lt;Periodical&gt;Ann.Intern.Med&lt;/Periodical&gt;&lt;Volume&gt;141&lt;/Volume&gt;&lt;Issue&gt;5&lt;/Issue&gt;&lt;Address&gt;University of Washington-Harborview Prehospital Emergency Care Research and Training Center and Harborview Medical Center, Seattle, Washington 98104, USA. nichol@u.washington.edu&lt;/Address&gt;&lt;Web_URL&gt;PM:15353425&lt;/Web_URL&gt;&lt;ZZ_JournalFull&gt;&lt;f name="System"&gt;Ann.Intern.Med&lt;/f&gt;&lt;/ZZ_JournalFull&gt;&lt;ZZ_WorkformID&gt;1&lt;/ZZ_WorkformID&gt;&lt;/MDL&gt;&lt;/Cite&gt;&lt;/Refman&gt;</w:instrText>
      </w:r>
      <w:r w:rsidR="006506AF">
        <w:fldChar w:fldCharType="separate"/>
      </w:r>
      <w:r w:rsidR="00DF2C28">
        <w:t>(12)</w:t>
      </w:r>
      <w:r w:rsidR="006506AF">
        <w:fldChar w:fldCharType="end"/>
      </w:r>
      <w:r>
        <w:t xml:space="preserve"> In patients with heart failure, a hospitalization is associated with a 30% reduction in the patients </w:t>
      </w:r>
      <w:r w:rsidRPr="00B66306">
        <w:rPr>
          <w:sz w:val="22"/>
        </w:rPr>
        <w:t>HR</w:t>
      </w:r>
      <w:r>
        <w:rPr>
          <w:sz w:val="22"/>
        </w:rPr>
        <w:t>QL</w:t>
      </w:r>
      <w:r w:rsidR="006506AF">
        <w:rPr>
          <w:sz w:val="22"/>
        </w:rPr>
        <w:fldChar w:fldCharType="begin"/>
      </w:r>
      <w:r w:rsidR="00DF2C28">
        <w:rPr>
          <w:sz w:val="22"/>
        </w:rPr>
        <w:instrText xml:space="preserve"> ADDIN REFMGR.CITE &lt;Refman&gt;&lt;Cite&gt;&lt;Author&gt;Nichol&lt;/Author&gt;&lt;Year&gt;2004&lt;/Year&gt;&lt;RecNum&gt;6407&lt;/RecNum&gt;&lt;IDText&gt;Cost-effectiveness of cardiac resynchronization therapy in patients with symptomatic heart failure&lt;/IDText&gt;&lt;MDL Ref_Type="Journal"&gt;&lt;Ref_Type&gt;Journal&lt;/Ref_Type&gt;&lt;Ref_ID&gt;6407&lt;/Ref_ID&gt;&lt;Title_Primary&gt;Cost-effectiveness of cardiac resynchronization therapy in patients with symptomatic heart failure&lt;/Title_Primary&gt;&lt;Authors_Primary&gt;Nichol,G.&lt;/Authors_Primary&gt;&lt;Authors_Primary&gt;Kaul,P.&lt;/Authors_Primary&gt;&lt;Authors_Primary&gt;Huszti,E.&lt;/Authors_Primary&gt;&lt;Authors_Primary&gt;Bridges,J.F.&lt;/Authors_Primary&gt;&lt;Date_Primary&gt;2004/9/7&lt;/Date_Primary&gt;&lt;Keywords&gt;analysis&lt;/Keywords&gt;&lt;Keywords&gt;Article&lt;/Keywords&gt;&lt;Keywords&gt;cardiac&lt;/Keywords&gt;&lt;Keywords&gt;Cardiac Pacing,Artificial&lt;/Keywords&gt;&lt;Keywords&gt;Computer Simulation&lt;/Keywords&gt;&lt;Keywords&gt;Cost-Benefit Analysis&lt;/Keywords&gt;&lt;Keywords&gt;Death&lt;/Keywords&gt;&lt;Keywords&gt;Decision Support Techniques&lt;/Keywords&gt;&lt;Keywords&gt;Defibrillators,Implantable&lt;/Keywords&gt;&lt;Keywords&gt;drug therapy&lt;/Keywords&gt;&lt;Keywords&gt;economics&lt;/Keywords&gt;&lt;Keywords&gt;EJECTION&lt;/Keywords&gt;&lt;Keywords&gt;ejection fraction&lt;/Keywords&gt;&lt;Keywords&gt;Electric Countershock&lt;/Keywords&gt;&lt;Keywords&gt;FAILURE&lt;/Keywords&gt;&lt;Keywords&gt;function&lt;/Keywords&gt;&lt;Keywords&gt;Health&lt;/Keywords&gt;&lt;Keywords&gt;Heart&lt;/Keywords&gt;&lt;Keywords&gt;Heart Failure&lt;/Keywords&gt;&lt;Keywords&gt;Heart Failure,Congestive&lt;/Keywords&gt;&lt;Keywords&gt;HEART-FAILURE&lt;/Keywords&gt;&lt;Keywords&gt;Hospitalization&lt;/Keywords&gt;&lt;Keywords&gt;Humans&lt;/Keywords&gt;&lt;Keywords&gt;INTERVENTION&lt;/Keywords&gt;&lt;Keywords&gt;Journal Article&lt;/Keywords&gt;&lt;Keywords&gt;Life Expectancy&lt;/Keywords&gt;&lt;Keywords&gt;Markov Chains&lt;/Keywords&gt;&lt;Keywords&gt;Model&lt;/Keywords&gt;&lt;Keywords&gt;Monte Carlo Method&lt;/Keywords&gt;&lt;Keywords&gt;Morbidity&lt;/Keywords&gt;&lt;Keywords&gt;Patient&lt;/Keywords&gt;&lt;Keywords&gt;Patients&lt;/Keywords&gt;&lt;Keywords&gt;PERSPECTIVE&lt;/Keywords&gt;&lt;Keywords&gt;Population&lt;/Keywords&gt;&lt;Keywords&gt;Quality of Life&lt;/Keywords&gt;&lt;Keywords&gt;Quality-Adjusted Life Years&lt;/Keywords&gt;&lt;Keywords&gt;Research&lt;/Keywords&gt;&lt;Keywords&gt;Review&lt;/Keywords&gt;&lt;Keywords&gt;Risk&lt;/Keywords&gt;&lt;Keywords&gt;SYSTEM&lt;/Keywords&gt;&lt;Keywords&gt;therapy&lt;/Keywords&gt;&lt;Keywords&gt;Time&lt;/Keywords&gt;&lt;Keywords&gt;TRIAL&lt;/Keywords&gt;&lt;Keywords&gt;Universities&lt;/Keywords&gt;&lt;Keywords&gt;Ventricular Function&lt;/Keywords&gt;&lt;Keywords&gt;VENTRICULAR-FUNCTION&lt;/Keywords&gt;&lt;Keywords&gt;Washington&lt;/Keywords&gt;&lt;Reprint&gt;Not in File&lt;/Reprint&gt;&lt;Start_Page&gt;343&lt;/Start_Page&gt;&lt;End_Page&gt;351&lt;/End_Page&gt;&lt;Periodical&gt;Ann.Intern.Med&lt;/Periodical&gt;&lt;Volume&gt;141&lt;/Volume&gt;&lt;Issue&gt;5&lt;/Issue&gt;&lt;Address&gt;University of Washington-Harborview Prehospital Emergency Care Research and Training Center and Harborview Medical Center, Seattle, Washington 98104, USA. nichol@u.washington.edu&lt;/Address&gt;&lt;Web_URL&gt;PM:15353425&lt;/Web_URL&gt;&lt;ZZ_JournalFull&gt;&lt;f name="System"&gt;Ann.Intern.Med&lt;/f&gt;&lt;/ZZ_JournalFull&gt;&lt;ZZ_WorkformID&gt;1&lt;/ZZ_WorkformID&gt;&lt;/MDL&gt;&lt;/Cite&gt;&lt;/Refman&gt;</w:instrText>
      </w:r>
      <w:r w:rsidR="006506AF">
        <w:rPr>
          <w:sz w:val="22"/>
        </w:rPr>
        <w:fldChar w:fldCharType="separate"/>
      </w:r>
      <w:r w:rsidR="00DF2C28">
        <w:rPr>
          <w:sz w:val="22"/>
        </w:rPr>
        <w:t>(12)</w:t>
      </w:r>
      <w:r w:rsidR="006506AF">
        <w:rPr>
          <w:sz w:val="22"/>
        </w:rPr>
        <w:fldChar w:fldCharType="end"/>
      </w:r>
      <w:r>
        <w:t xml:space="preserve"> resulting in a utility coefficient of 0.57 for state H</w:t>
      </w:r>
      <w:r>
        <w:rPr>
          <w:vertAlign w:val="subscript"/>
        </w:rPr>
        <w:t>2</w:t>
      </w:r>
      <w:r>
        <w:t>. By convention, the health state dead (</w:t>
      </w:r>
      <w:r w:rsidRPr="00552B91">
        <w:t>H</w:t>
      </w:r>
      <w:r w:rsidRPr="00552B91">
        <w:rPr>
          <w:vertAlign w:val="subscript"/>
        </w:rPr>
        <w:t>3</w:t>
      </w:r>
      <w:r>
        <w:t>) was assigned a utility score of 0.</w:t>
      </w:r>
      <w:r w:rsidR="006506AF">
        <w:fldChar w:fldCharType="begin"/>
      </w:r>
      <w:r w:rsidR="00DF2C28">
        <w:instrText xml:space="preserve"> ADDIN REFMGR.CITE &lt;Refman&gt;&lt;Cite&gt;&lt;Author&gt;Maddigan&lt;/Author&gt;&lt;Year&gt;2005&lt;/Year&gt;&lt;RecNum&gt;6008&lt;/RecNum&gt;&lt;IDText&gt;Health-related quality of life deficits associated with diabetes and comorbidities in a Canadian National Population Health Survey&lt;/IDText&gt;&lt;MDL Ref_Type="Journal"&gt;&lt;Ref_Type&gt;Journal&lt;/Ref_Type&gt;&lt;Ref_ID&gt;6008&lt;/Ref_ID&gt;&lt;Title_Primary&gt;Health-related quality of life deficits associated with diabetes and comorbidities in a Canadian National Population Health Survey&lt;/Title_Primary&gt;&lt;Authors_Primary&gt;Maddigan,S.L.&lt;/Authors_Primary&gt;&lt;Authors_Primary&gt;Feeny,D.H.&lt;/Authors_Primary&gt;&lt;Authors_Primary&gt;Johnson,J.A.&lt;/Authors_Primary&gt;&lt;Date_Primary&gt;2005/6&lt;/Date_Primary&gt;&lt;Keywords&gt;Activities of Daily Living&lt;/Keywords&gt;&lt;Keywords&gt;Adult&lt;/Keywords&gt;&lt;Keywords&gt;Aged&lt;/Keywords&gt;&lt;Keywords&gt;Alberta&lt;/Keywords&gt;&lt;Keywords&gt;analysis&lt;/Keywords&gt;&lt;Keywords&gt;Arthritis&lt;/Keywords&gt;&lt;Keywords&gt;Canada&lt;/Keywords&gt;&lt;Keywords&gt;Cerebrovascular Accident&lt;/Keywords&gt;&lt;Keywords&gt;Chronic Disease&lt;/Keywords&gt;&lt;Keywords&gt;Comorbidity&lt;/Keywords&gt;&lt;Keywords&gt;complications&lt;/Keywords&gt;&lt;Keywords&gt;Control&lt;/Keywords&gt;&lt;Keywords&gt;Diabetes&lt;/Keywords&gt;&lt;Keywords&gt;Diabetes Complications&lt;/Keywords&gt;&lt;Keywords&gt;Diabetes Mellitus&lt;/Keywords&gt;&lt;Keywords&gt;Disease&lt;/Keywords&gt;&lt;Keywords&gt;Female&lt;/Keywords&gt;&lt;Keywords&gt;Health&lt;/Keywords&gt;&lt;Keywords&gt;Heart&lt;/Keywords&gt;&lt;Keywords&gt;Heart Diseases&lt;/Keywords&gt;&lt;Keywords&gt;Humans&lt;/Keywords&gt;&lt;Keywords&gt;Male&lt;/Keywords&gt;&lt;Keywords&gt;methods&lt;/Keywords&gt;&lt;Keywords&gt;Middle Aged&lt;/Keywords&gt;&lt;Keywords&gt;physiopathology&lt;/Keywords&gt;&lt;Keywords&gt;Population&lt;/Keywords&gt;&lt;Keywords&gt;psychology&lt;/Keywords&gt;&lt;Keywords&gt;Public Health&lt;/Keywords&gt;&lt;Keywords&gt;Quality of Life&lt;/Keywords&gt;&lt;Keywords&gt;Research Support,Non-U.S.Gov&amp;apos;t&lt;/Keywords&gt;&lt;Keywords&gt;Sickness Impact Profile&lt;/Keywords&gt;&lt;Reprint&gt;Not in File&lt;/Reprint&gt;&lt;Start_Page&gt;1311&lt;/Start_Page&gt;&lt;End_Page&gt;1320&lt;/End_Page&gt;&lt;Periodical&gt;Qual.Life Res.&lt;/Periodical&gt;&lt;Volume&gt;14&lt;/Volume&gt;&lt;Issue&gt;5&lt;/Issue&gt;&lt;Address&gt;Department of Public Health Sciences, University of Alberta, Edmonton, Canada&lt;/Address&gt;&lt;Web_URL&gt;PM:16047506&lt;/Web_URL&gt;&lt;ZZ_JournalFull&gt;&lt;f name="System"&gt;Qual.Life Res.&lt;/f&gt;&lt;/ZZ_JournalFull&gt;&lt;ZZ_WorkformID&gt;1&lt;/ZZ_WorkformID&gt;&lt;/MDL&gt;&lt;/Cite&gt;&lt;/Refman&gt;</w:instrText>
      </w:r>
      <w:r w:rsidR="006506AF">
        <w:fldChar w:fldCharType="separate"/>
      </w:r>
      <w:r w:rsidR="00DF2C28">
        <w:t>(11)</w:t>
      </w:r>
      <w:r w:rsidR="006506AF">
        <w:fldChar w:fldCharType="end"/>
      </w:r>
    </w:p>
    <w:p w:rsidR="00624767" w:rsidRDefault="00624767" w:rsidP="00624767">
      <w:pPr>
        <w:spacing w:line="480" w:lineRule="auto"/>
        <w:ind w:firstLine="360"/>
      </w:pPr>
      <w:r>
        <w:t>For the metformin study, the transitional survival functions for each health state (i.e., all-cause death or all-cause hospitalization) for the metformin and sulfonylurea groups were estimated using Cox proportional hazards models (i.e., PHREG) with adjustments</w:t>
      </w:r>
      <w:r w:rsidRPr="00AC22D6">
        <w:t xml:space="preserve"> </w:t>
      </w:r>
      <w:r>
        <w:t>for the confounding covariates</w:t>
      </w:r>
      <w:r w:rsidRPr="00EF4338">
        <w:t xml:space="preserve"> </w:t>
      </w:r>
      <w:r>
        <w:t>and the product-limit estimate of the baseline survival function.</w:t>
      </w:r>
      <w:r w:rsidR="006506AF">
        <w:fldChar w:fldCharType="begin"/>
      </w:r>
      <w:r w:rsidR="00DF2C28">
        <w:instrText xml:space="preserve"> ADDIN REFMGR.CITE &lt;Refman&gt;&lt;Cite&gt;&lt;Author&gt;Cole&lt;/Author&gt;&lt;Year&gt;1993&lt;/Year&gt;&lt;RecNum&gt;6007&lt;/RecNum&gt;&lt;IDText&gt;Cox regression models for quality adjusted survival analysis&lt;/IDText&gt;&lt;MDL Ref_Type="Journal"&gt;&lt;Ref_Type&gt;Journal&lt;/Ref_Type&gt;&lt;Ref_ID&gt;6007&lt;/Ref_ID&gt;&lt;Title_Primary&gt;Cox regression models for quality adjusted survival analysis&lt;/Title_Primary&gt;&lt;Authors_Primary&gt;Cole,B.F.&lt;/Authors_Primary&gt;&lt;Authors_Primary&gt;Gelber,R.D.&lt;/Authors_Primary&gt;&lt;Authors_Primary&gt;Goldhirsch,A.&lt;/Authors_Primary&gt;&lt;Date_Primary&gt;1993/5/30&lt;/Date_Primary&gt;&lt;Keywords&gt;administration &amp;amp; dosage&lt;/Keywords&gt;&lt;Keywords&gt;adverse effects&lt;/Keywords&gt;&lt;Keywords&gt;Affect&lt;/Keywords&gt;&lt;Keywords&gt;analysis&lt;/Keywords&gt;&lt;Keywords&gt;Antineoplastic Agents&lt;/Keywords&gt;&lt;Keywords&gt;Boston&lt;/Keywords&gt;&lt;Keywords&gt;Breast Neoplasms&lt;/Keywords&gt;&lt;Keywords&gt;drug therapy&lt;/Keywords&gt;&lt;Keywords&gt;Female&lt;/Keywords&gt;&lt;Keywords&gt;Health&lt;/Keywords&gt;&lt;Keywords&gt;Humans&lt;/Keywords&gt;&lt;Keywords&gt;Lymphatic Metastasis&lt;/Keywords&gt;&lt;Keywords&gt;Massachusetts&lt;/Keywords&gt;&lt;Keywords&gt;Middle Aged&lt;/Keywords&gt;&lt;Keywords&gt;mortality&lt;/Keywords&gt;&lt;Keywords&gt;Neoplasm Recurrence,Local&lt;/Keywords&gt;&lt;Keywords&gt;Neoplasm Staging&lt;/Keywords&gt;&lt;Keywords&gt;pathology&lt;/Keywords&gt;&lt;Keywords&gt;Prognosis&lt;/Keywords&gt;&lt;Keywords&gt;Proportional Hazards Models&lt;/Keywords&gt;&lt;Keywords&gt;psychology&lt;/Keywords&gt;&lt;Keywords&gt;Public Health&lt;/Keywords&gt;&lt;Keywords&gt;Quality of Life&lt;/Keywords&gt;&lt;Keywords&gt;Research Support,Non-U.S.Gov&amp;apos;t&lt;/Keywords&gt;&lt;Keywords&gt;Research Support,U.S.Gov&amp;apos;t,P.H.S.&lt;/Keywords&gt;&lt;Keywords&gt;Survival Analysis&lt;/Keywords&gt;&lt;Keywords&gt;Treatment Outcome&lt;/Keywords&gt;&lt;Reprint&gt;Not in File&lt;/Reprint&gt;&lt;Start_Page&gt;975&lt;/Start_Page&gt;&lt;End_Page&gt;987&lt;/End_Page&gt;&lt;Periodical&gt;Stat.Med.&lt;/Periodical&gt;&lt;Volume&gt;12&lt;/Volume&gt;&lt;Issue&gt;10&lt;/Issue&gt;&lt;Address&gt;Department of Biostatistics, Harvard School of Public Health and Division of Biostatistics, Dana-Farber Cancer Institute, Boston, Massachusetts 02115&lt;/Address&gt;&lt;Web_URL&gt;PM:8337554&lt;/Web_URL&gt;&lt;ZZ_JournalFull&gt;&lt;f name="System"&gt;Stat.Med.&lt;/f&gt;&lt;/ZZ_JournalFull&gt;&lt;ZZ_WorkformID&gt;1&lt;/ZZ_WorkformID&gt;&lt;/MDL&gt;&lt;/Cite&gt;&lt;/Refman&gt;</w:instrText>
      </w:r>
      <w:r w:rsidR="006506AF">
        <w:fldChar w:fldCharType="separate"/>
      </w:r>
      <w:r w:rsidR="00DF2C28">
        <w:t>(8)</w:t>
      </w:r>
      <w:r w:rsidR="006506AF">
        <w:fldChar w:fldCharType="end"/>
      </w:r>
      <w:r>
        <w:t xml:space="preserve"> The survival functions for the treatment groups were estimated at the overall mean values of the covariates.  For the DIG study, due to the randomized design, the survival functions were estimated with no adjustment for confounding covariates. Proportional hazards </w:t>
      </w:r>
      <w:proofErr w:type="gramStart"/>
      <w:r>
        <w:t>assumption were</w:t>
      </w:r>
      <w:proofErr w:type="gramEnd"/>
      <w:r>
        <w:t xml:space="preserve"> checked for both the metformin and DIG study using log-log plots and time interactions with no violations for either study.</w:t>
      </w:r>
    </w:p>
    <w:p w:rsidR="00624767" w:rsidRDefault="00624767" w:rsidP="00624767">
      <w:pPr>
        <w:spacing w:line="480" w:lineRule="auto"/>
        <w:ind w:firstLine="360"/>
      </w:pPr>
    </w:p>
    <w:p w:rsidR="00624767" w:rsidRDefault="00624767" w:rsidP="00624767">
      <w:pPr>
        <w:spacing w:line="480" w:lineRule="auto"/>
        <w:ind w:firstLine="360"/>
      </w:pPr>
      <w:r>
        <w:t>For each study, the Cox proportional hazards regression survival function (i.e., survival curves) for the health state dead (H</w:t>
      </w:r>
      <w:r w:rsidRPr="008E6AEF">
        <w:rPr>
          <w:vertAlign w:val="subscript"/>
        </w:rPr>
        <w:t>3</w:t>
      </w:r>
      <w:r>
        <w:t>) as the event of interest was first estimated in each group. The survival function for the composite outcome (hospitalization or death) as the event of interest was then estimated for each treatment group. The mean time spent in each health state was calculated by integrating the estimated survival function from zero to the maximum follow-up of 8.0 years and 4.8 years for the metformin study and DIG study, respectively. Time in state H</w:t>
      </w:r>
      <w:r w:rsidRPr="00D51C5B">
        <w:rPr>
          <w:vertAlign w:val="subscript"/>
        </w:rPr>
        <w:t>1</w:t>
      </w:r>
      <w:r>
        <w:t xml:space="preserve"> (initial health state of the patient and represents the state of health prior to a hospitalization, death or censoring at the end of follow-up) was estimated by the integrated survival time for the composite outcome (hospitalization or death). Time in state H</w:t>
      </w:r>
      <w:r w:rsidRPr="00D51C5B">
        <w:rPr>
          <w:vertAlign w:val="subscript"/>
        </w:rPr>
        <w:t>2</w:t>
      </w:r>
      <w:r>
        <w:t xml:space="preserve"> (health state of the patient after a hospitalization until either death or censoring at the end of follow-up) was calculated by integrating the overall survival time of death and subtracting the mean time spent in state H</w:t>
      </w:r>
      <w:r w:rsidRPr="00D51C5B">
        <w:rPr>
          <w:vertAlign w:val="subscript"/>
        </w:rPr>
        <w:t>1</w:t>
      </w:r>
      <w:r>
        <w:t>. QAS time in each health state was then calculated by multiplying the mean time spent in each health state by the respective utility coefficient.</w:t>
      </w:r>
      <w:r w:rsidR="006506AF">
        <w:fldChar w:fldCharType="begin"/>
      </w:r>
      <w:r w:rsidR="00DF2C28">
        <w:instrText xml:space="preserve"> ADDIN REFMGR.CITE &lt;Refman&gt;&lt;Cite&gt;&lt;Author&gt;Cole&lt;/Author&gt;&lt;Year&gt;1993&lt;/Year&gt;&lt;RecNum&gt;6007&lt;/RecNum&gt;&lt;IDText&gt;Cox regression models for quality adjusted survival analysis&lt;/IDText&gt;&lt;MDL Ref_Type="Journal"&gt;&lt;Ref_Type&gt;Journal&lt;/Ref_Type&gt;&lt;Ref_ID&gt;6007&lt;/Ref_ID&gt;&lt;Title_Primary&gt;Cox regression models for quality adjusted survival analysis&lt;/Title_Primary&gt;&lt;Authors_Primary&gt;Cole,B.F.&lt;/Authors_Primary&gt;&lt;Authors_Primary&gt;Gelber,R.D.&lt;/Authors_Primary&gt;&lt;Authors_Primary&gt;Goldhirsch,A.&lt;/Authors_Primary&gt;&lt;Date_Primary&gt;1993/5/30&lt;/Date_Primary&gt;&lt;Keywords&gt;administration &amp;amp; dosage&lt;/Keywords&gt;&lt;Keywords&gt;adverse effects&lt;/Keywords&gt;&lt;Keywords&gt;Affect&lt;/Keywords&gt;&lt;Keywords&gt;analysis&lt;/Keywords&gt;&lt;Keywords&gt;Antineoplastic Agents&lt;/Keywords&gt;&lt;Keywords&gt;Boston&lt;/Keywords&gt;&lt;Keywords&gt;Breast Neoplasms&lt;/Keywords&gt;&lt;Keywords&gt;drug therapy&lt;/Keywords&gt;&lt;Keywords&gt;Female&lt;/Keywords&gt;&lt;Keywords&gt;Health&lt;/Keywords&gt;&lt;Keywords&gt;Humans&lt;/Keywords&gt;&lt;Keywords&gt;Lymphatic Metastasis&lt;/Keywords&gt;&lt;Keywords&gt;Massachusetts&lt;/Keywords&gt;&lt;Keywords&gt;Middle Aged&lt;/Keywords&gt;&lt;Keywords&gt;mortality&lt;/Keywords&gt;&lt;Keywords&gt;Neoplasm Recurrence,Local&lt;/Keywords&gt;&lt;Keywords&gt;Neoplasm Staging&lt;/Keywords&gt;&lt;Keywords&gt;pathology&lt;/Keywords&gt;&lt;Keywords&gt;Prognosis&lt;/Keywords&gt;&lt;Keywords&gt;Proportional Hazards Models&lt;/Keywords&gt;&lt;Keywords&gt;psychology&lt;/Keywords&gt;&lt;Keywords&gt;Public Health&lt;/Keywords&gt;&lt;Keywords&gt;Quality of Life&lt;/Keywords&gt;&lt;Keywords&gt;Research Support,Non-U.S.Gov&amp;apos;t&lt;/Keywords&gt;&lt;Keywords&gt;Research Support,U.S.Gov&amp;apos;t,P.H.S.&lt;/Keywords&gt;&lt;Keywords&gt;Survival Analysis&lt;/Keywords&gt;&lt;Keywords&gt;Treatment Outcome&lt;/Keywords&gt;&lt;Reprint&gt;Not in File&lt;/Reprint&gt;&lt;Start_Page&gt;975&lt;/Start_Page&gt;&lt;End_Page&gt;987&lt;/End_Page&gt;&lt;Periodical&gt;Stat.Med.&lt;/Periodical&gt;&lt;Volume&gt;12&lt;/Volume&gt;&lt;Issue&gt;10&lt;/Issue&gt;&lt;Address&gt;Department of Biostatistics, Harvard School of Public Health and Division of Biostatistics, Dana-Farber Cancer Institute, Boston, Massachusetts 02115&lt;/Address&gt;&lt;Web_URL&gt;PM:8337554&lt;/Web_URL&gt;&lt;ZZ_JournalFull&gt;&lt;f name="System"&gt;Stat.Med.&lt;/f&gt;&lt;/ZZ_JournalFull&gt;&lt;ZZ_WorkformID&gt;1&lt;/ZZ_WorkformID&gt;&lt;/MDL&gt;&lt;/Cite&gt;&lt;/Refman&gt;</w:instrText>
      </w:r>
      <w:r w:rsidR="006506AF">
        <w:fldChar w:fldCharType="separate"/>
      </w:r>
      <w:r w:rsidR="00DF2C28">
        <w:t>(8)</w:t>
      </w:r>
      <w:r w:rsidR="006506AF">
        <w:fldChar w:fldCharType="end"/>
      </w:r>
      <w:r>
        <w:t xml:space="preserve"> Summation of these quality adjusted times provided an estimate of the overall QAS time during the study period for each treatment group.</w:t>
      </w:r>
      <w:r w:rsidRPr="00756C59">
        <w:t xml:space="preserve"> </w:t>
      </w:r>
    </w:p>
    <w:p w:rsidR="00624767" w:rsidRDefault="00624767" w:rsidP="00624767">
      <w:pPr>
        <w:spacing w:line="480" w:lineRule="auto"/>
        <w:ind w:firstLine="360"/>
      </w:pPr>
      <w:r w:rsidRPr="00733045">
        <w:t xml:space="preserve">To estimate the variability of the mean QAS time for the treatment groups, we used the bootstrap procedure. The bootstrap procedure </w:t>
      </w:r>
      <w:r>
        <w:t>gives an</w:t>
      </w:r>
      <w:r w:rsidRPr="00733045">
        <w:t xml:space="preserve"> approximat</w:t>
      </w:r>
      <w:r>
        <w:t>e</w:t>
      </w:r>
      <w:r w:rsidRPr="00733045">
        <w:t xml:space="preserve"> sampling distribution (</w:t>
      </w:r>
      <w:r>
        <w:t>and, therefore,</w:t>
      </w:r>
      <w:r w:rsidRPr="00733045">
        <w:t xml:space="preserve"> standard errors) of</w:t>
      </w:r>
      <w:r>
        <w:t xml:space="preserve"> the statistic of interest (in our case the mean QAS)</w:t>
      </w:r>
      <w:r w:rsidRPr="00733045">
        <w:t xml:space="preserve"> by a resampling procedure. Specifically, a sample </w:t>
      </w:r>
      <w:r>
        <w:t xml:space="preserve">of </w:t>
      </w:r>
      <w:r w:rsidRPr="00833D51">
        <w:rPr>
          <w:i/>
        </w:rPr>
        <w:t xml:space="preserve">n </w:t>
      </w:r>
      <w:r>
        <w:t xml:space="preserve">observations, </w:t>
      </w:r>
      <w:r w:rsidRPr="00733045">
        <w:t xml:space="preserve">called the bootstrap </w:t>
      </w:r>
      <w:r>
        <w:t xml:space="preserve">sample, </w:t>
      </w:r>
      <w:r w:rsidRPr="00733045">
        <w:t xml:space="preserve">is drawn from </w:t>
      </w:r>
      <w:r>
        <w:t xml:space="preserve">the data of </w:t>
      </w:r>
      <w:r>
        <w:rPr>
          <w:i/>
        </w:rPr>
        <w:t xml:space="preserve">n </w:t>
      </w:r>
      <w:r w:rsidRPr="00833D51">
        <w:t>observations</w:t>
      </w:r>
      <w:r>
        <w:t xml:space="preserve"> </w:t>
      </w:r>
      <w:r w:rsidRPr="00733045">
        <w:t xml:space="preserve">(i.e., </w:t>
      </w:r>
      <w:r>
        <w:t xml:space="preserve">the observed </w:t>
      </w:r>
      <w:r w:rsidRPr="00733045">
        <w:t>metformin or DIG Study data)</w:t>
      </w:r>
      <w:r>
        <w:t xml:space="preserve"> </w:t>
      </w:r>
      <w:r w:rsidRPr="00733045">
        <w:t xml:space="preserve">by resampling of the original </w:t>
      </w:r>
      <w:r w:rsidRPr="00833D51">
        <w:rPr>
          <w:i/>
        </w:rPr>
        <w:t>n</w:t>
      </w:r>
      <w:r>
        <w:t xml:space="preserve"> </w:t>
      </w:r>
      <w:r w:rsidRPr="00733045">
        <w:t xml:space="preserve">observations </w:t>
      </w:r>
      <w:r w:rsidRPr="00733045">
        <w:rPr>
          <w:i/>
        </w:rPr>
        <w:t>with replacement</w:t>
      </w:r>
      <w:r w:rsidRPr="00733045">
        <w:t>.</w:t>
      </w:r>
      <w:r>
        <w:t xml:space="preserve"> Thus, the bootstrapped sample is an approximate of </w:t>
      </w:r>
      <w:r w:rsidRPr="00733045">
        <w:t>the original source population</w:t>
      </w:r>
      <w:r>
        <w:t xml:space="preserve">.  </w:t>
      </w:r>
      <w:r w:rsidRPr="00733045">
        <w:t>Each observation in the original data has an equal probability of being selected for the bootstrap sample. The boot</w:t>
      </w:r>
      <w:r>
        <w:t>strap</w:t>
      </w:r>
      <w:r w:rsidRPr="00733045">
        <w:t xml:space="preserve"> sample contains the same total number of observations as the original sample. However, due to </w:t>
      </w:r>
      <w:r>
        <w:t xml:space="preserve">the </w:t>
      </w:r>
      <w:r w:rsidRPr="00733045">
        <w:t>resampling with replacement, some observations will appear once, more than once, or not at all</w:t>
      </w:r>
      <w:r w:rsidRPr="00833D51">
        <w:t xml:space="preserve"> </w:t>
      </w:r>
      <w:r w:rsidRPr="00733045">
        <w:t>in the bootstrap sample. Once the bootstrap sample has been obtained, the entire QAS method is applied to the bootstrap</w:t>
      </w:r>
      <w:r>
        <w:t xml:space="preserve"> sample,</w:t>
      </w:r>
      <w:r w:rsidRPr="00733045">
        <w:t xml:space="preserve"> generating an estimate of the mean QAS for the treatment group of interest</w:t>
      </w:r>
      <w:r>
        <w:t xml:space="preserve"> in the bootstrapped data</w:t>
      </w:r>
      <w:r w:rsidRPr="00733045">
        <w:t xml:space="preserve">. </w:t>
      </w:r>
      <w:r>
        <w:t xml:space="preserve">Of note, the time spent in each health state was calculated to the end of the follow-up time observed or to the maximum of 8.0 years and 4.8 years for the metformin study and DIG study, respectively, for subjects included in each boot sample. </w:t>
      </w:r>
      <w:r w:rsidRPr="00733045">
        <w:t>This bootstrap sampling and QAS calculation was repeated 500 times</w:t>
      </w:r>
      <w:r>
        <w:t xml:space="preserve"> for each of the metformin and DIG Study datasets</w:t>
      </w:r>
      <w:r w:rsidRPr="00733045">
        <w:t>.</w:t>
      </w:r>
      <w:r>
        <w:t xml:space="preserve"> The variability in the 500 QAS estimates generated from the 500 bootstrap samples is an estimate</w:t>
      </w:r>
      <w:r w:rsidRPr="007B2367">
        <w:t xml:space="preserve"> </w:t>
      </w:r>
      <w:r w:rsidRPr="00733045">
        <w:t>the variability of the mean QAS time</w:t>
      </w:r>
      <w:r>
        <w:t xml:space="preserve"> obtained in the original data.</w:t>
      </w:r>
      <w:r w:rsidRPr="00733045">
        <w:t xml:space="preserve"> The 95 percent confidence interval and corresponding p-values were then calculated according to the percentile method.</w:t>
      </w:r>
      <w:r w:rsidR="006506AF" w:rsidRPr="00733045">
        <w:fldChar w:fldCharType="begin"/>
      </w:r>
      <w:r w:rsidR="00DF2C28">
        <w:instrText xml:space="preserve"> ADDIN REFMGR.CITE &lt;Refman&gt;&lt;Cite&gt;&lt;Author&gt;Efron&lt;/Author&gt;&lt;Year&gt;1981&lt;/Year&gt;&lt;RecNum&gt;7240&lt;/RecNum&gt;&lt;IDText&gt;Censored-Data and the Bootstrap&lt;/IDText&gt;&lt;MDL Ref_Type="Journal"&gt;&lt;Ref_Type&gt;Journal&lt;/Ref_Type&gt;&lt;Ref_ID&gt;7240&lt;/Ref_ID&gt;&lt;Title_Primary&gt;Censored-Data and the Bootstrap&lt;/Title_Primary&gt;&lt;Authors_Primary&gt;Efron,B.&lt;/Authors_Primary&gt;&lt;Date_Primary&gt;1981&lt;/Date_Primary&gt;&lt;Keywords&gt;Article&lt;/Keywords&gt;&lt;Keywords&gt;Time&lt;/Keywords&gt;&lt;Reprint&gt;Not in File&lt;/Reprint&gt;&lt;Start_Page&gt;312&lt;/Start_Page&gt;&lt;End_Page&gt;319&lt;/End_Page&gt;&lt;Periodical&gt;Journal of the American Statistical Association&lt;/Periodical&gt;&lt;Volume&gt;76&lt;/Volume&gt;&lt;Issue&gt;374&lt;/Issue&gt;&lt;ISSN_ISBN&gt;0162-1459&lt;/ISSN_ISBN&gt;&lt;Web_URL&gt;ISI:A1981LT69100018&lt;/Web_URL&gt;&lt;ZZ_JournalFull&gt;&lt;f name="System"&gt;Journal of the American Statistical Association&lt;/f&gt;&lt;/ZZ_JournalFull&gt;&lt;ZZ_WorkformID&gt;1&lt;/ZZ_WorkformID&gt;&lt;/MDL&gt;&lt;/Cite&gt;&lt;/Refman&gt;</w:instrText>
      </w:r>
      <w:r w:rsidR="006506AF" w:rsidRPr="00733045">
        <w:fldChar w:fldCharType="separate"/>
      </w:r>
      <w:r w:rsidR="00DF2C28">
        <w:t>(13)</w:t>
      </w:r>
      <w:r w:rsidR="006506AF" w:rsidRPr="00733045">
        <w:fldChar w:fldCharType="end"/>
      </w:r>
      <w:r w:rsidRPr="00733045">
        <w:t xml:space="preserve"> </w:t>
      </w:r>
      <w:r>
        <w:t xml:space="preserve">The </w:t>
      </w:r>
      <w:r w:rsidRPr="00733045">
        <w:t xml:space="preserve">QAS </w:t>
      </w:r>
      <w:proofErr w:type="gramStart"/>
      <w:r>
        <w:t>estimates</w:t>
      </w:r>
      <w:r w:rsidRPr="00733045">
        <w:t xml:space="preserve"> which span the 2.5 and 97.5 percentiles of the bootstrapped distribution</w:t>
      </w:r>
      <w:proofErr w:type="gramEnd"/>
      <w:r w:rsidRPr="00733045">
        <w:t xml:space="preserve"> are used as the 95</w:t>
      </w:r>
      <w:r>
        <w:t xml:space="preserve"> percent</w:t>
      </w:r>
      <w:r w:rsidRPr="00733045">
        <w:t xml:space="preserve"> confidence interval. </w:t>
      </w:r>
    </w:p>
    <w:p w:rsidR="00624767" w:rsidRDefault="00624767" w:rsidP="00624767">
      <w:pPr>
        <w:spacing w:line="480" w:lineRule="auto"/>
        <w:ind w:firstLine="360"/>
      </w:pPr>
      <w:r>
        <w:br w:type="page"/>
      </w:r>
    </w:p>
    <w:p w:rsidR="00624767" w:rsidRDefault="00624767" w:rsidP="00624767">
      <w:pPr>
        <w:spacing w:line="480" w:lineRule="auto"/>
      </w:pPr>
      <w:r>
        <w:rPr>
          <w:b/>
        </w:rPr>
        <w:t>Table 1. Study Cohort Characteristics for Metformin Use in Heart Failure</w:t>
      </w:r>
    </w:p>
    <w:tbl>
      <w:tblPr>
        <w:tblW w:w="9780" w:type="dxa"/>
        <w:tblInd w:w="-132" w:type="dxa"/>
        <w:tblLayout w:type="fixed"/>
        <w:tblLook w:val="00A0"/>
      </w:tblPr>
      <w:tblGrid>
        <w:gridCol w:w="3240"/>
        <w:gridCol w:w="2580"/>
        <w:gridCol w:w="2340"/>
        <w:gridCol w:w="1620"/>
      </w:tblGrid>
      <w:tr w:rsidR="00624767">
        <w:tc>
          <w:tcPr>
            <w:tcW w:w="3240" w:type="dxa"/>
            <w:tcBorders>
              <w:top w:val="single" w:sz="12" w:space="0" w:color="auto"/>
              <w:bottom w:val="single" w:sz="12" w:space="0" w:color="auto"/>
            </w:tcBorders>
            <w:vAlign w:val="center"/>
          </w:tcPr>
          <w:p w:rsidR="00624767" w:rsidRDefault="00624767" w:rsidP="00624767">
            <w:pPr>
              <w:spacing w:line="480" w:lineRule="auto"/>
              <w:jc w:val="center"/>
              <w:rPr>
                <w:b/>
              </w:rPr>
            </w:pPr>
            <w:r>
              <w:rPr>
                <w:b/>
              </w:rPr>
              <w:t>Characteristic</w:t>
            </w:r>
          </w:p>
        </w:tc>
        <w:tc>
          <w:tcPr>
            <w:tcW w:w="2580" w:type="dxa"/>
            <w:tcBorders>
              <w:top w:val="single" w:sz="12" w:space="0" w:color="auto"/>
              <w:bottom w:val="single" w:sz="12" w:space="0" w:color="auto"/>
            </w:tcBorders>
          </w:tcPr>
          <w:p w:rsidR="00624767" w:rsidRDefault="00624767" w:rsidP="00624767">
            <w:pPr>
              <w:spacing w:line="480" w:lineRule="auto"/>
              <w:jc w:val="center"/>
              <w:rPr>
                <w:b/>
              </w:rPr>
            </w:pPr>
            <w:r>
              <w:rPr>
                <w:b/>
              </w:rPr>
              <w:t>Sulfonylurea</w:t>
            </w:r>
          </w:p>
          <w:p w:rsidR="00624767" w:rsidRDefault="00624767" w:rsidP="00624767">
            <w:pPr>
              <w:spacing w:line="480" w:lineRule="auto"/>
              <w:jc w:val="center"/>
              <w:rPr>
                <w:b/>
              </w:rPr>
            </w:pPr>
            <w:r>
              <w:rPr>
                <w:b/>
              </w:rPr>
              <w:t>Monotherapy</w:t>
            </w:r>
          </w:p>
          <w:p w:rsidR="00624767" w:rsidRDefault="00624767" w:rsidP="00624767">
            <w:pPr>
              <w:spacing w:line="480" w:lineRule="auto"/>
              <w:jc w:val="center"/>
              <w:rPr>
                <w:b/>
              </w:rPr>
            </w:pPr>
            <w:r>
              <w:rPr>
                <w:b/>
              </w:rPr>
              <w:t xml:space="preserve"> (</w:t>
            </w:r>
            <w:proofErr w:type="gramStart"/>
            <w:r>
              <w:rPr>
                <w:b/>
              </w:rPr>
              <w:t>n</w:t>
            </w:r>
            <w:proofErr w:type="gramEnd"/>
            <w:r>
              <w:rPr>
                <w:b/>
              </w:rPr>
              <w:t xml:space="preserve"> = 773)</w:t>
            </w:r>
          </w:p>
        </w:tc>
        <w:tc>
          <w:tcPr>
            <w:tcW w:w="2340" w:type="dxa"/>
            <w:tcBorders>
              <w:top w:val="single" w:sz="12" w:space="0" w:color="auto"/>
              <w:bottom w:val="single" w:sz="12" w:space="0" w:color="auto"/>
            </w:tcBorders>
            <w:vAlign w:val="center"/>
          </w:tcPr>
          <w:p w:rsidR="00624767" w:rsidRDefault="00624767" w:rsidP="00624767">
            <w:pPr>
              <w:spacing w:line="480" w:lineRule="auto"/>
              <w:jc w:val="center"/>
              <w:rPr>
                <w:b/>
              </w:rPr>
            </w:pPr>
            <w:r>
              <w:rPr>
                <w:b/>
              </w:rPr>
              <w:t>Metformin Monotherapy</w:t>
            </w:r>
          </w:p>
          <w:p w:rsidR="00624767" w:rsidRDefault="00624767" w:rsidP="00624767">
            <w:pPr>
              <w:spacing w:line="480" w:lineRule="auto"/>
              <w:jc w:val="center"/>
              <w:rPr>
                <w:b/>
              </w:rPr>
            </w:pPr>
            <w:r>
              <w:rPr>
                <w:b/>
              </w:rPr>
              <w:t>(</w:t>
            </w:r>
            <w:proofErr w:type="gramStart"/>
            <w:r>
              <w:rPr>
                <w:b/>
              </w:rPr>
              <w:t>n</w:t>
            </w:r>
            <w:proofErr w:type="gramEnd"/>
            <w:r>
              <w:rPr>
                <w:b/>
              </w:rPr>
              <w:t xml:space="preserve"> = 208)</w:t>
            </w:r>
          </w:p>
        </w:tc>
        <w:tc>
          <w:tcPr>
            <w:tcW w:w="1620" w:type="dxa"/>
            <w:tcBorders>
              <w:top w:val="single" w:sz="12" w:space="0" w:color="auto"/>
              <w:bottom w:val="single" w:sz="12" w:space="0" w:color="auto"/>
            </w:tcBorders>
            <w:vAlign w:val="bottom"/>
          </w:tcPr>
          <w:p w:rsidR="00624767" w:rsidRDefault="00624767" w:rsidP="00624767">
            <w:pPr>
              <w:spacing w:line="480" w:lineRule="auto"/>
              <w:jc w:val="center"/>
              <w:rPr>
                <w:b/>
              </w:rPr>
            </w:pPr>
            <w:r>
              <w:rPr>
                <w:b/>
              </w:rPr>
              <w:t>P Value*</w:t>
            </w:r>
          </w:p>
        </w:tc>
      </w:tr>
      <w:tr w:rsidR="00624767">
        <w:tc>
          <w:tcPr>
            <w:tcW w:w="3240" w:type="dxa"/>
            <w:tcBorders>
              <w:top w:val="single" w:sz="12" w:space="0" w:color="auto"/>
            </w:tcBorders>
          </w:tcPr>
          <w:p w:rsidR="00624767" w:rsidRDefault="00624767" w:rsidP="00624767">
            <w:pPr>
              <w:spacing w:before="120" w:after="120" w:line="480" w:lineRule="auto"/>
            </w:pPr>
          </w:p>
        </w:tc>
        <w:tc>
          <w:tcPr>
            <w:tcW w:w="4920" w:type="dxa"/>
            <w:gridSpan w:val="2"/>
            <w:tcBorders>
              <w:top w:val="single" w:sz="12" w:space="0" w:color="auto"/>
              <w:bottom w:val="single" w:sz="4" w:space="0" w:color="auto"/>
            </w:tcBorders>
            <w:vAlign w:val="center"/>
          </w:tcPr>
          <w:p w:rsidR="00624767" w:rsidRDefault="00624767" w:rsidP="00624767">
            <w:pPr>
              <w:spacing w:before="120" w:after="120" w:line="480" w:lineRule="auto"/>
              <w:jc w:val="center"/>
            </w:pPr>
            <w:r>
              <w:rPr>
                <w:b/>
              </w:rPr>
              <w:t>No. (%) or Mean ± SD</w:t>
            </w:r>
          </w:p>
        </w:tc>
        <w:tc>
          <w:tcPr>
            <w:tcW w:w="1620" w:type="dxa"/>
            <w:tcBorders>
              <w:top w:val="single" w:sz="12" w:space="0" w:color="auto"/>
            </w:tcBorders>
            <w:vAlign w:val="center"/>
          </w:tcPr>
          <w:p w:rsidR="00624767" w:rsidRDefault="00624767" w:rsidP="00624767">
            <w:pPr>
              <w:spacing w:before="120" w:after="120" w:line="480" w:lineRule="auto"/>
              <w:jc w:val="center"/>
            </w:pPr>
          </w:p>
        </w:tc>
      </w:tr>
      <w:tr w:rsidR="00624767">
        <w:tc>
          <w:tcPr>
            <w:tcW w:w="3240" w:type="dxa"/>
          </w:tcPr>
          <w:p w:rsidR="00624767" w:rsidRDefault="00624767" w:rsidP="00624767">
            <w:pPr>
              <w:spacing w:line="480" w:lineRule="auto"/>
            </w:pPr>
            <w:r>
              <w:t>Age – yrs</w:t>
            </w:r>
          </w:p>
        </w:tc>
        <w:tc>
          <w:tcPr>
            <w:tcW w:w="2580" w:type="dxa"/>
            <w:tcBorders>
              <w:top w:val="single" w:sz="4" w:space="0" w:color="auto"/>
            </w:tcBorders>
          </w:tcPr>
          <w:p w:rsidR="00624767" w:rsidRDefault="00624767" w:rsidP="00624767">
            <w:pPr>
              <w:spacing w:line="480" w:lineRule="auto"/>
              <w:jc w:val="center"/>
            </w:pPr>
            <w:r>
              <w:t>74.8 ± 10.1</w:t>
            </w:r>
          </w:p>
        </w:tc>
        <w:tc>
          <w:tcPr>
            <w:tcW w:w="2340" w:type="dxa"/>
            <w:tcBorders>
              <w:top w:val="single" w:sz="4" w:space="0" w:color="auto"/>
            </w:tcBorders>
            <w:vAlign w:val="center"/>
          </w:tcPr>
          <w:p w:rsidR="00624767" w:rsidRDefault="00624767" w:rsidP="00624767">
            <w:pPr>
              <w:spacing w:line="480" w:lineRule="auto"/>
              <w:jc w:val="center"/>
            </w:pPr>
            <w:r>
              <w:t>72.5 ± 10.6</w:t>
            </w:r>
          </w:p>
        </w:tc>
        <w:tc>
          <w:tcPr>
            <w:tcW w:w="1620" w:type="dxa"/>
            <w:vAlign w:val="center"/>
          </w:tcPr>
          <w:p w:rsidR="00624767" w:rsidRDefault="00624767" w:rsidP="00624767">
            <w:pPr>
              <w:spacing w:line="480" w:lineRule="auto"/>
              <w:jc w:val="center"/>
            </w:pPr>
            <w:r>
              <w:t>&lt;0.001</w:t>
            </w:r>
          </w:p>
        </w:tc>
      </w:tr>
      <w:tr w:rsidR="00624767">
        <w:tc>
          <w:tcPr>
            <w:tcW w:w="3240" w:type="dxa"/>
          </w:tcPr>
          <w:p w:rsidR="00624767" w:rsidRDefault="00624767" w:rsidP="00624767">
            <w:pPr>
              <w:spacing w:line="480" w:lineRule="auto"/>
            </w:pPr>
            <w:r>
              <w:t>Sex – male</w:t>
            </w:r>
          </w:p>
        </w:tc>
        <w:tc>
          <w:tcPr>
            <w:tcW w:w="2580" w:type="dxa"/>
          </w:tcPr>
          <w:p w:rsidR="00624767" w:rsidRDefault="00624767" w:rsidP="00624767">
            <w:pPr>
              <w:spacing w:line="480" w:lineRule="auto"/>
              <w:jc w:val="center"/>
            </w:pPr>
            <w:r>
              <w:t>451 (58)</w:t>
            </w:r>
          </w:p>
        </w:tc>
        <w:tc>
          <w:tcPr>
            <w:tcW w:w="2340" w:type="dxa"/>
            <w:vAlign w:val="center"/>
          </w:tcPr>
          <w:p w:rsidR="00624767" w:rsidRDefault="00624767" w:rsidP="00624767">
            <w:pPr>
              <w:spacing w:line="480" w:lineRule="auto"/>
              <w:jc w:val="center"/>
            </w:pPr>
            <w:r>
              <w:t>123 (59)</w:t>
            </w:r>
          </w:p>
        </w:tc>
        <w:tc>
          <w:tcPr>
            <w:tcW w:w="1620" w:type="dxa"/>
            <w:vAlign w:val="center"/>
          </w:tcPr>
          <w:p w:rsidR="00624767" w:rsidRDefault="00624767" w:rsidP="00624767">
            <w:pPr>
              <w:spacing w:line="480" w:lineRule="auto"/>
              <w:jc w:val="center"/>
            </w:pPr>
            <w:r>
              <w:t>0.40</w:t>
            </w:r>
          </w:p>
        </w:tc>
      </w:tr>
      <w:tr w:rsidR="00624767">
        <w:tc>
          <w:tcPr>
            <w:tcW w:w="3240" w:type="dxa"/>
          </w:tcPr>
          <w:p w:rsidR="00624767" w:rsidRDefault="00624767" w:rsidP="00624767">
            <w:pPr>
              <w:spacing w:line="480" w:lineRule="auto"/>
            </w:pPr>
            <w:r>
              <w:t xml:space="preserve">Duration of Follow Up after diagnosis of heart failure (yrs) </w:t>
            </w:r>
          </w:p>
        </w:tc>
        <w:tc>
          <w:tcPr>
            <w:tcW w:w="2580" w:type="dxa"/>
            <w:vAlign w:val="center"/>
          </w:tcPr>
          <w:p w:rsidR="00624767" w:rsidRDefault="00624767" w:rsidP="00624767">
            <w:pPr>
              <w:spacing w:line="480" w:lineRule="auto"/>
              <w:jc w:val="center"/>
            </w:pPr>
            <w:r>
              <w:t>2.3 ± 2.0</w:t>
            </w:r>
          </w:p>
        </w:tc>
        <w:tc>
          <w:tcPr>
            <w:tcW w:w="2340" w:type="dxa"/>
            <w:vAlign w:val="center"/>
          </w:tcPr>
          <w:p w:rsidR="00624767" w:rsidRDefault="00624767" w:rsidP="00624767">
            <w:pPr>
              <w:spacing w:line="480" w:lineRule="auto"/>
              <w:jc w:val="center"/>
            </w:pPr>
            <w:r>
              <w:t>2.3 ± 1.8</w:t>
            </w:r>
          </w:p>
        </w:tc>
        <w:tc>
          <w:tcPr>
            <w:tcW w:w="1620" w:type="dxa"/>
            <w:vAlign w:val="center"/>
          </w:tcPr>
          <w:p w:rsidR="00624767" w:rsidRDefault="00624767" w:rsidP="00624767">
            <w:pPr>
              <w:spacing w:line="480" w:lineRule="auto"/>
              <w:jc w:val="center"/>
            </w:pPr>
            <w:r>
              <w:t>&lt;0.001</w:t>
            </w:r>
          </w:p>
        </w:tc>
      </w:tr>
      <w:tr w:rsidR="00624767">
        <w:tc>
          <w:tcPr>
            <w:tcW w:w="3240" w:type="dxa"/>
          </w:tcPr>
          <w:p w:rsidR="00624767" w:rsidRDefault="00624767" w:rsidP="00624767">
            <w:pPr>
              <w:spacing w:line="480" w:lineRule="auto"/>
            </w:pPr>
            <w:r>
              <w:t>Chronic Disease Score</w:t>
            </w:r>
          </w:p>
          <w:p w:rsidR="00624767" w:rsidRDefault="00624767" w:rsidP="00624767">
            <w:pPr>
              <w:spacing w:line="480" w:lineRule="auto"/>
              <w:ind w:left="720"/>
            </w:pPr>
            <w:r>
              <w:t>Median</w:t>
            </w:r>
          </w:p>
        </w:tc>
        <w:tc>
          <w:tcPr>
            <w:tcW w:w="2580" w:type="dxa"/>
          </w:tcPr>
          <w:p w:rsidR="00624767" w:rsidRDefault="00624767" w:rsidP="00624767">
            <w:pPr>
              <w:spacing w:line="480" w:lineRule="auto"/>
              <w:jc w:val="center"/>
            </w:pPr>
            <w:r>
              <w:t>10.7 ± 3.7</w:t>
            </w:r>
          </w:p>
          <w:p w:rsidR="00624767" w:rsidRDefault="00624767" w:rsidP="00624767">
            <w:pPr>
              <w:spacing w:line="480" w:lineRule="auto"/>
              <w:jc w:val="center"/>
            </w:pPr>
            <w:r>
              <w:t>10.0</w:t>
            </w:r>
          </w:p>
        </w:tc>
        <w:tc>
          <w:tcPr>
            <w:tcW w:w="2340" w:type="dxa"/>
            <w:vAlign w:val="center"/>
          </w:tcPr>
          <w:p w:rsidR="00624767" w:rsidRDefault="00624767" w:rsidP="00624767">
            <w:pPr>
              <w:spacing w:line="480" w:lineRule="auto"/>
              <w:jc w:val="center"/>
            </w:pPr>
            <w:r>
              <w:t>11.6 ± 3.6</w:t>
            </w:r>
          </w:p>
          <w:p w:rsidR="00624767" w:rsidRDefault="00624767" w:rsidP="00624767">
            <w:pPr>
              <w:spacing w:line="480" w:lineRule="auto"/>
              <w:jc w:val="center"/>
            </w:pPr>
            <w:r>
              <w:t>11.0</w:t>
            </w:r>
          </w:p>
        </w:tc>
        <w:tc>
          <w:tcPr>
            <w:tcW w:w="1620" w:type="dxa"/>
          </w:tcPr>
          <w:p w:rsidR="00624767" w:rsidRDefault="00624767" w:rsidP="00624767">
            <w:pPr>
              <w:spacing w:line="480" w:lineRule="auto"/>
              <w:jc w:val="center"/>
            </w:pPr>
            <w:r>
              <w:t>&lt;0.001</w:t>
            </w:r>
          </w:p>
        </w:tc>
      </w:tr>
      <w:tr w:rsidR="00624767">
        <w:tblPrEx>
          <w:tblLook w:val="01E0"/>
        </w:tblPrEx>
        <w:tc>
          <w:tcPr>
            <w:tcW w:w="3240" w:type="dxa"/>
          </w:tcPr>
          <w:p w:rsidR="00624767" w:rsidRDefault="00624767" w:rsidP="00624767">
            <w:pPr>
              <w:spacing w:line="480" w:lineRule="auto"/>
            </w:pPr>
            <w:r>
              <w:t>Total Physician Visits</w:t>
            </w:r>
            <w:proofErr w:type="gramStart"/>
            <w:r>
              <w:t xml:space="preserve">†            </w:t>
            </w:r>
            <w:proofErr w:type="gramEnd"/>
          </w:p>
        </w:tc>
        <w:tc>
          <w:tcPr>
            <w:tcW w:w="2580" w:type="dxa"/>
          </w:tcPr>
          <w:p w:rsidR="00624767" w:rsidRDefault="00624767" w:rsidP="00624767">
            <w:pPr>
              <w:spacing w:line="480" w:lineRule="auto"/>
              <w:jc w:val="center"/>
            </w:pPr>
            <w:r>
              <w:t>41.6 ± 44.5</w:t>
            </w:r>
          </w:p>
        </w:tc>
        <w:tc>
          <w:tcPr>
            <w:tcW w:w="2340" w:type="dxa"/>
            <w:vAlign w:val="center"/>
          </w:tcPr>
          <w:p w:rsidR="00624767" w:rsidRDefault="00624767" w:rsidP="00624767">
            <w:pPr>
              <w:spacing w:line="480" w:lineRule="auto"/>
              <w:jc w:val="center"/>
            </w:pPr>
            <w:r>
              <w:t>48.0 ± 40.0</w:t>
            </w:r>
          </w:p>
        </w:tc>
        <w:tc>
          <w:tcPr>
            <w:tcW w:w="1620" w:type="dxa"/>
            <w:vAlign w:val="center"/>
          </w:tcPr>
          <w:p w:rsidR="00624767" w:rsidRDefault="00624767" w:rsidP="00624767">
            <w:pPr>
              <w:spacing w:line="480" w:lineRule="auto"/>
              <w:jc w:val="center"/>
            </w:pPr>
            <w:r>
              <w:t>&lt;0.001</w:t>
            </w:r>
          </w:p>
        </w:tc>
      </w:tr>
      <w:tr w:rsidR="00624767">
        <w:tblPrEx>
          <w:tblLook w:val="01E0"/>
        </w:tblPrEx>
        <w:tc>
          <w:tcPr>
            <w:tcW w:w="3240" w:type="dxa"/>
          </w:tcPr>
          <w:p w:rsidR="00624767" w:rsidRDefault="00624767" w:rsidP="00624767">
            <w:pPr>
              <w:spacing w:line="480" w:lineRule="auto"/>
            </w:pPr>
            <w:r>
              <w:t>Myocardial Infarction</w:t>
            </w:r>
          </w:p>
        </w:tc>
        <w:tc>
          <w:tcPr>
            <w:tcW w:w="2580" w:type="dxa"/>
          </w:tcPr>
          <w:p w:rsidR="00624767" w:rsidRDefault="00624767" w:rsidP="00624767">
            <w:pPr>
              <w:spacing w:line="480" w:lineRule="auto"/>
              <w:jc w:val="center"/>
            </w:pPr>
            <w:r>
              <w:t>72 (9)</w:t>
            </w:r>
          </w:p>
        </w:tc>
        <w:tc>
          <w:tcPr>
            <w:tcW w:w="2340" w:type="dxa"/>
            <w:vAlign w:val="center"/>
          </w:tcPr>
          <w:p w:rsidR="00624767" w:rsidRDefault="00624767" w:rsidP="00624767">
            <w:pPr>
              <w:spacing w:line="480" w:lineRule="auto"/>
              <w:jc w:val="center"/>
            </w:pPr>
            <w:r>
              <w:t>20 (10)</w:t>
            </w:r>
          </w:p>
        </w:tc>
        <w:tc>
          <w:tcPr>
            <w:tcW w:w="1620" w:type="dxa"/>
            <w:vAlign w:val="center"/>
          </w:tcPr>
          <w:p w:rsidR="00624767" w:rsidRDefault="00624767" w:rsidP="00624767">
            <w:pPr>
              <w:spacing w:line="480" w:lineRule="auto"/>
              <w:jc w:val="center"/>
            </w:pPr>
            <w:r>
              <w:t>0.645</w:t>
            </w:r>
          </w:p>
        </w:tc>
      </w:tr>
      <w:tr w:rsidR="00624767">
        <w:tblPrEx>
          <w:tblLook w:val="01E0"/>
        </w:tblPrEx>
        <w:tc>
          <w:tcPr>
            <w:tcW w:w="3240" w:type="dxa"/>
          </w:tcPr>
          <w:p w:rsidR="00624767" w:rsidRDefault="00624767" w:rsidP="00624767">
            <w:pPr>
              <w:spacing w:line="480" w:lineRule="auto"/>
            </w:pPr>
            <w:r>
              <w:t>Ischemic Heart Disease</w:t>
            </w:r>
          </w:p>
        </w:tc>
        <w:tc>
          <w:tcPr>
            <w:tcW w:w="2580" w:type="dxa"/>
          </w:tcPr>
          <w:p w:rsidR="00624767" w:rsidRDefault="00624767" w:rsidP="00624767">
            <w:pPr>
              <w:spacing w:line="480" w:lineRule="auto"/>
              <w:jc w:val="center"/>
            </w:pPr>
            <w:r>
              <w:t>152 (16)</w:t>
            </w:r>
          </w:p>
        </w:tc>
        <w:tc>
          <w:tcPr>
            <w:tcW w:w="2340" w:type="dxa"/>
          </w:tcPr>
          <w:p w:rsidR="00624767" w:rsidRDefault="00624767" w:rsidP="00624767">
            <w:pPr>
              <w:spacing w:line="480" w:lineRule="auto"/>
              <w:jc w:val="center"/>
            </w:pPr>
            <w:r>
              <w:t>32 (15)</w:t>
            </w:r>
          </w:p>
        </w:tc>
        <w:tc>
          <w:tcPr>
            <w:tcW w:w="1620" w:type="dxa"/>
          </w:tcPr>
          <w:p w:rsidR="00624767" w:rsidRDefault="00624767" w:rsidP="00624767">
            <w:pPr>
              <w:spacing w:line="480" w:lineRule="auto"/>
              <w:jc w:val="center"/>
            </w:pPr>
            <w:r>
              <w:t>0.874</w:t>
            </w:r>
          </w:p>
        </w:tc>
      </w:tr>
      <w:tr w:rsidR="00624767">
        <w:tblPrEx>
          <w:tblLook w:val="01E0"/>
        </w:tblPrEx>
        <w:tc>
          <w:tcPr>
            <w:tcW w:w="3240" w:type="dxa"/>
          </w:tcPr>
          <w:p w:rsidR="00624767" w:rsidRDefault="00624767" w:rsidP="00624767">
            <w:pPr>
              <w:spacing w:line="480" w:lineRule="auto"/>
            </w:pPr>
            <w:r>
              <w:t>Cerebrovascular Disease</w:t>
            </w:r>
          </w:p>
        </w:tc>
        <w:tc>
          <w:tcPr>
            <w:tcW w:w="2580" w:type="dxa"/>
          </w:tcPr>
          <w:p w:rsidR="00624767" w:rsidRDefault="00624767" w:rsidP="00624767">
            <w:pPr>
              <w:spacing w:line="480" w:lineRule="auto"/>
              <w:jc w:val="center"/>
            </w:pPr>
            <w:r>
              <w:t>88 (11)</w:t>
            </w:r>
          </w:p>
        </w:tc>
        <w:tc>
          <w:tcPr>
            <w:tcW w:w="2340" w:type="dxa"/>
          </w:tcPr>
          <w:p w:rsidR="00624767" w:rsidRDefault="00624767" w:rsidP="00624767">
            <w:pPr>
              <w:spacing w:line="480" w:lineRule="auto"/>
              <w:jc w:val="center"/>
            </w:pPr>
            <w:r>
              <w:t>19 (9)</w:t>
            </w:r>
          </w:p>
        </w:tc>
        <w:tc>
          <w:tcPr>
            <w:tcW w:w="1620" w:type="dxa"/>
          </w:tcPr>
          <w:p w:rsidR="00624767" w:rsidRDefault="00624767" w:rsidP="00624767">
            <w:pPr>
              <w:spacing w:line="480" w:lineRule="auto"/>
              <w:jc w:val="center"/>
            </w:pPr>
            <w:r>
              <w:t>0.490</w:t>
            </w:r>
          </w:p>
        </w:tc>
      </w:tr>
      <w:tr w:rsidR="00624767">
        <w:tblPrEx>
          <w:tblLook w:val="01E0"/>
        </w:tblPrEx>
        <w:tc>
          <w:tcPr>
            <w:tcW w:w="3240" w:type="dxa"/>
          </w:tcPr>
          <w:p w:rsidR="00624767" w:rsidRDefault="00624767" w:rsidP="00624767">
            <w:pPr>
              <w:spacing w:line="480" w:lineRule="auto"/>
            </w:pPr>
            <w:r>
              <w:t>Other Diseases of Arteries, Arterioles and Capillaries</w:t>
            </w:r>
          </w:p>
        </w:tc>
        <w:tc>
          <w:tcPr>
            <w:tcW w:w="2580" w:type="dxa"/>
            <w:vAlign w:val="center"/>
          </w:tcPr>
          <w:p w:rsidR="00624767" w:rsidRDefault="00624767" w:rsidP="00624767">
            <w:pPr>
              <w:spacing w:line="480" w:lineRule="auto"/>
              <w:jc w:val="center"/>
            </w:pPr>
            <w:r>
              <w:t>27 (4)</w:t>
            </w:r>
          </w:p>
        </w:tc>
        <w:tc>
          <w:tcPr>
            <w:tcW w:w="2340" w:type="dxa"/>
            <w:vAlign w:val="center"/>
          </w:tcPr>
          <w:p w:rsidR="00624767" w:rsidRDefault="00624767" w:rsidP="00624767">
            <w:pPr>
              <w:spacing w:line="480" w:lineRule="auto"/>
              <w:jc w:val="center"/>
            </w:pPr>
            <w:r>
              <w:t>6 (3)</w:t>
            </w:r>
          </w:p>
        </w:tc>
        <w:tc>
          <w:tcPr>
            <w:tcW w:w="1620" w:type="dxa"/>
            <w:vAlign w:val="center"/>
          </w:tcPr>
          <w:p w:rsidR="00624767" w:rsidRDefault="00624767" w:rsidP="00624767">
            <w:pPr>
              <w:spacing w:line="480" w:lineRule="auto"/>
              <w:jc w:val="center"/>
            </w:pPr>
            <w:r>
              <w:t>0.91</w:t>
            </w:r>
          </w:p>
        </w:tc>
      </w:tr>
      <w:tr w:rsidR="00624767">
        <w:tblPrEx>
          <w:tblLook w:val="01E0"/>
        </w:tblPrEx>
        <w:tc>
          <w:tcPr>
            <w:tcW w:w="3240" w:type="dxa"/>
          </w:tcPr>
          <w:p w:rsidR="00624767" w:rsidRDefault="00624767" w:rsidP="00624767">
            <w:pPr>
              <w:spacing w:line="480" w:lineRule="auto"/>
            </w:pPr>
            <w:r>
              <w:t>Medications‡</w:t>
            </w:r>
          </w:p>
        </w:tc>
        <w:tc>
          <w:tcPr>
            <w:tcW w:w="2580" w:type="dxa"/>
          </w:tcPr>
          <w:p w:rsidR="00624767" w:rsidRDefault="00624767" w:rsidP="00624767">
            <w:pPr>
              <w:spacing w:line="480" w:lineRule="auto"/>
              <w:jc w:val="center"/>
              <w:rPr>
                <w:b/>
              </w:rPr>
            </w:pPr>
          </w:p>
        </w:tc>
        <w:tc>
          <w:tcPr>
            <w:tcW w:w="2340" w:type="dxa"/>
            <w:vAlign w:val="center"/>
          </w:tcPr>
          <w:p w:rsidR="00624767" w:rsidRDefault="00624767" w:rsidP="00624767">
            <w:pPr>
              <w:spacing w:line="480" w:lineRule="auto"/>
              <w:jc w:val="center"/>
              <w:rPr>
                <w:b/>
              </w:rPr>
            </w:pPr>
          </w:p>
        </w:tc>
        <w:tc>
          <w:tcPr>
            <w:tcW w:w="1620" w:type="dxa"/>
            <w:vAlign w:val="center"/>
          </w:tcPr>
          <w:p w:rsidR="00624767" w:rsidRDefault="00624767" w:rsidP="00624767">
            <w:pPr>
              <w:spacing w:line="480" w:lineRule="auto"/>
              <w:jc w:val="center"/>
              <w:rPr>
                <w:b/>
              </w:rPr>
            </w:pPr>
          </w:p>
        </w:tc>
      </w:tr>
      <w:tr w:rsidR="00624767">
        <w:tblPrEx>
          <w:tblLook w:val="01E0"/>
        </w:tblPrEx>
        <w:tc>
          <w:tcPr>
            <w:tcW w:w="3240" w:type="dxa"/>
          </w:tcPr>
          <w:p w:rsidR="00624767" w:rsidRDefault="00624767" w:rsidP="00624767">
            <w:pPr>
              <w:spacing w:line="480" w:lineRule="auto"/>
              <w:ind w:left="720"/>
            </w:pPr>
            <w:r>
              <w:t>Thiazide Diuretics</w:t>
            </w:r>
          </w:p>
        </w:tc>
        <w:tc>
          <w:tcPr>
            <w:tcW w:w="2580" w:type="dxa"/>
          </w:tcPr>
          <w:p w:rsidR="00624767" w:rsidRDefault="00624767" w:rsidP="00624767">
            <w:pPr>
              <w:spacing w:line="480" w:lineRule="auto"/>
              <w:jc w:val="center"/>
            </w:pPr>
            <w:r>
              <w:t>214 (28)</w:t>
            </w:r>
          </w:p>
        </w:tc>
        <w:tc>
          <w:tcPr>
            <w:tcW w:w="2340" w:type="dxa"/>
            <w:vAlign w:val="center"/>
          </w:tcPr>
          <w:p w:rsidR="00624767" w:rsidRDefault="00624767" w:rsidP="00624767">
            <w:pPr>
              <w:spacing w:line="480" w:lineRule="auto"/>
              <w:jc w:val="center"/>
            </w:pPr>
            <w:r>
              <w:t>59 (11)</w:t>
            </w:r>
          </w:p>
        </w:tc>
        <w:tc>
          <w:tcPr>
            <w:tcW w:w="1620" w:type="dxa"/>
            <w:vAlign w:val="center"/>
          </w:tcPr>
          <w:p w:rsidR="00624767" w:rsidRDefault="00624767" w:rsidP="00624767">
            <w:pPr>
              <w:spacing w:line="480" w:lineRule="auto"/>
              <w:jc w:val="center"/>
            </w:pPr>
            <w:r>
              <w:t>0.36</w:t>
            </w:r>
          </w:p>
        </w:tc>
      </w:tr>
      <w:tr w:rsidR="00624767">
        <w:tblPrEx>
          <w:tblLook w:val="01E0"/>
        </w:tblPrEx>
        <w:tc>
          <w:tcPr>
            <w:tcW w:w="3240" w:type="dxa"/>
          </w:tcPr>
          <w:p w:rsidR="00624767" w:rsidRDefault="00624767" w:rsidP="00624767">
            <w:pPr>
              <w:spacing w:line="480" w:lineRule="auto"/>
              <w:ind w:left="720"/>
            </w:pPr>
            <w:r>
              <w:t>Loop Diuretics</w:t>
            </w:r>
          </w:p>
        </w:tc>
        <w:tc>
          <w:tcPr>
            <w:tcW w:w="2580" w:type="dxa"/>
          </w:tcPr>
          <w:p w:rsidR="00624767" w:rsidRDefault="00624767" w:rsidP="00624767">
            <w:pPr>
              <w:spacing w:line="480" w:lineRule="auto"/>
              <w:jc w:val="center"/>
            </w:pPr>
            <w:r>
              <w:t>595 (77)</w:t>
            </w:r>
          </w:p>
        </w:tc>
        <w:tc>
          <w:tcPr>
            <w:tcW w:w="2340" w:type="dxa"/>
            <w:vAlign w:val="center"/>
          </w:tcPr>
          <w:p w:rsidR="00624767" w:rsidRDefault="00624767" w:rsidP="00624767">
            <w:pPr>
              <w:spacing w:line="480" w:lineRule="auto"/>
              <w:jc w:val="center"/>
            </w:pPr>
            <w:r>
              <w:t>157 (76)</w:t>
            </w:r>
          </w:p>
        </w:tc>
        <w:tc>
          <w:tcPr>
            <w:tcW w:w="1620" w:type="dxa"/>
            <w:vAlign w:val="center"/>
          </w:tcPr>
          <w:p w:rsidR="00624767" w:rsidRDefault="00624767" w:rsidP="00624767">
            <w:pPr>
              <w:spacing w:line="480" w:lineRule="auto"/>
              <w:jc w:val="center"/>
            </w:pPr>
            <w:r>
              <w:t>0.061</w:t>
            </w:r>
          </w:p>
        </w:tc>
      </w:tr>
      <w:tr w:rsidR="00624767">
        <w:tblPrEx>
          <w:tblLook w:val="01E0"/>
        </w:tblPrEx>
        <w:tc>
          <w:tcPr>
            <w:tcW w:w="3240" w:type="dxa"/>
          </w:tcPr>
          <w:p w:rsidR="00624767" w:rsidRDefault="00624767" w:rsidP="00624767">
            <w:pPr>
              <w:spacing w:line="480" w:lineRule="auto"/>
              <w:ind w:left="720"/>
            </w:pPr>
            <w:r>
              <w:t>ACE Inhibitors</w:t>
            </w:r>
          </w:p>
        </w:tc>
        <w:tc>
          <w:tcPr>
            <w:tcW w:w="2580" w:type="dxa"/>
          </w:tcPr>
          <w:p w:rsidR="00624767" w:rsidRDefault="00624767" w:rsidP="00624767">
            <w:pPr>
              <w:spacing w:line="480" w:lineRule="auto"/>
              <w:jc w:val="center"/>
            </w:pPr>
            <w:r>
              <w:t>476 (62)</w:t>
            </w:r>
          </w:p>
        </w:tc>
        <w:tc>
          <w:tcPr>
            <w:tcW w:w="2340" w:type="dxa"/>
            <w:vAlign w:val="center"/>
          </w:tcPr>
          <w:p w:rsidR="00624767" w:rsidRDefault="00624767" w:rsidP="00624767">
            <w:pPr>
              <w:spacing w:line="480" w:lineRule="auto"/>
              <w:jc w:val="center"/>
            </w:pPr>
            <w:r>
              <w:t>148 (71)</w:t>
            </w:r>
          </w:p>
        </w:tc>
        <w:tc>
          <w:tcPr>
            <w:tcW w:w="1620" w:type="dxa"/>
            <w:vAlign w:val="center"/>
          </w:tcPr>
          <w:p w:rsidR="00624767" w:rsidRDefault="00624767" w:rsidP="00624767">
            <w:pPr>
              <w:spacing w:line="480" w:lineRule="auto"/>
              <w:jc w:val="center"/>
            </w:pPr>
            <w:r>
              <w:t>&lt;0.001</w:t>
            </w:r>
          </w:p>
        </w:tc>
      </w:tr>
      <w:tr w:rsidR="00624767">
        <w:tblPrEx>
          <w:tblLook w:val="01E0"/>
        </w:tblPrEx>
        <w:tc>
          <w:tcPr>
            <w:tcW w:w="3240" w:type="dxa"/>
          </w:tcPr>
          <w:p w:rsidR="00624767" w:rsidRDefault="00624767" w:rsidP="00624767">
            <w:pPr>
              <w:spacing w:line="480" w:lineRule="auto"/>
              <w:ind w:left="720"/>
            </w:pPr>
            <w:r>
              <w:t>ARBs</w:t>
            </w:r>
          </w:p>
        </w:tc>
        <w:tc>
          <w:tcPr>
            <w:tcW w:w="2580" w:type="dxa"/>
          </w:tcPr>
          <w:p w:rsidR="00624767" w:rsidRDefault="00624767" w:rsidP="00624767">
            <w:pPr>
              <w:spacing w:line="480" w:lineRule="auto"/>
              <w:jc w:val="center"/>
            </w:pPr>
            <w:r>
              <w:t>38 (5)</w:t>
            </w:r>
          </w:p>
        </w:tc>
        <w:tc>
          <w:tcPr>
            <w:tcW w:w="2340" w:type="dxa"/>
            <w:vAlign w:val="center"/>
          </w:tcPr>
          <w:p w:rsidR="00624767" w:rsidRDefault="00624767" w:rsidP="00624767">
            <w:pPr>
              <w:spacing w:line="480" w:lineRule="auto"/>
              <w:jc w:val="center"/>
            </w:pPr>
            <w:r>
              <w:t>17 (8)</w:t>
            </w:r>
          </w:p>
        </w:tc>
        <w:tc>
          <w:tcPr>
            <w:tcW w:w="1620" w:type="dxa"/>
            <w:vAlign w:val="center"/>
          </w:tcPr>
          <w:p w:rsidR="00624767" w:rsidRDefault="00624767" w:rsidP="00624767">
            <w:pPr>
              <w:spacing w:line="480" w:lineRule="auto"/>
              <w:jc w:val="center"/>
            </w:pPr>
            <w:r>
              <w:t>0.008</w:t>
            </w:r>
          </w:p>
        </w:tc>
      </w:tr>
      <w:tr w:rsidR="00624767">
        <w:tblPrEx>
          <w:tblLook w:val="01E0"/>
        </w:tblPrEx>
        <w:tc>
          <w:tcPr>
            <w:tcW w:w="3240" w:type="dxa"/>
          </w:tcPr>
          <w:p w:rsidR="00624767" w:rsidRDefault="00624767" w:rsidP="00624767">
            <w:pPr>
              <w:spacing w:line="480" w:lineRule="auto"/>
              <w:ind w:left="720"/>
            </w:pPr>
            <w:r>
              <w:t>Antiplatelet Therapy</w:t>
            </w:r>
          </w:p>
        </w:tc>
        <w:tc>
          <w:tcPr>
            <w:tcW w:w="2580" w:type="dxa"/>
          </w:tcPr>
          <w:p w:rsidR="00624767" w:rsidRDefault="00624767" w:rsidP="00624767">
            <w:pPr>
              <w:spacing w:line="480" w:lineRule="auto"/>
              <w:jc w:val="center"/>
            </w:pPr>
            <w:r>
              <w:t>300 (39)</w:t>
            </w:r>
          </w:p>
        </w:tc>
        <w:tc>
          <w:tcPr>
            <w:tcW w:w="2340" w:type="dxa"/>
            <w:vAlign w:val="center"/>
          </w:tcPr>
          <w:p w:rsidR="00624767" w:rsidRDefault="00624767" w:rsidP="00624767">
            <w:pPr>
              <w:spacing w:line="480" w:lineRule="auto"/>
              <w:jc w:val="center"/>
            </w:pPr>
            <w:r>
              <w:t>92 (44)</w:t>
            </w:r>
          </w:p>
        </w:tc>
        <w:tc>
          <w:tcPr>
            <w:tcW w:w="1620" w:type="dxa"/>
            <w:vAlign w:val="center"/>
          </w:tcPr>
          <w:p w:rsidR="00624767" w:rsidRDefault="00624767" w:rsidP="00624767">
            <w:pPr>
              <w:spacing w:line="480" w:lineRule="auto"/>
              <w:jc w:val="center"/>
            </w:pPr>
            <w:r>
              <w:t>0.24</w:t>
            </w:r>
          </w:p>
        </w:tc>
      </w:tr>
      <w:tr w:rsidR="00624767">
        <w:tblPrEx>
          <w:tblLook w:val="01E0"/>
        </w:tblPrEx>
        <w:tc>
          <w:tcPr>
            <w:tcW w:w="3240" w:type="dxa"/>
          </w:tcPr>
          <w:p w:rsidR="00624767" w:rsidRDefault="00624767" w:rsidP="00624767">
            <w:pPr>
              <w:spacing w:line="480" w:lineRule="auto"/>
              <w:ind w:left="720"/>
            </w:pPr>
            <w:r>
              <w:t xml:space="preserve">Antiarrhythmic Agent </w:t>
            </w:r>
          </w:p>
        </w:tc>
        <w:tc>
          <w:tcPr>
            <w:tcW w:w="2580" w:type="dxa"/>
          </w:tcPr>
          <w:p w:rsidR="00624767" w:rsidRDefault="00624767" w:rsidP="00624767">
            <w:pPr>
              <w:spacing w:line="480" w:lineRule="auto"/>
              <w:jc w:val="center"/>
            </w:pPr>
            <w:r>
              <w:t>369 (48)</w:t>
            </w:r>
          </w:p>
        </w:tc>
        <w:tc>
          <w:tcPr>
            <w:tcW w:w="2340" w:type="dxa"/>
            <w:vAlign w:val="center"/>
          </w:tcPr>
          <w:p w:rsidR="00624767" w:rsidRDefault="00624767" w:rsidP="00624767">
            <w:pPr>
              <w:spacing w:line="480" w:lineRule="auto"/>
              <w:jc w:val="center"/>
            </w:pPr>
            <w:r>
              <w:t>109 (52)</w:t>
            </w:r>
          </w:p>
        </w:tc>
        <w:tc>
          <w:tcPr>
            <w:tcW w:w="1620" w:type="dxa"/>
            <w:vAlign w:val="center"/>
          </w:tcPr>
          <w:p w:rsidR="00624767" w:rsidRDefault="00624767" w:rsidP="00624767">
            <w:pPr>
              <w:spacing w:line="480" w:lineRule="auto"/>
              <w:jc w:val="center"/>
            </w:pPr>
            <w:r>
              <w:t>0.45</w:t>
            </w:r>
          </w:p>
        </w:tc>
      </w:tr>
      <w:tr w:rsidR="00624767">
        <w:tblPrEx>
          <w:tblLook w:val="01E0"/>
        </w:tblPrEx>
        <w:tc>
          <w:tcPr>
            <w:tcW w:w="3240" w:type="dxa"/>
          </w:tcPr>
          <w:p w:rsidR="00624767" w:rsidRDefault="00624767" w:rsidP="00624767">
            <w:pPr>
              <w:spacing w:line="480" w:lineRule="auto"/>
              <w:ind w:left="720"/>
            </w:pPr>
            <w:r>
              <w:t>Beta Blockers</w:t>
            </w:r>
          </w:p>
        </w:tc>
        <w:tc>
          <w:tcPr>
            <w:tcW w:w="2580" w:type="dxa"/>
          </w:tcPr>
          <w:p w:rsidR="00624767" w:rsidRDefault="00624767" w:rsidP="00624767">
            <w:pPr>
              <w:spacing w:line="480" w:lineRule="auto"/>
              <w:jc w:val="center"/>
            </w:pPr>
            <w:r>
              <w:t>251 (33)</w:t>
            </w:r>
          </w:p>
        </w:tc>
        <w:tc>
          <w:tcPr>
            <w:tcW w:w="2340" w:type="dxa"/>
            <w:vAlign w:val="center"/>
          </w:tcPr>
          <w:p w:rsidR="00624767" w:rsidRDefault="00624767" w:rsidP="00624767">
            <w:pPr>
              <w:spacing w:line="480" w:lineRule="auto"/>
              <w:jc w:val="center"/>
            </w:pPr>
            <w:r>
              <w:t>90 (43)</w:t>
            </w:r>
          </w:p>
        </w:tc>
        <w:tc>
          <w:tcPr>
            <w:tcW w:w="1620" w:type="dxa"/>
            <w:vAlign w:val="center"/>
          </w:tcPr>
          <w:p w:rsidR="00624767" w:rsidRDefault="00624767" w:rsidP="00624767">
            <w:pPr>
              <w:spacing w:line="480" w:lineRule="auto"/>
              <w:jc w:val="center"/>
            </w:pPr>
            <w:r>
              <w:t>&lt;0.001</w:t>
            </w:r>
          </w:p>
        </w:tc>
      </w:tr>
      <w:tr w:rsidR="00624767">
        <w:tblPrEx>
          <w:tblLook w:val="01E0"/>
        </w:tblPrEx>
        <w:tc>
          <w:tcPr>
            <w:tcW w:w="3240" w:type="dxa"/>
          </w:tcPr>
          <w:p w:rsidR="00624767" w:rsidRDefault="00624767" w:rsidP="00624767">
            <w:pPr>
              <w:spacing w:line="480" w:lineRule="auto"/>
              <w:ind w:left="720"/>
            </w:pPr>
            <w:r>
              <w:t>Spironolactone</w:t>
            </w:r>
          </w:p>
        </w:tc>
        <w:tc>
          <w:tcPr>
            <w:tcW w:w="2580" w:type="dxa"/>
          </w:tcPr>
          <w:p w:rsidR="00624767" w:rsidRDefault="00624767" w:rsidP="00624767">
            <w:pPr>
              <w:spacing w:line="480" w:lineRule="auto"/>
              <w:jc w:val="center"/>
            </w:pPr>
            <w:r>
              <w:t>113 (15)</w:t>
            </w:r>
          </w:p>
        </w:tc>
        <w:tc>
          <w:tcPr>
            <w:tcW w:w="2340" w:type="dxa"/>
          </w:tcPr>
          <w:p w:rsidR="00624767" w:rsidRDefault="00624767" w:rsidP="00624767">
            <w:pPr>
              <w:spacing w:line="480" w:lineRule="auto"/>
              <w:jc w:val="center"/>
            </w:pPr>
            <w:r>
              <w:t>29 (14)</w:t>
            </w:r>
          </w:p>
        </w:tc>
        <w:tc>
          <w:tcPr>
            <w:tcW w:w="1620" w:type="dxa"/>
          </w:tcPr>
          <w:p w:rsidR="00624767" w:rsidRDefault="00624767" w:rsidP="00624767">
            <w:pPr>
              <w:spacing w:line="480" w:lineRule="auto"/>
              <w:jc w:val="center"/>
            </w:pPr>
            <w:r>
              <w:t>0.77</w:t>
            </w:r>
          </w:p>
        </w:tc>
      </w:tr>
      <w:tr w:rsidR="00624767">
        <w:tblPrEx>
          <w:tblLook w:val="01E0"/>
        </w:tblPrEx>
        <w:tc>
          <w:tcPr>
            <w:tcW w:w="3240" w:type="dxa"/>
          </w:tcPr>
          <w:p w:rsidR="00624767" w:rsidRDefault="00624767" w:rsidP="00624767">
            <w:pPr>
              <w:spacing w:line="480" w:lineRule="auto"/>
              <w:ind w:left="720"/>
            </w:pPr>
            <w:r>
              <w:t>Lipid Therapy</w:t>
            </w:r>
          </w:p>
        </w:tc>
        <w:tc>
          <w:tcPr>
            <w:tcW w:w="2580" w:type="dxa"/>
          </w:tcPr>
          <w:p w:rsidR="00624767" w:rsidRDefault="00624767" w:rsidP="00624767">
            <w:pPr>
              <w:spacing w:line="480" w:lineRule="auto"/>
              <w:jc w:val="center"/>
            </w:pPr>
            <w:r>
              <w:t>123 (16)</w:t>
            </w:r>
          </w:p>
        </w:tc>
        <w:tc>
          <w:tcPr>
            <w:tcW w:w="2340" w:type="dxa"/>
            <w:vAlign w:val="center"/>
          </w:tcPr>
          <w:p w:rsidR="00624767" w:rsidRDefault="00624767" w:rsidP="00624767">
            <w:pPr>
              <w:spacing w:line="480" w:lineRule="auto"/>
              <w:jc w:val="center"/>
            </w:pPr>
            <w:r>
              <w:t>49 (24)</w:t>
            </w:r>
          </w:p>
        </w:tc>
        <w:tc>
          <w:tcPr>
            <w:tcW w:w="1620" w:type="dxa"/>
            <w:vAlign w:val="center"/>
          </w:tcPr>
          <w:p w:rsidR="00624767" w:rsidRDefault="00624767" w:rsidP="00624767">
            <w:pPr>
              <w:spacing w:line="480" w:lineRule="auto"/>
              <w:jc w:val="center"/>
            </w:pPr>
            <w:r>
              <w:t>&lt;0.001</w:t>
            </w:r>
          </w:p>
        </w:tc>
      </w:tr>
      <w:tr w:rsidR="00624767">
        <w:tblPrEx>
          <w:tblLook w:val="01E0"/>
        </w:tblPrEx>
        <w:tc>
          <w:tcPr>
            <w:tcW w:w="3240" w:type="dxa"/>
            <w:tcBorders>
              <w:bottom w:val="single" w:sz="12" w:space="0" w:color="auto"/>
            </w:tcBorders>
          </w:tcPr>
          <w:p w:rsidR="00624767" w:rsidRDefault="00624767" w:rsidP="00624767">
            <w:pPr>
              <w:spacing w:line="480" w:lineRule="auto"/>
              <w:ind w:left="720"/>
            </w:pPr>
            <w:r>
              <w:t>Nitroglycerin</w:t>
            </w:r>
          </w:p>
        </w:tc>
        <w:tc>
          <w:tcPr>
            <w:tcW w:w="2580" w:type="dxa"/>
            <w:tcBorders>
              <w:bottom w:val="single" w:sz="12" w:space="0" w:color="auto"/>
            </w:tcBorders>
          </w:tcPr>
          <w:p w:rsidR="00624767" w:rsidRDefault="00624767" w:rsidP="00624767">
            <w:pPr>
              <w:spacing w:line="480" w:lineRule="auto"/>
              <w:jc w:val="center"/>
            </w:pPr>
            <w:r>
              <w:t>357 (46)</w:t>
            </w:r>
          </w:p>
        </w:tc>
        <w:tc>
          <w:tcPr>
            <w:tcW w:w="2340" w:type="dxa"/>
            <w:tcBorders>
              <w:bottom w:val="single" w:sz="12" w:space="0" w:color="auto"/>
            </w:tcBorders>
            <w:vAlign w:val="center"/>
          </w:tcPr>
          <w:p w:rsidR="00624767" w:rsidRDefault="00624767" w:rsidP="00624767">
            <w:pPr>
              <w:spacing w:line="480" w:lineRule="auto"/>
              <w:jc w:val="center"/>
            </w:pPr>
            <w:r>
              <w:t>106 (51)</w:t>
            </w:r>
          </w:p>
        </w:tc>
        <w:tc>
          <w:tcPr>
            <w:tcW w:w="1620" w:type="dxa"/>
            <w:tcBorders>
              <w:bottom w:val="single" w:sz="12" w:space="0" w:color="auto"/>
            </w:tcBorders>
            <w:vAlign w:val="center"/>
          </w:tcPr>
          <w:p w:rsidR="00624767" w:rsidRDefault="00624767" w:rsidP="00624767">
            <w:pPr>
              <w:spacing w:line="480" w:lineRule="auto"/>
              <w:jc w:val="center"/>
            </w:pPr>
            <w:r>
              <w:t>0.04</w:t>
            </w:r>
          </w:p>
        </w:tc>
      </w:tr>
    </w:tbl>
    <w:p w:rsidR="00624767" w:rsidRDefault="00624767" w:rsidP="00624767">
      <w:pPr>
        <w:tabs>
          <w:tab w:val="right" w:pos="360"/>
          <w:tab w:val="left" w:pos="540"/>
        </w:tabs>
        <w:spacing w:line="480" w:lineRule="auto"/>
        <w:ind w:left="540" w:hanging="540"/>
      </w:pPr>
      <w:r>
        <w:t xml:space="preserve">* </w:t>
      </w:r>
      <w:proofErr w:type="gramStart"/>
      <w:r>
        <w:t>omnibus</w:t>
      </w:r>
      <w:proofErr w:type="gramEnd"/>
      <w:r>
        <w:t xml:space="preserve"> p-values from χ</w:t>
      </w:r>
      <w:r>
        <w:rPr>
          <w:vertAlign w:val="superscript"/>
        </w:rPr>
        <w:t>2</w:t>
      </w:r>
      <w:r>
        <w:t xml:space="preserve"> test or ANOVA</w:t>
      </w:r>
    </w:p>
    <w:p w:rsidR="00624767" w:rsidRDefault="00624767" w:rsidP="00624767">
      <w:pPr>
        <w:tabs>
          <w:tab w:val="right" w:pos="360"/>
          <w:tab w:val="left" w:pos="540"/>
        </w:tabs>
        <w:spacing w:line="480" w:lineRule="auto"/>
        <w:ind w:left="540" w:hanging="540"/>
        <w:sectPr w:rsidR="00624767">
          <w:headerReference w:type="even" r:id="rId17"/>
          <w:headerReference w:type="default" r:id="rId18"/>
          <w:footerReference w:type="even" r:id="rId19"/>
          <w:footerReference w:type="default" r:id="rId20"/>
          <w:pgSz w:w="12240" w:h="15840"/>
          <w:pgMar w:top="1440" w:right="1440" w:bottom="1440" w:left="1440" w:gutter="0"/>
          <w:titlePg/>
          <w:docGrid w:linePitch="360"/>
        </w:sectPr>
      </w:pPr>
      <w:r>
        <w:t xml:space="preserve">† </w:t>
      </w:r>
      <w:proofErr w:type="gramStart"/>
      <w:r>
        <w:t>total</w:t>
      </w:r>
      <w:proofErr w:type="gramEnd"/>
      <w:r>
        <w:t xml:space="preserve"> physician visits prior to HF diagnosis</w:t>
      </w:r>
    </w:p>
    <w:p w:rsidR="00624767" w:rsidRDefault="00624767" w:rsidP="00624767">
      <w:pPr>
        <w:spacing w:line="360" w:lineRule="auto"/>
      </w:pPr>
      <w:r>
        <w:rPr>
          <w:b/>
        </w:rPr>
        <w:t>Table 2. Selected Study Characteristics for DIG Trial</w:t>
      </w:r>
    </w:p>
    <w:tbl>
      <w:tblPr>
        <w:tblW w:w="9780" w:type="dxa"/>
        <w:tblInd w:w="-132" w:type="dxa"/>
        <w:tblLayout w:type="fixed"/>
        <w:tblLook w:val="00A0"/>
      </w:tblPr>
      <w:tblGrid>
        <w:gridCol w:w="4560"/>
        <w:gridCol w:w="1980"/>
        <w:gridCol w:w="1980"/>
        <w:gridCol w:w="1260"/>
      </w:tblGrid>
      <w:tr w:rsidR="00624767">
        <w:tc>
          <w:tcPr>
            <w:tcW w:w="4560" w:type="dxa"/>
            <w:tcBorders>
              <w:top w:val="single" w:sz="12" w:space="0" w:color="auto"/>
              <w:bottom w:val="single" w:sz="12" w:space="0" w:color="auto"/>
            </w:tcBorders>
            <w:vAlign w:val="center"/>
          </w:tcPr>
          <w:p w:rsidR="00624767" w:rsidRDefault="00624767" w:rsidP="00624767">
            <w:pPr>
              <w:spacing w:line="360" w:lineRule="auto"/>
              <w:rPr>
                <w:b/>
              </w:rPr>
            </w:pPr>
            <w:r>
              <w:rPr>
                <w:b/>
              </w:rPr>
              <w:t>Characteristic</w:t>
            </w:r>
          </w:p>
        </w:tc>
        <w:tc>
          <w:tcPr>
            <w:tcW w:w="1980" w:type="dxa"/>
            <w:tcBorders>
              <w:top w:val="single" w:sz="12" w:space="0" w:color="auto"/>
              <w:bottom w:val="single" w:sz="12" w:space="0" w:color="auto"/>
            </w:tcBorders>
          </w:tcPr>
          <w:p w:rsidR="00624767" w:rsidRDefault="00624767" w:rsidP="00624767">
            <w:pPr>
              <w:spacing w:line="360" w:lineRule="auto"/>
              <w:jc w:val="center"/>
              <w:rPr>
                <w:b/>
              </w:rPr>
            </w:pPr>
            <w:r>
              <w:rPr>
                <w:b/>
              </w:rPr>
              <w:t>Placebo Group</w:t>
            </w:r>
          </w:p>
          <w:p w:rsidR="00624767" w:rsidRDefault="00624767" w:rsidP="00624767">
            <w:pPr>
              <w:spacing w:line="360" w:lineRule="auto"/>
              <w:jc w:val="center"/>
              <w:rPr>
                <w:b/>
              </w:rPr>
            </w:pPr>
            <w:r>
              <w:rPr>
                <w:b/>
              </w:rPr>
              <w:t xml:space="preserve"> (</w:t>
            </w:r>
            <w:proofErr w:type="gramStart"/>
            <w:r>
              <w:rPr>
                <w:b/>
              </w:rPr>
              <w:t>n</w:t>
            </w:r>
            <w:proofErr w:type="gramEnd"/>
            <w:r>
              <w:rPr>
                <w:b/>
              </w:rPr>
              <w:t xml:space="preserve"> = 3403)</w:t>
            </w:r>
          </w:p>
        </w:tc>
        <w:tc>
          <w:tcPr>
            <w:tcW w:w="1980" w:type="dxa"/>
            <w:tcBorders>
              <w:top w:val="single" w:sz="12" w:space="0" w:color="auto"/>
              <w:bottom w:val="single" w:sz="12" w:space="0" w:color="auto"/>
            </w:tcBorders>
            <w:vAlign w:val="center"/>
          </w:tcPr>
          <w:p w:rsidR="00624767" w:rsidRDefault="00624767" w:rsidP="00624767">
            <w:pPr>
              <w:spacing w:line="360" w:lineRule="auto"/>
              <w:jc w:val="center"/>
              <w:rPr>
                <w:b/>
              </w:rPr>
            </w:pPr>
            <w:r>
              <w:rPr>
                <w:b/>
              </w:rPr>
              <w:t>Digoxin Group</w:t>
            </w:r>
          </w:p>
          <w:p w:rsidR="00624767" w:rsidRDefault="00624767" w:rsidP="00624767">
            <w:pPr>
              <w:spacing w:line="360" w:lineRule="auto"/>
              <w:jc w:val="center"/>
              <w:rPr>
                <w:b/>
              </w:rPr>
            </w:pPr>
            <w:r>
              <w:rPr>
                <w:b/>
              </w:rPr>
              <w:t>(</w:t>
            </w:r>
            <w:proofErr w:type="gramStart"/>
            <w:r>
              <w:rPr>
                <w:b/>
              </w:rPr>
              <w:t>n</w:t>
            </w:r>
            <w:proofErr w:type="gramEnd"/>
            <w:r>
              <w:rPr>
                <w:b/>
              </w:rPr>
              <w:t xml:space="preserve"> = 3397)</w:t>
            </w:r>
          </w:p>
        </w:tc>
        <w:tc>
          <w:tcPr>
            <w:tcW w:w="1260" w:type="dxa"/>
            <w:tcBorders>
              <w:top w:val="single" w:sz="12" w:space="0" w:color="auto"/>
              <w:bottom w:val="single" w:sz="12" w:space="0" w:color="auto"/>
            </w:tcBorders>
            <w:vAlign w:val="bottom"/>
          </w:tcPr>
          <w:p w:rsidR="00624767" w:rsidRDefault="00624767" w:rsidP="00624767">
            <w:pPr>
              <w:spacing w:line="360" w:lineRule="auto"/>
              <w:jc w:val="center"/>
              <w:rPr>
                <w:b/>
              </w:rPr>
            </w:pPr>
            <w:r>
              <w:rPr>
                <w:b/>
              </w:rPr>
              <w:t>P Value*</w:t>
            </w:r>
          </w:p>
        </w:tc>
      </w:tr>
      <w:tr w:rsidR="00624767">
        <w:tc>
          <w:tcPr>
            <w:tcW w:w="4560" w:type="dxa"/>
            <w:tcBorders>
              <w:top w:val="single" w:sz="12" w:space="0" w:color="auto"/>
            </w:tcBorders>
          </w:tcPr>
          <w:p w:rsidR="00624767" w:rsidRDefault="00624767" w:rsidP="00624767">
            <w:pPr>
              <w:spacing w:before="120" w:after="120" w:line="360" w:lineRule="auto"/>
            </w:pPr>
          </w:p>
        </w:tc>
        <w:tc>
          <w:tcPr>
            <w:tcW w:w="3960" w:type="dxa"/>
            <w:gridSpan w:val="2"/>
            <w:tcBorders>
              <w:top w:val="single" w:sz="12" w:space="0" w:color="auto"/>
              <w:bottom w:val="single" w:sz="4" w:space="0" w:color="auto"/>
            </w:tcBorders>
            <w:vAlign w:val="center"/>
          </w:tcPr>
          <w:p w:rsidR="00624767" w:rsidRDefault="00624767" w:rsidP="00624767">
            <w:pPr>
              <w:spacing w:before="120" w:after="120" w:line="360" w:lineRule="auto"/>
              <w:jc w:val="center"/>
            </w:pPr>
            <w:r>
              <w:rPr>
                <w:b/>
              </w:rPr>
              <w:t>No. (%) or Mean ± SD</w:t>
            </w:r>
          </w:p>
        </w:tc>
        <w:tc>
          <w:tcPr>
            <w:tcW w:w="1260" w:type="dxa"/>
            <w:tcBorders>
              <w:top w:val="single" w:sz="12" w:space="0" w:color="auto"/>
            </w:tcBorders>
            <w:vAlign w:val="center"/>
          </w:tcPr>
          <w:p w:rsidR="00624767" w:rsidRDefault="00624767" w:rsidP="00624767">
            <w:pPr>
              <w:spacing w:before="120" w:after="120" w:line="360" w:lineRule="auto"/>
              <w:jc w:val="center"/>
            </w:pPr>
          </w:p>
        </w:tc>
      </w:tr>
      <w:tr w:rsidR="00624767">
        <w:tc>
          <w:tcPr>
            <w:tcW w:w="4560" w:type="dxa"/>
          </w:tcPr>
          <w:p w:rsidR="00624767" w:rsidRDefault="00624767" w:rsidP="00624767">
            <w:pPr>
              <w:spacing w:line="360" w:lineRule="auto"/>
            </w:pPr>
            <w:r>
              <w:t>Age – yrs</w:t>
            </w:r>
          </w:p>
        </w:tc>
        <w:tc>
          <w:tcPr>
            <w:tcW w:w="1980" w:type="dxa"/>
            <w:tcBorders>
              <w:top w:val="single" w:sz="4" w:space="0" w:color="auto"/>
            </w:tcBorders>
          </w:tcPr>
          <w:p w:rsidR="00624767" w:rsidRDefault="00624767" w:rsidP="00624767">
            <w:pPr>
              <w:spacing w:line="360" w:lineRule="auto"/>
              <w:jc w:val="center"/>
            </w:pPr>
            <w:r>
              <w:t>63.5 ± 10.8</w:t>
            </w:r>
          </w:p>
        </w:tc>
        <w:tc>
          <w:tcPr>
            <w:tcW w:w="1980" w:type="dxa"/>
            <w:tcBorders>
              <w:top w:val="single" w:sz="4" w:space="0" w:color="auto"/>
            </w:tcBorders>
            <w:vAlign w:val="center"/>
          </w:tcPr>
          <w:p w:rsidR="00624767" w:rsidRDefault="00624767" w:rsidP="00624767">
            <w:pPr>
              <w:spacing w:line="360" w:lineRule="auto"/>
              <w:jc w:val="center"/>
            </w:pPr>
            <w:r>
              <w:t>63.4 ± 11.0</w:t>
            </w:r>
          </w:p>
        </w:tc>
        <w:tc>
          <w:tcPr>
            <w:tcW w:w="1260" w:type="dxa"/>
            <w:vAlign w:val="center"/>
          </w:tcPr>
          <w:p w:rsidR="00624767" w:rsidRDefault="00624767" w:rsidP="00624767">
            <w:pPr>
              <w:spacing w:line="360" w:lineRule="auto"/>
              <w:jc w:val="center"/>
            </w:pPr>
            <w:r>
              <w:t>0.63</w:t>
            </w:r>
          </w:p>
        </w:tc>
      </w:tr>
      <w:tr w:rsidR="00624767">
        <w:tc>
          <w:tcPr>
            <w:tcW w:w="4560" w:type="dxa"/>
          </w:tcPr>
          <w:p w:rsidR="00624767" w:rsidRDefault="00624767" w:rsidP="00624767">
            <w:pPr>
              <w:spacing w:line="360" w:lineRule="auto"/>
            </w:pPr>
            <w:r>
              <w:t>Sex (male)</w:t>
            </w:r>
          </w:p>
        </w:tc>
        <w:tc>
          <w:tcPr>
            <w:tcW w:w="1980" w:type="dxa"/>
          </w:tcPr>
          <w:p w:rsidR="00624767" w:rsidRDefault="00624767" w:rsidP="00624767">
            <w:pPr>
              <w:spacing w:line="360" w:lineRule="auto"/>
              <w:jc w:val="center"/>
            </w:pPr>
            <w:r>
              <w:t>2639 (78)</w:t>
            </w:r>
          </w:p>
        </w:tc>
        <w:tc>
          <w:tcPr>
            <w:tcW w:w="1980" w:type="dxa"/>
            <w:vAlign w:val="center"/>
          </w:tcPr>
          <w:p w:rsidR="00624767" w:rsidRDefault="00624767" w:rsidP="00624767">
            <w:pPr>
              <w:spacing w:line="360" w:lineRule="auto"/>
              <w:jc w:val="center"/>
            </w:pPr>
            <w:r>
              <w:t>2642 (78)</w:t>
            </w:r>
          </w:p>
        </w:tc>
        <w:tc>
          <w:tcPr>
            <w:tcW w:w="1260" w:type="dxa"/>
          </w:tcPr>
          <w:p w:rsidR="00624767" w:rsidRDefault="00624767" w:rsidP="00624767">
            <w:pPr>
              <w:spacing w:line="360" w:lineRule="auto"/>
              <w:jc w:val="center"/>
            </w:pPr>
            <w:r>
              <w:t>0.82</w:t>
            </w:r>
          </w:p>
        </w:tc>
      </w:tr>
      <w:tr w:rsidR="00624767">
        <w:tblPrEx>
          <w:tblLook w:val="01E0"/>
        </w:tblPrEx>
        <w:tc>
          <w:tcPr>
            <w:tcW w:w="4560" w:type="dxa"/>
          </w:tcPr>
          <w:p w:rsidR="00624767" w:rsidRDefault="00624767" w:rsidP="00624767">
            <w:pPr>
              <w:spacing w:line="360" w:lineRule="auto"/>
            </w:pPr>
            <w:r>
              <w:t xml:space="preserve">Nonwhite </w:t>
            </w:r>
            <w:proofErr w:type="gramStart"/>
            <w:r>
              <w:t xml:space="preserve">Race         </w:t>
            </w:r>
            <w:proofErr w:type="gramEnd"/>
          </w:p>
        </w:tc>
        <w:tc>
          <w:tcPr>
            <w:tcW w:w="1980" w:type="dxa"/>
          </w:tcPr>
          <w:p w:rsidR="00624767" w:rsidRDefault="00624767" w:rsidP="00624767">
            <w:pPr>
              <w:spacing w:line="360" w:lineRule="auto"/>
              <w:jc w:val="center"/>
            </w:pPr>
            <w:r>
              <w:t>504 14.8</w:t>
            </w:r>
          </w:p>
        </w:tc>
        <w:tc>
          <w:tcPr>
            <w:tcW w:w="1980" w:type="dxa"/>
          </w:tcPr>
          <w:p w:rsidR="00624767" w:rsidRDefault="00624767" w:rsidP="00624767">
            <w:pPr>
              <w:spacing w:line="360" w:lineRule="auto"/>
              <w:jc w:val="center"/>
            </w:pPr>
            <w:r>
              <w:t>487 (14.3)</w:t>
            </w:r>
          </w:p>
        </w:tc>
        <w:tc>
          <w:tcPr>
            <w:tcW w:w="1260" w:type="dxa"/>
          </w:tcPr>
          <w:p w:rsidR="00624767" w:rsidRDefault="00624767" w:rsidP="00624767">
            <w:pPr>
              <w:spacing w:line="360" w:lineRule="auto"/>
              <w:jc w:val="center"/>
            </w:pPr>
            <w:r>
              <w:t>0.58</w:t>
            </w:r>
          </w:p>
        </w:tc>
      </w:tr>
      <w:tr w:rsidR="00624767">
        <w:tc>
          <w:tcPr>
            <w:tcW w:w="4560" w:type="dxa"/>
          </w:tcPr>
          <w:p w:rsidR="00624767" w:rsidRDefault="00624767" w:rsidP="00624767">
            <w:pPr>
              <w:spacing w:line="360" w:lineRule="auto"/>
            </w:pPr>
            <w:r>
              <w:t>Ejection Fraction (%)</w:t>
            </w:r>
          </w:p>
        </w:tc>
        <w:tc>
          <w:tcPr>
            <w:tcW w:w="1980" w:type="dxa"/>
          </w:tcPr>
          <w:p w:rsidR="00624767" w:rsidRDefault="00624767" w:rsidP="00624767">
            <w:pPr>
              <w:spacing w:line="360" w:lineRule="auto"/>
              <w:jc w:val="center"/>
            </w:pPr>
            <w:r>
              <w:t>28.4 ± 8.9</w:t>
            </w:r>
          </w:p>
        </w:tc>
        <w:tc>
          <w:tcPr>
            <w:tcW w:w="1980" w:type="dxa"/>
            <w:vAlign w:val="center"/>
          </w:tcPr>
          <w:p w:rsidR="00624767" w:rsidRDefault="00624767" w:rsidP="00624767">
            <w:pPr>
              <w:spacing w:line="360" w:lineRule="auto"/>
              <w:jc w:val="center"/>
            </w:pPr>
            <w:r>
              <w:t>28.6 ± 8.9</w:t>
            </w:r>
          </w:p>
        </w:tc>
        <w:tc>
          <w:tcPr>
            <w:tcW w:w="1260" w:type="dxa"/>
            <w:vAlign w:val="center"/>
          </w:tcPr>
          <w:p w:rsidR="00624767" w:rsidRDefault="00624767" w:rsidP="00624767">
            <w:pPr>
              <w:spacing w:line="360" w:lineRule="auto"/>
              <w:jc w:val="center"/>
            </w:pPr>
            <w:r>
              <w:t>0.38</w:t>
            </w:r>
          </w:p>
        </w:tc>
      </w:tr>
      <w:tr w:rsidR="00624767">
        <w:tc>
          <w:tcPr>
            <w:tcW w:w="4560" w:type="dxa"/>
          </w:tcPr>
          <w:p w:rsidR="00624767" w:rsidRDefault="00624767" w:rsidP="00624767">
            <w:pPr>
              <w:spacing w:line="360" w:lineRule="auto"/>
            </w:pPr>
            <w:r>
              <w:t xml:space="preserve">Duration of heart failure (mo) </w:t>
            </w:r>
          </w:p>
        </w:tc>
        <w:tc>
          <w:tcPr>
            <w:tcW w:w="1980" w:type="dxa"/>
            <w:vAlign w:val="center"/>
          </w:tcPr>
          <w:p w:rsidR="00624767" w:rsidRDefault="00624767" w:rsidP="00624767">
            <w:pPr>
              <w:spacing w:line="360" w:lineRule="auto"/>
              <w:jc w:val="center"/>
            </w:pPr>
            <w:r>
              <w:t>29.8 ± 36.5</w:t>
            </w:r>
          </w:p>
        </w:tc>
        <w:tc>
          <w:tcPr>
            <w:tcW w:w="1980" w:type="dxa"/>
            <w:vAlign w:val="center"/>
          </w:tcPr>
          <w:p w:rsidR="00624767" w:rsidRDefault="00624767" w:rsidP="00624767">
            <w:pPr>
              <w:spacing w:line="360" w:lineRule="auto"/>
              <w:jc w:val="center"/>
            </w:pPr>
            <w:r>
              <w:t>30.5 ± 37.2</w:t>
            </w:r>
          </w:p>
        </w:tc>
        <w:tc>
          <w:tcPr>
            <w:tcW w:w="1260" w:type="dxa"/>
            <w:vAlign w:val="center"/>
          </w:tcPr>
          <w:p w:rsidR="00624767" w:rsidRDefault="00624767" w:rsidP="00624767">
            <w:pPr>
              <w:spacing w:line="360" w:lineRule="auto"/>
              <w:jc w:val="center"/>
            </w:pPr>
            <w:r>
              <w:t>0.42</w:t>
            </w:r>
          </w:p>
        </w:tc>
      </w:tr>
      <w:tr w:rsidR="00624767">
        <w:tblPrEx>
          <w:tblLook w:val="01E0"/>
        </w:tblPrEx>
        <w:tc>
          <w:tcPr>
            <w:tcW w:w="4560" w:type="dxa"/>
          </w:tcPr>
          <w:p w:rsidR="00624767" w:rsidRDefault="00624767" w:rsidP="00624767">
            <w:pPr>
              <w:spacing w:line="360" w:lineRule="auto"/>
            </w:pPr>
            <w:r>
              <w:t>NYHA Class</w:t>
            </w:r>
          </w:p>
          <w:p w:rsidR="00624767" w:rsidRDefault="00624767" w:rsidP="00624767">
            <w:pPr>
              <w:spacing w:line="360" w:lineRule="auto"/>
              <w:ind w:left="720"/>
            </w:pPr>
            <w:r>
              <w:t>I</w:t>
            </w:r>
          </w:p>
          <w:p w:rsidR="00624767" w:rsidRDefault="00624767" w:rsidP="00624767">
            <w:pPr>
              <w:spacing w:line="360" w:lineRule="auto"/>
              <w:ind w:left="720"/>
            </w:pPr>
            <w:r>
              <w:t>II</w:t>
            </w:r>
          </w:p>
          <w:p w:rsidR="00624767" w:rsidRDefault="00624767" w:rsidP="00624767">
            <w:pPr>
              <w:spacing w:line="360" w:lineRule="auto"/>
              <w:ind w:left="720"/>
            </w:pPr>
            <w:r>
              <w:t>III</w:t>
            </w:r>
          </w:p>
          <w:p w:rsidR="00624767" w:rsidRDefault="00624767" w:rsidP="00624767">
            <w:pPr>
              <w:spacing w:line="360" w:lineRule="auto"/>
              <w:ind w:left="720"/>
            </w:pPr>
            <w:r>
              <w:t>IV</w:t>
            </w:r>
          </w:p>
        </w:tc>
        <w:tc>
          <w:tcPr>
            <w:tcW w:w="1980" w:type="dxa"/>
          </w:tcPr>
          <w:p w:rsidR="00624767" w:rsidRDefault="00624767" w:rsidP="00624767">
            <w:pPr>
              <w:spacing w:line="360" w:lineRule="auto"/>
              <w:jc w:val="center"/>
            </w:pPr>
          </w:p>
          <w:p w:rsidR="00624767" w:rsidRDefault="00624767" w:rsidP="00624767">
            <w:pPr>
              <w:spacing w:line="360" w:lineRule="auto"/>
              <w:jc w:val="center"/>
            </w:pPr>
            <w:r>
              <w:t>442 (13)</w:t>
            </w:r>
          </w:p>
          <w:p w:rsidR="00624767" w:rsidRDefault="00624767" w:rsidP="00624767">
            <w:pPr>
              <w:spacing w:line="360" w:lineRule="auto"/>
              <w:jc w:val="center"/>
            </w:pPr>
            <w:r>
              <w:t>1854 (55)</w:t>
            </w:r>
          </w:p>
          <w:p w:rsidR="00624767" w:rsidRDefault="00624767" w:rsidP="00624767">
            <w:pPr>
              <w:spacing w:line="360" w:lineRule="auto"/>
              <w:jc w:val="center"/>
            </w:pPr>
            <w:r>
              <w:t>1039 (31)</w:t>
            </w:r>
          </w:p>
          <w:p w:rsidR="00624767" w:rsidRDefault="00624767" w:rsidP="00624767">
            <w:pPr>
              <w:spacing w:line="360" w:lineRule="auto"/>
              <w:jc w:val="center"/>
            </w:pPr>
            <w:r>
              <w:t>66 (2)</w:t>
            </w:r>
          </w:p>
        </w:tc>
        <w:tc>
          <w:tcPr>
            <w:tcW w:w="1980" w:type="dxa"/>
          </w:tcPr>
          <w:p w:rsidR="00624767" w:rsidRDefault="00624767" w:rsidP="00624767">
            <w:pPr>
              <w:spacing w:line="360" w:lineRule="auto"/>
              <w:jc w:val="center"/>
            </w:pPr>
          </w:p>
          <w:p w:rsidR="00624767" w:rsidRDefault="00624767" w:rsidP="00624767">
            <w:pPr>
              <w:spacing w:line="360" w:lineRule="auto"/>
              <w:jc w:val="center"/>
            </w:pPr>
            <w:r>
              <w:t>465 (14)</w:t>
            </w:r>
          </w:p>
          <w:p w:rsidR="00624767" w:rsidRDefault="00624767" w:rsidP="00624767">
            <w:pPr>
              <w:spacing w:line="360" w:lineRule="auto"/>
              <w:jc w:val="center"/>
            </w:pPr>
            <w:r>
              <w:t>1810 (53)</w:t>
            </w:r>
          </w:p>
          <w:p w:rsidR="00624767" w:rsidRDefault="00624767" w:rsidP="00624767">
            <w:pPr>
              <w:spacing w:line="360" w:lineRule="auto"/>
              <w:jc w:val="center"/>
            </w:pPr>
            <w:r>
              <w:t>1042 (31)</w:t>
            </w:r>
          </w:p>
          <w:p w:rsidR="00624767" w:rsidRDefault="00624767" w:rsidP="00624767">
            <w:pPr>
              <w:spacing w:line="360" w:lineRule="auto"/>
              <w:jc w:val="center"/>
            </w:pPr>
            <w:r>
              <w:t>76 (2)</w:t>
            </w:r>
          </w:p>
        </w:tc>
        <w:tc>
          <w:tcPr>
            <w:tcW w:w="1260" w:type="dxa"/>
            <w:vAlign w:val="center"/>
          </w:tcPr>
          <w:p w:rsidR="00624767" w:rsidRDefault="00624767" w:rsidP="00624767">
            <w:pPr>
              <w:spacing w:line="360" w:lineRule="auto"/>
              <w:jc w:val="center"/>
            </w:pPr>
            <w:r>
              <w:t>0.61</w:t>
            </w:r>
          </w:p>
        </w:tc>
      </w:tr>
      <w:tr w:rsidR="00624767" w:rsidRPr="00267163">
        <w:tblPrEx>
          <w:tblLook w:val="01E0"/>
        </w:tblPrEx>
        <w:tc>
          <w:tcPr>
            <w:tcW w:w="4560" w:type="dxa"/>
          </w:tcPr>
          <w:p w:rsidR="00624767" w:rsidRPr="00267163" w:rsidRDefault="00624767" w:rsidP="00624767">
            <w:pPr>
              <w:spacing w:line="360" w:lineRule="auto"/>
            </w:pPr>
            <w:r w:rsidRPr="00267163">
              <w:t>Medical history</w:t>
            </w:r>
          </w:p>
          <w:p w:rsidR="00624767" w:rsidRPr="00267163" w:rsidRDefault="00624767" w:rsidP="00624767">
            <w:pPr>
              <w:spacing w:line="360" w:lineRule="auto"/>
              <w:ind w:left="720"/>
            </w:pPr>
            <w:r w:rsidRPr="00267163">
              <w:t>Previous myocardial infarction</w:t>
            </w:r>
          </w:p>
          <w:p w:rsidR="00624767" w:rsidRPr="00267163" w:rsidRDefault="00624767" w:rsidP="00624767">
            <w:pPr>
              <w:spacing w:line="360" w:lineRule="auto"/>
              <w:ind w:left="720"/>
            </w:pPr>
            <w:r w:rsidRPr="00267163">
              <w:t>Current angina</w:t>
            </w:r>
          </w:p>
          <w:p w:rsidR="00624767" w:rsidRPr="00267163" w:rsidRDefault="00624767" w:rsidP="00624767">
            <w:pPr>
              <w:spacing w:line="360" w:lineRule="auto"/>
              <w:ind w:left="720"/>
            </w:pPr>
            <w:r w:rsidRPr="00267163">
              <w:t>Diabetes</w:t>
            </w:r>
          </w:p>
          <w:p w:rsidR="00624767" w:rsidRPr="00267163" w:rsidRDefault="00624767" w:rsidP="00624767">
            <w:pPr>
              <w:spacing w:line="360" w:lineRule="auto"/>
              <w:ind w:left="720"/>
            </w:pPr>
            <w:r w:rsidRPr="00267163">
              <w:t>Hypertension</w:t>
            </w:r>
          </w:p>
        </w:tc>
        <w:tc>
          <w:tcPr>
            <w:tcW w:w="1980" w:type="dxa"/>
          </w:tcPr>
          <w:p w:rsidR="00624767" w:rsidRDefault="00624767" w:rsidP="00624767">
            <w:pPr>
              <w:spacing w:line="360" w:lineRule="auto"/>
              <w:jc w:val="center"/>
            </w:pPr>
          </w:p>
          <w:p w:rsidR="00624767" w:rsidRDefault="00624767" w:rsidP="00624767">
            <w:pPr>
              <w:spacing w:line="360" w:lineRule="auto"/>
              <w:jc w:val="center"/>
            </w:pPr>
            <w:r>
              <w:t>2221 (65)</w:t>
            </w:r>
          </w:p>
          <w:p w:rsidR="00624767" w:rsidRDefault="00624767" w:rsidP="00624767">
            <w:pPr>
              <w:spacing w:line="360" w:lineRule="auto"/>
              <w:jc w:val="center"/>
            </w:pPr>
            <w:r>
              <w:t>899 (26)</w:t>
            </w:r>
          </w:p>
          <w:p w:rsidR="00624767" w:rsidRDefault="00624767" w:rsidP="00624767">
            <w:pPr>
              <w:spacing w:line="360" w:lineRule="auto"/>
              <w:jc w:val="center"/>
            </w:pPr>
            <w:r>
              <w:t>972 (29)</w:t>
            </w:r>
          </w:p>
          <w:p w:rsidR="00624767" w:rsidRPr="00267163" w:rsidRDefault="00624767" w:rsidP="00624767">
            <w:pPr>
              <w:spacing w:line="360" w:lineRule="auto"/>
              <w:jc w:val="center"/>
            </w:pPr>
            <w:r>
              <w:t>1557 (46)</w:t>
            </w:r>
          </w:p>
        </w:tc>
        <w:tc>
          <w:tcPr>
            <w:tcW w:w="1980" w:type="dxa"/>
          </w:tcPr>
          <w:p w:rsidR="00624767" w:rsidRDefault="00624767" w:rsidP="00624767">
            <w:pPr>
              <w:spacing w:line="360" w:lineRule="auto"/>
              <w:jc w:val="center"/>
            </w:pPr>
          </w:p>
          <w:p w:rsidR="00624767" w:rsidRDefault="00624767" w:rsidP="00624767">
            <w:pPr>
              <w:spacing w:line="360" w:lineRule="auto"/>
              <w:jc w:val="center"/>
            </w:pPr>
            <w:r>
              <w:t>2198 (65)</w:t>
            </w:r>
          </w:p>
          <w:p w:rsidR="00624767" w:rsidRDefault="00624767" w:rsidP="00624767">
            <w:pPr>
              <w:spacing w:line="360" w:lineRule="auto"/>
              <w:jc w:val="center"/>
            </w:pPr>
            <w:r>
              <w:t>922 (27)</w:t>
            </w:r>
          </w:p>
          <w:p w:rsidR="00624767" w:rsidRDefault="00624767" w:rsidP="00624767">
            <w:pPr>
              <w:spacing w:line="360" w:lineRule="auto"/>
              <w:jc w:val="center"/>
            </w:pPr>
            <w:r>
              <w:t>961 (28)</w:t>
            </w:r>
          </w:p>
          <w:p w:rsidR="00624767" w:rsidRPr="00267163" w:rsidRDefault="00624767" w:rsidP="00624767">
            <w:pPr>
              <w:spacing w:line="360" w:lineRule="auto"/>
              <w:jc w:val="center"/>
            </w:pPr>
            <w:r>
              <w:t>1527 (45)</w:t>
            </w:r>
          </w:p>
        </w:tc>
        <w:tc>
          <w:tcPr>
            <w:tcW w:w="1260" w:type="dxa"/>
          </w:tcPr>
          <w:p w:rsidR="00624767" w:rsidRDefault="00624767" w:rsidP="00624767">
            <w:pPr>
              <w:spacing w:line="360" w:lineRule="auto"/>
              <w:jc w:val="center"/>
            </w:pPr>
          </w:p>
          <w:p w:rsidR="00624767" w:rsidRDefault="00624767" w:rsidP="00624767">
            <w:pPr>
              <w:spacing w:line="360" w:lineRule="auto"/>
              <w:jc w:val="center"/>
            </w:pPr>
            <w:r>
              <w:t>0.64</w:t>
            </w:r>
          </w:p>
          <w:p w:rsidR="00624767" w:rsidRDefault="00624767" w:rsidP="00624767">
            <w:pPr>
              <w:spacing w:line="360" w:lineRule="auto"/>
              <w:jc w:val="center"/>
            </w:pPr>
            <w:r>
              <w:t>0.50</w:t>
            </w:r>
          </w:p>
          <w:p w:rsidR="00624767" w:rsidRDefault="00624767" w:rsidP="00624767">
            <w:pPr>
              <w:spacing w:line="360" w:lineRule="auto"/>
              <w:jc w:val="center"/>
            </w:pPr>
            <w:r>
              <w:t>0.80</w:t>
            </w:r>
          </w:p>
          <w:p w:rsidR="00624767" w:rsidRPr="00267163" w:rsidRDefault="00624767" w:rsidP="00624767">
            <w:pPr>
              <w:spacing w:line="360" w:lineRule="auto"/>
              <w:jc w:val="center"/>
            </w:pPr>
            <w:r>
              <w:t>0.51</w:t>
            </w:r>
          </w:p>
        </w:tc>
      </w:tr>
      <w:tr w:rsidR="00624767" w:rsidRPr="00267163">
        <w:tblPrEx>
          <w:tblLook w:val="01E0"/>
        </w:tblPrEx>
        <w:tc>
          <w:tcPr>
            <w:tcW w:w="4560" w:type="dxa"/>
          </w:tcPr>
          <w:p w:rsidR="00624767" w:rsidRPr="00267163" w:rsidRDefault="00624767" w:rsidP="00624767">
            <w:pPr>
              <w:spacing w:line="360" w:lineRule="auto"/>
            </w:pPr>
            <w:r w:rsidRPr="00267163">
              <w:t>Primary cause of heart failure</w:t>
            </w:r>
          </w:p>
          <w:p w:rsidR="00624767" w:rsidRPr="00267163" w:rsidRDefault="00624767" w:rsidP="00624767">
            <w:pPr>
              <w:spacing w:line="360" w:lineRule="auto"/>
              <w:ind w:left="720"/>
            </w:pPr>
            <w:r w:rsidRPr="00267163">
              <w:t>Ischemic</w:t>
            </w:r>
          </w:p>
          <w:p w:rsidR="00624767" w:rsidRPr="00267163" w:rsidRDefault="00624767" w:rsidP="00624767">
            <w:pPr>
              <w:spacing w:line="360" w:lineRule="auto"/>
              <w:ind w:left="720"/>
            </w:pPr>
            <w:r w:rsidRPr="00267163">
              <w:t>Nonischemic</w:t>
            </w:r>
          </w:p>
        </w:tc>
        <w:tc>
          <w:tcPr>
            <w:tcW w:w="1980" w:type="dxa"/>
          </w:tcPr>
          <w:p w:rsidR="00624767" w:rsidRPr="00267163" w:rsidRDefault="00624767" w:rsidP="00624767">
            <w:pPr>
              <w:spacing w:line="360" w:lineRule="auto"/>
              <w:jc w:val="center"/>
            </w:pPr>
          </w:p>
          <w:p w:rsidR="00624767" w:rsidRDefault="00624767" w:rsidP="00624767">
            <w:pPr>
              <w:spacing w:line="360" w:lineRule="auto"/>
              <w:jc w:val="center"/>
            </w:pPr>
            <w:r w:rsidRPr="00267163">
              <w:t>2398 (71)</w:t>
            </w:r>
          </w:p>
          <w:p w:rsidR="00624767" w:rsidRPr="00267163" w:rsidRDefault="00624767" w:rsidP="00624767">
            <w:pPr>
              <w:spacing w:line="360" w:lineRule="auto"/>
              <w:jc w:val="center"/>
            </w:pPr>
            <w:r>
              <w:t>1005 (29)</w:t>
            </w:r>
          </w:p>
        </w:tc>
        <w:tc>
          <w:tcPr>
            <w:tcW w:w="1980" w:type="dxa"/>
            <w:vAlign w:val="center"/>
          </w:tcPr>
          <w:p w:rsidR="00624767" w:rsidRPr="00267163" w:rsidRDefault="00624767" w:rsidP="00624767">
            <w:pPr>
              <w:spacing w:line="360" w:lineRule="auto"/>
              <w:jc w:val="center"/>
            </w:pPr>
          </w:p>
          <w:p w:rsidR="00624767" w:rsidRDefault="00624767" w:rsidP="00624767">
            <w:pPr>
              <w:spacing w:line="360" w:lineRule="auto"/>
              <w:jc w:val="center"/>
            </w:pPr>
            <w:r>
              <w:t>2405 (71)</w:t>
            </w:r>
          </w:p>
          <w:p w:rsidR="00624767" w:rsidRPr="00267163" w:rsidRDefault="00624767" w:rsidP="00624767">
            <w:pPr>
              <w:spacing w:line="360" w:lineRule="auto"/>
              <w:jc w:val="center"/>
            </w:pPr>
            <w:r>
              <w:t>992 (29)</w:t>
            </w:r>
          </w:p>
        </w:tc>
        <w:tc>
          <w:tcPr>
            <w:tcW w:w="1260" w:type="dxa"/>
            <w:vAlign w:val="center"/>
          </w:tcPr>
          <w:p w:rsidR="00624767" w:rsidRDefault="00624767" w:rsidP="00624767">
            <w:pPr>
              <w:spacing w:line="360" w:lineRule="auto"/>
              <w:jc w:val="center"/>
            </w:pPr>
          </w:p>
          <w:p w:rsidR="00624767" w:rsidRPr="00267163" w:rsidRDefault="00624767" w:rsidP="00624767">
            <w:pPr>
              <w:spacing w:line="360" w:lineRule="auto"/>
              <w:jc w:val="center"/>
            </w:pPr>
            <w:r>
              <w:t>0.77</w:t>
            </w:r>
          </w:p>
        </w:tc>
      </w:tr>
      <w:tr w:rsidR="00624767">
        <w:tblPrEx>
          <w:tblLook w:val="01E0"/>
        </w:tblPrEx>
        <w:tc>
          <w:tcPr>
            <w:tcW w:w="4560" w:type="dxa"/>
          </w:tcPr>
          <w:p w:rsidR="00624767" w:rsidRDefault="00624767" w:rsidP="00624767">
            <w:pPr>
              <w:spacing w:line="360" w:lineRule="auto"/>
            </w:pPr>
            <w:r>
              <w:t>Medications</w:t>
            </w:r>
          </w:p>
        </w:tc>
        <w:tc>
          <w:tcPr>
            <w:tcW w:w="1980" w:type="dxa"/>
          </w:tcPr>
          <w:p w:rsidR="00624767" w:rsidRDefault="00624767" w:rsidP="00624767">
            <w:pPr>
              <w:spacing w:line="360" w:lineRule="auto"/>
              <w:jc w:val="center"/>
              <w:rPr>
                <w:b/>
              </w:rPr>
            </w:pPr>
          </w:p>
        </w:tc>
        <w:tc>
          <w:tcPr>
            <w:tcW w:w="1980" w:type="dxa"/>
            <w:vAlign w:val="center"/>
          </w:tcPr>
          <w:p w:rsidR="00624767" w:rsidRDefault="00624767" w:rsidP="00624767">
            <w:pPr>
              <w:spacing w:line="360" w:lineRule="auto"/>
              <w:jc w:val="center"/>
              <w:rPr>
                <w:b/>
              </w:rPr>
            </w:pPr>
          </w:p>
        </w:tc>
        <w:tc>
          <w:tcPr>
            <w:tcW w:w="1260" w:type="dxa"/>
            <w:vAlign w:val="center"/>
          </w:tcPr>
          <w:p w:rsidR="00624767" w:rsidRDefault="00624767" w:rsidP="00624767">
            <w:pPr>
              <w:spacing w:line="360" w:lineRule="auto"/>
              <w:jc w:val="center"/>
              <w:rPr>
                <w:b/>
              </w:rPr>
            </w:pPr>
          </w:p>
        </w:tc>
      </w:tr>
      <w:tr w:rsidR="00624767">
        <w:tblPrEx>
          <w:tblLook w:val="01E0"/>
        </w:tblPrEx>
        <w:tc>
          <w:tcPr>
            <w:tcW w:w="4560" w:type="dxa"/>
          </w:tcPr>
          <w:p w:rsidR="00624767" w:rsidRDefault="00624767" w:rsidP="00624767">
            <w:pPr>
              <w:spacing w:line="360" w:lineRule="auto"/>
              <w:ind w:left="720"/>
            </w:pPr>
            <w:r>
              <w:t>Diuretics</w:t>
            </w:r>
          </w:p>
        </w:tc>
        <w:tc>
          <w:tcPr>
            <w:tcW w:w="1980" w:type="dxa"/>
          </w:tcPr>
          <w:p w:rsidR="00624767" w:rsidRDefault="00624767" w:rsidP="00624767">
            <w:pPr>
              <w:spacing w:line="360" w:lineRule="auto"/>
              <w:jc w:val="center"/>
            </w:pPr>
            <w:r>
              <w:t>2797 (82)</w:t>
            </w:r>
          </w:p>
        </w:tc>
        <w:tc>
          <w:tcPr>
            <w:tcW w:w="1980" w:type="dxa"/>
            <w:vAlign w:val="center"/>
          </w:tcPr>
          <w:p w:rsidR="00624767" w:rsidRDefault="00624767" w:rsidP="00624767">
            <w:pPr>
              <w:spacing w:line="360" w:lineRule="auto"/>
              <w:jc w:val="center"/>
            </w:pPr>
            <w:r>
              <w:t>2759 (81)</w:t>
            </w:r>
          </w:p>
        </w:tc>
        <w:tc>
          <w:tcPr>
            <w:tcW w:w="1260" w:type="dxa"/>
            <w:vAlign w:val="center"/>
          </w:tcPr>
          <w:p w:rsidR="00624767" w:rsidRDefault="00624767" w:rsidP="00624767">
            <w:pPr>
              <w:spacing w:line="360" w:lineRule="auto"/>
              <w:jc w:val="center"/>
            </w:pPr>
            <w:r>
              <w:t>0.30</w:t>
            </w:r>
          </w:p>
        </w:tc>
      </w:tr>
      <w:tr w:rsidR="00624767">
        <w:tblPrEx>
          <w:tblLook w:val="01E0"/>
        </w:tblPrEx>
        <w:tc>
          <w:tcPr>
            <w:tcW w:w="4560" w:type="dxa"/>
          </w:tcPr>
          <w:p w:rsidR="00624767" w:rsidRDefault="00624767" w:rsidP="00624767">
            <w:pPr>
              <w:spacing w:line="360" w:lineRule="auto"/>
              <w:ind w:left="720"/>
            </w:pPr>
            <w:r>
              <w:t>ACE Inhibitors</w:t>
            </w:r>
          </w:p>
        </w:tc>
        <w:tc>
          <w:tcPr>
            <w:tcW w:w="1980" w:type="dxa"/>
          </w:tcPr>
          <w:p w:rsidR="00624767" w:rsidRDefault="00624767" w:rsidP="00624767">
            <w:pPr>
              <w:spacing w:line="360" w:lineRule="auto"/>
              <w:jc w:val="center"/>
            </w:pPr>
            <w:r>
              <w:t>3225 (95)</w:t>
            </w:r>
          </w:p>
        </w:tc>
        <w:tc>
          <w:tcPr>
            <w:tcW w:w="1980" w:type="dxa"/>
            <w:vAlign w:val="center"/>
          </w:tcPr>
          <w:p w:rsidR="00624767" w:rsidRDefault="00624767" w:rsidP="00624767">
            <w:pPr>
              <w:spacing w:line="360" w:lineRule="auto"/>
              <w:jc w:val="center"/>
            </w:pPr>
            <w:r>
              <w:t>3197 (94)</w:t>
            </w:r>
          </w:p>
        </w:tc>
        <w:tc>
          <w:tcPr>
            <w:tcW w:w="1260" w:type="dxa"/>
            <w:vAlign w:val="center"/>
          </w:tcPr>
          <w:p w:rsidR="00624767" w:rsidRDefault="00624767" w:rsidP="00624767">
            <w:pPr>
              <w:spacing w:line="360" w:lineRule="auto"/>
              <w:jc w:val="center"/>
            </w:pPr>
            <w:r>
              <w:t>0.24</w:t>
            </w:r>
          </w:p>
        </w:tc>
      </w:tr>
      <w:tr w:rsidR="00624767">
        <w:tblPrEx>
          <w:tblLook w:val="01E0"/>
        </w:tblPrEx>
        <w:tc>
          <w:tcPr>
            <w:tcW w:w="4560" w:type="dxa"/>
          </w:tcPr>
          <w:p w:rsidR="00624767" w:rsidRDefault="00624767" w:rsidP="00624767">
            <w:pPr>
              <w:spacing w:line="360" w:lineRule="auto"/>
              <w:ind w:left="720"/>
            </w:pPr>
            <w:r>
              <w:t>Nitrates</w:t>
            </w:r>
          </w:p>
        </w:tc>
        <w:tc>
          <w:tcPr>
            <w:tcW w:w="1980" w:type="dxa"/>
          </w:tcPr>
          <w:p w:rsidR="00624767" w:rsidRDefault="00624767" w:rsidP="00624767">
            <w:pPr>
              <w:spacing w:line="360" w:lineRule="auto"/>
              <w:jc w:val="center"/>
            </w:pPr>
            <w:r>
              <w:t>1466 (43)</w:t>
            </w:r>
          </w:p>
        </w:tc>
        <w:tc>
          <w:tcPr>
            <w:tcW w:w="1980" w:type="dxa"/>
            <w:vAlign w:val="center"/>
          </w:tcPr>
          <w:p w:rsidR="00624767" w:rsidRDefault="00624767" w:rsidP="00624767">
            <w:pPr>
              <w:spacing w:line="360" w:lineRule="auto"/>
              <w:jc w:val="center"/>
            </w:pPr>
            <w:r>
              <w:t>1432 (42)</w:t>
            </w:r>
          </w:p>
        </w:tc>
        <w:tc>
          <w:tcPr>
            <w:tcW w:w="1260" w:type="dxa"/>
            <w:vAlign w:val="center"/>
          </w:tcPr>
          <w:p w:rsidR="00624767" w:rsidRDefault="00624767" w:rsidP="00624767">
            <w:pPr>
              <w:spacing w:line="360" w:lineRule="auto"/>
              <w:jc w:val="center"/>
            </w:pPr>
            <w:r>
              <w:t>0.44</w:t>
            </w:r>
          </w:p>
        </w:tc>
      </w:tr>
      <w:tr w:rsidR="00624767">
        <w:tblPrEx>
          <w:tblLook w:val="01E0"/>
        </w:tblPrEx>
        <w:tc>
          <w:tcPr>
            <w:tcW w:w="4560" w:type="dxa"/>
            <w:tcBorders>
              <w:bottom w:val="single" w:sz="4" w:space="0" w:color="auto"/>
            </w:tcBorders>
          </w:tcPr>
          <w:p w:rsidR="00624767" w:rsidRDefault="00624767" w:rsidP="00624767">
            <w:pPr>
              <w:spacing w:line="360" w:lineRule="auto"/>
              <w:ind w:left="720"/>
            </w:pPr>
            <w:r>
              <w:t>Hydralazine</w:t>
            </w:r>
          </w:p>
        </w:tc>
        <w:tc>
          <w:tcPr>
            <w:tcW w:w="1980" w:type="dxa"/>
            <w:tcBorders>
              <w:bottom w:val="single" w:sz="4" w:space="0" w:color="auto"/>
            </w:tcBorders>
          </w:tcPr>
          <w:p w:rsidR="00624767" w:rsidRDefault="00624767" w:rsidP="00624767">
            <w:pPr>
              <w:spacing w:line="360" w:lineRule="auto"/>
              <w:jc w:val="center"/>
            </w:pPr>
            <w:r>
              <w:t>64 (2)</w:t>
            </w:r>
          </w:p>
        </w:tc>
        <w:tc>
          <w:tcPr>
            <w:tcW w:w="1980" w:type="dxa"/>
            <w:tcBorders>
              <w:bottom w:val="single" w:sz="4" w:space="0" w:color="auto"/>
            </w:tcBorders>
            <w:vAlign w:val="center"/>
          </w:tcPr>
          <w:p w:rsidR="00624767" w:rsidRDefault="00624767" w:rsidP="00624767">
            <w:pPr>
              <w:spacing w:line="360" w:lineRule="auto"/>
              <w:jc w:val="center"/>
            </w:pPr>
            <w:r>
              <w:t>22 (2)</w:t>
            </w:r>
          </w:p>
        </w:tc>
        <w:tc>
          <w:tcPr>
            <w:tcW w:w="1260" w:type="dxa"/>
            <w:tcBorders>
              <w:bottom w:val="single" w:sz="4" w:space="0" w:color="auto"/>
            </w:tcBorders>
            <w:vAlign w:val="center"/>
          </w:tcPr>
          <w:p w:rsidR="00624767" w:rsidRDefault="00624767" w:rsidP="00624767">
            <w:pPr>
              <w:spacing w:line="360" w:lineRule="auto"/>
              <w:jc w:val="center"/>
            </w:pPr>
            <w:r>
              <w:t>0.26</w:t>
            </w:r>
          </w:p>
        </w:tc>
      </w:tr>
    </w:tbl>
    <w:p w:rsidR="00624767" w:rsidRDefault="00624767" w:rsidP="00624767">
      <w:pPr>
        <w:tabs>
          <w:tab w:val="right" w:pos="360"/>
          <w:tab w:val="left" w:pos="540"/>
        </w:tabs>
        <w:spacing w:line="360" w:lineRule="auto"/>
        <w:ind w:left="540" w:hanging="540"/>
      </w:pPr>
      <w:r>
        <w:t xml:space="preserve">* </w:t>
      </w:r>
      <w:proofErr w:type="gramStart"/>
      <w:r>
        <w:t>omnibus</w:t>
      </w:r>
      <w:proofErr w:type="gramEnd"/>
      <w:r>
        <w:t xml:space="preserve"> p-values from χ</w:t>
      </w:r>
      <w:r>
        <w:rPr>
          <w:vertAlign w:val="superscript"/>
        </w:rPr>
        <w:t>2</w:t>
      </w:r>
      <w:r>
        <w:t xml:space="preserve"> test or ANOVA</w:t>
      </w:r>
    </w:p>
    <w:p w:rsidR="00624767" w:rsidRDefault="00624767" w:rsidP="00624767">
      <w:pPr>
        <w:tabs>
          <w:tab w:val="right" w:pos="360"/>
          <w:tab w:val="left" w:pos="540"/>
        </w:tabs>
        <w:spacing w:line="480" w:lineRule="auto"/>
        <w:ind w:left="540" w:hanging="540"/>
        <w:sectPr w:rsidR="00624767">
          <w:headerReference w:type="even" r:id="rId21"/>
          <w:headerReference w:type="default" r:id="rId22"/>
          <w:footerReference w:type="even" r:id="rId23"/>
          <w:footerReference w:type="default" r:id="rId24"/>
          <w:pgSz w:w="12240" w:h="15840"/>
          <w:pgMar w:top="1440" w:right="1440" w:bottom="1440" w:left="1440" w:gutter="0"/>
          <w:titlePg/>
          <w:docGrid w:linePitch="360"/>
        </w:sectPr>
      </w:pPr>
    </w:p>
    <w:p w:rsidR="00624767" w:rsidRPr="006C653B" w:rsidRDefault="00624767" w:rsidP="00624767">
      <w:pPr>
        <w:tabs>
          <w:tab w:val="right" w:pos="360"/>
          <w:tab w:val="left" w:pos="540"/>
        </w:tabs>
        <w:spacing w:line="480" w:lineRule="auto"/>
        <w:ind w:left="540" w:hanging="540"/>
        <w:jc w:val="center"/>
        <w:rPr>
          <w:b/>
        </w:rPr>
      </w:pPr>
      <w:r>
        <w:rPr>
          <w:b/>
        </w:rPr>
        <w:t>Appendix B - Sensitivity Analyses According to Changes in Utility Coefficients</w:t>
      </w:r>
    </w:p>
    <w:p w:rsidR="00624767" w:rsidRPr="006C653B" w:rsidRDefault="00624767" w:rsidP="00624767">
      <w:pPr>
        <w:tabs>
          <w:tab w:val="right" w:pos="360"/>
          <w:tab w:val="left" w:pos="540"/>
        </w:tabs>
        <w:spacing w:line="480" w:lineRule="auto"/>
        <w:ind w:left="540" w:hanging="540"/>
        <w:rPr>
          <w:b/>
        </w:rPr>
      </w:pPr>
      <w:r>
        <w:rPr>
          <w:b/>
        </w:rPr>
        <w:t>A</w:t>
      </w:r>
      <w:r w:rsidRPr="006C653B">
        <w:rPr>
          <w:b/>
        </w:rPr>
        <w:t>. Metformin Study</w:t>
      </w:r>
    </w:p>
    <w:tbl>
      <w:tblPr>
        <w:tblW w:w="13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039"/>
        <w:gridCol w:w="1649"/>
        <w:gridCol w:w="900"/>
        <w:gridCol w:w="900"/>
        <w:gridCol w:w="900"/>
        <w:gridCol w:w="900"/>
        <w:gridCol w:w="1080"/>
        <w:gridCol w:w="1440"/>
        <w:gridCol w:w="1800"/>
      </w:tblGrid>
      <w:tr w:rsidR="00624767" w:rsidRPr="00532843">
        <w:tc>
          <w:tcPr>
            <w:tcW w:w="4039" w:type="dxa"/>
            <w:tcBorders>
              <w:top w:val="single" w:sz="8" w:space="0" w:color="auto"/>
              <w:left w:val="nil"/>
              <w:bottom w:val="single" w:sz="8" w:space="0" w:color="auto"/>
              <w:right w:val="nil"/>
            </w:tcBorders>
            <w:vAlign w:val="center"/>
          </w:tcPr>
          <w:p w:rsidR="00624767" w:rsidRPr="00532843" w:rsidRDefault="00624767" w:rsidP="00624767">
            <w:pPr>
              <w:spacing w:line="360" w:lineRule="auto"/>
              <w:rPr>
                <w:b/>
                <w:sz w:val="22"/>
                <w:szCs w:val="22"/>
              </w:rPr>
            </w:pPr>
            <w:r w:rsidRPr="00532843">
              <w:rPr>
                <w:b/>
                <w:sz w:val="22"/>
                <w:szCs w:val="22"/>
              </w:rPr>
              <w:t>Parameter varied</w:t>
            </w:r>
          </w:p>
        </w:tc>
        <w:tc>
          <w:tcPr>
            <w:tcW w:w="1649" w:type="dxa"/>
            <w:tcBorders>
              <w:top w:val="single" w:sz="8" w:space="0" w:color="auto"/>
              <w:left w:val="nil"/>
              <w:bottom w:val="single" w:sz="8" w:space="0" w:color="auto"/>
              <w:right w:val="nil"/>
            </w:tcBorders>
            <w:vAlign w:val="center"/>
          </w:tcPr>
          <w:p w:rsidR="00624767" w:rsidRPr="00532843" w:rsidRDefault="00624767" w:rsidP="00624767">
            <w:pPr>
              <w:spacing w:line="360" w:lineRule="auto"/>
              <w:jc w:val="center"/>
              <w:rPr>
                <w:b/>
                <w:sz w:val="22"/>
                <w:szCs w:val="22"/>
              </w:rPr>
            </w:pPr>
            <w:r w:rsidRPr="00532843">
              <w:rPr>
                <w:b/>
                <w:sz w:val="22"/>
                <w:szCs w:val="22"/>
              </w:rPr>
              <w:t>Group</w:t>
            </w:r>
          </w:p>
        </w:tc>
        <w:tc>
          <w:tcPr>
            <w:tcW w:w="900" w:type="dxa"/>
            <w:tcBorders>
              <w:top w:val="single" w:sz="8" w:space="0" w:color="auto"/>
              <w:left w:val="nil"/>
              <w:bottom w:val="single" w:sz="8" w:space="0" w:color="auto"/>
              <w:right w:val="nil"/>
            </w:tcBorders>
            <w:vAlign w:val="center"/>
          </w:tcPr>
          <w:p w:rsidR="00624767" w:rsidRPr="00532843" w:rsidRDefault="00624767" w:rsidP="00624767">
            <w:pPr>
              <w:spacing w:line="360" w:lineRule="auto"/>
              <w:jc w:val="center"/>
              <w:rPr>
                <w:b/>
                <w:sz w:val="22"/>
                <w:szCs w:val="22"/>
              </w:rPr>
            </w:pPr>
            <w:r w:rsidRPr="00532843">
              <w:rPr>
                <w:b/>
                <w:sz w:val="22"/>
                <w:szCs w:val="22"/>
              </w:rPr>
              <w:t xml:space="preserve">Utility </w:t>
            </w:r>
          </w:p>
          <w:p w:rsidR="00624767" w:rsidRPr="00532843" w:rsidRDefault="00624767" w:rsidP="00624767">
            <w:pPr>
              <w:spacing w:line="360" w:lineRule="auto"/>
              <w:jc w:val="center"/>
              <w:rPr>
                <w:b/>
                <w:sz w:val="22"/>
                <w:szCs w:val="22"/>
              </w:rPr>
            </w:pPr>
            <w:r w:rsidRPr="00532843">
              <w:rPr>
                <w:b/>
                <w:sz w:val="22"/>
                <w:szCs w:val="22"/>
              </w:rPr>
              <w:t>H</w:t>
            </w:r>
            <w:r w:rsidRPr="00532843">
              <w:rPr>
                <w:b/>
                <w:sz w:val="22"/>
                <w:szCs w:val="22"/>
                <w:vertAlign w:val="subscript"/>
              </w:rPr>
              <w:t>1</w:t>
            </w:r>
          </w:p>
        </w:tc>
        <w:tc>
          <w:tcPr>
            <w:tcW w:w="900" w:type="dxa"/>
            <w:tcBorders>
              <w:top w:val="single" w:sz="8" w:space="0" w:color="auto"/>
              <w:left w:val="nil"/>
              <w:bottom w:val="single" w:sz="8" w:space="0" w:color="auto"/>
              <w:right w:val="nil"/>
            </w:tcBorders>
            <w:vAlign w:val="center"/>
          </w:tcPr>
          <w:p w:rsidR="00624767" w:rsidRPr="00532843" w:rsidRDefault="00624767" w:rsidP="00624767">
            <w:pPr>
              <w:spacing w:line="360" w:lineRule="auto"/>
              <w:jc w:val="center"/>
              <w:rPr>
                <w:b/>
                <w:sz w:val="22"/>
                <w:szCs w:val="22"/>
              </w:rPr>
            </w:pPr>
            <w:r w:rsidRPr="00532843">
              <w:rPr>
                <w:b/>
                <w:sz w:val="22"/>
                <w:szCs w:val="22"/>
              </w:rPr>
              <w:t>QALY</w:t>
            </w:r>
          </w:p>
          <w:p w:rsidR="00624767" w:rsidRPr="00532843" w:rsidRDefault="00624767" w:rsidP="00624767">
            <w:pPr>
              <w:spacing w:line="360" w:lineRule="auto"/>
              <w:jc w:val="center"/>
              <w:rPr>
                <w:b/>
                <w:sz w:val="22"/>
                <w:szCs w:val="22"/>
              </w:rPr>
            </w:pPr>
            <w:r w:rsidRPr="00532843">
              <w:rPr>
                <w:b/>
                <w:sz w:val="22"/>
                <w:szCs w:val="22"/>
              </w:rPr>
              <w:t>H</w:t>
            </w:r>
            <w:r w:rsidRPr="00532843">
              <w:rPr>
                <w:b/>
                <w:sz w:val="22"/>
                <w:szCs w:val="22"/>
                <w:vertAlign w:val="subscript"/>
              </w:rPr>
              <w:t>1</w:t>
            </w:r>
          </w:p>
        </w:tc>
        <w:tc>
          <w:tcPr>
            <w:tcW w:w="900" w:type="dxa"/>
            <w:tcBorders>
              <w:top w:val="single" w:sz="8" w:space="0" w:color="auto"/>
              <w:left w:val="nil"/>
              <w:bottom w:val="single" w:sz="8" w:space="0" w:color="auto"/>
              <w:right w:val="nil"/>
            </w:tcBorders>
            <w:vAlign w:val="center"/>
          </w:tcPr>
          <w:p w:rsidR="00624767" w:rsidRPr="00532843" w:rsidRDefault="00624767" w:rsidP="00624767">
            <w:pPr>
              <w:spacing w:line="360" w:lineRule="auto"/>
              <w:jc w:val="center"/>
              <w:rPr>
                <w:b/>
                <w:sz w:val="22"/>
                <w:szCs w:val="22"/>
              </w:rPr>
            </w:pPr>
            <w:r w:rsidRPr="00532843">
              <w:rPr>
                <w:b/>
                <w:sz w:val="22"/>
                <w:szCs w:val="22"/>
              </w:rPr>
              <w:t>Utility</w:t>
            </w:r>
          </w:p>
          <w:p w:rsidR="00624767" w:rsidRPr="00532843" w:rsidRDefault="00624767" w:rsidP="00624767">
            <w:pPr>
              <w:spacing w:line="360" w:lineRule="auto"/>
              <w:jc w:val="center"/>
              <w:rPr>
                <w:b/>
                <w:sz w:val="22"/>
                <w:szCs w:val="22"/>
              </w:rPr>
            </w:pPr>
            <w:r w:rsidRPr="00532843">
              <w:rPr>
                <w:b/>
                <w:sz w:val="22"/>
                <w:szCs w:val="22"/>
              </w:rPr>
              <w:t>H</w:t>
            </w:r>
            <w:r w:rsidRPr="00532843">
              <w:rPr>
                <w:b/>
                <w:sz w:val="22"/>
                <w:szCs w:val="22"/>
                <w:vertAlign w:val="subscript"/>
              </w:rPr>
              <w:t>2</w:t>
            </w:r>
          </w:p>
        </w:tc>
        <w:tc>
          <w:tcPr>
            <w:tcW w:w="900" w:type="dxa"/>
            <w:tcBorders>
              <w:top w:val="single" w:sz="8" w:space="0" w:color="auto"/>
              <w:left w:val="nil"/>
              <w:bottom w:val="single" w:sz="8" w:space="0" w:color="auto"/>
              <w:right w:val="nil"/>
            </w:tcBorders>
            <w:vAlign w:val="center"/>
          </w:tcPr>
          <w:p w:rsidR="00624767" w:rsidRPr="00532843" w:rsidRDefault="00624767" w:rsidP="00624767">
            <w:pPr>
              <w:spacing w:line="360" w:lineRule="auto"/>
              <w:jc w:val="center"/>
              <w:rPr>
                <w:b/>
                <w:sz w:val="22"/>
                <w:szCs w:val="22"/>
              </w:rPr>
            </w:pPr>
            <w:r w:rsidRPr="00532843">
              <w:rPr>
                <w:b/>
                <w:sz w:val="22"/>
                <w:szCs w:val="22"/>
              </w:rPr>
              <w:t>QALY</w:t>
            </w:r>
          </w:p>
          <w:p w:rsidR="00624767" w:rsidRPr="00532843" w:rsidRDefault="00624767" w:rsidP="00624767">
            <w:pPr>
              <w:spacing w:line="360" w:lineRule="auto"/>
              <w:jc w:val="center"/>
              <w:rPr>
                <w:b/>
                <w:sz w:val="22"/>
                <w:szCs w:val="22"/>
              </w:rPr>
            </w:pPr>
            <w:r w:rsidRPr="00532843">
              <w:rPr>
                <w:b/>
                <w:sz w:val="22"/>
                <w:szCs w:val="22"/>
              </w:rPr>
              <w:t>H</w:t>
            </w:r>
            <w:r w:rsidRPr="00532843">
              <w:rPr>
                <w:b/>
                <w:sz w:val="22"/>
                <w:szCs w:val="22"/>
                <w:vertAlign w:val="subscript"/>
              </w:rPr>
              <w:t>2</w:t>
            </w:r>
          </w:p>
        </w:tc>
        <w:tc>
          <w:tcPr>
            <w:tcW w:w="1080" w:type="dxa"/>
            <w:tcBorders>
              <w:top w:val="single" w:sz="8" w:space="0" w:color="auto"/>
              <w:left w:val="nil"/>
              <w:bottom w:val="single" w:sz="8" w:space="0" w:color="auto"/>
              <w:right w:val="nil"/>
            </w:tcBorders>
            <w:vAlign w:val="center"/>
          </w:tcPr>
          <w:p w:rsidR="00624767" w:rsidRPr="00532843" w:rsidRDefault="00624767" w:rsidP="00624767">
            <w:pPr>
              <w:spacing w:line="360" w:lineRule="auto"/>
              <w:jc w:val="center"/>
              <w:rPr>
                <w:b/>
                <w:sz w:val="22"/>
                <w:szCs w:val="22"/>
              </w:rPr>
            </w:pPr>
            <w:r w:rsidRPr="00532843">
              <w:rPr>
                <w:b/>
                <w:sz w:val="22"/>
                <w:szCs w:val="22"/>
              </w:rPr>
              <w:t>Total QALYs</w:t>
            </w:r>
          </w:p>
        </w:tc>
        <w:tc>
          <w:tcPr>
            <w:tcW w:w="1440" w:type="dxa"/>
            <w:tcBorders>
              <w:top w:val="single" w:sz="8" w:space="0" w:color="auto"/>
              <w:left w:val="nil"/>
              <w:bottom w:val="single" w:sz="8" w:space="0" w:color="auto"/>
              <w:right w:val="nil"/>
            </w:tcBorders>
            <w:vAlign w:val="center"/>
          </w:tcPr>
          <w:p w:rsidR="00624767" w:rsidRPr="00532843" w:rsidRDefault="00624767" w:rsidP="00624767">
            <w:pPr>
              <w:spacing w:line="360" w:lineRule="auto"/>
              <w:jc w:val="center"/>
              <w:rPr>
                <w:b/>
                <w:sz w:val="22"/>
                <w:szCs w:val="22"/>
              </w:rPr>
            </w:pPr>
            <w:r w:rsidRPr="00532843">
              <w:rPr>
                <w:b/>
                <w:sz w:val="22"/>
                <w:szCs w:val="22"/>
              </w:rPr>
              <w:t>Difference in Total QALYs</w:t>
            </w:r>
          </w:p>
        </w:tc>
        <w:tc>
          <w:tcPr>
            <w:tcW w:w="1800" w:type="dxa"/>
            <w:tcBorders>
              <w:top w:val="single" w:sz="8" w:space="0" w:color="auto"/>
              <w:left w:val="nil"/>
              <w:bottom w:val="single" w:sz="8" w:space="0" w:color="auto"/>
              <w:right w:val="nil"/>
            </w:tcBorders>
          </w:tcPr>
          <w:p w:rsidR="00624767" w:rsidRPr="00532843" w:rsidRDefault="00624767" w:rsidP="00624767">
            <w:pPr>
              <w:spacing w:line="360" w:lineRule="auto"/>
              <w:jc w:val="center"/>
              <w:rPr>
                <w:b/>
                <w:sz w:val="22"/>
                <w:szCs w:val="22"/>
              </w:rPr>
            </w:pPr>
            <w:r w:rsidRPr="00532843">
              <w:rPr>
                <w:b/>
                <w:sz w:val="22"/>
                <w:szCs w:val="22"/>
              </w:rPr>
              <w:t>Difference from Standard Analysis (%)</w:t>
            </w:r>
          </w:p>
        </w:tc>
      </w:tr>
      <w:tr w:rsidR="00624767" w:rsidRPr="00532843">
        <w:trPr>
          <w:trHeight w:val="277"/>
        </w:trPr>
        <w:tc>
          <w:tcPr>
            <w:tcW w:w="4039" w:type="dxa"/>
            <w:vMerge w:val="restart"/>
            <w:tcBorders>
              <w:top w:val="single" w:sz="8" w:space="0" w:color="auto"/>
              <w:left w:val="nil"/>
              <w:bottom w:val="single" w:sz="2" w:space="0" w:color="auto"/>
              <w:right w:val="nil"/>
            </w:tcBorders>
            <w:vAlign w:val="center"/>
          </w:tcPr>
          <w:p w:rsidR="00624767" w:rsidRPr="00532843" w:rsidRDefault="00624767" w:rsidP="00624767">
            <w:pPr>
              <w:spacing w:line="360" w:lineRule="auto"/>
              <w:rPr>
                <w:b/>
                <w:sz w:val="22"/>
                <w:szCs w:val="22"/>
              </w:rPr>
            </w:pPr>
            <w:r w:rsidRPr="00532843">
              <w:rPr>
                <w:b/>
                <w:sz w:val="22"/>
                <w:szCs w:val="22"/>
              </w:rPr>
              <w:t>Base Case</w:t>
            </w:r>
          </w:p>
        </w:tc>
        <w:tc>
          <w:tcPr>
            <w:tcW w:w="1649" w:type="dxa"/>
            <w:tcBorders>
              <w:top w:val="single" w:sz="8" w:space="0" w:color="auto"/>
              <w:left w:val="nil"/>
              <w:bottom w:val="nil"/>
              <w:right w:val="nil"/>
            </w:tcBorders>
          </w:tcPr>
          <w:p w:rsidR="00624767" w:rsidRPr="00532843" w:rsidRDefault="00624767" w:rsidP="00624767">
            <w:pPr>
              <w:spacing w:line="360" w:lineRule="auto"/>
              <w:jc w:val="center"/>
              <w:rPr>
                <w:sz w:val="22"/>
                <w:szCs w:val="22"/>
              </w:rPr>
            </w:pPr>
            <w:r w:rsidRPr="00532843">
              <w:rPr>
                <w:sz w:val="22"/>
                <w:szCs w:val="22"/>
              </w:rPr>
              <w:t>Sulfonylurea</w:t>
            </w:r>
          </w:p>
        </w:tc>
        <w:tc>
          <w:tcPr>
            <w:tcW w:w="900" w:type="dxa"/>
            <w:tcBorders>
              <w:top w:val="single" w:sz="8" w:space="0" w:color="auto"/>
              <w:left w:val="nil"/>
              <w:bottom w:val="nil"/>
              <w:right w:val="nil"/>
            </w:tcBorders>
          </w:tcPr>
          <w:p w:rsidR="00624767" w:rsidRPr="00532843" w:rsidRDefault="00624767" w:rsidP="00624767">
            <w:pPr>
              <w:jc w:val="center"/>
              <w:rPr>
                <w:rFonts w:ascii="Arial" w:hAnsi="Arial" w:cs="Arial"/>
                <w:sz w:val="20"/>
                <w:szCs w:val="20"/>
              </w:rPr>
            </w:pPr>
            <w:r w:rsidRPr="00532843">
              <w:rPr>
                <w:rFonts w:ascii="Arial" w:hAnsi="Arial" w:cs="Arial"/>
                <w:sz w:val="20"/>
                <w:szCs w:val="20"/>
              </w:rPr>
              <w:t>0.81</w:t>
            </w:r>
          </w:p>
        </w:tc>
        <w:tc>
          <w:tcPr>
            <w:tcW w:w="900" w:type="dxa"/>
            <w:tcBorders>
              <w:top w:val="single" w:sz="8" w:space="0" w:color="auto"/>
              <w:left w:val="nil"/>
              <w:bottom w:val="nil"/>
              <w:right w:val="nil"/>
            </w:tcBorders>
          </w:tcPr>
          <w:p w:rsidR="00624767" w:rsidRPr="00532843" w:rsidRDefault="00624767" w:rsidP="00624767">
            <w:pPr>
              <w:jc w:val="center"/>
              <w:rPr>
                <w:rFonts w:ascii="Arial" w:hAnsi="Arial" w:cs="Arial"/>
                <w:sz w:val="20"/>
                <w:szCs w:val="20"/>
              </w:rPr>
            </w:pPr>
            <w:r>
              <w:rPr>
                <w:rFonts w:ascii="Arial" w:hAnsi="Arial" w:cs="Arial"/>
                <w:sz w:val="20"/>
                <w:szCs w:val="20"/>
              </w:rPr>
              <w:t>0.98</w:t>
            </w:r>
          </w:p>
        </w:tc>
        <w:tc>
          <w:tcPr>
            <w:tcW w:w="900" w:type="dxa"/>
            <w:tcBorders>
              <w:top w:val="single" w:sz="8" w:space="0" w:color="auto"/>
              <w:left w:val="nil"/>
              <w:bottom w:val="nil"/>
              <w:right w:val="nil"/>
            </w:tcBorders>
          </w:tcPr>
          <w:p w:rsidR="00624767" w:rsidRPr="00532843" w:rsidRDefault="00624767" w:rsidP="00624767">
            <w:pPr>
              <w:jc w:val="center"/>
              <w:rPr>
                <w:rFonts w:ascii="Arial" w:hAnsi="Arial" w:cs="Arial"/>
                <w:sz w:val="20"/>
                <w:szCs w:val="20"/>
              </w:rPr>
            </w:pPr>
            <w:r w:rsidRPr="00532843">
              <w:rPr>
                <w:rFonts w:ascii="Arial" w:hAnsi="Arial" w:cs="Arial"/>
                <w:sz w:val="20"/>
                <w:szCs w:val="20"/>
              </w:rPr>
              <w:t>0.57</w:t>
            </w:r>
          </w:p>
        </w:tc>
        <w:tc>
          <w:tcPr>
            <w:tcW w:w="900" w:type="dxa"/>
            <w:tcBorders>
              <w:top w:val="single" w:sz="8" w:space="0" w:color="auto"/>
              <w:left w:val="nil"/>
              <w:bottom w:val="nil"/>
              <w:right w:val="nil"/>
            </w:tcBorders>
          </w:tcPr>
          <w:p w:rsidR="00624767" w:rsidRPr="00532843" w:rsidRDefault="00624767" w:rsidP="00624767">
            <w:pPr>
              <w:jc w:val="center"/>
              <w:rPr>
                <w:rFonts w:ascii="Arial" w:hAnsi="Arial" w:cs="Arial"/>
                <w:sz w:val="20"/>
                <w:szCs w:val="20"/>
              </w:rPr>
            </w:pPr>
            <w:r>
              <w:rPr>
                <w:rFonts w:ascii="Arial" w:hAnsi="Arial" w:cs="Arial"/>
                <w:sz w:val="20"/>
                <w:szCs w:val="20"/>
              </w:rPr>
              <w:t>1.65</w:t>
            </w:r>
          </w:p>
        </w:tc>
        <w:tc>
          <w:tcPr>
            <w:tcW w:w="1080" w:type="dxa"/>
            <w:tcBorders>
              <w:top w:val="single" w:sz="8" w:space="0" w:color="auto"/>
              <w:left w:val="nil"/>
              <w:bottom w:val="nil"/>
              <w:right w:val="nil"/>
            </w:tcBorders>
          </w:tcPr>
          <w:p w:rsidR="00624767" w:rsidRPr="00532843" w:rsidRDefault="00624767" w:rsidP="00624767">
            <w:pPr>
              <w:jc w:val="center"/>
              <w:rPr>
                <w:rFonts w:ascii="Arial" w:hAnsi="Arial" w:cs="Arial"/>
                <w:sz w:val="20"/>
                <w:szCs w:val="20"/>
              </w:rPr>
            </w:pPr>
            <w:r>
              <w:rPr>
                <w:rFonts w:ascii="Arial" w:hAnsi="Arial" w:cs="Arial"/>
                <w:sz w:val="20"/>
                <w:szCs w:val="20"/>
              </w:rPr>
              <w:t>2.63</w:t>
            </w:r>
          </w:p>
        </w:tc>
        <w:tc>
          <w:tcPr>
            <w:tcW w:w="1440" w:type="dxa"/>
            <w:vMerge w:val="restart"/>
            <w:tcBorders>
              <w:top w:val="single" w:sz="8" w:space="0" w:color="auto"/>
              <w:left w:val="nil"/>
              <w:bottom w:val="nil"/>
              <w:right w:val="nil"/>
            </w:tcBorders>
            <w:vAlign w:val="center"/>
          </w:tcPr>
          <w:p w:rsidR="00624767" w:rsidRPr="00532843" w:rsidRDefault="00624767" w:rsidP="00624767">
            <w:pPr>
              <w:spacing w:line="360" w:lineRule="auto"/>
              <w:jc w:val="center"/>
              <w:rPr>
                <w:rFonts w:ascii="Arial" w:hAnsi="Arial" w:cs="Arial"/>
                <w:sz w:val="20"/>
                <w:szCs w:val="20"/>
              </w:rPr>
            </w:pPr>
            <w:r>
              <w:rPr>
                <w:rFonts w:ascii="Arial" w:hAnsi="Arial" w:cs="Arial"/>
                <w:sz w:val="20"/>
                <w:szCs w:val="20"/>
              </w:rPr>
              <w:t>0.54</w:t>
            </w:r>
          </w:p>
        </w:tc>
        <w:tc>
          <w:tcPr>
            <w:tcW w:w="1800" w:type="dxa"/>
            <w:vMerge w:val="restart"/>
            <w:tcBorders>
              <w:top w:val="single" w:sz="8" w:space="0" w:color="auto"/>
              <w:left w:val="nil"/>
              <w:right w:val="nil"/>
            </w:tcBorders>
            <w:vAlign w:val="center"/>
          </w:tcPr>
          <w:p w:rsidR="00624767" w:rsidRPr="00532843" w:rsidRDefault="00624767" w:rsidP="00624767">
            <w:pPr>
              <w:jc w:val="center"/>
              <w:rPr>
                <w:rFonts w:ascii="Arial" w:hAnsi="Arial" w:cs="Arial"/>
                <w:sz w:val="20"/>
                <w:szCs w:val="20"/>
              </w:rPr>
            </w:pPr>
            <w:r>
              <w:rPr>
                <w:rFonts w:ascii="Arial" w:hAnsi="Arial" w:cs="Arial"/>
                <w:sz w:val="20"/>
                <w:szCs w:val="20"/>
              </w:rPr>
              <w:t>34</w:t>
            </w:r>
          </w:p>
          <w:p w:rsidR="00624767" w:rsidRPr="00532843" w:rsidRDefault="00624767" w:rsidP="00624767">
            <w:pPr>
              <w:jc w:val="center"/>
              <w:rPr>
                <w:rFonts w:ascii="Arial" w:hAnsi="Arial" w:cs="Arial"/>
                <w:sz w:val="20"/>
                <w:szCs w:val="20"/>
              </w:rPr>
            </w:pPr>
          </w:p>
        </w:tc>
      </w:tr>
      <w:tr w:rsidR="00624767" w:rsidRPr="00532843">
        <w:trPr>
          <w:trHeight w:val="276"/>
        </w:trPr>
        <w:tc>
          <w:tcPr>
            <w:tcW w:w="4039" w:type="dxa"/>
            <w:vMerge/>
            <w:tcBorders>
              <w:top w:val="nil"/>
              <w:left w:val="nil"/>
              <w:bottom w:val="single" w:sz="2" w:space="0" w:color="auto"/>
              <w:right w:val="nil"/>
            </w:tcBorders>
            <w:vAlign w:val="center"/>
          </w:tcPr>
          <w:p w:rsidR="00624767" w:rsidRPr="00532843" w:rsidRDefault="00624767" w:rsidP="00624767">
            <w:pPr>
              <w:spacing w:line="360" w:lineRule="auto"/>
              <w:rPr>
                <w:b/>
                <w:sz w:val="22"/>
                <w:szCs w:val="22"/>
              </w:rPr>
            </w:pPr>
          </w:p>
        </w:tc>
        <w:tc>
          <w:tcPr>
            <w:tcW w:w="1649" w:type="dxa"/>
            <w:tcBorders>
              <w:top w:val="nil"/>
              <w:left w:val="nil"/>
              <w:bottom w:val="single" w:sz="2" w:space="0" w:color="auto"/>
              <w:right w:val="nil"/>
            </w:tcBorders>
          </w:tcPr>
          <w:p w:rsidR="00624767" w:rsidRPr="00532843" w:rsidRDefault="00624767" w:rsidP="00624767">
            <w:pPr>
              <w:spacing w:line="360" w:lineRule="auto"/>
              <w:jc w:val="center"/>
              <w:rPr>
                <w:sz w:val="22"/>
                <w:szCs w:val="22"/>
              </w:rPr>
            </w:pPr>
            <w:r w:rsidRPr="00532843">
              <w:rPr>
                <w:sz w:val="22"/>
                <w:szCs w:val="22"/>
              </w:rPr>
              <w:t>Metformin</w:t>
            </w:r>
          </w:p>
        </w:tc>
        <w:tc>
          <w:tcPr>
            <w:tcW w:w="900" w:type="dxa"/>
            <w:tcBorders>
              <w:top w:val="nil"/>
              <w:left w:val="nil"/>
              <w:bottom w:val="single" w:sz="2" w:space="0" w:color="auto"/>
              <w:right w:val="nil"/>
            </w:tcBorders>
          </w:tcPr>
          <w:p w:rsidR="00624767" w:rsidRPr="00532843" w:rsidRDefault="00624767" w:rsidP="00624767">
            <w:pPr>
              <w:jc w:val="center"/>
              <w:rPr>
                <w:rFonts w:ascii="Arial" w:hAnsi="Arial" w:cs="Arial"/>
                <w:sz w:val="20"/>
                <w:szCs w:val="20"/>
              </w:rPr>
            </w:pPr>
            <w:r w:rsidRPr="00532843">
              <w:rPr>
                <w:rFonts w:ascii="Arial" w:hAnsi="Arial" w:cs="Arial"/>
                <w:sz w:val="20"/>
                <w:szCs w:val="20"/>
              </w:rPr>
              <w:t>0.81</w:t>
            </w:r>
          </w:p>
        </w:tc>
        <w:tc>
          <w:tcPr>
            <w:tcW w:w="900" w:type="dxa"/>
            <w:tcBorders>
              <w:top w:val="nil"/>
              <w:left w:val="nil"/>
              <w:bottom w:val="single" w:sz="2" w:space="0" w:color="auto"/>
              <w:right w:val="nil"/>
            </w:tcBorders>
          </w:tcPr>
          <w:p w:rsidR="00624767" w:rsidRPr="00532843" w:rsidRDefault="00624767" w:rsidP="00624767">
            <w:pPr>
              <w:jc w:val="center"/>
              <w:rPr>
                <w:rFonts w:ascii="Arial" w:hAnsi="Arial" w:cs="Arial"/>
                <w:sz w:val="20"/>
                <w:szCs w:val="20"/>
              </w:rPr>
            </w:pPr>
            <w:r>
              <w:rPr>
                <w:rFonts w:ascii="Arial" w:hAnsi="Arial" w:cs="Arial"/>
                <w:sz w:val="20"/>
                <w:szCs w:val="20"/>
              </w:rPr>
              <w:t>1.23</w:t>
            </w:r>
          </w:p>
        </w:tc>
        <w:tc>
          <w:tcPr>
            <w:tcW w:w="900" w:type="dxa"/>
            <w:tcBorders>
              <w:top w:val="nil"/>
              <w:left w:val="nil"/>
              <w:bottom w:val="single" w:sz="2" w:space="0" w:color="auto"/>
              <w:right w:val="nil"/>
            </w:tcBorders>
          </w:tcPr>
          <w:p w:rsidR="00624767" w:rsidRPr="00532843" w:rsidRDefault="00624767" w:rsidP="00624767">
            <w:pPr>
              <w:jc w:val="center"/>
              <w:rPr>
                <w:rFonts w:ascii="Arial" w:hAnsi="Arial" w:cs="Arial"/>
                <w:sz w:val="20"/>
                <w:szCs w:val="20"/>
              </w:rPr>
            </w:pPr>
            <w:r w:rsidRPr="00532843">
              <w:rPr>
                <w:rFonts w:ascii="Arial" w:hAnsi="Arial" w:cs="Arial"/>
                <w:sz w:val="20"/>
                <w:szCs w:val="20"/>
              </w:rPr>
              <w:t>0.57</w:t>
            </w:r>
          </w:p>
        </w:tc>
        <w:tc>
          <w:tcPr>
            <w:tcW w:w="900" w:type="dxa"/>
            <w:tcBorders>
              <w:top w:val="nil"/>
              <w:left w:val="nil"/>
              <w:bottom w:val="single" w:sz="2" w:space="0" w:color="auto"/>
              <w:right w:val="nil"/>
            </w:tcBorders>
          </w:tcPr>
          <w:p w:rsidR="00624767" w:rsidRPr="00532843" w:rsidRDefault="00624767" w:rsidP="00624767">
            <w:pPr>
              <w:jc w:val="center"/>
              <w:rPr>
                <w:rFonts w:ascii="Arial" w:hAnsi="Arial" w:cs="Arial"/>
                <w:sz w:val="20"/>
                <w:szCs w:val="20"/>
              </w:rPr>
            </w:pPr>
            <w:r>
              <w:rPr>
                <w:rFonts w:ascii="Arial" w:hAnsi="Arial" w:cs="Arial"/>
                <w:sz w:val="20"/>
                <w:szCs w:val="20"/>
              </w:rPr>
              <w:t>1.94</w:t>
            </w:r>
          </w:p>
        </w:tc>
        <w:tc>
          <w:tcPr>
            <w:tcW w:w="1080" w:type="dxa"/>
            <w:tcBorders>
              <w:top w:val="nil"/>
              <w:left w:val="nil"/>
              <w:bottom w:val="single" w:sz="2" w:space="0" w:color="auto"/>
              <w:right w:val="nil"/>
            </w:tcBorders>
          </w:tcPr>
          <w:p w:rsidR="00624767" w:rsidRPr="00532843" w:rsidRDefault="00624767" w:rsidP="00624767">
            <w:pPr>
              <w:jc w:val="center"/>
              <w:rPr>
                <w:rFonts w:ascii="Arial" w:hAnsi="Arial" w:cs="Arial"/>
                <w:sz w:val="20"/>
                <w:szCs w:val="20"/>
              </w:rPr>
            </w:pPr>
            <w:r>
              <w:rPr>
                <w:rFonts w:ascii="Arial" w:hAnsi="Arial" w:cs="Arial"/>
                <w:sz w:val="20"/>
                <w:szCs w:val="20"/>
              </w:rPr>
              <w:t>3.17</w:t>
            </w:r>
          </w:p>
        </w:tc>
        <w:tc>
          <w:tcPr>
            <w:tcW w:w="1440" w:type="dxa"/>
            <w:vMerge/>
            <w:tcBorders>
              <w:top w:val="nil"/>
              <w:left w:val="nil"/>
              <w:bottom w:val="single" w:sz="2" w:space="0" w:color="auto"/>
              <w:right w:val="nil"/>
            </w:tcBorders>
            <w:vAlign w:val="center"/>
          </w:tcPr>
          <w:p w:rsidR="00624767" w:rsidRPr="00532843" w:rsidRDefault="00624767" w:rsidP="00624767">
            <w:pPr>
              <w:spacing w:line="360" w:lineRule="auto"/>
              <w:jc w:val="center"/>
              <w:rPr>
                <w:sz w:val="22"/>
                <w:szCs w:val="22"/>
              </w:rPr>
            </w:pPr>
          </w:p>
        </w:tc>
        <w:tc>
          <w:tcPr>
            <w:tcW w:w="1800" w:type="dxa"/>
            <w:vMerge/>
            <w:tcBorders>
              <w:left w:val="nil"/>
              <w:bottom w:val="single" w:sz="2" w:space="0" w:color="auto"/>
              <w:right w:val="nil"/>
            </w:tcBorders>
            <w:vAlign w:val="center"/>
          </w:tcPr>
          <w:p w:rsidR="00624767" w:rsidRPr="00532843" w:rsidRDefault="00624767" w:rsidP="00624767">
            <w:pPr>
              <w:spacing w:line="360" w:lineRule="auto"/>
              <w:jc w:val="center"/>
              <w:rPr>
                <w:sz w:val="22"/>
                <w:szCs w:val="22"/>
              </w:rPr>
            </w:pPr>
          </w:p>
        </w:tc>
      </w:tr>
      <w:tr w:rsidR="00624767" w:rsidRPr="00532843">
        <w:trPr>
          <w:trHeight w:val="277"/>
        </w:trPr>
        <w:tc>
          <w:tcPr>
            <w:tcW w:w="4039" w:type="dxa"/>
            <w:vMerge w:val="restart"/>
            <w:tcBorders>
              <w:top w:val="single" w:sz="2" w:space="0" w:color="auto"/>
              <w:left w:val="nil"/>
              <w:bottom w:val="single" w:sz="2" w:space="0" w:color="auto"/>
              <w:right w:val="nil"/>
            </w:tcBorders>
            <w:vAlign w:val="center"/>
          </w:tcPr>
          <w:p w:rsidR="00624767" w:rsidRPr="00532843" w:rsidRDefault="00624767" w:rsidP="00624767">
            <w:pPr>
              <w:spacing w:line="360" w:lineRule="auto"/>
              <w:rPr>
                <w:b/>
                <w:sz w:val="22"/>
                <w:szCs w:val="22"/>
              </w:rPr>
            </w:pPr>
            <w:r w:rsidRPr="00532843">
              <w:rPr>
                <w:b/>
                <w:sz w:val="22"/>
                <w:szCs w:val="22"/>
              </w:rPr>
              <w:t>H</w:t>
            </w:r>
            <w:r w:rsidRPr="00532843">
              <w:rPr>
                <w:b/>
                <w:sz w:val="22"/>
                <w:szCs w:val="22"/>
                <w:vertAlign w:val="subscript"/>
              </w:rPr>
              <w:t>1</w:t>
            </w:r>
            <w:r w:rsidRPr="00532843">
              <w:rPr>
                <w:b/>
                <w:sz w:val="22"/>
                <w:szCs w:val="22"/>
              </w:rPr>
              <w:t xml:space="preserve"> increased 0.03; H</w:t>
            </w:r>
            <w:r w:rsidRPr="00532843">
              <w:rPr>
                <w:b/>
                <w:sz w:val="22"/>
                <w:szCs w:val="22"/>
                <w:vertAlign w:val="subscript"/>
              </w:rPr>
              <w:t>2</w:t>
            </w:r>
            <w:r w:rsidRPr="00532843">
              <w:rPr>
                <w:b/>
                <w:sz w:val="22"/>
                <w:szCs w:val="22"/>
              </w:rPr>
              <w:t xml:space="preserve"> base</w:t>
            </w:r>
          </w:p>
        </w:tc>
        <w:tc>
          <w:tcPr>
            <w:tcW w:w="1649" w:type="dxa"/>
            <w:tcBorders>
              <w:top w:val="single" w:sz="2" w:space="0" w:color="auto"/>
              <w:left w:val="nil"/>
              <w:bottom w:val="nil"/>
              <w:right w:val="nil"/>
            </w:tcBorders>
          </w:tcPr>
          <w:p w:rsidR="00624767" w:rsidRPr="00532843" w:rsidRDefault="00624767" w:rsidP="00624767">
            <w:pPr>
              <w:spacing w:line="360" w:lineRule="auto"/>
              <w:jc w:val="center"/>
              <w:rPr>
                <w:sz w:val="22"/>
                <w:szCs w:val="22"/>
              </w:rPr>
            </w:pPr>
            <w:r w:rsidRPr="00532843">
              <w:rPr>
                <w:sz w:val="22"/>
                <w:szCs w:val="22"/>
              </w:rPr>
              <w:t>Sulfonylurea</w:t>
            </w:r>
          </w:p>
        </w:tc>
        <w:tc>
          <w:tcPr>
            <w:tcW w:w="900" w:type="dxa"/>
            <w:tcBorders>
              <w:top w:val="single" w:sz="2" w:space="0" w:color="auto"/>
              <w:left w:val="nil"/>
              <w:bottom w:val="nil"/>
              <w:right w:val="nil"/>
            </w:tcBorders>
          </w:tcPr>
          <w:p w:rsidR="00624767" w:rsidRPr="00532843" w:rsidRDefault="00624767" w:rsidP="00624767">
            <w:pPr>
              <w:jc w:val="center"/>
              <w:rPr>
                <w:rFonts w:ascii="Arial" w:hAnsi="Arial" w:cs="Arial"/>
                <w:sz w:val="20"/>
                <w:szCs w:val="20"/>
              </w:rPr>
            </w:pPr>
            <w:r w:rsidRPr="00532843">
              <w:rPr>
                <w:rFonts w:ascii="Arial" w:hAnsi="Arial" w:cs="Arial"/>
                <w:sz w:val="20"/>
                <w:szCs w:val="20"/>
              </w:rPr>
              <w:t>0.84</w:t>
            </w:r>
          </w:p>
        </w:tc>
        <w:tc>
          <w:tcPr>
            <w:tcW w:w="900" w:type="dxa"/>
            <w:tcBorders>
              <w:top w:val="single" w:sz="2" w:space="0" w:color="auto"/>
              <w:left w:val="nil"/>
              <w:bottom w:val="nil"/>
              <w:right w:val="nil"/>
            </w:tcBorders>
          </w:tcPr>
          <w:p w:rsidR="00624767" w:rsidRPr="00532843" w:rsidRDefault="00624767" w:rsidP="00624767">
            <w:pPr>
              <w:jc w:val="center"/>
              <w:rPr>
                <w:rFonts w:ascii="Arial" w:hAnsi="Arial" w:cs="Arial"/>
                <w:sz w:val="20"/>
                <w:szCs w:val="20"/>
              </w:rPr>
            </w:pPr>
            <w:r w:rsidRPr="00532843">
              <w:rPr>
                <w:rFonts w:ascii="Arial" w:hAnsi="Arial" w:cs="Arial"/>
                <w:sz w:val="20"/>
                <w:szCs w:val="20"/>
              </w:rPr>
              <w:t>1.</w:t>
            </w:r>
            <w:r>
              <w:rPr>
                <w:rFonts w:ascii="Arial" w:hAnsi="Arial" w:cs="Arial"/>
                <w:sz w:val="20"/>
                <w:szCs w:val="20"/>
              </w:rPr>
              <w:t>02</w:t>
            </w:r>
          </w:p>
        </w:tc>
        <w:tc>
          <w:tcPr>
            <w:tcW w:w="900" w:type="dxa"/>
            <w:tcBorders>
              <w:top w:val="single" w:sz="2" w:space="0" w:color="auto"/>
              <w:left w:val="nil"/>
              <w:bottom w:val="nil"/>
              <w:right w:val="nil"/>
            </w:tcBorders>
          </w:tcPr>
          <w:p w:rsidR="00624767" w:rsidRPr="00532843" w:rsidRDefault="00624767" w:rsidP="00624767">
            <w:pPr>
              <w:jc w:val="center"/>
              <w:rPr>
                <w:rFonts w:ascii="Arial" w:hAnsi="Arial" w:cs="Arial"/>
                <w:sz w:val="20"/>
                <w:szCs w:val="20"/>
              </w:rPr>
            </w:pPr>
            <w:r w:rsidRPr="00532843">
              <w:rPr>
                <w:rFonts w:ascii="Arial" w:hAnsi="Arial" w:cs="Arial"/>
                <w:sz w:val="20"/>
                <w:szCs w:val="20"/>
              </w:rPr>
              <w:t>0.57</w:t>
            </w:r>
          </w:p>
        </w:tc>
        <w:tc>
          <w:tcPr>
            <w:tcW w:w="900" w:type="dxa"/>
            <w:tcBorders>
              <w:top w:val="single" w:sz="2" w:space="0" w:color="auto"/>
              <w:left w:val="nil"/>
              <w:bottom w:val="nil"/>
              <w:right w:val="nil"/>
            </w:tcBorders>
          </w:tcPr>
          <w:p w:rsidR="00624767" w:rsidRPr="00532843" w:rsidRDefault="00624767" w:rsidP="00624767">
            <w:pPr>
              <w:jc w:val="center"/>
              <w:rPr>
                <w:rFonts w:ascii="Arial" w:hAnsi="Arial" w:cs="Arial"/>
                <w:sz w:val="20"/>
                <w:szCs w:val="20"/>
              </w:rPr>
            </w:pPr>
            <w:r>
              <w:rPr>
                <w:rFonts w:ascii="Arial" w:hAnsi="Arial" w:cs="Arial"/>
                <w:sz w:val="20"/>
                <w:szCs w:val="20"/>
              </w:rPr>
              <w:t>1.65</w:t>
            </w:r>
          </w:p>
        </w:tc>
        <w:tc>
          <w:tcPr>
            <w:tcW w:w="1080" w:type="dxa"/>
            <w:tcBorders>
              <w:top w:val="single" w:sz="2" w:space="0" w:color="auto"/>
              <w:left w:val="nil"/>
              <w:bottom w:val="nil"/>
              <w:right w:val="nil"/>
            </w:tcBorders>
          </w:tcPr>
          <w:p w:rsidR="00624767" w:rsidRPr="00532843" w:rsidRDefault="00624767" w:rsidP="00624767">
            <w:pPr>
              <w:jc w:val="center"/>
              <w:rPr>
                <w:rFonts w:ascii="Arial" w:hAnsi="Arial" w:cs="Arial"/>
                <w:sz w:val="20"/>
                <w:szCs w:val="20"/>
              </w:rPr>
            </w:pPr>
            <w:r>
              <w:rPr>
                <w:rFonts w:ascii="Arial" w:hAnsi="Arial" w:cs="Arial"/>
                <w:sz w:val="20"/>
                <w:szCs w:val="20"/>
              </w:rPr>
              <w:t>2.66</w:t>
            </w:r>
          </w:p>
        </w:tc>
        <w:tc>
          <w:tcPr>
            <w:tcW w:w="1440" w:type="dxa"/>
            <w:vMerge w:val="restart"/>
            <w:tcBorders>
              <w:top w:val="single" w:sz="2" w:space="0" w:color="auto"/>
              <w:left w:val="nil"/>
              <w:bottom w:val="single" w:sz="2" w:space="0" w:color="auto"/>
              <w:right w:val="nil"/>
            </w:tcBorders>
            <w:vAlign w:val="center"/>
          </w:tcPr>
          <w:p w:rsidR="00624767" w:rsidRPr="00532843" w:rsidRDefault="00624767" w:rsidP="00624767">
            <w:pPr>
              <w:spacing w:line="360" w:lineRule="auto"/>
              <w:jc w:val="center"/>
              <w:rPr>
                <w:rFonts w:ascii="Arial" w:hAnsi="Arial" w:cs="Arial"/>
                <w:sz w:val="20"/>
                <w:szCs w:val="20"/>
              </w:rPr>
            </w:pPr>
            <w:r w:rsidRPr="00532843">
              <w:rPr>
                <w:rFonts w:ascii="Arial" w:hAnsi="Arial" w:cs="Arial"/>
                <w:sz w:val="20"/>
                <w:szCs w:val="20"/>
              </w:rPr>
              <w:t>0.5</w:t>
            </w:r>
            <w:r>
              <w:rPr>
                <w:rFonts w:ascii="Arial" w:hAnsi="Arial" w:cs="Arial"/>
                <w:sz w:val="20"/>
                <w:szCs w:val="20"/>
              </w:rPr>
              <w:t>5</w:t>
            </w:r>
          </w:p>
        </w:tc>
        <w:tc>
          <w:tcPr>
            <w:tcW w:w="1800" w:type="dxa"/>
            <w:vMerge w:val="restart"/>
            <w:tcBorders>
              <w:top w:val="single" w:sz="2" w:space="0" w:color="auto"/>
              <w:left w:val="nil"/>
              <w:right w:val="nil"/>
            </w:tcBorders>
            <w:vAlign w:val="center"/>
          </w:tcPr>
          <w:p w:rsidR="00624767" w:rsidRPr="00532843" w:rsidRDefault="00624767" w:rsidP="00624767">
            <w:pPr>
              <w:jc w:val="center"/>
              <w:rPr>
                <w:rFonts w:ascii="Arial" w:hAnsi="Arial" w:cs="Arial"/>
                <w:sz w:val="20"/>
                <w:szCs w:val="20"/>
              </w:rPr>
            </w:pPr>
            <w:r>
              <w:rPr>
                <w:rFonts w:ascii="Arial" w:hAnsi="Arial" w:cs="Arial"/>
                <w:sz w:val="20"/>
                <w:szCs w:val="20"/>
              </w:rPr>
              <w:t>33</w:t>
            </w:r>
          </w:p>
          <w:p w:rsidR="00624767" w:rsidRPr="00532843" w:rsidRDefault="00624767" w:rsidP="00624767">
            <w:pPr>
              <w:jc w:val="center"/>
              <w:rPr>
                <w:rFonts w:ascii="Arial" w:hAnsi="Arial" w:cs="Arial"/>
                <w:sz w:val="20"/>
                <w:szCs w:val="20"/>
              </w:rPr>
            </w:pPr>
          </w:p>
        </w:tc>
      </w:tr>
      <w:tr w:rsidR="00624767" w:rsidRPr="00532843">
        <w:trPr>
          <w:trHeight w:val="276"/>
        </w:trPr>
        <w:tc>
          <w:tcPr>
            <w:tcW w:w="4039" w:type="dxa"/>
            <w:vMerge/>
            <w:tcBorders>
              <w:top w:val="nil"/>
              <w:left w:val="nil"/>
              <w:bottom w:val="single" w:sz="2" w:space="0" w:color="auto"/>
              <w:right w:val="nil"/>
            </w:tcBorders>
            <w:vAlign w:val="center"/>
          </w:tcPr>
          <w:p w:rsidR="00624767" w:rsidRPr="00532843" w:rsidRDefault="00624767" w:rsidP="00624767">
            <w:pPr>
              <w:spacing w:line="360" w:lineRule="auto"/>
              <w:rPr>
                <w:b/>
                <w:sz w:val="22"/>
                <w:szCs w:val="22"/>
              </w:rPr>
            </w:pPr>
          </w:p>
        </w:tc>
        <w:tc>
          <w:tcPr>
            <w:tcW w:w="1649" w:type="dxa"/>
            <w:tcBorders>
              <w:top w:val="nil"/>
              <w:left w:val="nil"/>
              <w:bottom w:val="single" w:sz="2" w:space="0" w:color="auto"/>
              <w:right w:val="nil"/>
            </w:tcBorders>
          </w:tcPr>
          <w:p w:rsidR="00624767" w:rsidRPr="00532843" w:rsidRDefault="00624767" w:rsidP="00624767">
            <w:pPr>
              <w:spacing w:line="360" w:lineRule="auto"/>
              <w:jc w:val="center"/>
              <w:rPr>
                <w:sz w:val="22"/>
                <w:szCs w:val="22"/>
              </w:rPr>
            </w:pPr>
            <w:r w:rsidRPr="00532843">
              <w:rPr>
                <w:sz w:val="22"/>
                <w:szCs w:val="22"/>
              </w:rPr>
              <w:t>Metformin</w:t>
            </w:r>
          </w:p>
        </w:tc>
        <w:tc>
          <w:tcPr>
            <w:tcW w:w="900" w:type="dxa"/>
            <w:tcBorders>
              <w:top w:val="nil"/>
              <w:left w:val="nil"/>
              <w:bottom w:val="single" w:sz="2" w:space="0" w:color="auto"/>
              <w:right w:val="nil"/>
            </w:tcBorders>
          </w:tcPr>
          <w:p w:rsidR="00624767" w:rsidRPr="00532843" w:rsidRDefault="00624767" w:rsidP="00624767">
            <w:pPr>
              <w:jc w:val="center"/>
              <w:rPr>
                <w:rFonts w:ascii="Arial" w:hAnsi="Arial" w:cs="Arial"/>
                <w:sz w:val="20"/>
                <w:szCs w:val="20"/>
              </w:rPr>
            </w:pPr>
            <w:r w:rsidRPr="00532843">
              <w:rPr>
                <w:rFonts w:ascii="Arial" w:hAnsi="Arial" w:cs="Arial"/>
                <w:sz w:val="20"/>
                <w:szCs w:val="20"/>
              </w:rPr>
              <w:t>0.84</w:t>
            </w:r>
          </w:p>
        </w:tc>
        <w:tc>
          <w:tcPr>
            <w:tcW w:w="900" w:type="dxa"/>
            <w:tcBorders>
              <w:top w:val="nil"/>
              <w:left w:val="nil"/>
              <w:bottom w:val="single" w:sz="2" w:space="0" w:color="auto"/>
              <w:right w:val="nil"/>
            </w:tcBorders>
          </w:tcPr>
          <w:p w:rsidR="00624767" w:rsidRPr="00532843" w:rsidRDefault="00624767" w:rsidP="00624767">
            <w:pPr>
              <w:jc w:val="center"/>
              <w:rPr>
                <w:rFonts w:ascii="Arial" w:hAnsi="Arial" w:cs="Arial"/>
                <w:sz w:val="20"/>
                <w:szCs w:val="20"/>
              </w:rPr>
            </w:pPr>
            <w:r w:rsidRPr="00532843">
              <w:rPr>
                <w:rFonts w:ascii="Arial" w:hAnsi="Arial" w:cs="Arial"/>
                <w:sz w:val="20"/>
                <w:szCs w:val="20"/>
              </w:rPr>
              <w:t>1.</w:t>
            </w:r>
            <w:r>
              <w:rPr>
                <w:rFonts w:ascii="Arial" w:hAnsi="Arial" w:cs="Arial"/>
                <w:sz w:val="20"/>
                <w:szCs w:val="20"/>
              </w:rPr>
              <w:t>28</w:t>
            </w:r>
          </w:p>
        </w:tc>
        <w:tc>
          <w:tcPr>
            <w:tcW w:w="900" w:type="dxa"/>
            <w:tcBorders>
              <w:top w:val="nil"/>
              <w:left w:val="nil"/>
              <w:bottom w:val="single" w:sz="2" w:space="0" w:color="auto"/>
              <w:right w:val="nil"/>
            </w:tcBorders>
          </w:tcPr>
          <w:p w:rsidR="00624767" w:rsidRPr="00532843" w:rsidRDefault="00624767" w:rsidP="00624767">
            <w:pPr>
              <w:jc w:val="center"/>
              <w:rPr>
                <w:rFonts w:ascii="Arial" w:hAnsi="Arial" w:cs="Arial"/>
                <w:sz w:val="20"/>
                <w:szCs w:val="20"/>
              </w:rPr>
            </w:pPr>
            <w:r w:rsidRPr="00532843">
              <w:rPr>
                <w:rFonts w:ascii="Arial" w:hAnsi="Arial" w:cs="Arial"/>
                <w:sz w:val="20"/>
                <w:szCs w:val="20"/>
              </w:rPr>
              <w:t>0.57</w:t>
            </w:r>
          </w:p>
        </w:tc>
        <w:tc>
          <w:tcPr>
            <w:tcW w:w="900" w:type="dxa"/>
            <w:tcBorders>
              <w:top w:val="nil"/>
              <w:left w:val="nil"/>
              <w:bottom w:val="single" w:sz="2" w:space="0" w:color="auto"/>
              <w:right w:val="nil"/>
            </w:tcBorders>
          </w:tcPr>
          <w:p w:rsidR="00624767" w:rsidRPr="00532843" w:rsidRDefault="00624767" w:rsidP="00624767">
            <w:pPr>
              <w:jc w:val="center"/>
              <w:rPr>
                <w:rFonts w:ascii="Arial" w:hAnsi="Arial" w:cs="Arial"/>
                <w:sz w:val="20"/>
                <w:szCs w:val="20"/>
              </w:rPr>
            </w:pPr>
            <w:r>
              <w:rPr>
                <w:rFonts w:ascii="Arial" w:hAnsi="Arial" w:cs="Arial"/>
                <w:sz w:val="20"/>
                <w:szCs w:val="20"/>
              </w:rPr>
              <w:t>1.94</w:t>
            </w:r>
          </w:p>
        </w:tc>
        <w:tc>
          <w:tcPr>
            <w:tcW w:w="1080" w:type="dxa"/>
            <w:tcBorders>
              <w:top w:val="nil"/>
              <w:left w:val="nil"/>
              <w:bottom w:val="single" w:sz="2" w:space="0" w:color="auto"/>
              <w:right w:val="nil"/>
            </w:tcBorders>
          </w:tcPr>
          <w:p w:rsidR="00624767" w:rsidRPr="00532843" w:rsidRDefault="00624767" w:rsidP="00624767">
            <w:pPr>
              <w:jc w:val="center"/>
              <w:rPr>
                <w:rFonts w:ascii="Arial" w:hAnsi="Arial" w:cs="Arial"/>
                <w:sz w:val="20"/>
                <w:szCs w:val="20"/>
              </w:rPr>
            </w:pPr>
            <w:r>
              <w:rPr>
                <w:rFonts w:ascii="Arial" w:hAnsi="Arial" w:cs="Arial"/>
                <w:sz w:val="20"/>
                <w:szCs w:val="20"/>
              </w:rPr>
              <w:t>3.21</w:t>
            </w:r>
          </w:p>
        </w:tc>
        <w:tc>
          <w:tcPr>
            <w:tcW w:w="1440" w:type="dxa"/>
            <w:vMerge/>
            <w:tcBorders>
              <w:top w:val="nil"/>
              <w:left w:val="nil"/>
              <w:bottom w:val="single" w:sz="2" w:space="0" w:color="auto"/>
              <w:right w:val="nil"/>
            </w:tcBorders>
            <w:vAlign w:val="center"/>
          </w:tcPr>
          <w:p w:rsidR="00624767" w:rsidRPr="00532843" w:rsidRDefault="00624767" w:rsidP="00624767">
            <w:pPr>
              <w:spacing w:line="360" w:lineRule="auto"/>
              <w:jc w:val="center"/>
              <w:rPr>
                <w:sz w:val="22"/>
                <w:szCs w:val="22"/>
              </w:rPr>
            </w:pPr>
          </w:p>
        </w:tc>
        <w:tc>
          <w:tcPr>
            <w:tcW w:w="1800" w:type="dxa"/>
            <w:vMerge/>
            <w:tcBorders>
              <w:left w:val="nil"/>
              <w:bottom w:val="single" w:sz="2" w:space="0" w:color="auto"/>
              <w:right w:val="nil"/>
            </w:tcBorders>
            <w:vAlign w:val="center"/>
          </w:tcPr>
          <w:p w:rsidR="00624767" w:rsidRPr="00532843" w:rsidRDefault="00624767" w:rsidP="00624767">
            <w:pPr>
              <w:spacing w:line="360" w:lineRule="auto"/>
              <w:jc w:val="center"/>
              <w:rPr>
                <w:sz w:val="22"/>
                <w:szCs w:val="22"/>
              </w:rPr>
            </w:pPr>
          </w:p>
        </w:tc>
      </w:tr>
      <w:tr w:rsidR="00624767" w:rsidRPr="00532843">
        <w:trPr>
          <w:trHeight w:val="277"/>
        </w:trPr>
        <w:tc>
          <w:tcPr>
            <w:tcW w:w="4039" w:type="dxa"/>
            <w:vMerge w:val="restart"/>
            <w:tcBorders>
              <w:top w:val="nil"/>
              <w:left w:val="nil"/>
              <w:bottom w:val="single" w:sz="2" w:space="0" w:color="auto"/>
              <w:right w:val="nil"/>
            </w:tcBorders>
            <w:vAlign w:val="center"/>
          </w:tcPr>
          <w:p w:rsidR="00624767" w:rsidRPr="00532843" w:rsidRDefault="00624767" w:rsidP="00624767">
            <w:pPr>
              <w:spacing w:line="360" w:lineRule="auto"/>
              <w:rPr>
                <w:b/>
                <w:sz w:val="22"/>
                <w:szCs w:val="22"/>
              </w:rPr>
            </w:pPr>
            <w:r w:rsidRPr="00532843">
              <w:rPr>
                <w:b/>
                <w:sz w:val="22"/>
                <w:szCs w:val="22"/>
              </w:rPr>
              <w:t>H</w:t>
            </w:r>
            <w:r w:rsidRPr="00532843">
              <w:rPr>
                <w:b/>
                <w:sz w:val="22"/>
                <w:szCs w:val="22"/>
                <w:vertAlign w:val="subscript"/>
              </w:rPr>
              <w:t>1</w:t>
            </w:r>
            <w:r w:rsidRPr="00532843">
              <w:rPr>
                <w:b/>
                <w:sz w:val="22"/>
                <w:szCs w:val="22"/>
              </w:rPr>
              <w:t xml:space="preserve"> decreased 0.03; H</w:t>
            </w:r>
            <w:r w:rsidRPr="00532843">
              <w:rPr>
                <w:b/>
                <w:sz w:val="22"/>
                <w:szCs w:val="22"/>
                <w:vertAlign w:val="subscript"/>
              </w:rPr>
              <w:t>2</w:t>
            </w:r>
            <w:r w:rsidRPr="00532843">
              <w:rPr>
                <w:b/>
                <w:sz w:val="22"/>
                <w:szCs w:val="22"/>
              </w:rPr>
              <w:t xml:space="preserve"> Base</w:t>
            </w:r>
          </w:p>
        </w:tc>
        <w:tc>
          <w:tcPr>
            <w:tcW w:w="1649" w:type="dxa"/>
            <w:tcBorders>
              <w:top w:val="single" w:sz="2" w:space="0" w:color="auto"/>
              <w:left w:val="nil"/>
              <w:bottom w:val="nil"/>
              <w:right w:val="nil"/>
            </w:tcBorders>
          </w:tcPr>
          <w:p w:rsidR="00624767" w:rsidRPr="00532843" w:rsidRDefault="00624767" w:rsidP="00624767">
            <w:pPr>
              <w:spacing w:line="360" w:lineRule="auto"/>
              <w:jc w:val="center"/>
              <w:rPr>
                <w:sz w:val="22"/>
                <w:szCs w:val="22"/>
              </w:rPr>
            </w:pPr>
            <w:r w:rsidRPr="00532843">
              <w:rPr>
                <w:sz w:val="22"/>
                <w:szCs w:val="22"/>
              </w:rPr>
              <w:t>Sulfonylurea</w:t>
            </w:r>
          </w:p>
        </w:tc>
        <w:tc>
          <w:tcPr>
            <w:tcW w:w="900" w:type="dxa"/>
            <w:tcBorders>
              <w:top w:val="single" w:sz="2" w:space="0" w:color="auto"/>
              <w:left w:val="nil"/>
              <w:bottom w:val="nil"/>
              <w:right w:val="nil"/>
            </w:tcBorders>
          </w:tcPr>
          <w:p w:rsidR="00624767" w:rsidRPr="00532843" w:rsidRDefault="00624767" w:rsidP="00624767">
            <w:pPr>
              <w:jc w:val="center"/>
              <w:rPr>
                <w:rFonts w:ascii="Arial" w:hAnsi="Arial" w:cs="Arial"/>
                <w:sz w:val="20"/>
                <w:szCs w:val="20"/>
              </w:rPr>
            </w:pPr>
            <w:r w:rsidRPr="00532843">
              <w:rPr>
                <w:rFonts w:ascii="Arial" w:hAnsi="Arial" w:cs="Arial"/>
                <w:sz w:val="20"/>
                <w:szCs w:val="20"/>
              </w:rPr>
              <w:t>0.78</w:t>
            </w:r>
          </w:p>
        </w:tc>
        <w:tc>
          <w:tcPr>
            <w:tcW w:w="900" w:type="dxa"/>
            <w:tcBorders>
              <w:top w:val="single" w:sz="2" w:space="0" w:color="auto"/>
              <w:left w:val="nil"/>
              <w:bottom w:val="nil"/>
              <w:right w:val="nil"/>
            </w:tcBorders>
          </w:tcPr>
          <w:p w:rsidR="00624767" w:rsidRPr="00532843" w:rsidRDefault="00624767" w:rsidP="00624767">
            <w:pPr>
              <w:jc w:val="center"/>
              <w:rPr>
                <w:rFonts w:ascii="Arial" w:hAnsi="Arial" w:cs="Arial"/>
                <w:sz w:val="20"/>
                <w:szCs w:val="20"/>
              </w:rPr>
            </w:pPr>
            <w:r>
              <w:rPr>
                <w:rFonts w:ascii="Arial" w:hAnsi="Arial" w:cs="Arial"/>
                <w:sz w:val="20"/>
                <w:szCs w:val="20"/>
              </w:rPr>
              <w:t>0.94</w:t>
            </w:r>
          </w:p>
        </w:tc>
        <w:tc>
          <w:tcPr>
            <w:tcW w:w="900" w:type="dxa"/>
            <w:tcBorders>
              <w:top w:val="single" w:sz="2" w:space="0" w:color="auto"/>
              <w:left w:val="nil"/>
              <w:bottom w:val="nil"/>
              <w:right w:val="nil"/>
            </w:tcBorders>
          </w:tcPr>
          <w:p w:rsidR="00624767" w:rsidRPr="00532843" w:rsidRDefault="00624767" w:rsidP="00624767">
            <w:pPr>
              <w:jc w:val="center"/>
              <w:rPr>
                <w:rFonts w:ascii="Arial" w:hAnsi="Arial" w:cs="Arial"/>
                <w:sz w:val="20"/>
                <w:szCs w:val="20"/>
              </w:rPr>
            </w:pPr>
            <w:r w:rsidRPr="00532843">
              <w:rPr>
                <w:rFonts w:ascii="Arial" w:hAnsi="Arial" w:cs="Arial"/>
                <w:sz w:val="20"/>
                <w:szCs w:val="20"/>
              </w:rPr>
              <w:t>0.57</w:t>
            </w:r>
          </w:p>
        </w:tc>
        <w:tc>
          <w:tcPr>
            <w:tcW w:w="900" w:type="dxa"/>
            <w:tcBorders>
              <w:top w:val="single" w:sz="2" w:space="0" w:color="auto"/>
              <w:left w:val="nil"/>
              <w:bottom w:val="nil"/>
              <w:right w:val="nil"/>
            </w:tcBorders>
          </w:tcPr>
          <w:p w:rsidR="00624767" w:rsidRPr="00532843" w:rsidRDefault="00624767" w:rsidP="00624767">
            <w:pPr>
              <w:jc w:val="center"/>
              <w:rPr>
                <w:rFonts w:ascii="Arial" w:hAnsi="Arial" w:cs="Arial"/>
                <w:sz w:val="20"/>
                <w:szCs w:val="20"/>
              </w:rPr>
            </w:pPr>
            <w:r>
              <w:rPr>
                <w:rFonts w:ascii="Arial" w:hAnsi="Arial" w:cs="Arial"/>
                <w:sz w:val="20"/>
                <w:szCs w:val="20"/>
              </w:rPr>
              <w:t>1.65</w:t>
            </w:r>
          </w:p>
        </w:tc>
        <w:tc>
          <w:tcPr>
            <w:tcW w:w="1080" w:type="dxa"/>
            <w:tcBorders>
              <w:top w:val="single" w:sz="2" w:space="0" w:color="auto"/>
              <w:left w:val="nil"/>
              <w:bottom w:val="nil"/>
              <w:right w:val="nil"/>
            </w:tcBorders>
          </w:tcPr>
          <w:p w:rsidR="00624767" w:rsidRPr="00532843" w:rsidRDefault="00624767" w:rsidP="00624767">
            <w:pPr>
              <w:jc w:val="center"/>
              <w:rPr>
                <w:rFonts w:ascii="Arial" w:hAnsi="Arial" w:cs="Arial"/>
                <w:sz w:val="20"/>
                <w:szCs w:val="20"/>
              </w:rPr>
            </w:pPr>
            <w:r>
              <w:rPr>
                <w:rFonts w:ascii="Arial" w:hAnsi="Arial" w:cs="Arial"/>
                <w:sz w:val="20"/>
                <w:szCs w:val="20"/>
              </w:rPr>
              <w:t>2.59</w:t>
            </w:r>
          </w:p>
        </w:tc>
        <w:tc>
          <w:tcPr>
            <w:tcW w:w="1440" w:type="dxa"/>
            <w:vMerge w:val="restart"/>
            <w:tcBorders>
              <w:top w:val="nil"/>
              <w:left w:val="nil"/>
              <w:bottom w:val="single" w:sz="2" w:space="0" w:color="auto"/>
              <w:right w:val="nil"/>
            </w:tcBorders>
            <w:vAlign w:val="center"/>
          </w:tcPr>
          <w:p w:rsidR="00624767" w:rsidRPr="00532843" w:rsidRDefault="00624767" w:rsidP="00624767">
            <w:pPr>
              <w:spacing w:line="360" w:lineRule="auto"/>
              <w:jc w:val="center"/>
              <w:rPr>
                <w:rFonts w:ascii="Arial" w:hAnsi="Arial" w:cs="Arial"/>
                <w:sz w:val="20"/>
                <w:szCs w:val="20"/>
              </w:rPr>
            </w:pPr>
            <w:r>
              <w:rPr>
                <w:rFonts w:ascii="Arial" w:hAnsi="Arial" w:cs="Arial"/>
                <w:sz w:val="20"/>
                <w:szCs w:val="20"/>
              </w:rPr>
              <w:t>0.53</w:t>
            </w:r>
          </w:p>
        </w:tc>
        <w:tc>
          <w:tcPr>
            <w:tcW w:w="1800" w:type="dxa"/>
            <w:vMerge w:val="restart"/>
            <w:tcBorders>
              <w:top w:val="nil"/>
              <w:left w:val="nil"/>
              <w:right w:val="nil"/>
            </w:tcBorders>
            <w:vAlign w:val="center"/>
          </w:tcPr>
          <w:p w:rsidR="00624767" w:rsidRPr="00532843" w:rsidRDefault="00624767" w:rsidP="00624767">
            <w:pPr>
              <w:jc w:val="center"/>
              <w:rPr>
                <w:rFonts w:ascii="Arial" w:hAnsi="Arial" w:cs="Arial"/>
                <w:sz w:val="20"/>
                <w:szCs w:val="20"/>
              </w:rPr>
            </w:pPr>
            <w:r>
              <w:rPr>
                <w:rFonts w:ascii="Arial" w:hAnsi="Arial" w:cs="Arial"/>
                <w:sz w:val="20"/>
                <w:szCs w:val="20"/>
              </w:rPr>
              <w:t>33</w:t>
            </w:r>
          </w:p>
          <w:p w:rsidR="00624767" w:rsidRPr="00532843" w:rsidRDefault="00624767" w:rsidP="00624767">
            <w:pPr>
              <w:jc w:val="center"/>
              <w:rPr>
                <w:rFonts w:ascii="Arial" w:hAnsi="Arial" w:cs="Arial"/>
                <w:sz w:val="20"/>
                <w:szCs w:val="20"/>
              </w:rPr>
            </w:pPr>
          </w:p>
        </w:tc>
      </w:tr>
      <w:tr w:rsidR="00624767" w:rsidRPr="00532843">
        <w:trPr>
          <w:trHeight w:val="276"/>
        </w:trPr>
        <w:tc>
          <w:tcPr>
            <w:tcW w:w="4039" w:type="dxa"/>
            <w:vMerge/>
            <w:tcBorders>
              <w:top w:val="nil"/>
              <w:left w:val="nil"/>
              <w:bottom w:val="single" w:sz="2" w:space="0" w:color="auto"/>
              <w:right w:val="nil"/>
            </w:tcBorders>
            <w:vAlign w:val="center"/>
          </w:tcPr>
          <w:p w:rsidR="00624767" w:rsidRPr="00532843" w:rsidRDefault="00624767" w:rsidP="00624767">
            <w:pPr>
              <w:spacing w:line="360" w:lineRule="auto"/>
              <w:rPr>
                <w:b/>
                <w:sz w:val="22"/>
                <w:szCs w:val="22"/>
              </w:rPr>
            </w:pPr>
          </w:p>
        </w:tc>
        <w:tc>
          <w:tcPr>
            <w:tcW w:w="1649" w:type="dxa"/>
            <w:tcBorders>
              <w:top w:val="nil"/>
              <w:left w:val="nil"/>
              <w:bottom w:val="single" w:sz="2" w:space="0" w:color="auto"/>
              <w:right w:val="nil"/>
            </w:tcBorders>
          </w:tcPr>
          <w:p w:rsidR="00624767" w:rsidRPr="00532843" w:rsidRDefault="00624767" w:rsidP="00624767">
            <w:pPr>
              <w:spacing w:line="360" w:lineRule="auto"/>
              <w:jc w:val="center"/>
              <w:rPr>
                <w:sz w:val="22"/>
                <w:szCs w:val="22"/>
              </w:rPr>
            </w:pPr>
            <w:r w:rsidRPr="00532843">
              <w:rPr>
                <w:sz w:val="22"/>
                <w:szCs w:val="22"/>
              </w:rPr>
              <w:t>Metformin</w:t>
            </w:r>
          </w:p>
        </w:tc>
        <w:tc>
          <w:tcPr>
            <w:tcW w:w="900" w:type="dxa"/>
            <w:tcBorders>
              <w:top w:val="nil"/>
              <w:left w:val="nil"/>
              <w:bottom w:val="single" w:sz="2" w:space="0" w:color="auto"/>
              <w:right w:val="nil"/>
            </w:tcBorders>
          </w:tcPr>
          <w:p w:rsidR="00624767" w:rsidRPr="00532843" w:rsidRDefault="00624767" w:rsidP="00624767">
            <w:pPr>
              <w:jc w:val="center"/>
              <w:rPr>
                <w:rFonts w:ascii="Arial" w:hAnsi="Arial" w:cs="Arial"/>
                <w:sz w:val="20"/>
                <w:szCs w:val="20"/>
              </w:rPr>
            </w:pPr>
            <w:r w:rsidRPr="00532843">
              <w:rPr>
                <w:rFonts w:ascii="Arial" w:hAnsi="Arial" w:cs="Arial"/>
                <w:sz w:val="20"/>
                <w:szCs w:val="20"/>
              </w:rPr>
              <w:t>0.78</w:t>
            </w:r>
          </w:p>
        </w:tc>
        <w:tc>
          <w:tcPr>
            <w:tcW w:w="900" w:type="dxa"/>
            <w:tcBorders>
              <w:top w:val="nil"/>
              <w:left w:val="nil"/>
              <w:bottom w:val="single" w:sz="2" w:space="0" w:color="auto"/>
              <w:right w:val="nil"/>
            </w:tcBorders>
          </w:tcPr>
          <w:p w:rsidR="00624767" w:rsidRPr="00532843" w:rsidRDefault="00624767" w:rsidP="00624767">
            <w:pPr>
              <w:jc w:val="center"/>
              <w:rPr>
                <w:rFonts w:ascii="Arial" w:hAnsi="Arial" w:cs="Arial"/>
                <w:sz w:val="20"/>
                <w:szCs w:val="20"/>
              </w:rPr>
            </w:pPr>
            <w:r w:rsidRPr="00532843">
              <w:rPr>
                <w:rFonts w:ascii="Arial" w:hAnsi="Arial" w:cs="Arial"/>
                <w:sz w:val="20"/>
                <w:szCs w:val="20"/>
              </w:rPr>
              <w:t>1</w:t>
            </w:r>
            <w:r>
              <w:rPr>
                <w:rFonts w:ascii="Arial" w:hAnsi="Arial" w:cs="Arial"/>
                <w:sz w:val="20"/>
                <w:szCs w:val="20"/>
              </w:rPr>
              <w:t>.19</w:t>
            </w:r>
          </w:p>
        </w:tc>
        <w:tc>
          <w:tcPr>
            <w:tcW w:w="900" w:type="dxa"/>
            <w:tcBorders>
              <w:top w:val="nil"/>
              <w:left w:val="nil"/>
              <w:bottom w:val="single" w:sz="2" w:space="0" w:color="auto"/>
              <w:right w:val="nil"/>
            </w:tcBorders>
          </w:tcPr>
          <w:p w:rsidR="00624767" w:rsidRPr="00532843" w:rsidRDefault="00624767" w:rsidP="00624767">
            <w:pPr>
              <w:jc w:val="center"/>
              <w:rPr>
                <w:rFonts w:ascii="Arial" w:hAnsi="Arial" w:cs="Arial"/>
                <w:sz w:val="20"/>
                <w:szCs w:val="20"/>
              </w:rPr>
            </w:pPr>
            <w:r w:rsidRPr="00532843">
              <w:rPr>
                <w:rFonts w:ascii="Arial" w:hAnsi="Arial" w:cs="Arial"/>
                <w:sz w:val="20"/>
                <w:szCs w:val="20"/>
              </w:rPr>
              <w:t>0.57</w:t>
            </w:r>
          </w:p>
        </w:tc>
        <w:tc>
          <w:tcPr>
            <w:tcW w:w="900" w:type="dxa"/>
            <w:tcBorders>
              <w:top w:val="nil"/>
              <w:left w:val="nil"/>
              <w:bottom w:val="single" w:sz="2" w:space="0" w:color="auto"/>
              <w:right w:val="nil"/>
            </w:tcBorders>
          </w:tcPr>
          <w:p w:rsidR="00624767" w:rsidRPr="00532843" w:rsidRDefault="00624767" w:rsidP="00624767">
            <w:pPr>
              <w:jc w:val="center"/>
              <w:rPr>
                <w:rFonts w:ascii="Arial" w:hAnsi="Arial" w:cs="Arial"/>
                <w:sz w:val="20"/>
                <w:szCs w:val="20"/>
              </w:rPr>
            </w:pPr>
            <w:r>
              <w:rPr>
                <w:rFonts w:ascii="Arial" w:hAnsi="Arial" w:cs="Arial"/>
                <w:sz w:val="20"/>
                <w:szCs w:val="20"/>
              </w:rPr>
              <w:t>1.94</w:t>
            </w:r>
          </w:p>
        </w:tc>
        <w:tc>
          <w:tcPr>
            <w:tcW w:w="1080" w:type="dxa"/>
            <w:tcBorders>
              <w:top w:val="nil"/>
              <w:left w:val="nil"/>
              <w:bottom w:val="single" w:sz="2" w:space="0" w:color="auto"/>
              <w:right w:val="nil"/>
            </w:tcBorders>
          </w:tcPr>
          <w:p w:rsidR="00624767" w:rsidRPr="00532843" w:rsidRDefault="00624767" w:rsidP="00624767">
            <w:pPr>
              <w:jc w:val="center"/>
              <w:rPr>
                <w:rFonts w:ascii="Arial" w:hAnsi="Arial" w:cs="Arial"/>
                <w:sz w:val="20"/>
                <w:szCs w:val="20"/>
              </w:rPr>
            </w:pPr>
            <w:r>
              <w:rPr>
                <w:rFonts w:ascii="Arial" w:hAnsi="Arial" w:cs="Arial"/>
                <w:sz w:val="20"/>
                <w:szCs w:val="20"/>
              </w:rPr>
              <w:t>3.12</w:t>
            </w:r>
          </w:p>
        </w:tc>
        <w:tc>
          <w:tcPr>
            <w:tcW w:w="1440" w:type="dxa"/>
            <w:vMerge/>
            <w:tcBorders>
              <w:top w:val="nil"/>
              <w:left w:val="nil"/>
              <w:bottom w:val="single" w:sz="2" w:space="0" w:color="auto"/>
              <w:right w:val="nil"/>
            </w:tcBorders>
            <w:vAlign w:val="center"/>
          </w:tcPr>
          <w:p w:rsidR="00624767" w:rsidRPr="00532843" w:rsidRDefault="00624767" w:rsidP="00624767">
            <w:pPr>
              <w:spacing w:line="360" w:lineRule="auto"/>
              <w:jc w:val="center"/>
              <w:rPr>
                <w:sz w:val="22"/>
                <w:szCs w:val="22"/>
              </w:rPr>
            </w:pPr>
          </w:p>
        </w:tc>
        <w:tc>
          <w:tcPr>
            <w:tcW w:w="1800" w:type="dxa"/>
            <w:vMerge/>
            <w:tcBorders>
              <w:left w:val="nil"/>
              <w:bottom w:val="single" w:sz="2" w:space="0" w:color="auto"/>
              <w:right w:val="nil"/>
            </w:tcBorders>
            <w:vAlign w:val="center"/>
          </w:tcPr>
          <w:p w:rsidR="00624767" w:rsidRPr="00532843" w:rsidRDefault="00624767" w:rsidP="00624767">
            <w:pPr>
              <w:spacing w:line="360" w:lineRule="auto"/>
              <w:jc w:val="center"/>
              <w:rPr>
                <w:sz w:val="22"/>
                <w:szCs w:val="22"/>
              </w:rPr>
            </w:pPr>
          </w:p>
        </w:tc>
      </w:tr>
      <w:tr w:rsidR="00624767" w:rsidRPr="00532843">
        <w:trPr>
          <w:trHeight w:val="277"/>
        </w:trPr>
        <w:tc>
          <w:tcPr>
            <w:tcW w:w="4039" w:type="dxa"/>
            <w:vMerge w:val="restart"/>
            <w:tcBorders>
              <w:top w:val="nil"/>
              <w:left w:val="nil"/>
              <w:bottom w:val="single" w:sz="2" w:space="0" w:color="auto"/>
              <w:right w:val="nil"/>
            </w:tcBorders>
            <w:vAlign w:val="center"/>
          </w:tcPr>
          <w:p w:rsidR="00624767" w:rsidRPr="00532843" w:rsidRDefault="00624767" w:rsidP="00624767">
            <w:pPr>
              <w:spacing w:line="360" w:lineRule="auto"/>
              <w:rPr>
                <w:b/>
                <w:sz w:val="22"/>
                <w:szCs w:val="22"/>
              </w:rPr>
            </w:pPr>
            <w:r w:rsidRPr="00532843">
              <w:rPr>
                <w:b/>
                <w:sz w:val="22"/>
                <w:szCs w:val="22"/>
              </w:rPr>
              <w:t>H</w:t>
            </w:r>
            <w:r w:rsidRPr="00532843">
              <w:rPr>
                <w:b/>
                <w:sz w:val="22"/>
                <w:szCs w:val="22"/>
                <w:vertAlign w:val="subscript"/>
              </w:rPr>
              <w:t>1</w:t>
            </w:r>
            <w:r w:rsidRPr="00532843">
              <w:rPr>
                <w:b/>
                <w:sz w:val="22"/>
                <w:szCs w:val="22"/>
              </w:rPr>
              <w:t xml:space="preserve"> base; H</w:t>
            </w:r>
            <w:r w:rsidRPr="00532843">
              <w:rPr>
                <w:b/>
                <w:sz w:val="22"/>
                <w:szCs w:val="22"/>
                <w:vertAlign w:val="subscript"/>
              </w:rPr>
              <w:t>2</w:t>
            </w:r>
            <w:r w:rsidRPr="00532843">
              <w:rPr>
                <w:b/>
                <w:sz w:val="22"/>
                <w:szCs w:val="22"/>
              </w:rPr>
              <w:t xml:space="preserve"> increased 0.03</w:t>
            </w:r>
          </w:p>
        </w:tc>
        <w:tc>
          <w:tcPr>
            <w:tcW w:w="1649" w:type="dxa"/>
            <w:tcBorders>
              <w:top w:val="single" w:sz="2" w:space="0" w:color="auto"/>
              <w:left w:val="nil"/>
              <w:bottom w:val="nil"/>
              <w:right w:val="nil"/>
            </w:tcBorders>
          </w:tcPr>
          <w:p w:rsidR="00624767" w:rsidRPr="00532843" w:rsidRDefault="00624767" w:rsidP="00624767">
            <w:pPr>
              <w:spacing w:line="360" w:lineRule="auto"/>
              <w:jc w:val="center"/>
              <w:rPr>
                <w:sz w:val="22"/>
                <w:szCs w:val="22"/>
              </w:rPr>
            </w:pPr>
            <w:r w:rsidRPr="00532843">
              <w:rPr>
                <w:sz w:val="22"/>
                <w:szCs w:val="22"/>
              </w:rPr>
              <w:t>Sulfonylurea</w:t>
            </w:r>
          </w:p>
        </w:tc>
        <w:tc>
          <w:tcPr>
            <w:tcW w:w="900" w:type="dxa"/>
            <w:tcBorders>
              <w:top w:val="single" w:sz="2" w:space="0" w:color="auto"/>
              <w:left w:val="nil"/>
              <w:bottom w:val="nil"/>
              <w:right w:val="nil"/>
            </w:tcBorders>
          </w:tcPr>
          <w:p w:rsidR="00624767" w:rsidRPr="00532843" w:rsidRDefault="00624767" w:rsidP="00624767">
            <w:pPr>
              <w:jc w:val="center"/>
              <w:rPr>
                <w:rFonts w:ascii="Arial" w:hAnsi="Arial" w:cs="Arial"/>
                <w:sz w:val="20"/>
                <w:szCs w:val="20"/>
              </w:rPr>
            </w:pPr>
            <w:r w:rsidRPr="00532843">
              <w:rPr>
                <w:rFonts w:ascii="Arial" w:hAnsi="Arial" w:cs="Arial"/>
                <w:sz w:val="20"/>
                <w:szCs w:val="20"/>
              </w:rPr>
              <w:t>0.81</w:t>
            </w:r>
          </w:p>
        </w:tc>
        <w:tc>
          <w:tcPr>
            <w:tcW w:w="900" w:type="dxa"/>
            <w:tcBorders>
              <w:top w:val="single" w:sz="2" w:space="0" w:color="auto"/>
              <w:left w:val="nil"/>
              <w:bottom w:val="nil"/>
              <w:right w:val="nil"/>
            </w:tcBorders>
          </w:tcPr>
          <w:p w:rsidR="00624767" w:rsidRPr="00532843" w:rsidRDefault="00624767" w:rsidP="00624767">
            <w:pPr>
              <w:jc w:val="center"/>
              <w:rPr>
                <w:rFonts w:ascii="Arial" w:hAnsi="Arial" w:cs="Arial"/>
                <w:sz w:val="20"/>
                <w:szCs w:val="20"/>
              </w:rPr>
            </w:pPr>
            <w:r>
              <w:rPr>
                <w:rFonts w:ascii="Arial" w:hAnsi="Arial" w:cs="Arial"/>
                <w:sz w:val="20"/>
                <w:szCs w:val="20"/>
              </w:rPr>
              <w:t>0.98</w:t>
            </w:r>
          </w:p>
        </w:tc>
        <w:tc>
          <w:tcPr>
            <w:tcW w:w="900" w:type="dxa"/>
            <w:tcBorders>
              <w:top w:val="single" w:sz="2" w:space="0" w:color="auto"/>
              <w:left w:val="nil"/>
              <w:bottom w:val="nil"/>
              <w:right w:val="nil"/>
            </w:tcBorders>
          </w:tcPr>
          <w:p w:rsidR="00624767" w:rsidRPr="00532843" w:rsidRDefault="00624767" w:rsidP="00624767">
            <w:pPr>
              <w:jc w:val="center"/>
              <w:rPr>
                <w:rFonts w:ascii="Arial" w:hAnsi="Arial" w:cs="Arial"/>
                <w:sz w:val="20"/>
                <w:szCs w:val="20"/>
              </w:rPr>
            </w:pPr>
            <w:r w:rsidRPr="00532843">
              <w:rPr>
                <w:rFonts w:ascii="Arial" w:hAnsi="Arial" w:cs="Arial"/>
                <w:sz w:val="20"/>
                <w:szCs w:val="20"/>
              </w:rPr>
              <w:t>0.60</w:t>
            </w:r>
          </w:p>
        </w:tc>
        <w:tc>
          <w:tcPr>
            <w:tcW w:w="900" w:type="dxa"/>
            <w:tcBorders>
              <w:top w:val="single" w:sz="2" w:space="0" w:color="auto"/>
              <w:left w:val="nil"/>
              <w:bottom w:val="nil"/>
              <w:right w:val="nil"/>
            </w:tcBorders>
          </w:tcPr>
          <w:p w:rsidR="00624767" w:rsidRPr="00532843" w:rsidRDefault="00624767" w:rsidP="00624767">
            <w:pPr>
              <w:jc w:val="center"/>
              <w:rPr>
                <w:rFonts w:ascii="Arial" w:hAnsi="Arial" w:cs="Arial"/>
                <w:sz w:val="20"/>
                <w:szCs w:val="20"/>
              </w:rPr>
            </w:pPr>
            <w:r>
              <w:rPr>
                <w:rFonts w:ascii="Arial" w:hAnsi="Arial" w:cs="Arial"/>
                <w:sz w:val="20"/>
                <w:szCs w:val="20"/>
              </w:rPr>
              <w:t>1.73</w:t>
            </w:r>
          </w:p>
        </w:tc>
        <w:tc>
          <w:tcPr>
            <w:tcW w:w="1080" w:type="dxa"/>
            <w:tcBorders>
              <w:top w:val="single" w:sz="2" w:space="0" w:color="auto"/>
              <w:left w:val="nil"/>
              <w:bottom w:val="nil"/>
              <w:right w:val="nil"/>
            </w:tcBorders>
          </w:tcPr>
          <w:p w:rsidR="00624767" w:rsidRPr="00532843" w:rsidRDefault="00624767" w:rsidP="00624767">
            <w:pPr>
              <w:jc w:val="center"/>
              <w:rPr>
                <w:rFonts w:ascii="Arial" w:hAnsi="Arial" w:cs="Arial"/>
                <w:sz w:val="20"/>
                <w:szCs w:val="20"/>
              </w:rPr>
            </w:pPr>
            <w:r>
              <w:rPr>
                <w:rFonts w:ascii="Arial" w:hAnsi="Arial" w:cs="Arial"/>
                <w:sz w:val="20"/>
                <w:szCs w:val="20"/>
              </w:rPr>
              <w:t>2.71</w:t>
            </w:r>
          </w:p>
        </w:tc>
        <w:tc>
          <w:tcPr>
            <w:tcW w:w="1440" w:type="dxa"/>
            <w:vMerge w:val="restart"/>
            <w:tcBorders>
              <w:top w:val="nil"/>
              <w:left w:val="nil"/>
              <w:bottom w:val="single" w:sz="2" w:space="0" w:color="auto"/>
              <w:right w:val="nil"/>
            </w:tcBorders>
            <w:vAlign w:val="center"/>
          </w:tcPr>
          <w:p w:rsidR="00624767" w:rsidRPr="00532843" w:rsidRDefault="00624767" w:rsidP="00624767">
            <w:pPr>
              <w:spacing w:line="360" w:lineRule="auto"/>
              <w:jc w:val="center"/>
              <w:rPr>
                <w:rFonts w:ascii="Arial" w:hAnsi="Arial" w:cs="Arial"/>
                <w:sz w:val="20"/>
                <w:szCs w:val="20"/>
              </w:rPr>
            </w:pPr>
            <w:r>
              <w:rPr>
                <w:rFonts w:ascii="Arial" w:hAnsi="Arial" w:cs="Arial"/>
                <w:sz w:val="20"/>
                <w:szCs w:val="20"/>
              </w:rPr>
              <w:t>0.56</w:t>
            </w:r>
          </w:p>
        </w:tc>
        <w:tc>
          <w:tcPr>
            <w:tcW w:w="1800" w:type="dxa"/>
            <w:vMerge w:val="restart"/>
            <w:tcBorders>
              <w:top w:val="nil"/>
              <w:left w:val="nil"/>
              <w:right w:val="nil"/>
            </w:tcBorders>
            <w:vAlign w:val="center"/>
          </w:tcPr>
          <w:p w:rsidR="00624767" w:rsidRPr="00532843" w:rsidRDefault="00624767" w:rsidP="00624767">
            <w:pPr>
              <w:jc w:val="center"/>
              <w:rPr>
                <w:rFonts w:ascii="Arial" w:hAnsi="Arial" w:cs="Arial"/>
                <w:sz w:val="20"/>
                <w:szCs w:val="20"/>
              </w:rPr>
            </w:pPr>
            <w:r>
              <w:rPr>
                <w:rFonts w:ascii="Arial" w:hAnsi="Arial" w:cs="Arial"/>
                <w:sz w:val="20"/>
                <w:szCs w:val="20"/>
              </w:rPr>
              <w:t>32</w:t>
            </w:r>
          </w:p>
          <w:p w:rsidR="00624767" w:rsidRPr="00532843" w:rsidRDefault="00624767" w:rsidP="00624767">
            <w:pPr>
              <w:jc w:val="center"/>
              <w:rPr>
                <w:rFonts w:ascii="Arial" w:hAnsi="Arial" w:cs="Arial"/>
                <w:sz w:val="20"/>
                <w:szCs w:val="20"/>
              </w:rPr>
            </w:pPr>
          </w:p>
        </w:tc>
      </w:tr>
      <w:tr w:rsidR="00624767" w:rsidRPr="00532843">
        <w:trPr>
          <w:trHeight w:val="276"/>
        </w:trPr>
        <w:tc>
          <w:tcPr>
            <w:tcW w:w="4039" w:type="dxa"/>
            <w:vMerge/>
            <w:tcBorders>
              <w:top w:val="nil"/>
              <w:left w:val="nil"/>
              <w:bottom w:val="single" w:sz="2" w:space="0" w:color="auto"/>
              <w:right w:val="nil"/>
            </w:tcBorders>
            <w:vAlign w:val="center"/>
          </w:tcPr>
          <w:p w:rsidR="00624767" w:rsidRPr="00532843" w:rsidRDefault="00624767" w:rsidP="00624767">
            <w:pPr>
              <w:spacing w:line="360" w:lineRule="auto"/>
              <w:rPr>
                <w:b/>
                <w:sz w:val="22"/>
                <w:szCs w:val="22"/>
              </w:rPr>
            </w:pPr>
          </w:p>
        </w:tc>
        <w:tc>
          <w:tcPr>
            <w:tcW w:w="1649" w:type="dxa"/>
            <w:tcBorders>
              <w:top w:val="nil"/>
              <w:left w:val="nil"/>
              <w:bottom w:val="single" w:sz="2" w:space="0" w:color="auto"/>
              <w:right w:val="nil"/>
            </w:tcBorders>
          </w:tcPr>
          <w:p w:rsidR="00624767" w:rsidRPr="00532843" w:rsidRDefault="00624767" w:rsidP="00624767">
            <w:pPr>
              <w:spacing w:line="360" w:lineRule="auto"/>
              <w:jc w:val="center"/>
              <w:rPr>
                <w:sz w:val="22"/>
                <w:szCs w:val="22"/>
              </w:rPr>
            </w:pPr>
            <w:r w:rsidRPr="00532843">
              <w:rPr>
                <w:sz w:val="22"/>
                <w:szCs w:val="22"/>
              </w:rPr>
              <w:t>Metformin</w:t>
            </w:r>
          </w:p>
        </w:tc>
        <w:tc>
          <w:tcPr>
            <w:tcW w:w="900" w:type="dxa"/>
            <w:tcBorders>
              <w:top w:val="nil"/>
              <w:left w:val="nil"/>
              <w:bottom w:val="single" w:sz="2" w:space="0" w:color="auto"/>
              <w:right w:val="nil"/>
            </w:tcBorders>
          </w:tcPr>
          <w:p w:rsidR="00624767" w:rsidRPr="00532843" w:rsidRDefault="00624767" w:rsidP="00624767">
            <w:pPr>
              <w:jc w:val="center"/>
              <w:rPr>
                <w:rFonts w:ascii="Arial" w:hAnsi="Arial" w:cs="Arial"/>
                <w:sz w:val="20"/>
                <w:szCs w:val="20"/>
              </w:rPr>
            </w:pPr>
            <w:r w:rsidRPr="00532843">
              <w:rPr>
                <w:rFonts w:ascii="Arial" w:hAnsi="Arial" w:cs="Arial"/>
                <w:sz w:val="20"/>
                <w:szCs w:val="20"/>
              </w:rPr>
              <w:t>0.81</w:t>
            </w:r>
          </w:p>
        </w:tc>
        <w:tc>
          <w:tcPr>
            <w:tcW w:w="900" w:type="dxa"/>
            <w:tcBorders>
              <w:top w:val="nil"/>
              <w:left w:val="nil"/>
              <w:bottom w:val="single" w:sz="2" w:space="0" w:color="auto"/>
              <w:right w:val="nil"/>
            </w:tcBorders>
          </w:tcPr>
          <w:p w:rsidR="00624767" w:rsidRPr="00532843" w:rsidRDefault="00624767" w:rsidP="00624767">
            <w:pPr>
              <w:jc w:val="center"/>
              <w:rPr>
                <w:rFonts w:ascii="Arial" w:hAnsi="Arial" w:cs="Arial"/>
                <w:sz w:val="20"/>
                <w:szCs w:val="20"/>
              </w:rPr>
            </w:pPr>
            <w:r>
              <w:rPr>
                <w:rFonts w:ascii="Arial" w:hAnsi="Arial" w:cs="Arial"/>
                <w:sz w:val="20"/>
                <w:szCs w:val="20"/>
              </w:rPr>
              <w:t>1.23</w:t>
            </w:r>
          </w:p>
        </w:tc>
        <w:tc>
          <w:tcPr>
            <w:tcW w:w="900" w:type="dxa"/>
            <w:tcBorders>
              <w:top w:val="nil"/>
              <w:left w:val="nil"/>
              <w:bottom w:val="single" w:sz="2" w:space="0" w:color="auto"/>
              <w:right w:val="nil"/>
            </w:tcBorders>
          </w:tcPr>
          <w:p w:rsidR="00624767" w:rsidRPr="00532843" w:rsidRDefault="00624767" w:rsidP="00624767">
            <w:pPr>
              <w:jc w:val="center"/>
              <w:rPr>
                <w:rFonts w:ascii="Arial" w:hAnsi="Arial" w:cs="Arial"/>
                <w:sz w:val="20"/>
                <w:szCs w:val="20"/>
              </w:rPr>
            </w:pPr>
            <w:r w:rsidRPr="00532843">
              <w:rPr>
                <w:rFonts w:ascii="Arial" w:hAnsi="Arial" w:cs="Arial"/>
                <w:sz w:val="20"/>
                <w:szCs w:val="20"/>
              </w:rPr>
              <w:t>0.60</w:t>
            </w:r>
          </w:p>
        </w:tc>
        <w:tc>
          <w:tcPr>
            <w:tcW w:w="900" w:type="dxa"/>
            <w:tcBorders>
              <w:top w:val="nil"/>
              <w:left w:val="nil"/>
              <w:bottom w:val="single" w:sz="2" w:space="0" w:color="auto"/>
              <w:right w:val="nil"/>
            </w:tcBorders>
          </w:tcPr>
          <w:p w:rsidR="00624767" w:rsidRPr="00532843" w:rsidRDefault="00624767" w:rsidP="00624767">
            <w:pPr>
              <w:jc w:val="center"/>
              <w:rPr>
                <w:rFonts w:ascii="Arial" w:hAnsi="Arial" w:cs="Arial"/>
                <w:sz w:val="20"/>
                <w:szCs w:val="20"/>
              </w:rPr>
            </w:pPr>
            <w:r>
              <w:rPr>
                <w:rFonts w:ascii="Arial" w:hAnsi="Arial" w:cs="Arial"/>
                <w:sz w:val="20"/>
                <w:szCs w:val="20"/>
              </w:rPr>
              <w:t>2.04</w:t>
            </w:r>
          </w:p>
        </w:tc>
        <w:tc>
          <w:tcPr>
            <w:tcW w:w="1080" w:type="dxa"/>
            <w:tcBorders>
              <w:top w:val="nil"/>
              <w:left w:val="nil"/>
              <w:bottom w:val="single" w:sz="2" w:space="0" w:color="auto"/>
              <w:right w:val="nil"/>
            </w:tcBorders>
          </w:tcPr>
          <w:p w:rsidR="00624767" w:rsidRPr="00532843" w:rsidRDefault="00624767" w:rsidP="00624767">
            <w:pPr>
              <w:jc w:val="center"/>
              <w:rPr>
                <w:rFonts w:ascii="Arial" w:hAnsi="Arial" w:cs="Arial"/>
                <w:sz w:val="20"/>
                <w:szCs w:val="20"/>
              </w:rPr>
            </w:pPr>
            <w:r>
              <w:rPr>
                <w:rFonts w:ascii="Arial" w:hAnsi="Arial" w:cs="Arial"/>
                <w:sz w:val="20"/>
                <w:szCs w:val="20"/>
              </w:rPr>
              <w:t>3.27</w:t>
            </w:r>
          </w:p>
        </w:tc>
        <w:tc>
          <w:tcPr>
            <w:tcW w:w="1440" w:type="dxa"/>
            <w:vMerge/>
            <w:tcBorders>
              <w:top w:val="nil"/>
              <w:left w:val="nil"/>
              <w:bottom w:val="single" w:sz="2" w:space="0" w:color="auto"/>
              <w:right w:val="nil"/>
            </w:tcBorders>
            <w:vAlign w:val="center"/>
          </w:tcPr>
          <w:p w:rsidR="00624767" w:rsidRPr="00532843" w:rsidRDefault="00624767" w:rsidP="00624767">
            <w:pPr>
              <w:spacing w:line="360" w:lineRule="auto"/>
              <w:jc w:val="center"/>
              <w:rPr>
                <w:sz w:val="22"/>
                <w:szCs w:val="22"/>
              </w:rPr>
            </w:pPr>
          </w:p>
        </w:tc>
        <w:tc>
          <w:tcPr>
            <w:tcW w:w="1800" w:type="dxa"/>
            <w:vMerge/>
            <w:tcBorders>
              <w:left w:val="nil"/>
              <w:bottom w:val="single" w:sz="2" w:space="0" w:color="auto"/>
              <w:right w:val="nil"/>
            </w:tcBorders>
            <w:vAlign w:val="center"/>
          </w:tcPr>
          <w:p w:rsidR="00624767" w:rsidRPr="00532843" w:rsidRDefault="00624767" w:rsidP="00624767">
            <w:pPr>
              <w:spacing w:line="360" w:lineRule="auto"/>
              <w:jc w:val="center"/>
              <w:rPr>
                <w:sz w:val="22"/>
                <w:szCs w:val="22"/>
              </w:rPr>
            </w:pPr>
          </w:p>
        </w:tc>
      </w:tr>
      <w:tr w:rsidR="00624767" w:rsidRPr="00532843">
        <w:trPr>
          <w:trHeight w:val="277"/>
        </w:trPr>
        <w:tc>
          <w:tcPr>
            <w:tcW w:w="4039" w:type="dxa"/>
            <w:vMerge w:val="restart"/>
            <w:tcBorders>
              <w:top w:val="nil"/>
              <w:left w:val="nil"/>
              <w:bottom w:val="single" w:sz="2" w:space="0" w:color="auto"/>
              <w:right w:val="nil"/>
            </w:tcBorders>
            <w:vAlign w:val="center"/>
          </w:tcPr>
          <w:p w:rsidR="00624767" w:rsidRPr="00532843" w:rsidRDefault="00624767" w:rsidP="00624767">
            <w:pPr>
              <w:spacing w:line="360" w:lineRule="auto"/>
              <w:rPr>
                <w:b/>
                <w:sz w:val="22"/>
                <w:szCs w:val="22"/>
              </w:rPr>
            </w:pPr>
            <w:r w:rsidRPr="00532843">
              <w:rPr>
                <w:b/>
                <w:sz w:val="22"/>
                <w:szCs w:val="22"/>
              </w:rPr>
              <w:t>H</w:t>
            </w:r>
            <w:r w:rsidRPr="00532843">
              <w:rPr>
                <w:b/>
                <w:sz w:val="22"/>
                <w:szCs w:val="22"/>
                <w:vertAlign w:val="subscript"/>
              </w:rPr>
              <w:t>1</w:t>
            </w:r>
            <w:r w:rsidRPr="00532843">
              <w:rPr>
                <w:b/>
                <w:sz w:val="22"/>
                <w:szCs w:val="22"/>
              </w:rPr>
              <w:t xml:space="preserve"> base; H</w:t>
            </w:r>
            <w:r w:rsidRPr="00532843">
              <w:rPr>
                <w:b/>
                <w:sz w:val="22"/>
                <w:szCs w:val="22"/>
                <w:vertAlign w:val="subscript"/>
              </w:rPr>
              <w:t>2</w:t>
            </w:r>
            <w:r w:rsidRPr="00532843">
              <w:rPr>
                <w:b/>
                <w:sz w:val="22"/>
                <w:szCs w:val="22"/>
              </w:rPr>
              <w:t xml:space="preserve"> decreased 0.03</w:t>
            </w:r>
          </w:p>
        </w:tc>
        <w:tc>
          <w:tcPr>
            <w:tcW w:w="1649" w:type="dxa"/>
            <w:tcBorders>
              <w:top w:val="single" w:sz="2" w:space="0" w:color="auto"/>
              <w:left w:val="nil"/>
              <w:bottom w:val="nil"/>
              <w:right w:val="nil"/>
            </w:tcBorders>
          </w:tcPr>
          <w:p w:rsidR="00624767" w:rsidRPr="00532843" w:rsidRDefault="00624767" w:rsidP="00624767">
            <w:pPr>
              <w:spacing w:line="360" w:lineRule="auto"/>
              <w:jc w:val="center"/>
              <w:rPr>
                <w:sz w:val="22"/>
                <w:szCs w:val="22"/>
              </w:rPr>
            </w:pPr>
            <w:r w:rsidRPr="00532843">
              <w:rPr>
                <w:sz w:val="22"/>
                <w:szCs w:val="22"/>
              </w:rPr>
              <w:t>Sulfonylurea</w:t>
            </w:r>
          </w:p>
        </w:tc>
        <w:tc>
          <w:tcPr>
            <w:tcW w:w="900" w:type="dxa"/>
            <w:tcBorders>
              <w:top w:val="single" w:sz="2" w:space="0" w:color="auto"/>
              <w:left w:val="nil"/>
              <w:bottom w:val="nil"/>
              <w:right w:val="nil"/>
            </w:tcBorders>
          </w:tcPr>
          <w:p w:rsidR="00624767" w:rsidRPr="00532843" w:rsidRDefault="00624767" w:rsidP="00624767">
            <w:pPr>
              <w:jc w:val="center"/>
              <w:rPr>
                <w:rFonts w:ascii="Arial" w:hAnsi="Arial" w:cs="Arial"/>
                <w:sz w:val="20"/>
                <w:szCs w:val="20"/>
              </w:rPr>
            </w:pPr>
            <w:r w:rsidRPr="00532843">
              <w:rPr>
                <w:rFonts w:ascii="Arial" w:hAnsi="Arial" w:cs="Arial"/>
                <w:sz w:val="20"/>
                <w:szCs w:val="20"/>
              </w:rPr>
              <w:t>0.81</w:t>
            </w:r>
          </w:p>
        </w:tc>
        <w:tc>
          <w:tcPr>
            <w:tcW w:w="900" w:type="dxa"/>
            <w:tcBorders>
              <w:top w:val="single" w:sz="2" w:space="0" w:color="auto"/>
              <w:left w:val="nil"/>
              <w:bottom w:val="nil"/>
              <w:right w:val="nil"/>
            </w:tcBorders>
          </w:tcPr>
          <w:p w:rsidR="00624767" w:rsidRPr="00532843" w:rsidRDefault="00624767" w:rsidP="00624767">
            <w:pPr>
              <w:jc w:val="center"/>
              <w:rPr>
                <w:rFonts w:ascii="Arial" w:hAnsi="Arial" w:cs="Arial"/>
                <w:sz w:val="20"/>
                <w:szCs w:val="20"/>
              </w:rPr>
            </w:pPr>
            <w:r>
              <w:rPr>
                <w:rFonts w:ascii="Arial" w:hAnsi="Arial" w:cs="Arial"/>
                <w:sz w:val="20"/>
                <w:szCs w:val="20"/>
              </w:rPr>
              <w:t>0.98</w:t>
            </w:r>
          </w:p>
        </w:tc>
        <w:tc>
          <w:tcPr>
            <w:tcW w:w="900" w:type="dxa"/>
            <w:tcBorders>
              <w:top w:val="single" w:sz="2" w:space="0" w:color="auto"/>
              <w:left w:val="nil"/>
              <w:bottom w:val="nil"/>
              <w:right w:val="nil"/>
            </w:tcBorders>
          </w:tcPr>
          <w:p w:rsidR="00624767" w:rsidRPr="00532843" w:rsidRDefault="00624767" w:rsidP="00624767">
            <w:pPr>
              <w:jc w:val="center"/>
              <w:rPr>
                <w:rFonts w:ascii="Arial" w:hAnsi="Arial" w:cs="Arial"/>
                <w:sz w:val="20"/>
                <w:szCs w:val="20"/>
              </w:rPr>
            </w:pPr>
            <w:r w:rsidRPr="00532843">
              <w:rPr>
                <w:rFonts w:ascii="Arial" w:hAnsi="Arial" w:cs="Arial"/>
                <w:sz w:val="20"/>
                <w:szCs w:val="20"/>
              </w:rPr>
              <w:t>0.54</w:t>
            </w:r>
          </w:p>
        </w:tc>
        <w:tc>
          <w:tcPr>
            <w:tcW w:w="900" w:type="dxa"/>
            <w:tcBorders>
              <w:top w:val="single" w:sz="2" w:space="0" w:color="auto"/>
              <w:left w:val="nil"/>
              <w:bottom w:val="nil"/>
              <w:right w:val="nil"/>
            </w:tcBorders>
          </w:tcPr>
          <w:p w:rsidR="00624767" w:rsidRPr="00532843" w:rsidRDefault="00624767" w:rsidP="00624767">
            <w:pPr>
              <w:jc w:val="center"/>
              <w:rPr>
                <w:rFonts w:ascii="Arial" w:hAnsi="Arial" w:cs="Arial"/>
                <w:sz w:val="20"/>
                <w:szCs w:val="20"/>
              </w:rPr>
            </w:pPr>
            <w:r>
              <w:rPr>
                <w:rFonts w:ascii="Arial" w:hAnsi="Arial" w:cs="Arial"/>
                <w:sz w:val="20"/>
                <w:szCs w:val="20"/>
              </w:rPr>
              <w:t>1.56</w:t>
            </w:r>
          </w:p>
        </w:tc>
        <w:tc>
          <w:tcPr>
            <w:tcW w:w="1080" w:type="dxa"/>
            <w:tcBorders>
              <w:top w:val="single" w:sz="2" w:space="0" w:color="auto"/>
              <w:left w:val="nil"/>
              <w:bottom w:val="nil"/>
              <w:right w:val="nil"/>
            </w:tcBorders>
          </w:tcPr>
          <w:p w:rsidR="00624767" w:rsidRPr="00532843" w:rsidRDefault="00624767" w:rsidP="00624767">
            <w:pPr>
              <w:jc w:val="center"/>
              <w:rPr>
                <w:rFonts w:ascii="Arial" w:hAnsi="Arial" w:cs="Arial"/>
                <w:sz w:val="20"/>
                <w:szCs w:val="20"/>
              </w:rPr>
            </w:pPr>
            <w:r>
              <w:rPr>
                <w:rFonts w:ascii="Arial" w:hAnsi="Arial" w:cs="Arial"/>
                <w:sz w:val="20"/>
                <w:szCs w:val="20"/>
              </w:rPr>
              <w:t>2.54</w:t>
            </w:r>
          </w:p>
        </w:tc>
        <w:tc>
          <w:tcPr>
            <w:tcW w:w="1440" w:type="dxa"/>
            <w:vMerge w:val="restart"/>
            <w:tcBorders>
              <w:top w:val="nil"/>
              <w:left w:val="nil"/>
              <w:bottom w:val="single" w:sz="2" w:space="0" w:color="auto"/>
              <w:right w:val="nil"/>
            </w:tcBorders>
            <w:vAlign w:val="center"/>
          </w:tcPr>
          <w:p w:rsidR="00624767" w:rsidRPr="00532843" w:rsidRDefault="00624767" w:rsidP="00624767">
            <w:pPr>
              <w:spacing w:line="360" w:lineRule="auto"/>
              <w:jc w:val="center"/>
              <w:rPr>
                <w:rFonts w:ascii="Arial" w:hAnsi="Arial" w:cs="Arial"/>
                <w:sz w:val="20"/>
                <w:szCs w:val="20"/>
              </w:rPr>
            </w:pPr>
            <w:r>
              <w:rPr>
                <w:rFonts w:ascii="Arial" w:hAnsi="Arial" w:cs="Arial"/>
                <w:sz w:val="20"/>
                <w:szCs w:val="20"/>
              </w:rPr>
              <w:t>0.53</w:t>
            </w:r>
          </w:p>
        </w:tc>
        <w:tc>
          <w:tcPr>
            <w:tcW w:w="1800" w:type="dxa"/>
            <w:vMerge w:val="restart"/>
            <w:tcBorders>
              <w:top w:val="nil"/>
              <w:left w:val="nil"/>
              <w:right w:val="nil"/>
            </w:tcBorders>
            <w:vAlign w:val="center"/>
          </w:tcPr>
          <w:p w:rsidR="00624767" w:rsidRPr="00532843" w:rsidRDefault="00624767" w:rsidP="00624767">
            <w:pPr>
              <w:jc w:val="center"/>
              <w:rPr>
                <w:rFonts w:ascii="Arial" w:hAnsi="Arial" w:cs="Arial"/>
                <w:sz w:val="20"/>
                <w:szCs w:val="20"/>
              </w:rPr>
            </w:pPr>
            <w:r>
              <w:rPr>
                <w:rFonts w:ascii="Arial" w:hAnsi="Arial" w:cs="Arial"/>
                <w:sz w:val="20"/>
                <w:szCs w:val="20"/>
              </w:rPr>
              <w:t>33</w:t>
            </w:r>
          </w:p>
          <w:p w:rsidR="00624767" w:rsidRPr="00532843" w:rsidRDefault="00624767" w:rsidP="00624767">
            <w:pPr>
              <w:jc w:val="center"/>
              <w:rPr>
                <w:rFonts w:ascii="Arial" w:hAnsi="Arial" w:cs="Arial"/>
                <w:sz w:val="20"/>
                <w:szCs w:val="20"/>
              </w:rPr>
            </w:pPr>
          </w:p>
        </w:tc>
      </w:tr>
      <w:tr w:rsidR="00624767" w:rsidRPr="00532843">
        <w:trPr>
          <w:trHeight w:val="276"/>
        </w:trPr>
        <w:tc>
          <w:tcPr>
            <w:tcW w:w="4039" w:type="dxa"/>
            <w:vMerge/>
            <w:tcBorders>
              <w:top w:val="nil"/>
              <w:left w:val="nil"/>
              <w:bottom w:val="single" w:sz="2" w:space="0" w:color="auto"/>
              <w:right w:val="nil"/>
            </w:tcBorders>
            <w:vAlign w:val="center"/>
          </w:tcPr>
          <w:p w:rsidR="00624767" w:rsidRPr="00532843" w:rsidRDefault="00624767" w:rsidP="00624767">
            <w:pPr>
              <w:spacing w:line="360" w:lineRule="auto"/>
              <w:rPr>
                <w:b/>
                <w:sz w:val="22"/>
                <w:szCs w:val="22"/>
              </w:rPr>
            </w:pPr>
          </w:p>
        </w:tc>
        <w:tc>
          <w:tcPr>
            <w:tcW w:w="1649" w:type="dxa"/>
            <w:tcBorders>
              <w:top w:val="nil"/>
              <w:left w:val="nil"/>
              <w:bottom w:val="single" w:sz="2" w:space="0" w:color="auto"/>
              <w:right w:val="nil"/>
            </w:tcBorders>
          </w:tcPr>
          <w:p w:rsidR="00624767" w:rsidRPr="00532843" w:rsidRDefault="00624767" w:rsidP="00624767">
            <w:pPr>
              <w:spacing w:line="360" w:lineRule="auto"/>
              <w:jc w:val="center"/>
              <w:rPr>
                <w:sz w:val="22"/>
                <w:szCs w:val="22"/>
              </w:rPr>
            </w:pPr>
            <w:r w:rsidRPr="00532843">
              <w:rPr>
                <w:sz w:val="22"/>
                <w:szCs w:val="22"/>
              </w:rPr>
              <w:t>Metformin</w:t>
            </w:r>
          </w:p>
        </w:tc>
        <w:tc>
          <w:tcPr>
            <w:tcW w:w="900" w:type="dxa"/>
            <w:tcBorders>
              <w:top w:val="nil"/>
              <w:left w:val="nil"/>
              <w:bottom w:val="single" w:sz="2" w:space="0" w:color="auto"/>
              <w:right w:val="nil"/>
            </w:tcBorders>
          </w:tcPr>
          <w:p w:rsidR="00624767" w:rsidRPr="00532843" w:rsidRDefault="00624767" w:rsidP="00624767">
            <w:pPr>
              <w:jc w:val="center"/>
              <w:rPr>
                <w:rFonts w:ascii="Arial" w:hAnsi="Arial" w:cs="Arial"/>
                <w:sz w:val="20"/>
                <w:szCs w:val="20"/>
              </w:rPr>
            </w:pPr>
            <w:r w:rsidRPr="00532843">
              <w:rPr>
                <w:rFonts w:ascii="Arial" w:hAnsi="Arial" w:cs="Arial"/>
                <w:sz w:val="20"/>
                <w:szCs w:val="20"/>
              </w:rPr>
              <w:t>0.81</w:t>
            </w:r>
          </w:p>
        </w:tc>
        <w:tc>
          <w:tcPr>
            <w:tcW w:w="900" w:type="dxa"/>
            <w:tcBorders>
              <w:top w:val="nil"/>
              <w:left w:val="nil"/>
              <w:bottom w:val="single" w:sz="2" w:space="0" w:color="auto"/>
              <w:right w:val="nil"/>
            </w:tcBorders>
          </w:tcPr>
          <w:p w:rsidR="00624767" w:rsidRPr="00532843" w:rsidRDefault="00624767" w:rsidP="00624767">
            <w:pPr>
              <w:jc w:val="center"/>
              <w:rPr>
                <w:rFonts w:ascii="Arial" w:hAnsi="Arial" w:cs="Arial"/>
                <w:sz w:val="20"/>
                <w:szCs w:val="20"/>
              </w:rPr>
            </w:pPr>
            <w:r w:rsidRPr="00532843">
              <w:rPr>
                <w:rFonts w:ascii="Arial" w:hAnsi="Arial" w:cs="Arial"/>
                <w:sz w:val="20"/>
                <w:szCs w:val="20"/>
              </w:rPr>
              <w:t>1</w:t>
            </w:r>
            <w:r>
              <w:rPr>
                <w:rFonts w:ascii="Arial" w:hAnsi="Arial" w:cs="Arial"/>
                <w:sz w:val="20"/>
                <w:szCs w:val="20"/>
              </w:rPr>
              <w:t>.23</w:t>
            </w:r>
          </w:p>
        </w:tc>
        <w:tc>
          <w:tcPr>
            <w:tcW w:w="900" w:type="dxa"/>
            <w:tcBorders>
              <w:top w:val="nil"/>
              <w:left w:val="nil"/>
              <w:bottom w:val="single" w:sz="2" w:space="0" w:color="auto"/>
              <w:right w:val="nil"/>
            </w:tcBorders>
          </w:tcPr>
          <w:p w:rsidR="00624767" w:rsidRPr="00532843" w:rsidRDefault="00624767" w:rsidP="00624767">
            <w:pPr>
              <w:jc w:val="center"/>
              <w:rPr>
                <w:rFonts w:ascii="Arial" w:hAnsi="Arial" w:cs="Arial"/>
                <w:sz w:val="20"/>
                <w:szCs w:val="20"/>
              </w:rPr>
            </w:pPr>
            <w:r w:rsidRPr="00532843">
              <w:rPr>
                <w:rFonts w:ascii="Arial" w:hAnsi="Arial" w:cs="Arial"/>
                <w:sz w:val="20"/>
                <w:szCs w:val="20"/>
              </w:rPr>
              <w:t>0.54</w:t>
            </w:r>
          </w:p>
        </w:tc>
        <w:tc>
          <w:tcPr>
            <w:tcW w:w="900" w:type="dxa"/>
            <w:tcBorders>
              <w:top w:val="nil"/>
              <w:left w:val="nil"/>
              <w:bottom w:val="single" w:sz="2" w:space="0" w:color="auto"/>
              <w:right w:val="nil"/>
            </w:tcBorders>
          </w:tcPr>
          <w:p w:rsidR="00624767" w:rsidRPr="00532843" w:rsidRDefault="00624767" w:rsidP="00624767">
            <w:pPr>
              <w:jc w:val="center"/>
              <w:rPr>
                <w:rFonts w:ascii="Arial" w:hAnsi="Arial" w:cs="Arial"/>
                <w:sz w:val="20"/>
                <w:szCs w:val="20"/>
              </w:rPr>
            </w:pPr>
            <w:r>
              <w:rPr>
                <w:rFonts w:ascii="Arial" w:hAnsi="Arial" w:cs="Arial"/>
                <w:sz w:val="20"/>
                <w:szCs w:val="20"/>
              </w:rPr>
              <w:t>1.84</w:t>
            </w:r>
          </w:p>
        </w:tc>
        <w:tc>
          <w:tcPr>
            <w:tcW w:w="1080" w:type="dxa"/>
            <w:tcBorders>
              <w:top w:val="nil"/>
              <w:left w:val="nil"/>
              <w:bottom w:val="single" w:sz="2" w:space="0" w:color="auto"/>
              <w:right w:val="nil"/>
            </w:tcBorders>
          </w:tcPr>
          <w:p w:rsidR="00624767" w:rsidRPr="00532843" w:rsidRDefault="00624767" w:rsidP="00624767">
            <w:pPr>
              <w:jc w:val="center"/>
              <w:rPr>
                <w:rFonts w:ascii="Arial" w:hAnsi="Arial" w:cs="Arial"/>
                <w:sz w:val="20"/>
                <w:szCs w:val="20"/>
              </w:rPr>
            </w:pPr>
            <w:r>
              <w:rPr>
                <w:rFonts w:ascii="Arial" w:hAnsi="Arial" w:cs="Arial"/>
                <w:sz w:val="20"/>
                <w:szCs w:val="20"/>
              </w:rPr>
              <w:t>3.07</w:t>
            </w:r>
          </w:p>
        </w:tc>
        <w:tc>
          <w:tcPr>
            <w:tcW w:w="1440" w:type="dxa"/>
            <w:vMerge/>
            <w:tcBorders>
              <w:top w:val="nil"/>
              <w:left w:val="nil"/>
              <w:bottom w:val="single" w:sz="2" w:space="0" w:color="auto"/>
              <w:right w:val="nil"/>
            </w:tcBorders>
            <w:vAlign w:val="center"/>
          </w:tcPr>
          <w:p w:rsidR="00624767" w:rsidRPr="00532843" w:rsidRDefault="00624767" w:rsidP="00624767">
            <w:pPr>
              <w:spacing w:line="360" w:lineRule="auto"/>
              <w:jc w:val="center"/>
              <w:rPr>
                <w:sz w:val="22"/>
                <w:szCs w:val="22"/>
              </w:rPr>
            </w:pPr>
          </w:p>
        </w:tc>
        <w:tc>
          <w:tcPr>
            <w:tcW w:w="1800" w:type="dxa"/>
            <w:vMerge/>
            <w:tcBorders>
              <w:left w:val="nil"/>
              <w:bottom w:val="single" w:sz="2" w:space="0" w:color="auto"/>
              <w:right w:val="nil"/>
            </w:tcBorders>
            <w:vAlign w:val="center"/>
          </w:tcPr>
          <w:p w:rsidR="00624767" w:rsidRPr="00532843" w:rsidRDefault="00624767" w:rsidP="00624767">
            <w:pPr>
              <w:spacing w:line="360" w:lineRule="auto"/>
              <w:jc w:val="center"/>
              <w:rPr>
                <w:sz w:val="22"/>
                <w:szCs w:val="22"/>
              </w:rPr>
            </w:pPr>
          </w:p>
        </w:tc>
      </w:tr>
      <w:tr w:rsidR="00624767" w:rsidRPr="00532843">
        <w:trPr>
          <w:trHeight w:val="377"/>
        </w:trPr>
        <w:tc>
          <w:tcPr>
            <w:tcW w:w="4039" w:type="dxa"/>
            <w:vMerge w:val="restart"/>
            <w:tcBorders>
              <w:top w:val="nil"/>
              <w:left w:val="nil"/>
              <w:bottom w:val="single" w:sz="2" w:space="0" w:color="auto"/>
              <w:right w:val="nil"/>
            </w:tcBorders>
            <w:vAlign w:val="center"/>
          </w:tcPr>
          <w:p w:rsidR="00624767" w:rsidRPr="00532843" w:rsidRDefault="00624767" w:rsidP="00624767">
            <w:pPr>
              <w:spacing w:line="360" w:lineRule="auto"/>
              <w:rPr>
                <w:b/>
                <w:sz w:val="22"/>
                <w:szCs w:val="22"/>
              </w:rPr>
            </w:pPr>
            <w:r w:rsidRPr="00532843">
              <w:rPr>
                <w:b/>
                <w:sz w:val="22"/>
                <w:szCs w:val="22"/>
              </w:rPr>
              <w:t>H</w:t>
            </w:r>
            <w:r w:rsidRPr="00532843">
              <w:rPr>
                <w:b/>
                <w:sz w:val="22"/>
                <w:szCs w:val="22"/>
                <w:vertAlign w:val="subscript"/>
              </w:rPr>
              <w:t>1</w:t>
            </w:r>
            <w:r w:rsidRPr="00532843">
              <w:rPr>
                <w:b/>
                <w:sz w:val="22"/>
                <w:szCs w:val="22"/>
              </w:rPr>
              <w:t xml:space="preserve"> increased 0.03; H</w:t>
            </w:r>
            <w:r w:rsidRPr="00532843">
              <w:rPr>
                <w:b/>
                <w:sz w:val="22"/>
                <w:szCs w:val="22"/>
                <w:vertAlign w:val="subscript"/>
              </w:rPr>
              <w:t>2</w:t>
            </w:r>
            <w:r w:rsidRPr="00532843">
              <w:rPr>
                <w:b/>
                <w:sz w:val="22"/>
                <w:szCs w:val="22"/>
              </w:rPr>
              <w:t xml:space="preserve"> decreased 0.03</w:t>
            </w:r>
          </w:p>
        </w:tc>
        <w:tc>
          <w:tcPr>
            <w:tcW w:w="1649" w:type="dxa"/>
            <w:tcBorders>
              <w:top w:val="single" w:sz="2" w:space="0" w:color="auto"/>
              <w:left w:val="nil"/>
              <w:bottom w:val="nil"/>
              <w:right w:val="nil"/>
            </w:tcBorders>
          </w:tcPr>
          <w:p w:rsidR="00624767" w:rsidRPr="00532843" w:rsidRDefault="00624767" w:rsidP="00624767">
            <w:pPr>
              <w:spacing w:line="360" w:lineRule="auto"/>
              <w:jc w:val="center"/>
              <w:rPr>
                <w:sz w:val="22"/>
                <w:szCs w:val="22"/>
              </w:rPr>
            </w:pPr>
            <w:r w:rsidRPr="00532843">
              <w:rPr>
                <w:sz w:val="22"/>
                <w:szCs w:val="22"/>
              </w:rPr>
              <w:t>Sulfonylurea</w:t>
            </w:r>
          </w:p>
        </w:tc>
        <w:tc>
          <w:tcPr>
            <w:tcW w:w="900" w:type="dxa"/>
            <w:tcBorders>
              <w:top w:val="single" w:sz="2" w:space="0" w:color="auto"/>
              <w:left w:val="nil"/>
              <w:bottom w:val="nil"/>
              <w:right w:val="nil"/>
            </w:tcBorders>
          </w:tcPr>
          <w:p w:rsidR="00624767" w:rsidRPr="00532843" w:rsidRDefault="00624767" w:rsidP="00624767">
            <w:pPr>
              <w:jc w:val="center"/>
              <w:rPr>
                <w:rFonts w:ascii="Arial" w:hAnsi="Arial" w:cs="Arial"/>
                <w:sz w:val="20"/>
                <w:szCs w:val="20"/>
              </w:rPr>
            </w:pPr>
            <w:r w:rsidRPr="00532843">
              <w:rPr>
                <w:rFonts w:ascii="Arial" w:hAnsi="Arial" w:cs="Arial"/>
                <w:sz w:val="20"/>
                <w:szCs w:val="20"/>
              </w:rPr>
              <w:t>0.84</w:t>
            </w:r>
          </w:p>
        </w:tc>
        <w:tc>
          <w:tcPr>
            <w:tcW w:w="900" w:type="dxa"/>
            <w:tcBorders>
              <w:top w:val="single" w:sz="2" w:space="0" w:color="auto"/>
              <w:left w:val="nil"/>
              <w:bottom w:val="nil"/>
              <w:right w:val="nil"/>
            </w:tcBorders>
          </w:tcPr>
          <w:p w:rsidR="00624767" w:rsidRPr="00532843" w:rsidRDefault="00624767" w:rsidP="00624767">
            <w:pPr>
              <w:jc w:val="center"/>
              <w:rPr>
                <w:rFonts w:ascii="Arial" w:hAnsi="Arial" w:cs="Arial"/>
                <w:sz w:val="20"/>
                <w:szCs w:val="20"/>
              </w:rPr>
            </w:pPr>
            <w:r w:rsidRPr="00532843">
              <w:rPr>
                <w:rFonts w:ascii="Arial" w:hAnsi="Arial" w:cs="Arial"/>
                <w:sz w:val="20"/>
                <w:szCs w:val="20"/>
              </w:rPr>
              <w:t>1.</w:t>
            </w:r>
            <w:r>
              <w:rPr>
                <w:rFonts w:ascii="Arial" w:hAnsi="Arial" w:cs="Arial"/>
                <w:sz w:val="20"/>
                <w:szCs w:val="20"/>
              </w:rPr>
              <w:t>02</w:t>
            </w:r>
          </w:p>
        </w:tc>
        <w:tc>
          <w:tcPr>
            <w:tcW w:w="900" w:type="dxa"/>
            <w:tcBorders>
              <w:top w:val="single" w:sz="2" w:space="0" w:color="auto"/>
              <w:left w:val="nil"/>
              <w:bottom w:val="nil"/>
              <w:right w:val="nil"/>
            </w:tcBorders>
          </w:tcPr>
          <w:p w:rsidR="00624767" w:rsidRPr="00532843" w:rsidRDefault="00624767" w:rsidP="00624767">
            <w:pPr>
              <w:jc w:val="center"/>
              <w:rPr>
                <w:rFonts w:ascii="Arial" w:hAnsi="Arial" w:cs="Arial"/>
                <w:sz w:val="20"/>
                <w:szCs w:val="20"/>
              </w:rPr>
            </w:pPr>
            <w:r w:rsidRPr="00532843">
              <w:rPr>
                <w:rFonts w:ascii="Arial" w:hAnsi="Arial" w:cs="Arial"/>
                <w:sz w:val="20"/>
                <w:szCs w:val="20"/>
              </w:rPr>
              <w:t>0.54</w:t>
            </w:r>
          </w:p>
        </w:tc>
        <w:tc>
          <w:tcPr>
            <w:tcW w:w="900" w:type="dxa"/>
            <w:tcBorders>
              <w:top w:val="single" w:sz="2" w:space="0" w:color="auto"/>
              <w:left w:val="nil"/>
              <w:bottom w:val="nil"/>
              <w:right w:val="nil"/>
            </w:tcBorders>
          </w:tcPr>
          <w:p w:rsidR="00624767" w:rsidRPr="00532843" w:rsidRDefault="00624767" w:rsidP="00624767">
            <w:pPr>
              <w:jc w:val="center"/>
              <w:rPr>
                <w:rFonts w:ascii="Arial" w:hAnsi="Arial" w:cs="Arial"/>
                <w:sz w:val="20"/>
                <w:szCs w:val="20"/>
              </w:rPr>
            </w:pPr>
            <w:r>
              <w:rPr>
                <w:rFonts w:ascii="Arial" w:hAnsi="Arial" w:cs="Arial"/>
                <w:sz w:val="20"/>
                <w:szCs w:val="20"/>
              </w:rPr>
              <w:t>1.56</w:t>
            </w:r>
          </w:p>
        </w:tc>
        <w:tc>
          <w:tcPr>
            <w:tcW w:w="1080" w:type="dxa"/>
            <w:tcBorders>
              <w:top w:val="single" w:sz="2" w:space="0" w:color="auto"/>
              <w:left w:val="nil"/>
              <w:bottom w:val="nil"/>
              <w:right w:val="nil"/>
            </w:tcBorders>
          </w:tcPr>
          <w:p w:rsidR="00624767" w:rsidRPr="00532843" w:rsidRDefault="00624767" w:rsidP="00624767">
            <w:pPr>
              <w:jc w:val="center"/>
              <w:rPr>
                <w:rFonts w:ascii="Arial" w:hAnsi="Arial" w:cs="Arial"/>
                <w:sz w:val="20"/>
                <w:szCs w:val="20"/>
              </w:rPr>
            </w:pPr>
            <w:r>
              <w:rPr>
                <w:rFonts w:ascii="Arial" w:hAnsi="Arial" w:cs="Arial"/>
                <w:sz w:val="20"/>
                <w:szCs w:val="20"/>
              </w:rPr>
              <w:t>2.58</w:t>
            </w:r>
          </w:p>
        </w:tc>
        <w:tc>
          <w:tcPr>
            <w:tcW w:w="1440" w:type="dxa"/>
            <w:vMerge w:val="restart"/>
            <w:tcBorders>
              <w:top w:val="nil"/>
              <w:left w:val="nil"/>
              <w:bottom w:val="single" w:sz="2" w:space="0" w:color="auto"/>
              <w:right w:val="nil"/>
            </w:tcBorders>
            <w:vAlign w:val="center"/>
          </w:tcPr>
          <w:p w:rsidR="00624767" w:rsidRPr="00532843" w:rsidRDefault="00624767" w:rsidP="00624767">
            <w:pPr>
              <w:spacing w:line="360" w:lineRule="auto"/>
              <w:jc w:val="center"/>
              <w:rPr>
                <w:rFonts w:ascii="Arial" w:hAnsi="Arial" w:cs="Arial"/>
                <w:sz w:val="20"/>
                <w:szCs w:val="20"/>
              </w:rPr>
            </w:pPr>
            <w:r w:rsidRPr="00532843">
              <w:rPr>
                <w:rFonts w:ascii="Arial" w:hAnsi="Arial" w:cs="Arial"/>
                <w:sz w:val="20"/>
                <w:szCs w:val="20"/>
              </w:rPr>
              <w:t>0.5</w:t>
            </w:r>
            <w:r>
              <w:rPr>
                <w:rFonts w:ascii="Arial" w:hAnsi="Arial" w:cs="Arial"/>
                <w:sz w:val="20"/>
                <w:szCs w:val="20"/>
              </w:rPr>
              <w:t>4</w:t>
            </w:r>
          </w:p>
        </w:tc>
        <w:tc>
          <w:tcPr>
            <w:tcW w:w="1800" w:type="dxa"/>
            <w:vMerge w:val="restart"/>
            <w:tcBorders>
              <w:top w:val="nil"/>
              <w:left w:val="nil"/>
              <w:right w:val="nil"/>
            </w:tcBorders>
            <w:vAlign w:val="center"/>
          </w:tcPr>
          <w:p w:rsidR="00624767" w:rsidRPr="00532843" w:rsidRDefault="00624767" w:rsidP="00624767">
            <w:pPr>
              <w:jc w:val="center"/>
              <w:rPr>
                <w:rFonts w:ascii="Arial" w:hAnsi="Arial" w:cs="Arial"/>
                <w:sz w:val="20"/>
                <w:szCs w:val="20"/>
              </w:rPr>
            </w:pPr>
            <w:r>
              <w:rPr>
                <w:rFonts w:ascii="Arial" w:hAnsi="Arial" w:cs="Arial"/>
                <w:sz w:val="20"/>
                <w:szCs w:val="20"/>
              </w:rPr>
              <w:t>34</w:t>
            </w:r>
          </w:p>
          <w:p w:rsidR="00624767" w:rsidRPr="00532843" w:rsidRDefault="00624767" w:rsidP="00624767">
            <w:pPr>
              <w:jc w:val="center"/>
              <w:rPr>
                <w:rFonts w:ascii="Arial" w:hAnsi="Arial" w:cs="Arial"/>
                <w:sz w:val="20"/>
                <w:szCs w:val="20"/>
              </w:rPr>
            </w:pPr>
          </w:p>
        </w:tc>
      </w:tr>
      <w:tr w:rsidR="00624767" w:rsidRPr="00532843">
        <w:trPr>
          <w:trHeight w:val="376"/>
        </w:trPr>
        <w:tc>
          <w:tcPr>
            <w:tcW w:w="4039" w:type="dxa"/>
            <w:vMerge/>
            <w:tcBorders>
              <w:top w:val="nil"/>
              <w:left w:val="nil"/>
              <w:bottom w:val="single" w:sz="2" w:space="0" w:color="auto"/>
              <w:right w:val="nil"/>
            </w:tcBorders>
            <w:vAlign w:val="center"/>
          </w:tcPr>
          <w:p w:rsidR="00624767" w:rsidRPr="00532843" w:rsidRDefault="00624767" w:rsidP="00624767">
            <w:pPr>
              <w:spacing w:line="360" w:lineRule="auto"/>
              <w:rPr>
                <w:b/>
                <w:sz w:val="22"/>
                <w:szCs w:val="22"/>
              </w:rPr>
            </w:pPr>
          </w:p>
        </w:tc>
        <w:tc>
          <w:tcPr>
            <w:tcW w:w="1649" w:type="dxa"/>
            <w:tcBorders>
              <w:top w:val="nil"/>
              <w:left w:val="nil"/>
              <w:bottom w:val="single" w:sz="2" w:space="0" w:color="auto"/>
              <w:right w:val="nil"/>
            </w:tcBorders>
          </w:tcPr>
          <w:p w:rsidR="00624767" w:rsidRPr="00532843" w:rsidRDefault="00624767" w:rsidP="00624767">
            <w:pPr>
              <w:spacing w:line="360" w:lineRule="auto"/>
              <w:jc w:val="center"/>
              <w:rPr>
                <w:sz w:val="22"/>
                <w:szCs w:val="22"/>
              </w:rPr>
            </w:pPr>
            <w:r w:rsidRPr="00532843">
              <w:rPr>
                <w:sz w:val="22"/>
                <w:szCs w:val="22"/>
              </w:rPr>
              <w:t>Metformin</w:t>
            </w:r>
          </w:p>
        </w:tc>
        <w:tc>
          <w:tcPr>
            <w:tcW w:w="900" w:type="dxa"/>
            <w:tcBorders>
              <w:top w:val="nil"/>
              <w:left w:val="nil"/>
              <w:bottom w:val="single" w:sz="2" w:space="0" w:color="auto"/>
              <w:right w:val="nil"/>
            </w:tcBorders>
          </w:tcPr>
          <w:p w:rsidR="00624767" w:rsidRPr="00532843" w:rsidRDefault="00624767" w:rsidP="00624767">
            <w:pPr>
              <w:jc w:val="center"/>
              <w:rPr>
                <w:rFonts w:ascii="Arial" w:hAnsi="Arial" w:cs="Arial"/>
                <w:sz w:val="20"/>
                <w:szCs w:val="20"/>
              </w:rPr>
            </w:pPr>
            <w:r w:rsidRPr="00532843">
              <w:rPr>
                <w:rFonts w:ascii="Arial" w:hAnsi="Arial" w:cs="Arial"/>
                <w:sz w:val="20"/>
                <w:szCs w:val="20"/>
              </w:rPr>
              <w:t>0.84</w:t>
            </w:r>
          </w:p>
        </w:tc>
        <w:tc>
          <w:tcPr>
            <w:tcW w:w="900" w:type="dxa"/>
            <w:tcBorders>
              <w:top w:val="nil"/>
              <w:left w:val="nil"/>
              <w:bottom w:val="single" w:sz="2" w:space="0" w:color="auto"/>
              <w:right w:val="nil"/>
            </w:tcBorders>
          </w:tcPr>
          <w:p w:rsidR="00624767" w:rsidRPr="00532843" w:rsidRDefault="00624767" w:rsidP="00624767">
            <w:pPr>
              <w:jc w:val="center"/>
              <w:rPr>
                <w:rFonts w:ascii="Arial" w:hAnsi="Arial" w:cs="Arial"/>
                <w:sz w:val="20"/>
                <w:szCs w:val="20"/>
              </w:rPr>
            </w:pPr>
            <w:r w:rsidRPr="00532843">
              <w:rPr>
                <w:rFonts w:ascii="Arial" w:hAnsi="Arial" w:cs="Arial"/>
                <w:sz w:val="20"/>
                <w:szCs w:val="20"/>
              </w:rPr>
              <w:t>1.</w:t>
            </w:r>
            <w:r>
              <w:rPr>
                <w:rFonts w:ascii="Arial" w:hAnsi="Arial" w:cs="Arial"/>
                <w:sz w:val="20"/>
                <w:szCs w:val="20"/>
              </w:rPr>
              <w:t>28</w:t>
            </w:r>
          </w:p>
        </w:tc>
        <w:tc>
          <w:tcPr>
            <w:tcW w:w="900" w:type="dxa"/>
            <w:tcBorders>
              <w:top w:val="nil"/>
              <w:left w:val="nil"/>
              <w:bottom w:val="single" w:sz="2" w:space="0" w:color="auto"/>
              <w:right w:val="nil"/>
            </w:tcBorders>
          </w:tcPr>
          <w:p w:rsidR="00624767" w:rsidRPr="00532843" w:rsidRDefault="00624767" w:rsidP="00624767">
            <w:pPr>
              <w:jc w:val="center"/>
              <w:rPr>
                <w:rFonts w:ascii="Arial" w:hAnsi="Arial" w:cs="Arial"/>
                <w:sz w:val="20"/>
                <w:szCs w:val="20"/>
              </w:rPr>
            </w:pPr>
            <w:r w:rsidRPr="00532843">
              <w:rPr>
                <w:rFonts w:ascii="Arial" w:hAnsi="Arial" w:cs="Arial"/>
                <w:sz w:val="20"/>
                <w:szCs w:val="20"/>
              </w:rPr>
              <w:t>0.54</w:t>
            </w:r>
          </w:p>
        </w:tc>
        <w:tc>
          <w:tcPr>
            <w:tcW w:w="900" w:type="dxa"/>
            <w:tcBorders>
              <w:top w:val="nil"/>
              <w:left w:val="nil"/>
              <w:bottom w:val="single" w:sz="2" w:space="0" w:color="auto"/>
              <w:right w:val="nil"/>
            </w:tcBorders>
          </w:tcPr>
          <w:p w:rsidR="00624767" w:rsidRPr="00532843" w:rsidRDefault="00624767" w:rsidP="00624767">
            <w:pPr>
              <w:jc w:val="center"/>
              <w:rPr>
                <w:rFonts w:ascii="Arial" w:hAnsi="Arial" w:cs="Arial"/>
                <w:sz w:val="20"/>
                <w:szCs w:val="20"/>
              </w:rPr>
            </w:pPr>
            <w:r>
              <w:rPr>
                <w:rFonts w:ascii="Arial" w:hAnsi="Arial" w:cs="Arial"/>
                <w:sz w:val="20"/>
                <w:szCs w:val="20"/>
              </w:rPr>
              <w:t>1.84</w:t>
            </w:r>
          </w:p>
        </w:tc>
        <w:tc>
          <w:tcPr>
            <w:tcW w:w="1080" w:type="dxa"/>
            <w:tcBorders>
              <w:top w:val="nil"/>
              <w:left w:val="nil"/>
              <w:bottom w:val="single" w:sz="2" w:space="0" w:color="auto"/>
              <w:right w:val="nil"/>
            </w:tcBorders>
          </w:tcPr>
          <w:p w:rsidR="00624767" w:rsidRPr="00532843" w:rsidRDefault="00624767" w:rsidP="00624767">
            <w:pPr>
              <w:jc w:val="center"/>
              <w:rPr>
                <w:rFonts w:ascii="Arial" w:hAnsi="Arial" w:cs="Arial"/>
                <w:sz w:val="20"/>
                <w:szCs w:val="20"/>
              </w:rPr>
            </w:pPr>
            <w:r>
              <w:rPr>
                <w:rFonts w:ascii="Arial" w:hAnsi="Arial" w:cs="Arial"/>
                <w:sz w:val="20"/>
                <w:szCs w:val="20"/>
              </w:rPr>
              <w:t>3.11</w:t>
            </w:r>
          </w:p>
        </w:tc>
        <w:tc>
          <w:tcPr>
            <w:tcW w:w="1440" w:type="dxa"/>
            <w:vMerge/>
            <w:tcBorders>
              <w:top w:val="nil"/>
              <w:left w:val="nil"/>
              <w:bottom w:val="single" w:sz="2" w:space="0" w:color="auto"/>
              <w:right w:val="nil"/>
            </w:tcBorders>
            <w:vAlign w:val="center"/>
          </w:tcPr>
          <w:p w:rsidR="00624767" w:rsidRPr="00532843" w:rsidRDefault="00624767" w:rsidP="00624767">
            <w:pPr>
              <w:spacing w:line="360" w:lineRule="auto"/>
              <w:jc w:val="center"/>
              <w:rPr>
                <w:sz w:val="22"/>
                <w:szCs w:val="22"/>
              </w:rPr>
            </w:pPr>
          </w:p>
        </w:tc>
        <w:tc>
          <w:tcPr>
            <w:tcW w:w="1800" w:type="dxa"/>
            <w:vMerge/>
            <w:tcBorders>
              <w:left w:val="nil"/>
              <w:bottom w:val="single" w:sz="2" w:space="0" w:color="auto"/>
              <w:right w:val="nil"/>
            </w:tcBorders>
            <w:vAlign w:val="center"/>
          </w:tcPr>
          <w:p w:rsidR="00624767" w:rsidRPr="00532843" w:rsidRDefault="00624767" w:rsidP="00624767">
            <w:pPr>
              <w:spacing w:line="360" w:lineRule="auto"/>
              <w:jc w:val="center"/>
              <w:rPr>
                <w:sz w:val="22"/>
                <w:szCs w:val="22"/>
              </w:rPr>
            </w:pPr>
          </w:p>
        </w:tc>
      </w:tr>
      <w:tr w:rsidR="00624767" w:rsidRPr="00532843">
        <w:trPr>
          <w:trHeight w:val="377"/>
        </w:trPr>
        <w:tc>
          <w:tcPr>
            <w:tcW w:w="4039" w:type="dxa"/>
            <w:vMerge w:val="restart"/>
            <w:tcBorders>
              <w:top w:val="nil"/>
              <w:left w:val="nil"/>
              <w:bottom w:val="single" w:sz="2" w:space="0" w:color="auto"/>
              <w:right w:val="nil"/>
            </w:tcBorders>
            <w:vAlign w:val="center"/>
          </w:tcPr>
          <w:p w:rsidR="00624767" w:rsidRPr="00532843" w:rsidRDefault="00624767" w:rsidP="00624767">
            <w:pPr>
              <w:spacing w:line="360" w:lineRule="auto"/>
              <w:rPr>
                <w:b/>
                <w:sz w:val="22"/>
                <w:szCs w:val="22"/>
              </w:rPr>
            </w:pPr>
            <w:r w:rsidRPr="00532843">
              <w:rPr>
                <w:b/>
                <w:sz w:val="22"/>
                <w:szCs w:val="22"/>
              </w:rPr>
              <w:t>H</w:t>
            </w:r>
            <w:r w:rsidRPr="00532843">
              <w:rPr>
                <w:b/>
                <w:sz w:val="22"/>
                <w:szCs w:val="22"/>
                <w:vertAlign w:val="subscript"/>
              </w:rPr>
              <w:t>1</w:t>
            </w:r>
            <w:r w:rsidRPr="00532843">
              <w:rPr>
                <w:b/>
                <w:sz w:val="22"/>
                <w:szCs w:val="22"/>
              </w:rPr>
              <w:t xml:space="preserve"> decreased 0.03; H</w:t>
            </w:r>
            <w:r w:rsidRPr="00532843">
              <w:rPr>
                <w:b/>
                <w:sz w:val="22"/>
                <w:szCs w:val="22"/>
                <w:vertAlign w:val="subscript"/>
              </w:rPr>
              <w:t>2</w:t>
            </w:r>
            <w:r w:rsidRPr="00532843">
              <w:rPr>
                <w:b/>
                <w:sz w:val="22"/>
                <w:szCs w:val="22"/>
              </w:rPr>
              <w:t xml:space="preserve"> increased 0.03</w:t>
            </w:r>
          </w:p>
        </w:tc>
        <w:tc>
          <w:tcPr>
            <w:tcW w:w="1649" w:type="dxa"/>
            <w:tcBorders>
              <w:top w:val="single" w:sz="2" w:space="0" w:color="auto"/>
              <w:left w:val="nil"/>
              <w:bottom w:val="nil"/>
              <w:right w:val="nil"/>
            </w:tcBorders>
          </w:tcPr>
          <w:p w:rsidR="00624767" w:rsidRPr="00532843" w:rsidRDefault="00624767" w:rsidP="00624767">
            <w:pPr>
              <w:spacing w:line="360" w:lineRule="auto"/>
              <w:jc w:val="center"/>
              <w:rPr>
                <w:sz w:val="22"/>
                <w:szCs w:val="22"/>
              </w:rPr>
            </w:pPr>
            <w:r w:rsidRPr="00532843">
              <w:rPr>
                <w:sz w:val="22"/>
                <w:szCs w:val="22"/>
              </w:rPr>
              <w:t>Sulfonylurea</w:t>
            </w:r>
          </w:p>
        </w:tc>
        <w:tc>
          <w:tcPr>
            <w:tcW w:w="900" w:type="dxa"/>
            <w:tcBorders>
              <w:top w:val="single" w:sz="2" w:space="0" w:color="auto"/>
              <w:left w:val="nil"/>
              <w:bottom w:val="nil"/>
              <w:right w:val="nil"/>
            </w:tcBorders>
          </w:tcPr>
          <w:p w:rsidR="00624767" w:rsidRPr="00532843" w:rsidRDefault="00624767" w:rsidP="00624767">
            <w:pPr>
              <w:jc w:val="center"/>
              <w:rPr>
                <w:rFonts w:ascii="Arial" w:hAnsi="Arial" w:cs="Arial"/>
                <w:sz w:val="20"/>
                <w:szCs w:val="20"/>
              </w:rPr>
            </w:pPr>
            <w:r w:rsidRPr="00532843">
              <w:rPr>
                <w:rFonts w:ascii="Arial" w:hAnsi="Arial" w:cs="Arial"/>
                <w:sz w:val="20"/>
                <w:szCs w:val="20"/>
              </w:rPr>
              <w:t>0.78</w:t>
            </w:r>
          </w:p>
        </w:tc>
        <w:tc>
          <w:tcPr>
            <w:tcW w:w="900" w:type="dxa"/>
            <w:tcBorders>
              <w:top w:val="single" w:sz="2" w:space="0" w:color="auto"/>
              <w:left w:val="nil"/>
              <w:bottom w:val="nil"/>
              <w:right w:val="nil"/>
            </w:tcBorders>
          </w:tcPr>
          <w:p w:rsidR="00624767" w:rsidRPr="00532843" w:rsidRDefault="00624767" w:rsidP="00624767">
            <w:pPr>
              <w:jc w:val="center"/>
              <w:rPr>
                <w:rFonts w:ascii="Arial" w:hAnsi="Arial" w:cs="Arial"/>
                <w:sz w:val="20"/>
                <w:szCs w:val="20"/>
              </w:rPr>
            </w:pPr>
            <w:r>
              <w:rPr>
                <w:rFonts w:ascii="Arial" w:hAnsi="Arial" w:cs="Arial"/>
                <w:sz w:val="20"/>
                <w:szCs w:val="20"/>
              </w:rPr>
              <w:t>0.94</w:t>
            </w:r>
          </w:p>
        </w:tc>
        <w:tc>
          <w:tcPr>
            <w:tcW w:w="900" w:type="dxa"/>
            <w:tcBorders>
              <w:top w:val="single" w:sz="2" w:space="0" w:color="auto"/>
              <w:left w:val="nil"/>
              <w:bottom w:val="nil"/>
              <w:right w:val="nil"/>
            </w:tcBorders>
          </w:tcPr>
          <w:p w:rsidR="00624767" w:rsidRPr="00532843" w:rsidRDefault="00624767" w:rsidP="00624767">
            <w:pPr>
              <w:jc w:val="center"/>
              <w:rPr>
                <w:rFonts w:ascii="Arial" w:hAnsi="Arial" w:cs="Arial"/>
                <w:sz w:val="20"/>
                <w:szCs w:val="20"/>
              </w:rPr>
            </w:pPr>
            <w:r w:rsidRPr="00532843">
              <w:rPr>
                <w:rFonts w:ascii="Arial" w:hAnsi="Arial" w:cs="Arial"/>
                <w:sz w:val="20"/>
                <w:szCs w:val="20"/>
              </w:rPr>
              <w:t>0.60</w:t>
            </w:r>
          </w:p>
        </w:tc>
        <w:tc>
          <w:tcPr>
            <w:tcW w:w="900" w:type="dxa"/>
            <w:tcBorders>
              <w:top w:val="single" w:sz="2" w:space="0" w:color="auto"/>
              <w:left w:val="nil"/>
              <w:bottom w:val="nil"/>
              <w:right w:val="nil"/>
            </w:tcBorders>
          </w:tcPr>
          <w:p w:rsidR="00624767" w:rsidRPr="00532843" w:rsidRDefault="00624767" w:rsidP="00624767">
            <w:pPr>
              <w:jc w:val="center"/>
              <w:rPr>
                <w:rFonts w:ascii="Arial" w:hAnsi="Arial" w:cs="Arial"/>
                <w:sz w:val="20"/>
                <w:szCs w:val="20"/>
              </w:rPr>
            </w:pPr>
            <w:r>
              <w:rPr>
                <w:rFonts w:ascii="Arial" w:hAnsi="Arial" w:cs="Arial"/>
                <w:sz w:val="20"/>
                <w:szCs w:val="20"/>
              </w:rPr>
              <w:t>1.73</w:t>
            </w:r>
          </w:p>
        </w:tc>
        <w:tc>
          <w:tcPr>
            <w:tcW w:w="1080" w:type="dxa"/>
            <w:tcBorders>
              <w:top w:val="single" w:sz="2" w:space="0" w:color="auto"/>
              <w:left w:val="nil"/>
              <w:bottom w:val="nil"/>
              <w:right w:val="nil"/>
            </w:tcBorders>
          </w:tcPr>
          <w:p w:rsidR="00624767" w:rsidRPr="00532843" w:rsidRDefault="00624767" w:rsidP="00624767">
            <w:pPr>
              <w:jc w:val="center"/>
              <w:rPr>
                <w:rFonts w:ascii="Arial" w:hAnsi="Arial" w:cs="Arial"/>
                <w:sz w:val="20"/>
                <w:szCs w:val="20"/>
              </w:rPr>
            </w:pPr>
            <w:r>
              <w:rPr>
                <w:rFonts w:ascii="Arial" w:hAnsi="Arial" w:cs="Arial"/>
                <w:sz w:val="20"/>
                <w:szCs w:val="20"/>
              </w:rPr>
              <w:t>2.68</w:t>
            </w:r>
          </w:p>
        </w:tc>
        <w:tc>
          <w:tcPr>
            <w:tcW w:w="1440" w:type="dxa"/>
            <w:vMerge w:val="restart"/>
            <w:tcBorders>
              <w:top w:val="nil"/>
              <w:left w:val="nil"/>
              <w:bottom w:val="single" w:sz="2" w:space="0" w:color="auto"/>
              <w:right w:val="nil"/>
            </w:tcBorders>
            <w:vAlign w:val="center"/>
          </w:tcPr>
          <w:p w:rsidR="00624767" w:rsidRPr="00532843" w:rsidRDefault="00624767" w:rsidP="00624767">
            <w:pPr>
              <w:spacing w:line="360" w:lineRule="auto"/>
              <w:jc w:val="center"/>
              <w:rPr>
                <w:rFonts w:ascii="Arial" w:hAnsi="Arial" w:cs="Arial"/>
                <w:sz w:val="20"/>
                <w:szCs w:val="20"/>
              </w:rPr>
            </w:pPr>
            <w:r w:rsidRPr="00532843">
              <w:rPr>
                <w:rFonts w:ascii="Arial" w:hAnsi="Arial" w:cs="Arial"/>
                <w:sz w:val="20"/>
                <w:szCs w:val="20"/>
              </w:rPr>
              <w:t>0.5</w:t>
            </w:r>
            <w:r>
              <w:rPr>
                <w:rFonts w:ascii="Arial" w:hAnsi="Arial" w:cs="Arial"/>
                <w:sz w:val="20"/>
                <w:szCs w:val="20"/>
              </w:rPr>
              <w:t>5</w:t>
            </w:r>
          </w:p>
        </w:tc>
        <w:tc>
          <w:tcPr>
            <w:tcW w:w="1800" w:type="dxa"/>
            <w:vMerge w:val="restart"/>
            <w:tcBorders>
              <w:top w:val="nil"/>
              <w:left w:val="nil"/>
              <w:right w:val="nil"/>
            </w:tcBorders>
            <w:vAlign w:val="center"/>
          </w:tcPr>
          <w:p w:rsidR="00624767" w:rsidRPr="00532843" w:rsidRDefault="00624767" w:rsidP="00624767">
            <w:pPr>
              <w:jc w:val="center"/>
              <w:rPr>
                <w:rFonts w:ascii="Arial" w:hAnsi="Arial" w:cs="Arial"/>
                <w:sz w:val="20"/>
                <w:szCs w:val="20"/>
              </w:rPr>
            </w:pPr>
            <w:r>
              <w:rPr>
                <w:rFonts w:ascii="Arial" w:hAnsi="Arial" w:cs="Arial"/>
                <w:sz w:val="20"/>
                <w:szCs w:val="20"/>
              </w:rPr>
              <w:t>33</w:t>
            </w:r>
          </w:p>
          <w:p w:rsidR="00624767" w:rsidRPr="00532843" w:rsidRDefault="00624767" w:rsidP="00624767">
            <w:pPr>
              <w:jc w:val="center"/>
              <w:rPr>
                <w:rFonts w:ascii="Arial" w:hAnsi="Arial" w:cs="Arial"/>
                <w:sz w:val="20"/>
                <w:szCs w:val="20"/>
              </w:rPr>
            </w:pPr>
          </w:p>
        </w:tc>
      </w:tr>
      <w:tr w:rsidR="00624767" w:rsidRPr="00532843">
        <w:trPr>
          <w:trHeight w:val="376"/>
        </w:trPr>
        <w:tc>
          <w:tcPr>
            <w:tcW w:w="4039" w:type="dxa"/>
            <w:vMerge/>
            <w:tcBorders>
              <w:top w:val="nil"/>
              <w:left w:val="nil"/>
              <w:bottom w:val="single" w:sz="2" w:space="0" w:color="auto"/>
              <w:right w:val="nil"/>
            </w:tcBorders>
            <w:vAlign w:val="center"/>
          </w:tcPr>
          <w:p w:rsidR="00624767" w:rsidRPr="00532843" w:rsidRDefault="00624767" w:rsidP="00624767">
            <w:pPr>
              <w:spacing w:line="360" w:lineRule="auto"/>
              <w:rPr>
                <w:b/>
                <w:sz w:val="22"/>
                <w:szCs w:val="22"/>
              </w:rPr>
            </w:pPr>
          </w:p>
        </w:tc>
        <w:tc>
          <w:tcPr>
            <w:tcW w:w="1649" w:type="dxa"/>
            <w:tcBorders>
              <w:top w:val="nil"/>
              <w:left w:val="nil"/>
              <w:bottom w:val="single" w:sz="2" w:space="0" w:color="auto"/>
              <w:right w:val="nil"/>
            </w:tcBorders>
          </w:tcPr>
          <w:p w:rsidR="00624767" w:rsidRPr="00532843" w:rsidRDefault="00624767" w:rsidP="00624767">
            <w:pPr>
              <w:spacing w:line="360" w:lineRule="auto"/>
              <w:jc w:val="center"/>
              <w:rPr>
                <w:sz w:val="22"/>
                <w:szCs w:val="22"/>
              </w:rPr>
            </w:pPr>
            <w:r w:rsidRPr="00532843">
              <w:rPr>
                <w:sz w:val="22"/>
                <w:szCs w:val="22"/>
              </w:rPr>
              <w:t>Metformin</w:t>
            </w:r>
          </w:p>
        </w:tc>
        <w:tc>
          <w:tcPr>
            <w:tcW w:w="900" w:type="dxa"/>
            <w:tcBorders>
              <w:top w:val="nil"/>
              <w:left w:val="nil"/>
              <w:bottom w:val="single" w:sz="2" w:space="0" w:color="auto"/>
              <w:right w:val="nil"/>
            </w:tcBorders>
          </w:tcPr>
          <w:p w:rsidR="00624767" w:rsidRPr="00532843" w:rsidRDefault="00624767" w:rsidP="00624767">
            <w:pPr>
              <w:jc w:val="center"/>
              <w:rPr>
                <w:rFonts w:ascii="Arial" w:hAnsi="Arial" w:cs="Arial"/>
                <w:sz w:val="20"/>
                <w:szCs w:val="20"/>
              </w:rPr>
            </w:pPr>
            <w:r w:rsidRPr="00532843">
              <w:rPr>
                <w:rFonts w:ascii="Arial" w:hAnsi="Arial" w:cs="Arial"/>
                <w:sz w:val="20"/>
                <w:szCs w:val="20"/>
              </w:rPr>
              <w:t>0.78</w:t>
            </w:r>
          </w:p>
        </w:tc>
        <w:tc>
          <w:tcPr>
            <w:tcW w:w="900" w:type="dxa"/>
            <w:tcBorders>
              <w:top w:val="nil"/>
              <w:left w:val="nil"/>
              <w:bottom w:val="single" w:sz="2" w:space="0" w:color="auto"/>
              <w:right w:val="nil"/>
            </w:tcBorders>
          </w:tcPr>
          <w:p w:rsidR="00624767" w:rsidRPr="00532843" w:rsidRDefault="00624767" w:rsidP="00624767">
            <w:pPr>
              <w:jc w:val="center"/>
              <w:rPr>
                <w:rFonts w:ascii="Arial" w:hAnsi="Arial" w:cs="Arial"/>
                <w:sz w:val="20"/>
                <w:szCs w:val="20"/>
              </w:rPr>
            </w:pPr>
            <w:r w:rsidRPr="00532843">
              <w:rPr>
                <w:rFonts w:ascii="Arial" w:hAnsi="Arial" w:cs="Arial"/>
                <w:sz w:val="20"/>
                <w:szCs w:val="20"/>
              </w:rPr>
              <w:t>1.</w:t>
            </w:r>
            <w:r>
              <w:rPr>
                <w:rFonts w:ascii="Arial" w:hAnsi="Arial" w:cs="Arial"/>
                <w:sz w:val="20"/>
                <w:szCs w:val="20"/>
              </w:rPr>
              <w:t>19</w:t>
            </w:r>
          </w:p>
        </w:tc>
        <w:tc>
          <w:tcPr>
            <w:tcW w:w="900" w:type="dxa"/>
            <w:tcBorders>
              <w:top w:val="nil"/>
              <w:left w:val="nil"/>
              <w:bottom w:val="single" w:sz="2" w:space="0" w:color="auto"/>
              <w:right w:val="nil"/>
            </w:tcBorders>
          </w:tcPr>
          <w:p w:rsidR="00624767" w:rsidRPr="00532843" w:rsidRDefault="00624767" w:rsidP="00624767">
            <w:pPr>
              <w:jc w:val="center"/>
              <w:rPr>
                <w:rFonts w:ascii="Arial" w:hAnsi="Arial" w:cs="Arial"/>
                <w:sz w:val="20"/>
                <w:szCs w:val="20"/>
              </w:rPr>
            </w:pPr>
            <w:r w:rsidRPr="00532843">
              <w:rPr>
                <w:rFonts w:ascii="Arial" w:hAnsi="Arial" w:cs="Arial"/>
                <w:sz w:val="20"/>
                <w:szCs w:val="20"/>
              </w:rPr>
              <w:t>0.60</w:t>
            </w:r>
          </w:p>
        </w:tc>
        <w:tc>
          <w:tcPr>
            <w:tcW w:w="900" w:type="dxa"/>
            <w:tcBorders>
              <w:top w:val="nil"/>
              <w:left w:val="nil"/>
              <w:bottom w:val="single" w:sz="2" w:space="0" w:color="auto"/>
              <w:right w:val="nil"/>
            </w:tcBorders>
          </w:tcPr>
          <w:p w:rsidR="00624767" w:rsidRPr="00532843" w:rsidRDefault="00624767" w:rsidP="00624767">
            <w:pPr>
              <w:jc w:val="center"/>
              <w:rPr>
                <w:rFonts w:ascii="Arial" w:hAnsi="Arial" w:cs="Arial"/>
                <w:sz w:val="20"/>
                <w:szCs w:val="20"/>
              </w:rPr>
            </w:pPr>
            <w:r>
              <w:rPr>
                <w:rFonts w:ascii="Arial" w:hAnsi="Arial" w:cs="Arial"/>
                <w:sz w:val="20"/>
                <w:szCs w:val="20"/>
              </w:rPr>
              <w:t>2.04</w:t>
            </w:r>
          </w:p>
        </w:tc>
        <w:tc>
          <w:tcPr>
            <w:tcW w:w="1080" w:type="dxa"/>
            <w:tcBorders>
              <w:top w:val="nil"/>
              <w:left w:val="nil"/>
              <w:bottom w:val="single" w:sz="2" w:space="0" w:color="auto"/>
              <w:right w:val="nil"/>
            </w:tcBorders>
          </w:tcPr>
          <w:p w:rsidR="00624767" w:rsidRPr="00532843" w:rsidRDefault="00624767" w:rsidP="00624767">
            <w:pPr>
              <w:jc w:val="center"/>
              <w:rPr>
                <w:rFonts w:ascii="Arial" w:hAnsi="Arial" w:cs="Arial"/>
                <w:sz w:val="20"/>
                <w:szCs w:val="20"/>
              </w:rPr>
            </w:pPr>
            <w:r>
              <w:rPr>
                <w:rFonts w:ascii="Arial" w:hAnsi="Arial" w:cs="Arial"/>
                <w:sz w:val="20"/>
                <w:szCs w:val="20"/>
              </w:rPr>
              <w:t>3.23</w:t>
            </w:r>
          </w:p>
        </w:tc>
        <w:tc>
          <w:tcPr>
            <w:tcW w:w="1440" w:type="dxa"/>
            <w:vMerge/>
            <w:tcBorders>
              <w:top w:val="nil"/>
              <w:left w:val="nil"/>
              <w:bottom w:val="single" w:sz="2" w:space="0" w:color="auto"/>
              <w:right w:val="nil"/>
            </w:tcBorders>
            <w:vAlign w:val="center"/>
          </w:tcPr>
          <w:p w:rsidR="00624767" w:rsidRPr="00532843" w:rsidRDefault="00624767" w:rsidP="00624767">
            <w:pPr>
              <w:spacing w:line="360" w:lineRule="auto"/>
              <w:jc w:val="center"/>
              <w:rPr>
                <w:sz w:val="22"/>
                <w:szCs w:val="22"/>
              </w:rPr>
            </w:pPr>
          </w:p>
        </w:tc>
        <w:tc>
          <w:tcPr>
            <w:tcW w:w="1800" w:type="dxa"/>
            <w:vMerge/>
            <w:tcBorders>
              <w:left w:val="nil"/>
              <w:bottom w:val="single" w:sz="2" w:space="0" w:color="auto"/>
              <w:right w:val="nil"/>
            </w:tcBorders>
            <w:vAlign w:val="center"/>
          </w:tcPr>
          <w:p w:rsidR="00624767" w:rsidRPr="00532843" w:rsidRDefault="00624767" w:rsidP="00624767">
            <w:pPr>
              <w:spacing w:line="360" w:lineRule="auto"/>
              <w:jc w:val="center"/>
              <w:rPr>
                <w:sz w:val="22"/>
                <w:szCs w:val="22"/>
              </w:rPr>
            </w:pPr>
          </w:p>
        </w:tc>
      </w:tr>
      <w:tr w:rsidR="00624767" w:rsidRPr="00532843">
        <w:trPr>
          <w:trHeight w:val="377"/>
        </w:trPr>
        <w:tc>
          <w:tcPr>
            <w:tcW w:w="4039" w:type="dxa"/>
            <w:vMerge w:val="restart"/>
            <w:tcBorders>
              <w:top w:val="nil"/>
              <w:left w:val="nil"/>
              <w:bottom w:val="single" w:sz="2" w:space="0" w:color="auto"/>
              <w:right w:val="nil"/>
            </w:tcBorders>
            <w:vAlign w:val="center"/>
          </w:tcPr>
          <w:p w:rsidR="00624767" w:rsidRPr="00532843" w:rsidRDefault="00624767" w:rsidP="00624767">
            <w:pPr>
              <w:spacing w:line="360" w:lineRule="auto"/>
              <w:rPr>
                <w:b/>
                <w:sz w:val="22"/>
                <w:szCs w:val="22"/>
              </w:rPr>
            </w:pPr>
            <w:r w:rsidRPr="00532843">
              <w:rPr>
                <w:b/>
                <w:sz w:val="22"/>
                <w:szCs w:val="22"/>
              </w:rPr>
              <w:t>H</w:t>
            </w:r>
            <w:r w:rsidRPr="00532843">
              <w:rPr>
                <w:b/>
                <w:sz w:val="22"/>
                <w:szCs w:val="22"/>
                <w:vertAlign w:val="subscript"/>
              </w:rPr>
              <w:t>1</w:t>
            </w:r>
            <w:r w:rsidRPr="00532843">
              <w:rPr>
                <w:b/>
                <w:sz w:val="22"/>
                <w:szCs w:val="22"/>
              </w:rPr>
              <w:t xml:space="preserve"> increased 0.03; H</w:t>
            </w:r>
            <w:r w:rsidRPr="00532843">
              <w:rPr>
                <w:b/>
                <w:sz w:val="22"/>
                <w:szCs w:val="22"/>
                <w:vertAlign w:val="subscript"/>
              </w:rPr>
              <w:t>2</w:t>
            </w:r>
            <w:r w:rsidRPr="00532843">
              <w:rPr>
                <w:b/>
                <w:sz w:val="22"/>
                <w:szCs w:val="22"/>
              </w:rPr>
              <w:t xml:space="preserve"> increased 0.03</w:t>
            </w:r>
          </w:p>
        </w:tc>
        <w:tc>
          <w:tcPr>
            <w:tcW w:w="1649" w:type="dxa"/>
            <w:tcBorders>
              <w:top w:val="single" w:sz="2" w:space="0" w:color="auto"/>
              <w:left w:val="nil"/>
              <w:bottom w:val="nil"/>
              <w:right w:val="nil"/>
            </w:tcBorders>
          </w:tcPr>
          <w:p w:rsidR="00624767" w:rsidRPr="00532843" w:rsidRDefault="00624767" w:rsidP="00624767">
            <w:pPr>
              <w:spacing w:line="360" w:lineRule="auto"/>
              <w:jc w:val="center"/>
              <w:rPr>
                <w:sz w:val="22"/>
                <w:szCs w:val="22"/>
              </w:rPr>
            </w:pPr>
            <w:r w:rsidRPr="00532843">
              <w:rPr>
                <w:sz w:val="22"/>
                <w:szCs w:val="22"/>
              </w:rPr>
              <w:t>Sulfonylurea</w:t>
            </w:r>
          </w:p>
        </w:tc>
        <w:tc>
          <w:tcPr>
            <w:tcW w:w="900" w:type="dxa"/>
            <w:tcBorders>
              <w:top w:val="single" w:sz="2" w:space="0" w:color="auto"/>
              <w:left w:val="nil"/>
              <w:bottom w:val="nil"/>
              <w:right w:val="nil"/>
            </w:tcBorders>
          </w:tcPr>
          <w:p w:rsidR="00624767" w:rsidRPr="00532843" w:rsidRDefault="00624767" w:rsidP="00624767">
            <w:pPr>
              <w:jc w:val="center"/>
              <w:rPr>
                <w:rFonts w:ascii="Arial" w:hAnsi="Arial" w:cs="Arial"/>
                <w:sz w:val="20"/>
                <w:szCs w:val="20"/>
              </w:rPr>
            </w:pPr>
            <w:r w:rsidRPr="00532843">
              <w:rPr>
                <w:rFonts w:ascii="Arial" w:hAnsi="Arial" w:cs="Arial"/>
                <w:sz w:val="20"/>
                <w:szCs w:val="20"/>
              </w:rPr>
              <w:t>0.84</w:t>
            </w:r>
          </w:p>
        </w:tc>
        <w:tc>
          <w:tcPr>
            <w:tcW w:w="900" w:type="dxa"/>
            <w:tcBorders>
              <w:top w:val="single" w:sz="2" w:space="0" w:color="auto"/>
              <w:left w:val="nil"/>
              <w:bottom w:val="nil"/>
              <w:right w:val="nil"/>
            </w:tcBorders>
          </w:tcPr>
          <w:p w:rsidR="00624767" w:rsidRPr="00532843" w:rsidRDefault="00624767" w:rsidP="00624767">
            <w:pPr>
              <w:jc w:val="center"/>
              <w:rPr>
                <w:rFonts w:ascii="Arial" w:hAnsi="Arial" w:cs="Arial"/>
                <w:sz w:val="20"/>
                <w:szCs w:val="20"/>
              </w:rPr>
            </w:pPr>
            <w:r w:rsidRPr="00532843">
              <w:rPr>
                <w:rFonts w:ascii="Arial" w:hAnsi="Arial" w:cs="Arial"/>
                <w:sz w:val="20"/>
                <w:szCs w:val="20"/>
              </w:rPr>
              <w:t>1.</w:t>
            </w:r>
            <w:r>
              <w:rPr>
                <w:rFonts w:ascii="Arial" w:hAnsi="Arial" w:cs="Arial"/>
                <w:sz w:val="20"/>
                <w:szCs w:val="20"/>
              </w:rPr>
              <w:t>02</w:t>
            </w:r>
          </w:p>
        </w:tc>
        <w:tc>
          <w:tcPr>
            <w:tcW w:w="900" w:type="dxa"/>
            <w:tcBorders>
              <w:top w:val="single" w:sz="2" w:space="0" w:color="auto"/>
              <w:left w:val="nil"/>
              <w:bottom w:val="nil"/>
              <w:right w:val="nil"/>
            </w:tcBorders>
          </w:tcPr>
          <w:p w:rsidR="00624767" w:rsidRPr="00532843" w:rsidRDefault="00624767" w:rsidP="00624767">
            <w:pPr>
              <w:jc w:val="center"/>
              <w:rPr>
                <w:rFonts w:ascii="Arial" w:hAnsi="Arial" w:cs="Arial"/>
                <w:sz w:val="20"/>
                <w:szCs w:val="20"/>
              </w:rPr>
            </w:pPr>
            <w:r w:rsidRPr="00532843">
              <w:rPr>
                <w:rFonts w:ascii="Arial" w:hAnsi="Arial" w:cs="Arial"/>
                <w:sz w:val="20"/>
                <w:szCs w:val="20"/>
              </w:rPr>
              <w:t>0.60</w:t>
            </w:r>
          </w:p>
        </w:tc>
        <w:tc>
          <w:tcPr>
            <w:tcW w:w="900" w:type="dxa"/>
            <w:tcBorders>
              <w:top w:val="single" w:sz="2" w:space="0" w:color="auto"/>
              <w:left w:val="nil"/>
              <w:bottom w:val="nil"/>
              <w:right w:val="nil"/>
            </w:tcBorders>
          </w:tcPr>
          <w:p w:rsidR="00624767" w:rsidRPr="00532843" w:rsidRDefault="00624767" w:rsidP="00624767">
            <w:pPr>
              <w:jc w:val="center"/>
              <w:rPr>
                <w:rFonts w:ascii="Arial" w:hAnsi="Arial" w:cs="Arial"/>
                <w:sz w:val="20"/>
                <w:szCs w:val="20"/>
              </w:rPr>
            </w:pPr>
            <w:r>
              <w:rPr>
                <w:rFonts w:ascii="Arial" w:hAnsi="Arial" w:cs="Arial"/>
                <w:sz w:val="20"/>
                <w:szCs w:val="20"/>
              </w:rPr>
              <w:t>1.73</w:t>
            </w:r>
          </w:p>
        </w:tc>
        <w:tc>
          <w:tcPr>
            <w:tcW w:w="1080" w:type="dxa"/>
            <w:tcBorders>
              <w:top w:val="single" w:sz="2" w:space="0" w:color="auto"/>
              <w:left w:val="nil"/>
              <w:bottom w:val="nil"/>
              <w:right w:val="nil"/>
            </w:tcBorders>
          </w:tcPr>
          <w:p w:rsidR="00624767" w:rsidRPr="00532843" w:rsidRDefault="00624767" w:rsidP="00624767">
            <w:pPr>
              <w:jc w:val="center"/>
              <w:rPr>
                <w:rFonts w:ascii="Arial" w:hAnsi="Arial" w:cs="Arial"/>
                <w:sz w:val="20"/>
                <w:szCs w:val="20"/>
              </w:rPr>
            </w:pPr>
            <w:r>
              <w:rPr>
                <w:rFonts w:ascii="Arial" w:hAnsi="Arial" w:cs="Arial"/>
                <w:sz w:val="20"/>
                <w:szCs w:val="20"/>
              </w:rPr>
              <w:t>2.75</w:t>
            </w:r>
          </w:p>
        </w:tc>
        <w:tc>
          <w:tcPr>
            <w:tcW w:w="1440" w:type="dxa"/>
            <w:vMerge w:val="restart"/>
            <w:tcBorders>
              <w:top w:val="nil"/>
              <w:left w:val="nil"/>
              <w:bottom w:val="single" w:sz="2" w:space="0" w:color="auto"/>
              <w:right w:val="nil"/>
            </w:tcBorders>
            <w:vAlign w:val="center"/>
          </w:tcPr>
          <w:p w:rsidR="00624767" w:rsidRPr="00532843" w:rsidRDefault="00624767" w:rsidP="00624767">
            <w:pPr>
              <w:spacing w:line="360" w:lineRule="auto"/>
              <w:jc w:val="center"/>
              <w:rPr>
                <w:rFonts w:ascii="Arial" w:hAnsi="Arial" w:cs="Arial"/>
                <w:sz w:val="20"/>
                <w:szCs w:val="20"/>
              </w:rPr>
            </w:pPr>
            <w:r>
              <w:rPr>
                <w:rFonts w:ascii="Arial" w:hAnsi="Arial" w:cs="Arial"/>
                <w:sz w:val="20"/>
                <w:szCs w:val="20"/>
              </w:rPr>
              <w:t>0.57</w:t>
            </w:r>
          </w:p>
        </w:tc>
        <w:tc>
          <w:tcPr>
            <w:tcW w:w="1800" w:type="dxa"/>
            <w:vMerge w:val="restart"/>
            <w:tcBorders>
              <w:top w:val="nil"/>
              <w:left w:val="nil"/>
              <w:right w:val="nil"/>
            </w:tcBorders>
            <w:vAlign w:val="center"/>
          </w:tcPr>
          <w:p w:rsidR="00624767" w:rsidRPr="00532843" w:rsidRDefault="00624767" w:rsidP="00624767">
            <w:pPr>
              <w:jc w:val="center"/>
              <w:rPr>
                <w:rFonts w:ascii="Arial" w:hAnsi="Arial" w:cs="Arial"/>
                <w:sz w:val="20"/>
                <w:szCs w:val="20"/>
              </w:rPr>
            </w:pPr>
            <w:r>
              <w:rPr>
                <w:rFonts w:ascii="Arial" w:hAnsi="Arial" w:cs="Arial"/>
                <w:sz w:val="20"/>
                <w:szCs w:val="20"/>
              </w:rPr>
              <w:t>30</w:t>
            </w:r>
          </w:p>
          <w:p w:rsidR="00624767" w:rsidRPr="00532843" w:rsidRDefault="00624767" w:rsidP="00624767">
            <w:pPr>
              <w:jc w:val="center"/>
              <w:rPr>
                <w:rFonts w:ascii="Arial" w:hAnsi="Arial" w:cs="Arial"/>
                <w:sz w:val="20"/>
                <w:szCs w:val="20"/>
              </w:rPr>
            </w:pPr>
          </w:p>
        </w:tc>
      </w:tr>
      <w:tr w:rsidR="00624767" w:rsidRPr="00532843">
        <w:trPr>
          <w:trHeight w:val="376"/>
        </w:trPr>
        <w:tc>
          <w:tcPr>
            <w:tcW w:w="4039" w:type="dxa"/>
            <w:vMerge/>
            <w:tcBorders>
              <w:top w:val="nil"/>
              <w:left w:val="nil"/>
              <w:bottom w:val="single" w:sz="2" w:space="0" w:color="auto"/>
              <w:right w:val="nil"/>
            </w:tcBorders>
            <w:vAlign w:val="center"/>
          </w:tcPr>
          <w:p w:rsidR="00624767" w:rsidRPr="00532843" w:rsidRDefault="00624767" w:rsidP="00624767">
            <w:pPr>
              <w:spacing w:line="360" w:lineRule="auto"/>
              <w:rPr>
                <w:b/>
                <w:sz w:val="22"/>
                <w:szCs w:val="22"/>
              </w:rPr>
            </w:pPr>
          </w:p>
        </w:tc>
        <w:tc>
          <w:tcPr>
            <w:tcW w:w="1649" w:type="dxa"/>
            <w:tcBorders>
              <w:top w:val="nil"/>
              <w:left w:val="nil"/>
              <w:bottom w:val="single" w:sz="2" w:space="0" w:color="auto"/>
              <w:right w:val="nil"/>
            </w:tcBorders>
          </w:tcPr>
          <w:p w:rsidR="00624767" w:rsidRPr="00532843" w:rsidRDefault="00624767" w:rsidP="00624767">
            <w:pPr>
              <w:spacing w:line="360" w:lineRule="auto"/>
              <w:jc w:val="center"/>
              <w:rPr>
                <w:sz w:val="22"/>
                <w:szCs w:val="22"/>
              </w:rPr>
            </w:pPr>
            <w:r w:rsidRPr="00532843">
              <w:rPr>
                <w:sz w:val="22"/>
                <w:szCs w:val="22"/>
              </w:rPr>
              <w:t>Metformin</w:t>
            </w:r>
          </w:p>
        </w:tc>
        <w:tc>
          <w:tcPr>
            <w:tcW w:w="900" w:type="dxa"/>
            <w:tcBorders>
              <w:top w:val="nil"/>
              <w:left w:val="nil"/>
              <w:bottom w:val="single" w:sz="2" w:space="0" w:color="auto"/>
              <w:right w:val="nil"/>
            </w:tcBorders>
          </w:tcPr>
          <w:p w:rsidR="00624767" w:rsidRPr="00532843" w:rsidRDefault="00624767" w:rsidP="00624767">
            <w:pPr>
              <w:jc w:val="center"/>
              <w:rPr>
                <w:rFonts w:ascii="Arial" w:hAnsi="Arial" w:cs="Arial"/>
                <w:sz w:val="20"/>
                <w:szCs w:val="20"/>
              </w:rPr>
            </w:pPr>
            <w:r w:rsidRPr="00532843">
              <w:rPr>
                <w:rFonts w:ascii="Arial" w:hAnsi="Arial" w:cs="Arial"/>
                <w:sz w:val="20"/>
                <w:szCs w:val="20"/>
              </w:rPr>
              <w:t>0.84</w:t>
            </w:r>
          </w:p>
        </w:tc>
        <w:tc>
          <w:tcPr>
            <w:tcW w:w="900" w:type="dxa"/>
            <w:tcBorders>
              <w:top w:val="nil"/>
              <w:left w:val="nil"/>
              <w:bottom w:val="single" w:sz="2" w:space="0" w:color="auto"/>
              <w:right w:val="nil"/>
            </w:tcBorders>
          </w:tcPr>
          <w:p w:rsidR="00624767" w:rsidRPr="00532843" w:rsidRDefault="00624767" w:rsidP="00624767">
            <w:pPr>
              <w:jc w:val="center"/>
              <w:rPr>
                <w:rFonts w:ascii="Arial" w:hAnsi="Arial" w:cs="Arial"/>
                <w:sz w:val="20"/>
                <w:szCs w:val="20"/>
              </w:rPr>
            </w:pPr>
            <w:r w:rsidRPr="00532843">
              <w:rPr>
                <w:rFonts w:ascii="Arial" w:hAnsi="Arial" w:cs="Arial"/>
                <w:sz w:val="20"/>
                <w:szCs w:val="20"/>
              </w:rPr>
              <w:t>1.</w:t>
            </w:r>
            <w:r>
              <w:rPr>
                <w:rFonts w:ascii="Arial" w:hAnsi="Arial" w:cs="Arial"/>
                <w:sz w:val="20"/>
                <w:szCs w:val="20"/>
              </w:rPr>
              <w:t>28</w:t>
            </w:r>
          </w:p>
        </w:tc>
        <w:tc>
          <w:tcPr>
            <w:tcW w:w="900" w:type="dxa"/>
            <w:tcBorders>
              <w:top w:val="nil"/>
              <w:left w:val="nil"/>
              <w:bottom w:val="single" w:sz="2" w:space="0" w:color="auto"/>
              <w:right w:val="nil"/>
            </w:tcBorders>
          </w:tcPr>
          <w:p w:rsidR="00624767" w:rsidRPr="00532843" w:rsidRDefault="00624767" w:rsidP="00624767">
            <w:pPr>
              <w:jc w:val="center"/>
              <w:rPr>
                <w:rFonts w:ascii="Arial" w:hAnsi="Arial" w:cs="Arial"/>
                <w:sz w:val="20"/>
                <w:szCs w:val="20"/>
              </w:rPr>
            </w:pPr>
            <w:r w:rsidRPr="00532843">
              <w:rPr>
                <w:rFonts w:ascii="Arial" w:hAnsi="Arial" w:cs="Arial"/>
                <w:sz w:val="20"/>
                <w:szCs w:val="20"/>
              </w:rPr>
              <w:t>0.60</w:t>
            </w:r>
          </w:p>
        </w:tc>
        <w:tc>
          <w:tcPr>
            <w:tcW w:w="900" w:type="dxa"/>
            <w:tcBorders>
              <w:top w:val="nil"/>
              <w:left w:val="nil"/>
              <w:bottom w:val="single" w:sz="2" w:space="0" w:color="auto"/>
              <w:right w:val="nil"/>
            </w:tcBorders>
          </w:tcPr>
          <w:p w:rsidR="00624767" w:rsidRPr="00532843" w:rsidRDefault="00624767" w:rsidP="00624767">
            <w:pPr>
              <w:jc w:val="center"/>
              <w:rPr>
                <w:rFonts w:ascii="Arial" w:hAnsi="Arial" w:cs="Arial"/>
                <w:sz w:val="20"/>
                <w:szCs w:val="20"/>
              </w:rPr>
            </w:pPr>
            <w:r>
              <w:rPr>
                <w:rFonts w:ascii="Arial" w:hAnsi="Arial" w:cs="Arial"/>
                <w:sz w:val="20"/>
                <w:szCs w:val="20"/>
              </w:rPr>
              <w:t>2.04</w:t>
            </w:r>
          </w:p>
        </w:tc>
        <w:tc>
          <w:tcPr>
            <w:tcW w:w="1080" w:type="dxa"/>
            <w:tcBorders>
              <w:top w:val="nil"/>
              <w:left w:val="nil"/>
              <w:bottom w:val="single" w:sz="2" w:space="0" w:color="auto"/>
              <w:right w:val="nil"/>
            </w:tcBorders>
          </w:tcPr>
          <w:p w:rsidR="00624767" w:rsidRPr="00532843" w:rsidRDefault="00624767" w:rsidP="00624767">
            <w:pPr>
              <w:jc w:val="center"/>
              <w:rPr>
                <w:rFonts w:ascii="Arial" w:hAnsi="Arial" w:cs="Arial"/>
                <w:sz w:val="20"/>
                <w:szCs w:val="20"/>
              </w:rPr>
            </w:pPr>
            <w:r>
              <w:rPr>
                <w:rFonts w:ascii="Arial" w:hAnsi="Arial" w:cs="Arial"/>
                <w:sz w:val="20"/>
                <w:szCs w:val="20"/>
              </w:rPr>
              <w:t>3.32</w:t>
            </w:r>
          </w:p>
        </w:tc>
        <w:tc>
          <w:tcPr>
            <w:tcW w:w="1440" w:type="dxa"/>
            <w:vMerge/>
            <w:tcBorders>
              <w:top w:val="nil"/>
              <w:left w:val="nil"/>
              <w:bottom w:val="single" w:sz="2" w:space="0" w:color="auto"/>
              <w:right w:val="nil"/>
            </w:tcBorders>
            <w:vAlign w:val="center"/>
          </w:tcPr>
          <w:p w:rsidR="00624767" w:rsidRPr="00532843" w:rsidRDefault="00624767" w:rsidP="00624767">
            <w:pPr>
              <w:spacing w:line="360" w:lineRule="auto"/>
              <w:jc w:val="center"/>
              <w:rPr>
                <w:sz w:val="22"/>
                <w:szCs w:val="22"/>
              </w:rPr>
            </w:pPr>
          </w:p>
        </w:tc>
        <w:tc>
          <w:tcPr>
            <w:tcW w:w="1800" w:type="dxa"/>
            <w:vMerge/>
            <w:tcBorders>
              <w:left w:val="nil"/>
              <w:bottom w:val="single" w:sz="2" w:space="0" w:color="auto"/>
              <w:right w:val="nil"/>
            </w:tcBorders>
            <w:vAlign w:val="center"/>
          </w:tcPr>
          <w:p w:rsidR="00624767" w:rsidRPr="00532843" w:rsidRDefault="00624767" w:rsidP="00624767">
            <w:pPr>
              <w:spacing w:line="360" w:lineRule="auto"/>
              <w:jc w:val="center"/>
              <w:rPr>
                <w:sz w:val="22"/>
                <w:szCs w:val="22"/>
              </w:rPr>
            </w:pPr>
          </w:p>
        </w:tc>
      </w:tr>
      <w:tr w:rsidR="00624767" w:rsidRPr="00532843">
        <w:trPr>
          <w:trHeight w:val="238"/>
        </w:trPr>
        <w:tc>
          <w:tcPr>
            <w:tcW w:w="4039" w:type="dxa"/>
            <w:vMerge w:val="restart"/>
            <w:tcBorders>
              <w:top w:val="nil"/>
              <w:left w:val="nil"/>
              <w:bottom w:val="single" w:sz="2" w:space="0" w:color="auto"/>
              <w:right w:val="nil"/>
            </w:tcBorders>
            <w:vAlign w:val="center"/>
          </w:tcPr>
          <w:p w:rsidR="00624767" w:rsidRPr="00532843" w:rsidRDefault="00624767" w:rsidP="00624767">
            <w:pPr>
              <w:spacing w:line="360" w:lineRule="auto"/>
              <w:rPr>
                <w:b/>
                <w:sz w:val="22"/>
                <w:szCs w:val="22"/>
              </w:rPr>
            </w:pPr>
            <w:r w:rsidRPr="00532843">
              <w:rPr>
                <w:b/>
                <w:sz w:val="22"/>
                <w:szCs w:val="22"/>
              </w:rPr>
              <w:t>H</w:t>
            </w:r>
            <w:r w:rsidRPr="00532843">
              <w:rPr>
                <w:b/>
                <w:sz w:val="22"/>
                <w:szCs w:val="22"/>
                <w:vertAlign w:val="subscript"/>
              </w:rPr>
              <w:t>1</w:t>
            </w:r>
            <w:r w:rsidRPr="00532843">
              <w:rPr>
                <w:b/>
                <w:sz w:val="22"/>
                <w:szCs w:val="22"/>
              </w:rPr>
              <w:t xml:space="preserve"> decreased 0.03; H</w:t>
            </w:r>
            <w:r w:rsidRPr="00532843">
              <w:rPr>
                <w:b/>
                <w:sz w:val="22"/>
                <w:szCs w:val="22"/>
                <w:vertAlign w:val="subscript"/>
              </w:rPr>
              <w:t>2</w:t>
            </w:r>
            <w:r w:rsidRPr="00532843">
              <w:rPr>
                <w:b/>
                <w:sz w:val="22"/>
                <w:szCs w:val="22"/>
              </w:rPr>
              <w:t xml:space="preserve"> decreased 0.03</w:t>
            </w:r>
          </w:p>
        </w:tc>
        <w:tc>
          <w:tcPr>
            <w:tcW w:w="1649" w:type="dxa"/>
            <w:tcBorders>
              <w:top w:val="single" w:sz="2" w:space="0" w:color="auto"/>
              <w:left w:val="nil"/>
              <w:bottom w:val="nil"/>
              <w:right w:val="nil"/>
            </w:tcBorders>
          </w:tcPr>
          <w:p w:rsidR="00624767" w:rsidRPr="00532843" w:rsidRDefault="00624767" w:rsidP="00624767">
            <w:pPr>
              <w:spacing w:line="360" w:lineRule="auto"/>
              <w:jc w:val="center"/>
              <w:rPr>
                <w:sz w:val="22"/>
                <w:szCs w:val="22"/>
              </w:rPr>
            </w:pPr>
            <w:r w:rsidRPr="00532843">
              <w:rPr>
                <w:sz w:val="22"/>
                <w:szCs w:val="22"/>
              </w:rPr>
              <w:t>Sulfonylurea</w:t>
            </w:r>
          </w:p>
        </w:tc>
        <w:tc>
          <w:tcPr>
            <w:tcW w:w="900" w:type="dxa"/>
            <w:tcBorders>
              <w:top w:val="single" w:sz="2" w:space="0" w:color="auto"/>
              <w:left w:val="nil"/>
              <w:bottom w:val="nil"/>
              <w:right w:val="nil"/>
            </w:tcBorders>
          </w:tcPr>
          <w:p w:rsidR="00624767" w:rsidRPr="00532843" w:rsidRDefault="00624767" w:rsidP="00624767">
            <w:pPr>
              <w:jc w:val="center"/>
              <w:rPr>
                <w:rFonts w:ascii="Arial" w:hAnsi="Arial" w:cs="Arial"/>
                <w:sz w:val="20"/>
                <w:szCs w:val="20"/>
              </w:rPr>
            </w:pPr>
            <w:r w:rsidRPr="00532843">
              <w:rPr>
                <w:rFonts w:ascii="Arial" w:hAnsi="Arial" w:cs="Arial"/>
                <w:sz w:val="20"/>
                <w:szCs w:val="20"/>
              </w:rPr>
              <w:t>0.78</w:t>
            </w:r>
          </w:p>
        </w:tc>
        <w:tc>
          <w:tcPr>
            <w:tcW w:w="900" w:type="dxa"/>
            <w:tcBorders>
              <w:top w:val="single" w:sz="2" w:space="0" w:color="auto"/>
              <w:left w:val="nil"/>
              <w:bottom w:val="nil"/>
              <w:right w:val="nil"/>
            </w:tcBorders>
          </w:tcPr>
          <w:p w:rsidR="00624767" w:rsidRPr="00532843" w:rsidRDefault="00624767" w:rsidP="00624767">
            <w:pPr>
              <w:jc w:val="center"/>
              <w:rPr>
                <w:rFonts w:ascii="Arial" w:hAnsi="Arial" w:cs="Arial"/>
                <w:sz w:val="20"/>
                <w:szCs w:val="20"/>
              </w:rPr>
            </w:pPr>
            <w:r>
              <w:rPr>
                <w:rFonts w:ascii="Arial" w:hAnsi="Arial" w:cs="Arial"/>
                <w:sz w:val="20"/>
                <w:szCs w:val="20"/>
              </w:rPr>
              <w:t>0.94</w:t>
            </w:r>
          </w:p>
        </w:tc>
        <w:tc>
          <w:tcPr>
            <w:tcW w:w="900" w:type="dxa"/>
            <w:tcBorders>
              <w:top w:val="single" w:sz="2" w:space="0" w:color="auto"/>
              <w:left w:val="nil"/>
              <w:bottom w:val="nil"/>
              <w:right w:val="nil"/>
            </w:tcBorders>
          </w:tcPr>
          <w:p w:rsidR="00624767" w:rsidRPr="00532843" w:rsidRDefault="00624767" w:rsidP="00624767">
            <w:pPr>
              <w:jc w:val="center"/>
              <w:rPr>
                <w:rFonts w:ascii="Arial" w:hAnsi="Arial" w:cs="Arial"/>
                <w:sz w:val="20"/>
                <w:szCs w:val="20"/>
              </w:rPr>
            </w:pPr>
            <w:r w:rsidRPr="00532843">
              <w:rPr>
                <w:rFonts w:ascii="Arial" w:hAnsi="Arial" w:cs="Arial"/>
                <w:sz w:val="20"/>
                <w:szCs w:val="20"/>
              </w:rPr>
              <w:t>0.54</w:t>
            </w:r>
          </w:p>
        </w:tc>
        <w:tc>
          <w:tcPr>
            <w:tcW w:w="900" w:type="dxa"/>
            <w:tcBorders>
              <w:top w:val="single" w:sz="2" w:space="0" w:color="auto"/>
              <w:left w:val="nil"/>
              <w:bottom w:val="nil"/>
              <w:right w:val="nil"/>
            </w:tcBorders>
          </w:tcPr>
          <w:p w:rsidR="00624767" w:rsidRPr="00532843" w:rsidRDefault="00624767" w:rsidP="00624767">
            <w:pPr>
              <w:jc w:val="center"/>
              <w:rPr>
                <w:rFonts w:ascii="Arial" w:hAnsi="Arial" w:cs="Arial"/>
                <w:sz w:val="20"/>
                <w:szCs w:val="20"/>
              </w:rPr>
            </w:pPr>
            <w:r>
              <w:rPr>
                <w:rFonts w:ascii="Arial" w:hAnsi="Arial" w:cs="Arial"/>
                <w:sz w:val="20"/>
                <w:szCs w:val="20"/>
              </w:rPr>
              <w:t>1.56</w:t>
            </w:r>
          </w:p>
        </w:tc>
        <w:tc>
          <w:tcPr>
            <w:tcW w:w="1080" w:type="dxa"/>
            <w:tcBorders>
              <w:top w:val="single" w:sz="2" w:space="0" w:color="auto"/>
              <w:left w:val="nil"/>
              <w:bottom w:val="nil"/>
              <w:right w:val="nil"/>
            </w:tcBorders>
          </w:tcPr>
          <w:p w:rsidR="00624767" w:rsidRPr="00532843" w:rsidRDefault="00624767" w:rsidP="00624767">
            <w:pPr>
              <w:jc w:val="center"/>
              <w:rPr>
                <w:rFonts w:ascii="Arial" w:hAnsi="Arial" w:cs="Arial"/>
                <w:sz w:val="20"/>
                <w:szCs w:val="20"/>
              </w:rPr>
            </w:pPr>
            <w:r>
              <w:rPr>
                <w:rFonts w:ascii="Arial" w:hAnsi="Arial" w:cs="Arial"/>
                <w:sz w:val="20"/>
                <w:szCs w:val="20"/>
              </w:rPr>
              <w:t>2.50</w:t>
            </w:r>
          </w:p>
        </w:tc>
        <w:tc>
          <w:tcPr>
            <w:tcW w:w="1440" w:type="dxa"/>
            <w:vMerge w:val="restart"/>
            <w:tcBorders>
              <w:top w:val="nil"/>
              <w:left w:val="nil"/>
              <w:bottom w:val="single" w:sz="2" w:space="0" w:color="auto"/>
              <w:right w:val="nil"/>
            </w:tcBorders>
            <w:vAlign w:val="center"/>
          </w:tcPr>
          <w:p w:rsidR="00624767" w:rsidRPr="00532843" w:rsidRDefault="00624767" w:rsidP="00624767">
            <w:pPr>
              <w:spacing w:line="360" w:lineRule="auto"/>
              <w:jc w:val="center"/>
              <w:rPr>
                <w:rFonts w:ascii="Arial" w:hAnsi="Arial" w:cs="Arial"/>
                <w:sz w:val="20"/>
                <w:szCs w:val="20"/>
              </w:rPr>
            </w:pPr>
            <w:r>
              <w:rPr>
                <w:rFonts w:ascii="Arial" w:hAnsi="Arial" w:cs="Arial"/>
                <w:sz w:val="20"/>
                <w:szCs w:val="20"/>
              </w:rPr>
              <w:t>0.52</w:t>
            </w:r>
          </w:p>
        </w:tc>
        <w:tc>
          <w:tcPr>
            <w:tcW w:w="1800" w:type="dxa"/>
            <w:vMerge w:val="restart"/>
            <w:tcBorders>
              <w:top w:val="nil"/>
              <w:left w:val="nil"/>
              <w:right w:val="nil"/>
            </w:tcBorders>
            <w:vAlign w:val="center"/>
          </w:tcPr>
          <w:p w:rsidR="00624767" w:rsidRPr="00532843" w:rsidRDefault="00624767" w:rsidP="00624767">
            <w:pPr>
              <w:jc w:val="center"/>
              <w:rPr>
                <w:rFonts w:ascii="Arial" w:hAnsi="Arial" w:cs="Arial"/>
                <w:sz w:val="20"/>
                <w:szCs w:val="20"/>
              </w:rPr>
            </w:pPr>
            <w:r>
              <w:rPr>
                <w:rFonts w:ascii="Arial" w:hAnsi="Arial" w:cs="Arial"/>
                <w:sz w:val="20"/>
                <w:szCs w:val="20"/>
              </w:rPr>
              <w:t>37</w:t>
            </w:r>
          </w:p>
        </w:tc>
      </w:tr>
      <w:tr w:rsidR="00624767" w:rsidRPr="00532843">
        <w:trPr>
          <w:trHeight w:val="376"/>
        </w:trPr>
        <w:tc>
          <w:tcPr>
            <w:tcW w:w="4039" w:type="dxa"/>
            <w:vMerge/>
            <w:tcBorders>
              <w:top w:val="nil"/>
              <w:left w:val="nil"/>
              <w:bottom w:val="single" w:sz="2" w:space="0" w:color="auto"/>
              <w:right w:val="nil"/>
            </w:tcBorders>
            <w:vAlign w:val="center"/>
          </w:tcPr>
          <w:p w:rsidR="00624767" w:rsidRPr="00532843" w:rsidRDefault="00624767" w:rsidP="00624767">
            <w:pPr>
              <w:spacing w:line="360" w:lineRule="auto"/>
              <w:rPr>
                <w:b/>
                <w:sz w:val="22"/>
                <w:szCs w:val="22"/>
              </w:rPr>
            </w:pPr>
          </w:p>
        </w:tc>
        <w:tc>
          <w:tcPr>
            <w:tcW w:w="1649" w:type="dxa"/>
            <w:tcBorders>
              <w:top w:val="nil"/>
              <w:left w:val="nil"/>
              <w:bottom w:val="single" w:sz="2" w:space="0" w:color="auto"/>
              <w:right w:val="nil"/>
            </w:tcBorders>
          </w:tcPr>
          <w:p w:rsidR="00624767" w:rsidRPr="00532843" w:rsidRDefault="00624767" w:rsidP="00624767">
            <w:pPr>
              <w:spacing w:line="360" w:lineRule="auto"/>
              <w:jc w:val="center"/>
              <w:rPr>
                <w:sz w:val="22"/>
                <w:szCs w:val="22"/>
              </w:rPr>
            </w:pPr>
            <w:r w:rsidRPr="00532843">
              <w:rPr>
                <w:sz w:val="22"/>
                <w:szCs w:val="22"/>
              </w:rPr>
              <w:t>Metformin</w:t>
            </w:r>
          </w:p>
        </w:tc>
        <w:tc>
          <w:tcPr>
            <w:tcW w:w="900" w:type="dxa"/>
            <w:tcBorders>
              <w:top w:val="nil"/>
              <w:left w:val="nil"/>
              <w:bottom w:val="single" w:sz="2" w:space="0" w:color="auto"/>
              <w:right w:val="nil"/>
            </w:tcBorders>
          </w:tcPr>
          <w:p w:rsidR="00624767" w:rsidRPr="00532843" w:rsidRDefault="00624767" w:rsidP="00624767">
            <w:pPr>
              <w:jc w:val="center"/>
              <w:rPr>
                <w:rFonts w:ascii="Arial" w:hAnsi="Arial" w:cs="Arial"/>
                <w:sz w:val="20"/>
                <w:szCs w:val="20"/>
              </w:rPr>
            </w:pPr>
            <w:r w:rsidRPr="00532843">
              <w:rPr>
                <w:rFonts w:ascii="Arial" w:hAnsi="Arial" w:cs="Arial"/>
                <w:sz w:val="20"/>
                <w:szCs w:val="20"/>
              </w:rPr>
              <w:t>0.78</w:t>
            </w:r>
          </w:p>
        </w:tc>
        <w:tc>
          <w:tcPr>
            <w:tcW w:w="900" w:type="dxa"/>
            <w:tcBorders>
              <w:top w:val="nil"/>
              <w:left w:val="nil"/>
              <w:bottom w:val="single" w:sz="2" w:space="0" w:color="auto"/>
              <w:right w:val="nil"/>
            </w:tcBorders>
          </w:tcPr>
          <w:p w:rsidR="00624767" w:rsidRPr="00532843" w:rsidRDefault="00624767" w:rsidP="00624767">
            <w:pPr>
              <w:jc w:val="center"/>
              <w:rPr>
                <w:rFonts w:ascii="Arial" w:hAnsi="Arial" w:cs="Arial"/>
                <w:sz w:val="20"/>
                <w:szCs w:val="20"/>
              </w:rPr>
            </w:pPr>
            <w:r w:rsidRPr="00532843">
              <w:rPr>
                <w:rFonts w:ascii="Arial" w:hAnsi="Arial" w:cs="Arial"/>
                <w:sz w:val="20"/>
                <w:szCs w:val="20"/>
              </w:rPr>
              <w:t>1</w:t>
            </w:r>
            <w:r>
              <w:rPr>
                <w:rFonts w:ascii="Arial" w:hAnsi="Arial" w:cs="Arial"/>
                <w:sz w:val="20"/>
                <w:szCs w:val="20"/>
              </w:rPr>
              <w:t>.19</w:t>
            </w:r>
          </w:p>
        </w:tc>
        <w:tc>
          <w:tcPr>
            <w:tcW w:w="900" w:type="dxa"/>
            <w:tcBorders>
              <w:top w:val="nil"/>
              <w:left w:val="nil"/>
              <w:bottom w:val="single" w:sz="2" w:space="0" w:color="auto"/>
              <w:right w:val="nil"/>
            </w:tcBorders>
          </w:tcPr>
          <w:p w:rsidR="00624767" w:rsidRPr="00532843" w:rsidRDefault="00624767" w:rsidP="00624767">
            <w:pPr>
              <w:jc w:val="center"/>
              <w:rPr>
                <w:rFonts w:ascii="Arial" w:hAnsi="Arial" w:cs="Arial"/>
                <w:sz w:val="20"/>
                <w:szCs w:val="20"/>
              </w:rPr>
            </w:pPr>
            <w:r w:rsidRPr="00532843">
              <w:rPr>
                <w:rFonts w:ascii="Arial" w:hAnsi="Arial" w:cs="Arial"/>
                <w:sz w:val="20"/>
                <w:szCs w:val="20"/>
              </w:rPr>
              <w:t>0.54</w:t>
            </w:r>
          </w:p>
        </w:tc>
        <w:tc>
          <w:tcPr>
            <w:tcW w:w="900" w:type="dxa"/>
            <w:tcBorders>
              <w:top w:val="nil"/>
              <w:left w:val="nil"/>
              <w:bottom w:val="single" w:sz="2" w:space="0" w:color="auto"/>
              <w:right w:val="nil"/>
            </w:tcBorders>
          </w:tcPr>
          <w:p w:rsidR="00624767" w:rsidRPr="00532843" w:rsidRDefault="00624767" w:rsidP="00624767">
            <w:pPr>
              <w:jc w:val="center"/>
              <w:rPr>
                <w:rFonts w:ascii="Arial" w:hAnsi="Arial" w:cs="Arial"/>
                <w:sz w:val="20"/>
                <w:szCs w:val="20"/>
              </w:rPr>
            </w:pPr>
            <w:r>
              <w:rPr>
                <w:rFonts w:ascii="Arial" w:hAnsi="Arial" w:cs="Arial"/>
                <w:sz w:val="20"/>
                <w:szCs w:val="20"/>
              </w:rPr>
              <w:t>1.84</w:t>
            </w:r>
          </w:p>
        </w:tc>
        <w:tc>
          <w:tcPr>
            <w:tcW w:w="1080" w:type="dxa"/>
            <w:tcBorders>
              <w:top w:val="nil"/>
              <w:left w:val="nil"/>
              <w:bottom w:val="single" w:sz="2" w:space="0" w:color="auto"/>
              <w:right w:val="nil"/>
            </w:tcBorders>
          </w:tcPr>
          <w:p w:rsidR="00624767" w:rsidRPr="00532843" w:rsidRDefault="00624767" w:rsidP="00624767">
            <w:pPr>
              <w:jc w:val="center"/>
              <w:rPr>
                <w:rFonts w:ascii="Arial" w:hAnsi="Arial" w:cs="Arial"/>
                <w:sz w:val="20"/>
                <w:szCs w:val="20"/>
              </w:rPr>
            </w:pPr>
            <w:r>
              <w:rPr>
                <w:rFonts w:ascii="Arial" w:hAnsi="Arial" w:cs="Arial"/>
                <w:sz w:val="20"/>
                <w:szCs w:val="20"/>
              </w:rPr>
              <w:t>3.02</w:t>
            </w:r>
          </w:p>
        </w:tc>
        <w:tc>
          <w:tcPr>
            <w:tcW w:w="1440" w:type="dxa"/>
            <w:vMerge/>
            <w:tcBorders>
              <w:top w:val="nil"/>
              <w:left w:val="nil"/>
              <w:bottom w:val="single" w:sz="2" w:space="0" w:color="auto"/>
              <w:right w:val="nil"/>
            </w:tcBorders>
            <w:vAlign w:val="center"/>
          </w:tcPr>
          <w:p w:rsidR="00624767" w:rsidRPr="00532843" w:rsidRDefault="00624767" w:rsidP="00624767">
            <w:pPr>
              <w:spacing w:line="360" w:lineRule="auto"/>
              <w:jc w:val="center"/>
              <w:rPr>
                <w:sz w:val="22"/>
                <w:szCs w:val="22"/>
              </w:rPr>
            </w:pPr>
          </w:p>
        </w:tc>
        <w:tc>
          <w:tcPr>
            <w:tcW w:w="1800" w:type="dxa"/>
            <w:vMerge/>
            <w:tcBorders>
              <w:left w:val="nil"/>
              <w:bottom w:val="single" w:sz="2" w:space="0" w:color="auto"/>
              <w:right w:val="nil"/>
            </w:tcBorders>
          </w:tcPr>
          <w:p w:rsidR="00624767" w:rsidRPr="00532843" w:rsidRDefault="00624767" w:rsidP="00624767">
            <w:pPr>
              <w:spacing w:line="360" w:lineRule="auto"/>
              <w:jc w:val="center"/>
              <w:rPr>
                <w:sz w:val="22"/>
                <w:szCs w:val="22"/>
              </w:rPr>
            </w:pPr>
          </w:p>
        </w:tc>
      </w:tr>
    </w:tbl>
    <w:p w:rsidR="00624767" w:rsidRPr="006C653B" w:rsidRDefault="00624767" w:rsidP="00624767">
      <w:pPr>
        <w:tabs>
          <w:tab w:val="right" w:pos="360"/>
          <w:tab w:val="left" w:pos="540"/>
        </w:tabs>
        <w:spacing w:line="480" w:lineRule="auto"/>
        <w:ind w:left="540" w:hanging="540"/>
        <w:rPr>
          <w:b/>
        </w:rPr>
      </w:pPr>
      <w:r>
        <w:br w:type="page"/>
      </w:r>
      <w:r>
        <w:rPr>
          <w:b/>
        </w:rPr>
        <w:t>B</w:t>
      </w:r>
      <w:r w:rsidRPr="006C653B">
        <w:rPr>
          <w:b/>
        </w:rPr>
        <w:t xml:space="preserve">. </w:t>
      </w:r>
      <w:r>
        <w:rPr>
          <w:b/>
        </w:rPr>
        <w:t>DIG</w:t>
      </w:r>
      <w:r w:rsidRPr="006C653B">
        <w:rPr>
          <w:b/>
        </w:rPr>
        <w:t xml:space="preserve"> Study</w:t>
      </w:r>
    </w:p>
    <w:tbl>
      <w:tblPr>
        <w:tblW w:w="13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894"/>
        <w:gridCol w:w="1794"/>
        <w:gridCol w:w="900"/>
        <w:gridCol w:w="900"/>
        <w:gridCol w:w="900"/>
        <w:gridCol w:w="900"/>
        <w:gridCol w:w="1080"/>
        <w:gridCol w:w="1440"/>
        <w:gridCol w:w="1800"/>
      </w:tblGrid>
      <w:tr w:rsidR="00624767" w:rsidRPr="00532843">
        <w:tc>
          <w:tcPr>
            <w:tcW w:w="3894" w:type="dxa"/>
            <w:tcBorders>
              <w:top w:val="single" w:sz="8" w:space="0" w:color="auto"/>
              <w:left w:val="nil"/>
              <w:bottom w:val="single" w:sz="8" w:space="0" w:color="auto"/>
              <w:right w:val="nil"/>
            </w:tcBorders>
            <w:vAlign w:val="center"/>
          </w:tcPr>
          <w:p w:rsidR="00624767" w:rsidRPr="00532843" w:rsidRDefault="00624767" w:rsidP="00624767">
            <w:pPr>
              <w:spacing w:line="360" w:lineRule="auto"/>
              <w:rPr>
                <w:b/>
                <w:sz w:val="22"/>
                <w:szCs w:val="22"/>
              </w:rPr>
            </w:pPr>
            <w:r w:rsidRPr="00532843">
              <w:rPr>
                <w:b/>
                <w:sz w:val="22"/>
                <w:szCs w:val="22"/>
              </w:rPr>
              <w:t>Parameter varied</w:t>
            </w:r>
          </w:p>
        </w:tc>
        <w:tc>
          <w:tcPr>
            <w:tcW w:w="1794" w:type="dxa"/>
            <w:tcBorders>
              <w:top w:val="single" w:sz="8" w:space="0" w:color="auto"/>
              <w:left w:val="nil"/>
              <w:bottom w:val="single" w:sz="8" w:space="0" w:color="auto"/>
              <w:right w:val="nil"/>
            </w:tcBorders>
            <w:vAlign w:val="center"/>
          </w:tcPr>
          <w:p w:rsidR="00624767" w:rsidRPr="00532843" w:rsidRDefault="00624767" w:rsidP="00624767">
            <w:pPr>
              <w:spacing w:line="360" w:lineRule="auto"/>
              <w:jc w:val="center"/>
              <w:rPr>
                <w:b/>
                <w:sz w:val="22"/>
                <w:szCs w:val="22"/>
              </w:rPr>
            </w:pPr>
            <w:r w:rsidRPr="00532843">
              <w:rPr>
                <w:b/>
                <w:sz w:val="22"/>
                <w:szCs w:val="22"/>
              </w:rPr>
              <w:t>Group</w:t>
            </w:r>
          </w:p>
        </w:tc>
        <w:tc>
          <w:tcPr>
            <w:tcW w:w="900" w:type="dxa"/>
            <w:tcBorders>
              <w:top w:val="single" w:sz="8" w:space="0" w:color="auto"/>
              <w:left w:val="nil"/>
              <w:bottom w:val="single" w:sz="8" w:space="0" w:color="auto"/>
              <w:right w:val="nil"/>
            </w:tcBorders>
            <w:vAlign w:val="center"/>
          </w:tcPr>
          <w:p w:rsidR="00624767" w:rsidRPr="00532843" w:rsidRDefault="00624767" w:rsidP="00624767">
            <w:pPr>
              <w:spacing w:line="360" w:lineRule="auto"/>
              <w:jc w:val="center"/>
              <w:rPr>
                <w:b/>
                <w:sz w:val="22"/>
                <w:szCs w:val="22"/>
              </w:rPr>
            </w:pPr>
            <w:r w:rsidRPr="00532843">
              <w:rPr>
                <w:b/>
                <w:sz w:val="22"/>
                <w:szCs w:val="22"/>
              </w:rPr>
              <w:t xml:space="preserve">Utility </w:t>
            </w:r>
          </w:p>
          <w:p w:rsidR="00624767" w:rsidRPr="00532843" w:rsidRDefault="00624767" w:rsidP="00624767">
            <w:pPr>
              <w:spacing w:line="360" w:lineRule="auto"/>
              <w:jc w:val="center"/>
              <w:rPr>
                <w:b/>
                <w:sz w:val="22"/>
                <w:szCs w:val="22"/>
              </w:rPr>
            </w:pPr>
            <w:r w:rsidRPr="00532843">
              <w:rPr>
                <w:b/>
                <w:sz w:val="22"/>
                <w:szCs w:val="22"/>
              </w:rPr>
              <w:t>H</w:t>
            </w:r>
            <w:r w:rsidRPr="00532843">
              <w:rPr>
                <w:b/>
                <w:sz w:val="22"/>
                <w:szCs w:val="22"/>
                <w:vertAlign w:val="subscript"/>
              </w:rPr>
              <w:t>1</w:t>
            </w:r>
          </w:p>
        </w:tc>
        <w:tc>
          <w:tcPr>
            <w:tcW w:w="900" w:type="dxa"/>
            <w:tcBorders>
              <w:top w:val="single" w:sz="8" w:space="0" w:color="auto"/>
              <w:left w:val="nil"/>
              <w:bottom w:val="single" w:sz="8" w:space="0" w:color="auto"/>
              <w:right w:val="nil"/>
            </w:tcBorders>
            <w:vAlign w:val="center"/>
          </w:tcPr>
          <w:p w:rsidR="00624767" w:rsidRPr="00532843" w:rsidRDefault="00624767" w:rsidP="00624767">
            <w:pPr>
              <w:spacing w:line="360" w:lineRule="auto"/>
              <w:jc w:val="center"/>
              <w:rPr>
                <w:b/>
                <w:sz w:val="22"/>
                <w:szCs w:val="22"/>
              </w:rPr>
            </w:pPr>
            <w:r w:rsidRPr="00532843">
              <w:rPr>
                <w:b/>
                <w:sz w:val="22"/>
                <w:szCs w:val="22"/>
              </w:rPr>
              <w:t>QALY</w:t>
            </w:r>
          </w:p>
          <w:p w:rsidR="00624767" w:rsidRPr="00532843" w:rsidRDefault="00624767" w:rsidP="00624767">
            <w:pPr>
              <w:spacing w:line="360" w:lineRule="auto"/>
              <w:jc w:val="center"/>
              <w:rPr>
                <w:b/>
                <w:sz w:val="22"/>
                <w:szCs w:val="22"/>
              </w:rPr>
            </w:pPr>
            <w:r w:rsidRPr="00532843">
              <w:rPr>
                <w:b/>
                <w:sz w:val="22"/>
                <w:szCs w:val="22"/>
              </w:rPr>
              <w:t>H</w:t>
            </w:r>
            <w:r w:rsidRPr="00532843">
              <w:rPr>
                <w:b/>
                <w:sz w:val="22"/>
                <w:szCs w:val="22"/>
                <w:vertAlign w:val="subscript"/>
              </w:rPr>
              <w:t>1</w:t>
            </w:r>
          </w:p>
        </w:tc>
        <w:tc>
          <w:tcPr>
            <w:tcW w:w="900" w:type="dxa"/>
            <w:tcBorders>
              <w:top w:val="single" w:sz="8" w:space="0" w:color="auto"/>
              <w:left w:val="nil"/>
              <w:bottom w:val="single" w:sz="8" w:space="0" w:color="auto"/>
              <w:right w:val="nil"/>
            </w:tcBorders>
            <w:vAlign w:val="center"/>
          </w:tcPr>
          <w:p w:rsidR="00624767" w:rsidRPr="00532843" w:rsidRDefault="00624767" w:rsidP="00624767">
            <w:pPr>
              <w:spacing w:line="360" w:lineRule="auto"/>
              <w:jc w:val="center"/>
              <w:rPr>
                <w:b/>
                <w:sz w:val="22"/>
                <w:szCs w:val="22"/>
              </w:rPr>
            </w:pPr>
            <w:r w:rsidRPr="00532843">
              <w:rPr>
                <w:b/>
                <w:sz w:val="22"/>
                <w:szCs w:val="22"/>
              </w:rPr>
              <w:t>Utility</w:t>
            </w:r>
          </w:p>
          <w:p w:rsidR="00624767" w:rsidRPr="00532843" w:rsidRDefault="00624767" w:rsidP="00624767">
            <w:pPr>
              <w:spacing w:line="360" w:lineRule="auto"/>
              <w:jc w:val="center"/>
              <w:rPr>
                <w:b/>
                <w:sz w:val="22"/>
                <w:szCs w:val="22"/>
              </w:rPr>
            </w:pPr>
            <w:r w:rsidRPr="00532843">
              <w:rPr>
                <w:b/>
                <w:sz w:val="22"/>
                <w:szCs w:val="22"/>
              </w:rPr>
              <w:t>H</w:t>
            </w:r>
            <w:r w:rsidRPr="00532843">
              <w:rPr>
                <w:b/>
                <w:sz w:val="22"/>
                <w:szCs w:val="22"/>
                <w:vertAlign w:val="subscript"/>
              </w:rPr>
              <w:t>2</w:t>
            </w:r>
          </w:p>
        </w:tc>
        <w:tc>
          <w:tcPr>
            <w:tcW w:w="900" w:type="dxa"/>
            <w:tcBorders>
              <w:top w:val="single" w:sz="8" w:space="0" w:color="auto"/>
              <w:left w:val="nil"/>
              <w:bottom w:val="single" w:sz="8" w:space="0" w:color="auto"/>
              <w:right w:val="nil"/>
            </w:tcBorders>
            <w:vAlign w:val="center"/>
          </w:tcPr>
          <w:p w:rsidR="00624767" w:rsidRPr="00532843" w:rsidRDefault="00624767" w:rsidP="00624767">
            <w:pPr>
              <w:spacing w:line="360" w:lineRule="auto"/>
              <w:jc w:val="center"/>
              <w:rPr>
                <w:b/>
                <w:sz w:val="22"/>
                <w:szCs w:val="22"/>
              </w:rPr>
            </w:pPr>
            <w:r w:rsidRPr="00532843">
              <w:rPr>
                <w:b/>
                <w:sz w:val="22"/>
                <w:szCs w:val="22"/>
              </w:rPr>
              <w:t>QALY</w:t>
            </w:r>
          </w:p>
          <w:p w:rsidR="00624767" w:rsidRPr="00532843" w:rsidRDefault="00624767" w:rsidP="00624767">
            <w:pPr>
              <w:spacing w:line="360" w:lineRule="auto"/>
              <w:jc w:val="center"/>
              <w:rPr>
                <w:b/>
                <w:sz w:val="22"/>
                <w:szCs w:val="22"/>
              </w:rPr>
            </w:pPr>
            <w:r w:rsidRPr="00532843">
              <w:rPr>
                <w:b/>
                <w:sz w:val="22"/>
                <w:szCs w:val="22"/>
              </w:rPr>
              <w:t>H</w:t>
            </w:r>
            <w:r w:rsidRPr="00532843">
              <w:rPr>
                <w:b/>
                <w:sz w:val="22"/>
                <w:szCs w:val="22"/>
                <w:vertAlign w:val="subscript"/>
              </w:rPr>
              <w:t>2</w:t>
            </w:r>
          </w:p>
        </w:tc>
        <w:tc>
          <w:tcPr>
            <w:tcW w:w="1080" w:type="dxa"/>
            <w:tcBorders>
              <w:top w:val="single" w:sz="8" w:space="0" w:color="auto"/>
              <w:left w:val="nil"/>
              <w:bottom w:val="single" w:sz="8" w:space="0" w:color="auto"/>
              <w:right w:val="nil"/>
            </w:tcBorders>
            <w:vAlign w:val="center"/>
          </w:tcPr>
          <w:p w:rsidR="00624767" w:rsidRPr="00532843" w:rsidRDefault="00624767" w:rsidP="00624767">
            <w:pPr>
              <w:spacing w:line="360" w:lineRule="auto"/>
              <w:jc w:val="center"/>
              <w:rPr>
                <w:b/>
                <w:sz w:val="22"/>
                <w:szCs w:val="22"/>
              </w:rPr>
            </w:pPr>
            <w:r w:rsidRPr="00532843">
              <w:rPr>
                <w:b/>
                <w:sz w:val="22"/>
                <w:szCs w:val="22"/>
              </w:rPr>
              <w:t>Total QALYs</w:t>
            </w:r>
          </w:p>
        </w:tc>
        <w:tc>
          <w:tcPr>
            <w:tcW w:w="1440" w:type="dxa"/>
            <w:tcBorders>
              <w:top w:val="single" w:sz="8" w:space="0" w:color="auto"/>
              <w:left w:val="nil"/>
              <w:bottom w:val="single" w:sz="8" w:space="0" w:color="auto"/>
              <w:right w:val="nil"/>
            </w:tcBorders>
            <w:vAlign w:val="center"/>
          </w:tcPr>
          <w:p w:rsidR="00624767" w:rsidRPr="00532843" w:rsidRDefault="00624767" w:rsidP="00624767">
            <w:pPr>
              <w:spacing w:line="360" w:lineRule="auto"/>
              <w:jc w:val="center"/>
              <w:rPr>
                <w:b/>
                <w:sz w:val="22"/>
                <w:szCs w:val="22"/>
              </w:rPr>
            </w:pPr>
            <w:r w:rsidRPr="00532843">
              <w:rPr>
                <w:b/>
                <w:sz w:val="22"/>
                <w:szCs w:val="22"/>
              </w:rPr>
              <w:t>Difference in Total QALYs</w:t>
            </w:r>
          </w:p>
        </w:tc>
        <w:tc>
          <w:tcPr>
            <w:tcW w:w="1800" w:type="dxa"/>
            <w:tcBorders>
              <w:top w:val="single" w:sz="8" w:space="0" w:color="auto"/>
              <w:left w:val="nil"/>
              <w:bottom w:val="single" w:sz="8" w:space="0" w:color="auto"/>
              <w:right w:val="nil"/>
            </w:tcBorders>
          </w:tcPr>
          <w:p w:rsidR="00624767" w:rsidRPr="00532843" w:rsidRDefault="00624767" w:rsidP="00624767">
            <w:pPr>
              <w:spacing w:line="360" w:lineRule="auto"/>
              <w:jc w:val="center"/>
              <w:rPr>
                <w:b/>
                <w:sz w:val="22"/>
                <w:szCs w:val="22"/>
              </w:rPr>
            </w:pPr>
            <w:r w:rsidRPr="00532843">
              <w:rPr>
                <w:b/>
                <w:sz w:val="22"/>
                <w:szCs w:val="22"/>
              </w:rPr>
              <w:t>Difference from Standard Analysis (%)</w:t>
            </w:r>
          </w:p>
        </w:tc>
      </w:tr>
      <w:tr w:rsidR="00624767" w:rsidRPr="00532843">
        <w:trPr>
          <w:trHeight w:val="277"/>
        </w:trPr>
        <w:tc>
          <w:tcPr>
            <w:tcW w:w="3894" w:type="dxa"/>
            <w:vMerge w:val="restart"/>
            <w:tcBorders>
              <w:top w:val="single" w:sz="8" w:space="0" w:color="auto"/>
              <w:left w:val="nil"/>
              <w:bottom w:val="single" w:sz="2" w:space="0" w:color="auto"/>
              <w:right w:val="nil"/>
            </w:tcBorders>
            <w:vAlign w:val="center"/>
          </w:tcPr>
          <w:p w:rsidR="00624767" w:rsidRPr="00532843" w:rsidRDefault="00624767" w:rsidP="00624767">
            <w:pPr>
              <w:spacing w:line="360" w:lineRule="auto"/>
              <w:rPr>
                <w:b/>
                <w:sz w:val="22"/>
                <w:szCs w:val="22"/>
              </w:rPr>
            </w:pPr>
            <w:r w:rsidRPr="00532843">
              <w:rPr>
                <w:b/>
                <w:sz w:val="22"/>
                <w:szCs w:val="22"/>
              </w:rPr>
              <w:t>Base Case</w:t>
            </w:r>
          </w:p>
        </w:tc>
        <w:tc>
          <w:tcPr>
            <w:tcW w:w="1794" w:type="dxa"/>
            <w:tcBorders>
              <w:top w:val="single" w:sz="8" w:space="0" w:color="auto"/>
              <w:left w:val="nil"/>
              <w:bottom w:val="nil"/>
              <w:right w:val="nil"/>
            </w:tcBorders>
          </w:tcPr>
          <w:p w:rsidR="00624767" w:rsidRPr="00532843" w:rsidRDefault="00624767" w:rsidP="00624767">
            <w:pPr>
              <w:spacing w:line="360" w:lineRule="auto"/>
              <w:jc w:val="center"/>
              <w:rPr>
                <w:rFonts w:ascii="Arial" w:hAnsi="Arial" w:cs="Arial"/>
                <w:sz w:val="20"/>
                <w:szCs w:val="20"/>
              </w:rPr>
            </w:pPr>
            <w:r w:rsidRPr="00532843">
              <w:rPr>
                <w:rFonts w:ascii="Arial" w:hAnsi="Arial" w:cs="Arial"/>
                <w:sz w:val="20"/>
                <w:szCs w:val="20"/>
              </w:rPr>
              <w:t>Placebo</w:t>
            </w:r>
          </w:p>
        </w:tc>
        <w:tc>
          <w:tcPr>
            <w:tcW w:w="900" w:type="dxa"/>
            <w:tcBorders>
              <w:top w:val="single" w:sz="8" w:space="0" w:color="auto"/>
              <w:left w:val="nil"/>
              <w:bottom w:val="nil"/>
              <w:right w:val="nil"/>
            </w:tcBorders>
          </w:tcPr>
          <w:p w:rsidR="00624767" w:rsidRPr="00532843" w:rsidRDefault="00624767" w:rsidP="00624767">
            <w:pPr>
              <w:spacing w:line="360" w:lineRule="auto"/>
              <w:jc w:val="center"/>
              <w:rPr>
                <w:rFonts w:ascii="Arial" w:hAnsi="Arial" w:cs="Arial"/>
                <w:sz w:val="20"/>
                <w:szCs w:val="20"/>
              </w:rPr>
            </w:pPr>
            <w:r w:rsidRPr="00532843">
              <w:rPr>
                <w:rFonts w:ascii="Arial" w:hAnsi="Arial" w:cs="Arial"/>
                <w:sz w:val="20"/>
                <w:szCs w:val="20"/>
              </w:rPr>
              <w:t>0.81</w:t>
            </w:r>
          </w:p>
        </w:tc>
        <w:tc>
          <w:tcPr>
            <w:tcW w:w="900" w:type="dxa"/>
            <w:tcBorders>
              <w:top w:val="single" w:sz="8" w:space="0" w:color="auto"/>
              <w:left w:val="nil"/>
              <w:bottom w:val="nil"/>
              <w:right w:val="nil"/>
            </w:tcBorders>
          </w:tcPr>
          <w:p w:rsidR="00624767" w:rsidRPr="00532843" w:rsidRDefault="00624767" w:rsidP="00624767">
            <w:pPr>
              <w:spacing w:line="360" w:lineRule="auto"/>
              <w:jc w:val="center"/>
              <w:rPr>
                <w:rFonts w:ascii="Arial" w:hAnsi="Arial" w:cs="Arial"/>
                <w:sz w:val="20"/>
                <w:szCs w:val="20"/>
              </w:rPr>
            </w:pPr>
            <w:r w:rsidRPr="00532843">
              <w:rPr>
                <w:rFonts w:ascii="Arial" w:hAnsi="Arial" w:cs="Arial"/>
                <w:sz w:val="20"/>
                <w:szCs w:val="20"/>
              </w:rPr>
              <w:t>2.6</w:t>
            </w:r>
            <w:r>
              <w:rPr>
                <w:rFonts w:ascii="Arial" w:hAnsi="Arial" w:cs="Arial"/>
                <w:sz w:val="20"/>
                <w:szCs w:val="20"/>
              </w:rPr>
              <w:t>9</w:t>
            </w:r>
          </w:p>
        </w:tc>
        <w:tc>
          <w:tcPr>
            <w:tcW w:w="900" w:type="dxa"/>
            <w:tcBorders>
              <w:top w:val="single" w:sz="8" w:space="0" w:color="auto"/>
              <w:left w:val="nil"/>
              <w:bottom w:val="nil"/>
              <w:right w:val="nil"/>
            </w:tcBorders>
          </w:tcPr>
          <w:p w:rsidR="00624767" w:rsidRPr="00532843" w:rsidRDefault="00624767" w:rsidP="00624767">
            <w:pPr>
              <w:spacing w:line="360" w:lineRule="auto"/>
              <w:jc w:val="center"/>
              <w:rPr>
                <w:rFonts w:ascii="Arial" w:hAnsi="Arial" w:cs="Arial"/>
                <w:sz w:val="20"/>
                <w:szCs w:val="20"/>
              </w:rPr>
            </w:pPr>
            <w:r w:rsidRPr="00532843">
              <w:rPr>
                <w:rFonts w:ascii="Arial" w:hAnsi="Arial" w:cs="Arial"/>
                <w:sz w:val="20"/>
                <w:szCs w:val="20"/>
              </w:rPr>
              <w:t>0.57</w:t>
            </w:r>
          </w:p>
        </w:tc>
        <w:tc>
          <w:tcPr>
            <w:tcW w:w="900" w:type="dxa"/>
            <w:tcBorders>
              <w:top w:val="single" w:sz="8" w:space="0" w:color="auto"/>
              <w:left w:val="nil"/>
              <w:bottom w:val="nil"/>
              <w:right w:val="nil"/>
            </w:tcBorders>
          </w:tcPr>
          <w:p w:rsidR="00624767" w:rsidRPr="00532843" w:rsidRDefault="00624767" w:rsidP="00624767">
            <w:pPr>
              <w:spacing w:line="360" w:lineRule="auto"/>
              <w:jc w:val="center"/>
              <w:rPr>
                <w:rFonts w:ascii="Arial" w:hAnsi="Arial" w:cs="Arial"/>
                <w:sz w:val="20"/>
                <w:szCs w:val="20"/>
              </w:rPr>
            </w:pPr>
            <w:r w:rsidRPr="00532843">
              <w:rPr>
                <w:rFonts w:ascii="Arial" w:hAnsi="Arial" w:cs="Arial"/>
                <w:sz w:val="20"/>
                <w:szCs w:val="20"/>
              </w:rPr>
              <w:t>0.</w:t>
            </w:r>
            <w:r>
              <w:rPr>
                <w:rFonts w:ascii="Arial" w:hAnsi="Arial" w:cs="Arial"/>
                <w:sz w:val="20"/>
                <w:szCs w:val="20"/>
              </w:rPr>
              <w:t>58</w:t>
            </w:r>
          </w:p>
        </w:tc>
        <w:tc>
          <w:tcPr>
            <w:tcW w:w="1080" w:type="dxa"/>
            <w:tcBorders>
              <w:top w:val="single" w:sz="8" w:space="0" w:color="auto"/>
              <w:left w:val="nil"/>
              <w:bottom w:val="nil"/>
              <w:right w:val="nil"/>
            </w:tcBorders>
          </w:tcPr>
          <w:p w:rsidR="00624767" w:rsidRPr="00532843" w:rsidRDefault="00624767" w:rsidP="00624767">
            <w:pPr>
              <w:spacing w:line="360" w:lineRule="auto"/>
              <w:jc w:val="center"/>
              <w:rPr>
                <w:rFonts w:ascii="Arial" w:hAnsi="Arial" w:cs="Arial"/>
                <w:sz w:val="20"/>
                <w:szCs w:val="20"/>
              </w:rPr>
            </w:pPr>
            <w:r w:rsidRPr="00532843">
              <w:rPr>
                <w:rFonts w:ascii="Arial" w:hAnsi="Arial" w:cs="Arial"/>
                <w:sz w:val="20"/>
                <w:szCs w:val="20"/>
              </w:rPr>
              <w:t>3.</w:t>
            </w:r>
            <w:r>
              <w:rPr>
                <w:rFonts w:ascii="Arial" w:hAnsi="Arial" w:cs="Arial"/>
                <w:sz w:val="20"/>
                <w:szCs w:val="20"/>
              </w:rPr>
              <w:t>27</w:t>
            </w:r>
          </w:p>
        </w:tc>
        <w:tc>
          <w:tcPr>
            <w:tcW w:w="1440" w:type="dxa"/>
            <w:vMerge w:val="restart"/>
            <w:tcBorders>
              <w:top w:val="single" w:sz="8" w:space="0" w:color="auto"/>
              <w:left w:val="nil"/>
              <w:bottom w:val="nil"/>
              <w:right w:val="nil"/>
            </w:tcBorders>
            <w:vAlign w:val="center"/>
          </w:tcPr>
          <w:p w:rsidR="00624767" w:rsidRPr="00532843" w:rsidRDefault="00624767" w:rsidP="00624767">
            <w:pPr>
              <w:spacing w:line="360" w:lineRule="auto"/>
              <w:jc w:val="center"/>
              <w:rPr>
                <w:rFonts w:ascii="Arial" w:hAnsi="Arial" w:cs="Arial"/>
                <w:sz w:val="20"/>
                <w:szCs w:val="20"/>
              </w:rPr>
            </w:pPr>
            <w:r w:rsidRPr="00532843">
              <w:rPr>
                <w:rFonts w:ascii="Arial" w:hAnsi="Arial" w:cs="Arial"/>
                <w:sz w:val="20"/>
                <w:szCs w:val="20"/>
              </w:rPr>
              <w:t>0.1</w:t>
            </w:r>
            <w:r>
              <w:rPr>
                <w:rFonts w:ascii="Arial" w:hAnsi="Arial" w:cs="Arial"/>
                <w:sz w:val="20"/>
                <w:szCs w:val="20"/>
              </w:rPr>
              <w:t>4</w:t>
            </w:r>
          </w:p>
        </w:tc>
        <w:tc>
          <w:tcPr>
            <w:tcW w:w="1800" w:type="dxa"/>
            <w:vMerge w:val="restart"/>
            <w:tcBorders>
              <w:top w:val="single" w:sz="8" w:space="0" w:color="auto"/>
              <w:left w:val="nil"/>
              <w:right w:val="nil"/>
            </w:tcBorders>
            <w:vAlign w:val="center"/>
          </w:tcPr>
          <w:p w:rsidR="00624767" w:rsidRPr="00532843" w:rsidRDefault="00624767" w:rsidP="00624767">
            <w:pPr>
              <w:spacing w:line="360" w:lineRule="auto"/>
              <w:jc w:val="center"/>
              <w:rPr>
                <w:rFonts w:ascii="Arial" w:hAnsi="Arial" w:cs="Arial"/>
                <w:sz w:val="20"/>
                <w:szCs w:val="20"/>
              </w:rPr>
            </w:pPr>
            <w:r w:rsidRPr="00532843">
              <w:rPr>
                <w:rFonts w:ascii="Arial" w:hAnsi="Arial" w:cs="Arial"/>
                <w:sz w:val="20"/>
                <w:szCs w:val="20"/>
              </w:rPr>
              <w:t>4</w:t>
            </w:r>
            <w:r>
              <w:rPr>
                <w:rFonts w:ascii="Arial" w:hAnsi="Arial" w:cs="Arial"/>
                <w:sz w:val="20"/>
                <w:szCs w:val="20"/>
              </w:rPr>
              <w:t>0</w:t>
            </w:r>
          </w:p>
        </w:tc>
      </w:tr>
      <w:tr w:rsidR="00624767" w:rsidRPr="00532843">
        <w:trPr>
          <w:trHeight w:val="276"/>
        </w:trPr>
        <w:tc>
          <w:tcPr>
            <w:tcW w:w="3894" w:type="dxa"/>
            <w:vMerge/>
            <w:tcBorders>
              <w:top w:val="nil"/>
              <w:left w:val="nil"/>
              <w:bottom w:val="single" w:sz="2" w:space="0" w:color="auto"/>
              <w:right w:val="nil"/>
            </w:tcBorders>
            <w:vAlign w:val="center"/>
          </w:tcPr>
          <w:p w:rsidR="00624767" w:rsidRPr="00532843" w:rsidRDefault="00624767" w:rsidP="00624767">
            <w:pPr>
              <w:spacing w:line="360" w:lineRule="auto"/>
              <w:rPr>
                <w:b/>
                <w:sz w:val="22"/>
                <w:szCs w:val="22"/>
              </w:rPr>
            </w:pPr>
          </w:p>
        </w:tc>
        <w:tc>
          <w:tcPr>
            <w:tcW w:w="1794" w:type="dxa"/>
            <w:tcBorders>
              <w:top w:val="nil"/>
              <w:left w:val="nil"/>
              <w:bottom w:val="single" w:sz="2" w:space="0" w:color="auto"/>
              <w:right w:val="nil"/>
            </w:tcBorders>
          </w:tcPr>
          <w:p w:rsidR="00624767" w:rsidRPr="00532843" w:rsidRDefault="00624767" w:rsidP="00624767">
            <w:pPr>
              <w:spacing w:line="360" w:lineRule="auto"/>
              <w:jc w:val="center"/>
              <w:rPr>
                <w:rFonts w:ascii="Arial" w:hAnsi="Arial" w:cs="Arial"/>
                <w:sz w:val="20"/>
                <w:szCs w:val="20"/>
              </w:rPr>
            </w:pPr>
            <w:r w:rsidRPr="00532843">
              <w:rPr>
                <w:rFonts w:ascii="Arial" w:hAnsi="Arial" w:cs="Arial"/>
                <w:sz w:val="20"/>
                <w:szCs w:val="20"/>
              </w:rPr>
              <w:t>Digoxin</w:t>
            </w:r>
          </w:p>
        </w:tc>
        <w:tc>
          <w:tcPr>
            <w:tcW w:w="900" w:type="dxa"/>
            <w:tcBorders>
              <w:top w:val="nil"/>
              <w:left w:val="nil"/>
              <w:bottom w:val="single" w:sz="2" w:space="0" w:color="auto"/>
              <w:right w:val="nil"/>
            </w:tcBorders>
          </w:tcPr>
          <w:p w:rsidR="00624767" w:rsidRPr="00532843" w:rsidRDefault="00624767" w:rsidP="00624767">
            <w:pPr>
              <w:spacing w:line="360" w:lineRule="auto"/>
              <w:jc w:val="center"/>
              <w:rPr>
                <w:rFonts w:ascii="Arial" w:hAnsi="Arial" w:cs="Arial"/>
                <w:sz w:val="20"/>
                <w:szCs w:val="20"/>
              </w:rPr>
            </w:pPr>
            <w:r w:rsidRPr="00532843">
              <w:rPr>
                <w:rFonts w:ascii="Arial" w:hAnsi="Arial" w:cs="Arial"/>
                <w:sz w:val="20"/>
                <w:szCs w:val="20"/>
              </w:rPr>
              <w:t>0.81</w:t>
            </w:r>
          </w:p>
        </w:tc>
        <w:tc>
          <w:tcPr>
            <w:tcW w:w="900" w:type="dxa"/>
            <w:tcBorders>
              <w:top w:val="nil"/>
              <w:left w:val="nil"/>
              <w:bottom w:val="single" w:sz="2" w:space="0" w:color="auto"/>
              <w:right w:val="nil"/>
            </w:tcBorders>
          </w:tcPr>
          <w:p w:rsidR="00624767" w:rsidRPr="00532843" w:rsidRDefault="00624767" w:rsidP="00624767">
            <w:pPr>
              <w:spacing w:line="360" w:lineRule="auto"/>
              <w:jc w:val="center"/>
              <w:rPr>
                <w:rFonts w:ascii="Arial" w:hAnsi="Arial" w:cs="Arial"/>
                <w:sz w:val="20"/>
                <w:szCs w:val="20"/>
              </w:rPr>
            </w:pPr>
            <w:r w:rsidRPr="00532843">
              <w:rPr>
                <w:rFonts w:ascii="Arial" w:hAnsi="Arial" w:cs="Arial"/>
                <w:sz w:val="20"/>
                <w:szCs w:val="20"/>
              </w:rPr>
              <w:t>2.</w:t>
            </w:r>
            <w:r>
              <w:rPr>
                <w:rFonts w:ascii="Arial" w:hAnsi="Arial" w:cs="Arial"/>
                <w:sz w:val="20"/>
                <w:szCs w:val="20"/>
              </w:rPr>
              <w:t>96</w:t>
            </w:r>
          </w:p>
        </w:tc>
        <w:tc>
          <w:tcPr>
            <w:tcW w:w="900" w:type="dxa"/>
            <w:tcBorders>
              <w:top w:val="nil"/>
              <w:left w:val="nil"/>
              <w:bottom w:val="single" w:sz="2" w:space="0" w:color="auto"/>
              <w:right w:val="nil"/>
            </w:tcBorders>
          </w:tcPr>
          <w:p w:rsidR="00624767" w:rsidRPr="00532843" w:rsidRDefault="00624767" w:rsidP="00624767">
            <w:pPr>
              <w:spacing w:line="360" w:lineRule="auto"/>
              <w:jc w:val="center"/>
              <w:rPr>
                <w:rFonts w:ascii="Arial" w:hAnsi="Arial" w:cs="Arial"/>
                <w:sz w:val="20"/>
                <w:szCs w:val="20"/>
              </w:rPr>
            </w:pPr>
            <w:r w:rsidRPr="00532843">
              <w:rPr>
                <w:rFonts w:ascii="Arial" w:hAnsi="Arial" w:cs="Arial"/>
                <w:sz w:val="20"/>
                <w:szCs w:val="20"/>
              </w:rPr>
              <w:t>0.57</w:t>
            </w:r>
          </w:p>
        </w:tc>
        <w:tc>
          <w:tcPr>
            <w:tcW w:w="900" w:type="dxa"/>
            <w:tcBorders>
              <w:top w:val="nil"/>
              <w:left w:val="nil"/>
              <w:bottom w:val="single" w:sz="2" w:space="0" w:color="auto"/>
              <w:right w:val="nil"/>
            </w:tcBorders>
          </w:tcPr>
          <w:p w:rsidR="00624767" w:rsidRPr="00532843" w:rsidRDefault="00624767" w:rsidP="00624767">
            <w:pPr>
              <w:spacing w:line="360" w:lineRule="auto"/>
              <w:jc w:val="center"/>
              <w:rPr>
                <w:rFonts w:ascii="Arial" w:hAnsi="Arial" w:cs="Arial"/>
                <w:sz w:val="20"/>
                <w:szCs w:val="20"/>
              </w:rPr>
            </w:pPr>
            <w:r w:rsidRPr="00532843">
              <w:rPr>
                <w:rFonts w:ascii="Arial" w:hAnsi="Arial" w:cs="Arial"/>
                <w:sz w:val="20"/>
                <w:szCs w:val="20"/>
              </w:rPr>
              <w:t>0.4</w:t>
            </w:r>
            <w:r>
              <w:rPr>
                <w:rFonts w:ascii="Arial" w:hAnsi="Arial" w:cs="Arial"/>
                <w:sz w:val="20"/>
                <w:szCs w:val="20"/>
              </w:rPr>
              <w:t>4</w:t>
            </w:r>
          </w:p>
        </w:tc>
        <w:tc>
          <w:tcPr>
            <w:tcW w:w="1080" w:type="dxa"/>
            <w:tcBorders>
              <w:top w:val="nil"/>
              <w:left w:val="nil"/>
              <w:bottom w:val="single" w:sz="2" w:space="0" w:color="auto"/>
              <w:right w:val="nil"/>
            </w:tcBorders>
          </w:tcPr>
          <w:p w:rsidR="00624767" w:rsidRPr="00532843" w:rsidRDefault="00624767" w:rsidP="00624767">
            <w:pPr>
              <w:spacing w:line="360" w:lineRule="auto"/>
              <w:jc w:val="center"/>
              <w:rPr>
                <w:rFonts w:ascii="Arial" w:hAnsi="Arial" w:cs="Arial"/>
                <w:sz w:val="20"/>
                <w:szCs w:val="20"/>
              </w:rPr>
            </w:pPr>
            <w:r w:rsidRPr="00532843">
              <w:rPr>
                <w:rFonts w:ascii="Arial" w:hAnsi="Arial" w:cs="Arial"/>
                <w:sz w:val="20"/>
                <w:szCs w:val="20"/>
              </w:rPr>
              <w:t>3.</w:t>
            </w:r>
            <w:r>
              <w:rPr>
                <w:rFonts w:ascii="Arial" w:hAnsi="Arial" w:cs="Arial"/>
                <w:sz w:val="20"/>
                <w:szCs w:val="20"/>
              </w:rPr>
              <w:t>41</w:t>
            </w:r>
          </w:p>
        </w:tc>
        <w:tc>
          <w:tcPr>
            <w:tcW w:w="1440" w:type="dxa"/>
            <w:vMerge/>
            <w:tcBorders>
              <w:top w:val="nil"/>
              <w:left w:val="nil"/>
              <w:bottom w:val="single" w:sz="2" w:space="0" w:color="auto"/>
              <w:right w:val="nil"/>
            </w:tcBorders>
            <w:vAlign w:val="center"/>
          </w:tcPr>
          <w:p w:rsidR="00624767" w:rsidRPr="00532843" w:rsidRDefault="00624767" w:rsidP="00624767">
            <w:pPr>
              <w:spacing w:line="360" w:lineRule="auto"/>
              <w:jc w:val="center"/>
              <w:rPr>
                <w:sz w:val="22"/>
                <w:szCs w:val="22"/>
              </w:rPr>
            </w:pPr>
          </w:p>
        </w:tc>
        <w:tc>
          <w:tcPr>
            <w:tcW w:w="1800" w:type="dxa"/>
            <w:vMerge/>
            <w:tcBorders>
              <w:left w:val="nil"/>
              <w:bottom w:val="single" w:sz="2" w:space="0" w:color="auto"/>
              <w:right w:val="nil"/>
            </w:tcBorders>
            <w:vAlign w:val="center"/>
          </w:tcPr>
          <w:p w:rsidR="00624767" w:rsidRPr="00532843" w:rsidRDefault="00624767" w:rsidP="00624767">
            <w:pPr>
              <w:spacing w:line="360" w:lineRule="auto"/>
              <w:jc w:val="center"/>
              <w:rPr>
                <w:sz w:val="22"/>
                <w:szCs w:val="22"/>
              </w:rPr>
            </w:pPr>
          </w:p>
        </w:tc>
      </w:tr>
      <w:tr w:rsidR="00624767" w:rsidRPr="00532843">
        <w:trPr>
          <w:trHeight w:val="277"/>
        </w:trPr>
        <w:tc>
          <w:tcPr>
            <w:tcW w:w="3894" w:type="dxa"/>
            <w:vMerge w:val="restart"/>
            <w:tcBorders>
              <w:top w:val="single" w:sz="2" w:space="0" w:color="auto"/>
              <w:left w:val="nil"/>
              <w:bottom w:val="single" w:sz="2" w:space="0" w:color="auto"/>
              <w:right w:val="nil"/>
            </w:tcBorders>
            <w:vAlign w:val="center"/>
          </w:tcPr>
          <w:p w:rsidR="00624767" w:rsidRPr="00532843" w:rsidRDefault="00624767" w:rsidP="00624767">
            <w:pPr>
              <w:spacing w:line="360" w:lineRule="auto"/>
              <w:rPr>
                <w:b/>
                <w:sz w:val="22"/>
                <w:szCs w:val="22"/>
              </w:rPr>
            </w:pPr>
            <w:r w:rsidRPr="00532843">
              <w:rPr>
                <w:b/>
                <w:sz w:val="22"/>
                <w:szCs w:val="22"/>
              </w:rPr>
              <w:t>H</w:t>
            </w:r>
            <w:r w:rsidRPr="00532843">
              <w:rPr>
                <w:b/>
                <w:sz w:val="22"/>
                <w:szCs w:val="22"/>
                <w:vertAlign w:val="subscript"/>
              </w:rPr>
              <w:t>1</w:t>
            </w:r>
            <w:r w:rsidRPr="00532843">
              <w:rPr>
                <w:b/>
                <w:sz w:val="22"/>
                <w:szCs w:val="22"/>
              </w:rPr>
              <w:t xml:space="preserve"> increased 0.03; H</w:t>
            </w:r>
            <w:r w:rsidRPr="00532843">
              <w:rPr>
                <w:b/>
                <w:sz w:val="22"/>
                <w:szCs w:val="22"/>
                <w:vertAlign w:val="subscript"/>
              </w:rPr>
              <w:t>2</w:t>
            </w:r>
            <w:r w:rsidRPr="00532843">
              <w:rPr>
                <w:b/>
                <w:sz w:val="22"/>
                <w:szCs w:val="22"/>
              </w:rPr>
              <w:t xml:space="preserve"> base</w:t>
            </w:r>
          </w:p>
        </w:tc>
        <w:tc>
          <w:tcPr>
            <w:tcW w:w="1794" w:type="dxa"/>
            <w:tcBorders>
              <w:top w:val="single" w:sz="2" w:space="0" w:color="auto"/>
              <w:left w:val="nil"/>
              <w:bottom w:val="nil"/>
              <w:right w:val="nil"/>
            </w:tcBorders>
          </w:tcPr>
          <w:p w:rsidR="00624767" w:rsidRPr="00532843" w:rsidRDefault="00624767" w:rsidP="00624767">
            <w:pPr>
              <w:spacing w:line="360" w:lineRule="auto"/>
              <w:jc w:val="center"/>
              <w:rPr>
                <w:rFonts w:ascii="Arial" w:hAnsi="Arial" w:cs="Arial"/>
                <w:sz w:val="20"/>
                <w:szCs w:val="20"/>
              </w:rPr>
            </w:pPr>
            <w:r w:rsidRPr="00532843">
              <w:rPr>
                <w:rFonts w:ascii="Arial" w:hAnsi="Arial" w:cs="Arial"/>
                <w:sz w:val="20"/>
                <w:szCs w:val="20"/>
              </w:rPr>
              <w:t>Placebo</w:t>
            </w:r>
          </w:p>
        </w:tc>
        <w:tc>
          <w:tcPr>
            <w:tcW w:w="900" w:type="dxa"/>
            <w:tcBorders>
              <w:top w:val="single" w:sz="2" w:space="0" w:color="auto"/>
              <w:left w:val="nil"/>
              <w:bottom w:val="nil"/>
              <w:right w:val="nil"/>
            </w:tcBorders>
          </w:tcPr>
          <w:p w:rsidR="00624767" w:rsidRPr="00532843" w:rsidRDefault="00624767" w:rsidP="00624767">
            <w:pPr>
              <w:spacing w:line="360" w:lineRule="auto"/>
              <w:jc w:val="center"/>
              <w:rPr>
                <w:rFonts w:ascii="Arial" w:hAnsi="Arial" w:cs="Arial"/>
                <w:sz w:val="20"/>
                <w:szCs w:val="20"/>
              </w:rPr>
            </w:pPr>
            <w:r w:rsidRPr="00532843">
              <w:rPr>
                <w:rFonts w:ascii="Arial" w:hAnsi="Arial" w:cs="Arial"/>
                <w:sz w:val="20"/>
                <w:szCs w:val="20"/>
              </w:rPr>
              <w:t>0.84</w:t>
            </w:r>
          </w:p>
        </w:tc>
        <w:tc>
          <w:tcPr>
            <w:tcW w:w="900" w:type="dxa"/>
            <w:tcBorders>
              <w:top w:val="single" w:sz="2" w:space="0" w:color="auto"/>
              <w:left w:val="nil"/>
              <w:bottom w:val="nil"/>
              <w:right w:val="nil"/>
            </w:tcBorders>
          </w:tcPr>
          <w:p w:rsidR="00624767" w:rsidRPr="00532843" w:rsidRDefault="00624767" w:rsidP="00624767">
            <w:pPr>
              <w:spacing w:line="360" w:lineRule="auto"/>
              <w:jc w:val="center"/>
              <w:rPr>
                <w:rFonts w:ascii="Arial" w:hAnsi="Arial" w:cs="Arial"/>
                <w:sz w:val="20"/>
                <w:szCs w:val="20"/>
              </w:rPr>
            </w:pPr>
            <w:r w:rsidRPr="00532843">
              <w:rPr>
                <w:rFonts w:ascii="Arial" w:hAnsi="Arial" w:cs="Arial"/>
                <w:sz w:val="20"/>
                <w:szCs w:val="20"/>
              </w:rPr>
              <w:t>2.</w:t>
            </w:r>
            <w:r>
              <w:rPr>
                <w:rFonts w:ascii="Arial" w:hAnsi="Arial" w:cs="Arial"/>
                <w:sz w:val="20"/>
                <w:szCs w:val="20"/>
              </w:rPr>
              <w:t>79</w:t>
            </w:r>
          </w:p>
        </w:tc>
        <w:tc>
          <w:tcPr>
            <w:tcW w:w="900" w:type="dxa"/>
            <w:tcBorders>
              <w:top w:val="single" w:sz="2" w:space="0" w:color="auto"/>
              <w:left w:val="nil"/>
              <w:bottom w:val="nil"/>
              <w:right w:val="nil"/>
            </w:tcBorders>
          </w:tcPr>
          <w:p w:rsidR="00624767" w:rsidRPr="00532843" w:rsidRDefault="00624767" w:rsidP="00624767">
            <w:pPr>
              <w:spacing w:line="360" w:lineRule="auto"/>
              <w:jc w:val="center"/>
              <w:rPr>
                <w:rFonts w:ascii="Arial" w:hAnsi="Arial" w:cs="Arial"/>
                <w:sz w:val="20"/>
                <w:szCs w:val="20"/>
              </w:rPr>
            </w:pPr>
            <w:r w:rsidRPr="00532843">
              <w:rPr>
                <w:rFonts w:ascii="Arial" w:hAnsi="Arial" w:cs="Arial"/>
                <w:sz w:val="20"/>
                <w:szCs w:val="20"/>
              </w:rPr>
              <w:t>0.57</w:t>
            </w:r>
          </w:p>
        </w:tc>
        <w:tc>
          <w:tcPr>
            <w:tcW w:w="900" w:type="dxa"/>
            <w:tcBorders>
              <w:top w:val="single" w:sz="2" w:space="0" w:color="auto"/>
              <w:left w:val="nil"/>
              <w:bottom w:val="nil"/>
              <w:right w:val="nil"/>
            </w:tcBorders>
          </w:tcPr>
          <w:p w:rsidR="00624767" w:rsidRPr="00532843" w:rsidRDefault="00624767" w:rsidP="00624767">
            <w:pPr>
              <w:spacing w:line="360" w:lineRule="auto"/>
              <w:jc w:val="center"/>
              <w:rPr>
                <w:rFonts w:ascii="Arial" w:hAnsi="Arial" w:cs="Arial"/>
                <w:sz w:val="20"/>
                <w:szCs w:val="20"/>
              </w:rPr>
            </w:pPr>
            <w:r w:rsidRPr="00532843">
              <w:rPr>
                <w:rFonts w:ascii="Arial" w:hAnsi="Arial" w:cs="Arial"/>
                <w:sz w:val="20"/>
                <w:szCs w:val="20"/>
              </w:rPr>
              <w:t>0.</w:t>
            </w:r>
            <w:r>
              <w:rPr>
                <w:rFonts w:ascii="Arial" w:hAnsi="Arial" w:cs="Arial"/>
                <w:sz w:val="20"/>
                <w:szCs w:val="20"/>
              </w:rPr>
              <w:t>58</w:t>
            </w:r>
          </w:p>
        </w:tc>
        <w:tc>
          <w:tcPr>
            <w:tcW w:w="1080" w:type="dxa"/>
            <w:tcBorders>
              <w:top w:val="single" w:sz="2" w:space="0" w:color="auto"/>
              <w:left w:val="nil"/>
              <w:bottom w:val="nil"/>
              <w:right w:val="nil"/>
            </w:tcBorders>
          </w:tcPr>
          <w:p w:rsidR="00624767" w:rsidRPr="00532843" w:rsidRDefault="00624767" w:rsidP="00624767">
            <w:pPr>
              <w:spacing w:line="360" w:lineRule="auto"/>
              <w:jc w:val="center"/>
              <w:rPr>
                <w:rFonts w:ascii="Arial" w:hAnsi="Arial" w:cs="Arial"/>
                <w:sz w:val="20"/>
                <w:szCs w:val="20"/>
              </w:rPr>
            </w:pPr>
            <w:r>
              <w:rPr>
                <w:rFonts w:ascii="Arial" w:hAnsi="Arial" w:cs="Arial"/>
                <w:sz w:val="20"/>
                <w:szCs w:val="20"/>
              </w:rPr>
              <w:t>3.37</w:t>
            </w:r>
          </w:p>
        </w:tc>
        <w:tc>
          <w:tcPr>
            <w:tcW w:w="1440" w:type="dxa"/>
            <w:vMerge w:val="restart"/>
            <w:tcBorders>
              <w:top w:val="single" w:sz="2" w:space="0" w:color="auto"/>
              <w:left w:val="nil"/>
              <w:bottom w:val="single" w:sz="2" w:space="0" w:color="auto"/>
              <w:right w:val="nil"/>
            </w:tcBorders>
            <w:vAlign w:val="center"/>
          </w:tcPr>
          <w:p w:rsidR="00624767" w:rsidRPr="00532843" w:rsidRDefault="00624767" w:rsidP="00624767">
            <w:pPr>
              <w:spacing w:line="360" w:lineRule="auto"/>
              <w:jc w:val="center"/>
              <w:rPr>
                <w:rFonts w:ascii="Arial" w:hAnsi="Arial" w:cs="Arial"/>
                <w:sz w:val="20"/>
                <w:szCs w:val="20"/>
              </w:rPr>
            </w:pPr>
            <w:r w:rsidRPr="00532843">
              <w:rPr>
                <w:rFonts w:ascii="Arial" w:hAnsi="Arial" w:cs="Arial"/>
                <w:sz w:val="20"/>
                <w:szCs w:val="20"/>
              </w:rPr>
              <w:t>0.1</w:t>
            </w:r>
            <w:r>
              <w:rPr>
                <w:rFonts w:ascii="Arial" w:hAnsi="Arial" w:cs="Arial"/>
                <w:sz w:val="20"/>
                <w:szCs w:val="20"/>
              </w:rPr>
              <w:t>5</w:t>
            </w:r>
          </w:p>
        </w:tc>
        <w:tc>
          <w:tcPr>
            <w:tcW w:w="1800" w:type="dxa"/>
            <w:vMerge w:val="restart"/>
            <w:tcBorders>
              <w:top w:val="single" w:sz="2" w:space="0" w:color="auto"/>
              <w:left w:val="nil"/>
              <w:right w:val="nil"/>
            </w:tcBorders>
            <w:vAlign w:val="center"/>
          </w:tcPr>
          <w:p w:rsidR="00624767" w:rsidRPr="00532843" w:rsidRDefault="00624767" w:rsidP="00624767">
            <w:pPr>
              <w:spacing w:line="360" w:lineRule="auto"/>
              <w:jc w:val="center"/>
              <w:rPr>
                <w:rFonts w:ascii="Arial" w:hAnsi="Arial" w:cs="Arial"/>
                <w:sz w:val="20"/>
                <w:szCs w:val="20"/>
              </w:rPr>
            </w:pPr>
            <w:r>
              <w:rPr>
                <w:rFonts w:ascii="Arial" w:hAnsi="Arial" w:cs="Arial"/>
                <w:sz w:val="20"/>
                <w:szCs w:val="20"/>
              </w:rPr>
              <w:t>50</w:t>
            </w:r>
          </w:p>
        </w:tc>
      </w:tr>
      <w:tr w:rsidR="00624767" w:rsidRPr="00532843">
        <w:trPr>
          <w:trHeight w:val="276"/>
        </w:trPr>
        <w:tc>
          <w:tcPr>
            <w:tcW w:w="3894" w:type="dxa"/>
            <w:vMerge/>
            <w:tcBorders>
              <w:top w:val="nil"/>
              <w:left w:val="nil"/>
              <w:bottom w:val="single" w:sz="2" w:space="0" w:color="auto"/>
              <w:right w:val="nil"/>
            </w:tcBorders>
            <w:vAlign w:val="center"/>
          </w:tcPr>
          <w:p w:rsidR="00624767" w:rsidRPr="00532843" w:rsidRDefault="00624767" w:rsidP="00624767">
            <w:pPr>
              <w:spacing w:line="360" w:lineRule="auto"/>
              <w:rPr>
                <w:b/>
                <w:sz w:val="22"/>
                <w:szCs w:val="22"/>
              </w:rPr>
            </w:pPr>
          </w:p>
        </w:tc>
        <w:tc>
          <w:tcPr>
            <w:tcW w:w="1794" w:type="dxa"/>
            <w:tcBorders>
              <w:top w:val="nil"/>
              <w:left w:val="nil"/>
              <w:bottom w:val="single" w:sz="2" w:space="0" w:color="auto"/>
              <w:right w:val="nil"/>
            </w:tcBorders>
          </w:tcPr>
          <w:p w:rsidR="00624767" w:rsidRPr="00532843" w:rsidRDefault="00624767" w:rsidP="00624767">
            <w:pPr>
              <w:spacing w:line="360" w:lineRule="auto"/>
              <w:jc w:val="center"/>
              <w:rPr>
                <w:rFonts w:ascii="Arial" w:hAnsi="Arial" w:cs="Arial"/>
                <w:sz w:val="20"/>
                <w:szCs w:val="20"/>
              </w:rPr>
            </w:pPr>
            <w:r w:rsidRPr="00532843">
              <w:rPr>
                <w:rFonts w:ascii="Arial" w:hAnsi="Arial" w:cs="Arial"/>
                <w:sz w:val="20"/>
                <w:szCs w:val="20"/>
              </w:rPr>
              <w:t>Digoxin</w:t>
            </w:r>
          </w:p>
        </w:tc>
        <w:tc>
          <w:tcPr>
            <w:tcW w:w="900" w:type="dxa"/>
            <w:tcBorders>
              <w:top w:val="nil"/>
              <w:left w:val="nil"/>
              <w:bottom w:val="single" w:sz="2" w:space="0" w:color="auto"/>
              <w:right w:val="nil"/>
            </w:tcBorders>
          </w:tcPr>
          <w:p w:rsidR="00624767" w:rsidRPr="00532843" w:rsidRDefault="00624767" w:rsidP="00624767">
            <w:pPr>
              <w:spacing w:line="360" w:lineRule="auto"/>
              <w:jc w:val="center"/>
              <w:rPr>
                <w:rFonts w:ascii="Arial" w:hAnsi="Arial" w:cs="Arial"/>
                <w:sz w:val="20"/>
                <w:szCs w:val="20"/>
              </w:rPr>
            </w:pPr>
            <w:r w:rsidRPr="00532843">
              <w:rPr>
                <w:rFonts w:ascii="Arial" w:hAnsi="Arial" w:cs="Arial"/>
                <w:sz w:val="20"/>
                <w:szCs w:val="20"/>
              </w:rPr>
              <w:t>0.84</w:t>
            </w:r>
          </w:p>
        </w:tc>
        <w:tc>
          <w:tcPr>
            <w:tcW w:w="900" w:type="dxa"/>
            <w:tcBorders>
              <w:top w:val="nil"/>
              <w:left w:val="nil"/>
              <w:bottom w:val="single" w:sz="2" w:space="0" w:color="auto"/>
              <w:right w:val="nil"/>
            </w:tcBorders>
          </w:tcPr>
          <w:p w:rsidR="00624767" w:rsidRPr="00532843" w:rsidRDefault="00624767" w:rsidP="00624767">
            <w:pPr>
              <w:spacing w:line="360" w:lineRule="auto"/>
              <w:jc w:val="center"/>
              <w:rPr>
                <w:rFonts w:ascii="Arial" w:hAnsi="Arial" w:cs="Arial"/>
                <w:sz w:val="20"/>
                <w:szCs w:val="20"/>
              </w:rPr>
            </w:pPr>
            <w:r>
              <w:rPr>
                <w:rFonts w:ascii="Arial" w:hAnsi="Arial" w:cs="Arial"/>
                <w:sz w:val="20"/>
                <w:szCs w:val="20"/>
              </w:rPr>
              <w:t>3.07</w:t>
            </w:r>
          </w:p>
        </w:tc>
        <w:tc>
          <w:tcPr>
            <w:tcW w:w="900" w:type="dxa"/>
            <w:tcBorders>
              <w:top w:val="nil"/>
              <w:left w:val="nil"/>
              <w:bottom w:val="single" w:sz="2" w:space="0" w:color="auto"/>
              <w:right w:val="nil"/>
            </w:tcBorders>
          </w:tcPr>
          <w:p w:rsidR="00624767" w:rsidRPr="00532843" w:rsidRDefault="00624767" w:rsidP="00624767">
            <w:pPr>
              <w:spacing w:line="360" w:lineRule="auto"/>
              <w:jc w:val="center"/>
              <w:rPr>
                <w:rFonts w:ascii="Arial" w:hAnsi="Arial" w:cs="Arial"/>
                <w:sz w:val="20"/>
                <w:szCs w:val="20"/>
              </w:rPr>
            </w:pPr>
            <w:r w:rsidRPr="00532843">
              <w:rPr>
                <w:rFonts w:ascii="Arial" w:hAnsi="Arial" w:cs="Arial"/>
                <w:sz w:val="20"/>
                <w:szCs w:val="20"/>
              </w:rPr>
              <w:t>0.57</w:t>
            </w:r>
          </w:p>
        </w:tc>
        <w:tc>
          <w:tcPr>
            <w:tcW w:w="900" w:type="dxa"/>
            <w:tcBorders>
              <w:top w:val="nil"/>
              <w:left w:val="nil"/>
              <w:bottom w:val="single" w:sz="2" w:space="0" w:color="auto"/>
              <w:right w:val="nil"/>
            </w:tcBorders>
          </w:tcPr>
          <w:p w:rsidR="00624767" w:rsidRPr="00532843" w:rsidRDefault="00624767" w:rsidP="00624767">
            <w:pPr>
              <w:spacing w:line="360" w:lineRule="auto"/>
              <w:jc w:val="center"/>
              <w:rPr>
                <w:rFonts w:ascii="Arial" w:hAnsi="Arial" w:cs="Arial"/>
                <w:sz w:val="20"/>
                <w:szCs w:val="20"/>
              </w:rPr>
            </w:pPr>
            <w:r w:rsidRPr="00532843">
              <w:rPr>
                <w:rFonts w:ascii="Arial" w:hAnsi="Arial" w:cs="Arial"/>
                <w:sz w:val="20"/>
                <w:szCs w:val="20"/>
              </w:rPr>
              <w:t>0.4</w:t>
            </w:r>
            <w:r>
              <w:rPr>
                <w:rFonts w:ascii="Arial" w:hAnsi="Arial" w:cs="Arial"/>
                <w:sz w:val="20"/>
                <w:szCs w:val="20"/>
              </w:rPr>
              <w:t>4</w:t>
            </w:r>
          </w:p>
        </w:tc>
        <w:tc>
          <w:tcPr>
            <w:tcW w:w="1080" w:type="dxa"/>
            <w:tcBorders>
              <w:top w:val="nil"/>
              <w:left w:val="nil"/>
              <w:bottom w:val="single" w:sz="2" w:space="0" w:color="auto"/>
              <w:right w:val="nil"/>
            </w:tcBorders>
          </w:tcPr>
          <w:p w:rsidR="00624767" w:rsidRPr="00532843" w:rsidRDefault="00624767" w:rsidP="00624767">
            <w:pPr>
              <w:spacing w:line="360" w:lineRule="auto"/>
              <w:jc w:val="center"/>
              <w:rPr>
                <w:rFonts w:ascii="Arial" w:hAnsi="Arial" w:cs="Arial"/>
                <w:sz w:val="20"/>
                <w:szCs w:val="20"/>
              </w:rPr>
            </w:pPr>
            <w:r w:rsidRPr="00532843">
              <w:rPr>
                <w:rFonts w:ascii="Arial" w:hAnsi="Arial" w:cs="Arial"/>
                <w:sz w:val="20"/>
                <w:szCs w:val="20"/>
              </w:rPr>
              <w:t>3.</w:t>
            </w:r>
            <w:r>
              <w:rPr>
                <w:rFonts w:ascii="Arial" w:hAnsi="Arial" w:cs="Arial"/>
                <w:sz w:val="20"/>
                <w:szCs w:val="20"/>
              </w:rPr>
              <w:t>52</w:t>
            </w:r>
          </w:p>
        </w:tc>
        <w:tc>
          <w:tcPr>
            <w:tcW w:w="1440" w:type="dxa"/>
            <w:vMerge/>
            <w:tcBorders>
              <w:top w:val="nil"/>
              <w:left w:val="nil"/>
              <w:bottom w:val="single" w:sz="2" w:space="0" w:color="auto"/>
              <w:right w:val="nil"/>
            </w:tcBorders>
            <w:vAlign w:val="center"/>
          </w:tcPr>
          <w:p w:rsidR="00624767" w:rsidRPr="00532843" w:rsidRDefault="00624767" w:rsidP="00624767">
            <w:pPr>
              <w:spacing w:line="360" w:lineRule="auto"/>
              <w:jc w:val="center"/>
              <w:rPr>
                <w:sz w:val="22"/>
                <w:szCs w:val="22"/>
              </w:rPr>
            </w:pPr>
          </w:p>
        </w:tc>
        <w:tc>
          <w:tcPr>
            <w:tcW w:w="1800" w:type="dxa"/>
            <w:vMerge/>
            <w:tcBorders>
              <w:left w:val="nil"/>
              <w:bottom w:val="single" w:sz="2" w:space="0" w:color="auto"/>
              <w:right w:val="nil"/>
            </w:tcBorders>
            <w:vAlign w:val="center"/>
          </w:tcPr>
          <w:p w:rsidR="00624767" w:rsidRPr="00532843" w:rsidRDefault="00624767" w:rsidP="00624767">
            <w:pPr>
              <w:spacing w:line="360" w:lineRule="auto"/>
              <w:jc w:val="center"/>
              <w:rPr>
                <w:sz w:val="22"/>
                <w:szCs w:val="22"/>
              </w:rPr>
            </w:pPr>
          </w:p>
        </w:tc>
      </w:tr>
      <w:tr w:rsidR="00624767" w:rsidRPr="00532843">
        <w:trPr>
          <w:trHeight w:val="277"/>
        </w:trPr>
        <w:tc>
          <w:tcPr>
            <w:tcW w:w="3894" w:type="dxa"/>
            <w:vMerge w:val="restart"/>
            <w:tcBorders>
              <w:top w:val="nil"/>
              <w:left w:val="nil"/>
              <w:bottom w:val="single" w:sz="2" w:space="0" w:color="auto"/>
              <w:right w:val="nil"/>
            </w:tcBorders>
            <w:vAlign w:val="center"/>
          </w:tcPr>
          <w:p w:rsidR="00624767" w:rsidRPr="00532843" w:rsidRDefault="00624767" w:rsidP="00624767">
            <w:pPr>
              <w:spacing w:line="360" w:lineRule="auto"/>
              <w:rPr>
                <w:b/>
                <w:sz w:val="22"/>
                <w:szCs w:val="22"/>
              </w:rPr>
            </w:pPr>
            <w:r w:rsidRPr="00532843">
              <w:rPr>
                <w:b/>
                <w:sz w:val="22"/>
                <w:szCs w:val="22"/>
              </w:rPr>
              <w:t>H</w:t>
            </w:r>
            <w:r w:rsidRPr="00532843">
              <w:rPr>
                <w:b/>
                <w:sz w:val="22"/>
                <w:szCs w:val="22"/>
                <w:vertAlign w:val="subscript"/>
              </w:rPr>
              <w:t>1</w:t>
            </w:r>
            <w:r w:rsidRPr="00532843">
              <w:rPr>
                <w:b/>
                <w:sz w:val="22"/>
                <w:szCs w:val="22"/>
              </w:rPr>
              <w:t xml:space="preserve"> decreased 0.03; H</w:t>
            </w:r>
            <w:r w:rsidRPr="00532843">
              <w:rPr>
                <w:b/>
                <w:sz w:val="22"/>
                <w:szCs w:val="22"/>
                <w:vertAlign w:val="subscript"/>
              </w:rPr>
              <w:t>2</w:t>
            </w:r>
            <w:r w:rsidRPr="00532843">
              <w:rPr>
                <w:b/>
                <w:sz w:val="22"/>
                <w:szCs w:val="22"/>
              </w:rPr>
              <w:t xml:space="preserve"> Base</w:t>
            </w:r>
          </w:p>
        </w:tc>
        <w:tc>
          <w:tcPr>
            <w:tcW w:w="1794" w:type="dxa"/>
            <w:tcBorders>
              <w:top w:val="single" w:sz="2" w:space="0" w:color="auto"/>
              <w:left w:val="nil"/>
              <w:bottom w:val="nil"/>
              <w:right w:val="nil"/>
            </w:tcBorders>
          </w:tcPr>
          <w:p w:rsidR="00624767" w:rsidRPr="00532843" w:rsidRDefault="00624767" w:rsidP="00624767">
            <w:pPr>
              <w:spacing w:line="360" w:lineRule="auto"/>
              <w:jc w:val="center"/>
              <w:rPr>
                <w:rFonts w:ascii="Arial" w:hAnsi="Arial" w:cs="Arial"/>
                <w:sz w:val="20"/>
                <w:szCs w:val="20"/>
              </w:rPr>
            </w:pPr>
            <w:r w:rsidRPr="00532843">
              <w:rPr>
                <w:rFonts w:ascii="Arial" w:hAnsi="Arial" w:cs="Arial"/>
                <w:sz w:val="20"/>
                <w:szCs w:val="20"/>
              </w:rPr>
              <w:t>Placebo</w:t>
            </w:r>
          </w:p>
        </w:tc>
        <w:tc>
          <w:tcPr>
            <w:tcW w:w="900" w:type="dxa"/>
            <w:tcBorders>
              <w:top w:val="single" w:sz="2" w:space="0" w:color="auto"/>
              <w:left w:val="nil"/>
              <w:bottom w:val="nil"/>
              <w:right w:val="nil"/>
            </w:tcBorders>
          </w:tcPr>
          <w:p w:rsidR="00624767" w:rsidRPr="00532843" w:rsidRDefault="00624767" w:rsidP="00624767">
            <w:pPr>
              <w:spacing w:line="360" w:lineRule="auto"/>
              <w:jc w:val="center"/>
              <w:rPr>
                <w:rFonts w:ascii="Arial" w:hAnsi="Arial" w:cs="Arial"/>
                <w:sz w:val="20"/>
                <w:szCs w:val="20"/>
              </w:rPr>
            </w:pPr>
            <w:r w:rsidRPr="00532843">
              <w:rPr>
                <w:rFonts w:ascii="Arial" w:hAnsi="Arial" w:cs="Arial"/>
                <w:sz w:val="20"/>
                <w:szCs w:val="20"/>
              </w:rPr>
              <w:t>0.78</w:t>
            </w:r>
          </w:p>
        </w:tc>
        <w:tc>
          <w:tcPr>
            <w:tcW w:w="900" w:type="dxa"/>
            <w:tcBorders>
              <w:top w:val="single" w:sz="2" w:space="0" w:color="auto"/>
              <w:left w:val="nil"/>
              <w:bottom w:val="nil"/>
              <w:right w:val="nil"/>
            </w:tcBorders>
          </w:tcPr>
          <w:p w:rsidR="00624767" w:rsidRPr="00532843" w:rsidRDefault="00624767" w:rsidP="00624767">
            <w:pPr>
              <w:spacing w:line="360" w:lineRule="auto"/>
              <w:jc w:val="center"/>
              <w:rPr>
                <w:rFonts w:ascii="Arial" w:hAnsi="Arial" w:cs="Arial"/>
                <w:sz w:val="20"/>
                <w:szCs w:val="20"/>
              </w:rPr>
            </w:pPr>
            <w:r w:rsidRPr="00532843">
              <w:rPr>
                <w:rFonts w:ascii="Arial" w:hAnsi="Arial" w:cs="Arial"/>
                <w:sz w:val="20"/>
                <w:szCs w:val="20"/>
              </w:rPr>
              <w:t>2.</w:t>
            </w:r>
            <w:r>
              <w:rPr>
                <w:rFonts w:ascii="Arial" w:hAnsi="Arial" w:cs="Arial"/>
                <w:sz w:val="20"/>
                <w:szCs w:val="20"/>
              </w:rPr>
              <w:t>59</w:t>
            </w:r>
          </w:p>
        </w:tc>
        <w:tc>
          <w:tcPr>
            <w:tcW w:w="900" w:type="dxa"/>
            <w:tcBorders>
              <w:top w:val="single" w:sz="2" w:space="0" w:color="auto"/>
              <w:left w:val="nil"/>
              <w:bottom w:val="nil"/>
              <w:right w:val="nil"/>
            </w:tcBorders>
          </w:tcPr>
          <w:p w:rsidR="00624767" w:rsidRPr="00532843" w:rsidRDefault="00624767" w:rsidP="00624767">
            <w:pPr>
              <w:spacing w:line="360" w:lineRule="auto"/>
              <w:jc w:val="center"/>
              <w:rPr>
                <w:rFonts w:ascii="Arial" w:hAnsi="Arial" w:cs="Arial"/>
                <w:sz w:val="20"/>
                <w:szCs w:val="20"/>
              </w:rPr>
            </w:pPr>
            <w:r w:rsidRPr="00532843">
              <w:rPr>
                <w:rFonts w:ascii="Arial" w:hAnsi="Arial" w:cs="Arial"/>
                <w:sz w:val="20"/>
                <w:szCs w:val="20"/>
              </w:rPr>
              <w:t>0.57</w:t>
            </w:r>
          </w:p>
        </w:tc>
        <w:tc>
          <w:tcPr>
            <w:tcW w:w="900" w:type="dxa"/>
            <w:tcBorders>
              <w:top w:val="single" w:sz="2" w:space="0" w:color="auto"/>
              <w:left w:val="nil"/>
              <w:bottom w:val="nil"/>
              <w:right w:val="nil"/>
            </w:tcBorders>
          </w:tcPr>
          <w:p w:rsidR="00624767" w:rsidRPr="00532843" w:rsidRDefault="00624767" w:rsidP="00624767">
            <w:pPr>
              <w:spacing w:line="360" w:lineRule="auto"/>
              <w:jc w:val="center"/>
              <w:rPr>
                <w:rFonts w:ascii="Arial" w:hAnsi="Arial" w:cs="Arial"/>
                <w:sz w:val="20"/>
                <w:szCs w:val="20"/>
              </w:rPr>
            </w:pPr>
            <w:r w:rsidRPr="00532843">
              <w:rPr>
                <w:rFonts w:ascii="Arial" w:hAnsi="Arial" w:cs="Arial"/>
                <w:sz w:val="20"/>
                <w:szCs w:val="20"/>
              </w:rPr>
              <w:t>0.</w:t>
            </w:r>
            <w:r>
              <w:rPr>
                <w:rFonts w:ascii="Arial" w:hAnsi="Arial" w:cs="Arial"/>
                <w:sz w:val="20"/>
                <w:szCs w:val="20"/>
              </w:rPr>
              <w:t>58</w:t>
            </w:r>
          </w:p>
        </w:tc>
        <w:tc>
          <w:tcPr>
            <w:tcW w:w="1080" w:type="dxa"/>
            <w:tcBorders>
              <w:top w:val="single" w:sz="2" w:space="0" w:color="auto"/>
              <w:left w:val="nil"/>
              <w:bottom w:val="nil"/>
              <w:right w:val="nil"/>
            </w:tcBorders>
          </w:tcPr>
          <w:p w:rsidR="00624767" w:rsidRPr="00532843" w:rsidRDefault="00624767" w:rsidP="00624767">
            <w:pPr>
              <w:spacing w:line="360" w:lineRule="auto"/>
              <w:jc w:val="center"/>
              <w:rPr>
                <w:rFonts w:ascii="Arial" w:hAnsi="Arial" w:cs="Arial"/>
                <w:sz w:val="20"/>
                <w:szCs w:val="20"/>
              </w:rPr>
            </w:pPr>
            <w:r>
              <w:rPr>
                <w:rFonts w:ascii="Arial" w:hAnsi="Arial" w:cs="Arial"/>
                <w:sz w:val="20"/>
                <w:szCs w:val="20"/>
              </w:rPr>
              <w:t>3.17</w:t>
            </w:r>
          </w:p>
        </w:tc>
        <w:tc>
          <w:tcPr>
            <w:tcW w:w="1440" w:type="dxa"/>
            <w:vMerge w:val="restart"/>
            <w:tcBorders>
              <w:top w:val="nil"/>
              <w:left w:val="nil"/>
              <w:bottom w:val="single" w:sz="2" w:space="0" w:color="auto"/>
              <w:right w:val="nil"/>
            </w:tcBorders>
            <w:vAlign w:val="center"/>
          </w:tcPr>
          <w:p w:rsidR="00624767" w:rsidRPr="00532843" w:rsidRDefault="00624767" w:rsidP="00624767">
            <w:pPr>
              <w:spacing w:line="360" w:lineRule="auto"/>
              <w:jc w:val="center"/>
              <w:rPr>
                <w:rFonts w:ascii="Arial" w:hAnsi="Arial" w:cs="Arial"/>
                <w:sz w:val="20"/>
                <w:szCs w:val="20"/>
              </w:rPr>
            </w:pPr>
            <w:r w:rsidRPr="00532843">
              <w:rPr>
                <w:rFonts w:ascii="Arial" w:hAnsi="Arial" w:cs="Arial"/>
                <w:sz w:val="20"/>
                <w:szCs w:val="20"/>
              </w:rPr>
              <w:t>0.1</w:t>
            </w:r>
            <w:r>
              <w:rPr>
                <w:rFonts w:ascii="Arial" w:hAnsi="Arial" w:cs="Arial"/>
                <w:sz w:val="20"/>
                <w:szCs w:val="20"/>
              </w:rPr>
              <w:t>3</w:t>
            </w:r>
          </w:p>
        </w:tc>
        <w:tc>
          <w:tcPr>
            <w:tcW w:w="1800" w:type="dxa"/>
            <w:vMerge w:val="restart"/>
            <w:tcBorders>
              <w:top w:val="nil"/>
              <w:left w:val="nil"/>
              <w:right w:val="nil"/>
            </w:tcBorders>
            <w:vAlign w:val="center"/>
          </w:tcPr>
          <w:p w:rsidR="00624767" w:rsidRPr="00532843" w:rsidRDefault="00624767" w:rsidP="00624767">
            <w:pPr>
              <w:spacing w:line="360" w:lineRule="auto"/>
              <w:jc w:val="center"/>
              <w:rPr>
                <w:rFonts w:ascii="Arial" w:hAnsi="Arial" w:cs="Arial"/>
                <w:sz w:val="20"/>
                <w:szCs w:val="20"/>
              </w:rPr>
            </w:pPr>
            <w:r>
              <w:rPr>
                <w:rFonts w:ascii="Arial" w:hAnsi="Arial" w:cs="Arial"/>
                <w:sz w:val="20"/>
                <w:szCs w:val="20"/>
              </w:rPr>
              <w:t>30</w:t>
            </w:r>
          </w:p>
        </w:tc>
      </w:tr>
      <w:tr w:rsidR="00624767" w:rsidRPr="00532843">
        <w:trPr>
          <w:trHeight w:val="276"/>
        </w:trPr>
        <w:tc>
          <w:tcPr>
            <w:tcW w:w="3894" w:type="dxa"/>
            <w:vMerge/>
            <w:tcBorders>
              <w:top w:val="nil"/>
              <w:left w:val="nil"/>
              <w:bottom w:val="single" w:sz="2" w:space="0" w:color="auto"/>
              <w:right w:val="nil"/>
            </w:tcBorders>
            <w:vAlign w:val="center"/>
          </w:tcPr>
          <w:p w:rsidR="00624767" w:rsidRPr="00532843" w:rsidRDefault="00624767" w:rsidP="00624767">
            <w:pPr>
              <w:spacing w:line="360" w:lineRule="auto"/>
              <w:rPr>
                <w:b/>
                <w:sz w:val="22"/>
                <w:szCs w:val="22"/>
              </w:rPr>
            </w:pPr>
          </w:p>
        </w:tc>
        <w:tc>
          <w:tcPr>
            <w:tcW w:w="1794" w:type="dxa"/>
            <w:tcBorders>
              <w:top w:val="nil"/>
              <w:left w:val="nil"/>
              <w:bottom w:val="single" w:sz="2" w:space="0" w:color="auto"/>
              <w:right w:val="nil"/>
            </w:tcBorders>
          </w:tcPr>
          <w:p w:rsidR="00624767" w:rsidRPr="00532843" w:rsidRDefault="00624767" w:rsidP="00624767">
            <w:pPr>
              <w:spacing w:line="360" w:lineRule="auto"/>
              <w:jc w:val="center"/>
              <w:rPr>
                <w:rFonts w:ascii="Arial" w:hAnsi="Arial" w:cs="Arial"/>
                <w:sz w:val="20"/>
                <w:szCs w:val="20"/>
              </w:rPr>
            </w:pPr>
            <w:r w:rsidRPr="00532843">
              <w:rPr>
                <w:rFonts w:ascii="Arial" w:hAnsi="Arial" w:cs="Arial"/>
                <w:sz w:val="20"/>
                <w:szCs w:val="20"/>
              </w:rPr>
              <w:t>Digoxin</w:t>
            </w:r>
          </w:p>
        </w:tc>
        <w:tc>
          <w:tcPr>
            <w:tcW w:w="900" w:type="dxa"/>
            <w:tcBorders>
              <w:top w:val="nil"/>
              <w:left w:val="nil"/>
              <w:bottom w:val="single" w:sz="2" w:space="0" w:color="auto"/>
              <w:right w:val="nil"/>
            </w:tcBorders>
          </w:tcPr>
          <w:p w:rsidR="00624767" w:rsidRPr="00532843" w:rsidRDefault="00624767" w:rsidP="00624767">
            <w:pPr>
              <w:spacing w:line="360" w:lineRule="auto"/>
              <w:jc w:val="center"/>
              <w:rPr>
                <w:rFonts w:ascii="Arial" w:hAnsi="Arial" w:cs="Arial"/>
                <w:sz w:val="20"/>
                <w:szCs w:val="20"/>
              </w:rPr>
            </w:pPr>
            <w:r w:rsidRPr="00532843">
              <w:rPr>
                <w:rFonts w:ascii="Arial" w:hAnsi="Arial" w:cs="Arial"/>
                <w:sz w:val="20"/>
                <w:szCs w:val="20"/>
              </w:rPr>
              <w:t>0.78</w:t>
            </w:r>
          </w:p>
        </w:tc>
        <w:tc>
          <w:tcPr>
            <w:tcW w:w="900" w:type="dxa"/>
            <w:tcBorders>
              <w:top w:val="nil"/>
              <w:left w:val="nil"/>
              <w:bottom w:val="single" w:sz="2" w:space="0" w:color="auto"/>
              <w:right w:val="nil"/>
            </w:tcBorders>
          </w:tcPr>
          <w:p w:rsidR="00624767" w:rsidRPr="00532843" w:rsidRDefault="00624767" w:rsidP="00624767">
            <w:pPr>
              <w:spacing w:line="360" w:lineRule="auto"/>
              <w:jc w:val="center"/>
              <w:rPr>
                <w:rFonts w:ascii="Arial" w:hAnsi="Arial" w:cs="Arial"/>
                <w:sz w:val="20"/>
                <w:szCs w:val="20"/>
              </w:rPr>
            </w:pPr>
            <w:r w:rsidRPr="00532843">
              <w:rPr>
                <w:rFonts w:ascii="Arial" w:hAnsi="Arial" w:cs="Arial"/>
                <w:sz w:val="20"/>
                <w:szCs w:val="20"/>
              </w:rPr>
              <w:t>2.</w:t>
            </w:r>
            <w:r>
              <w:rPr>
                <w:rFonts w:ascii="Arial" w:hAnsi="Arial" w:cs="Arial"/>
                <w:sz w:val="20"/>
                <w:szCs w:val="20"/>
              </w:rPr>
              <w:t>85</w:t>
            </w:r>
          </w:p>
        </w:tc>
        <w:tc>
          <w:tcPr>
            <w:tcW w:w="900" w:type="dxa"/>
            <w:tcBorders>
              <w:top w:val="nil"/>
              <w:left w:val="nil"/>
              <w:bottom w:val="single" w:sz="2" w:space="0" w:color="auto"/>
              <w:right w:val="nil"/>
            </w:tcBorders>
          </w:tcPr>
          <w:p w:rsidR="00624767" w:rsidRPr="00532843" w:rsidRDefault="00624767" w:rsidP="00624767">
            <w:pPr>
              <w:spacing w:line="360" w:lineRule="auto"/>
              <w:jc w:val="center"/>
              <w:rPr>
                <w:rFonts w:ascii="Arial" w:hAnsi="Arial" w:cs="Arial"/>
                <w:sz w:val="20"/>
                <w:szCs w:val="20"/>
              </w:rPr>
            </w:pPr>
            <w:r w:rsidRPr="00532843">
              <w:rPr>
                <w:rFonts w:ascii="Arial" w:hAnsi="Arial" w:cs="Arial"/>
                <w:sz w:val="20"/>
                <w:szCs w:val="20"/>
              </w:rPr>
              <w:t>0.57</w:t>
            </w:r>
          </w:p>
        </w:tc>
        <w:tc>
          <w:tcPr>
            <w:tcW w:w="900" w:type="dxa"/>
            <w:tcBorders>
              <w:top w:val="nil"/>
              <w:left w:val="nil"/>
              <w:bottom w:val="single" w:sz="2" w:space="0" w:color="auto"/>
              <w:right w:val="nil"/>
            </w:tcBorders>
          </w:tcPr>
          <w:p w:rsidR="00624767" w:rsidRPr="00532843" w:rsidRDefault="00624767" w:rsidP="00624767">
            <w:pPr>
              <w:spacing w:line="360" w:lineRule="auto"/>
              <w:jc w:val="center"/>
              <w:rPr>
                <w:rFonts w:ascii="Arial" w:hAnsi="Arial" w:cs="Arial"/>
                <w:sz w:val="20"/>
                <w:szCs w:val="20"/>
              </w:rPr>
            </w:pPr>
            <w:r w:rsidRPr="00532843">
              <w:rPr>
                <w:rFonts w:ascii="Arial" w:hAnsi="Arial" w:cs="Arial"/>
                <w:sz w:val="20"/>
                <w:szCs w:val="20"/>
              </w:rPr>
              <w:t>0.4</w:t>
            </w:r>
            <w:r>
              <w:rPr>
                <w:rFonts w:ascii="Arial" w:hAnsi="Arial" w:cs="Arial"/>
                <w:sz w:val="20"/>
                <w:szCs w:val="20"/>
              </w:rPr>
              <w:t>4</w:t>
            </w:r>
          </w:p>
        </w:tc>
        <w:tc>
          <w:tcPr>
            <w:tcW w:w="1080" w:type="dxa"/>
            <w:tcBorders>
              <w:top w:val="nil"/>
              <w:left w:val="nil"/>
              <w:bottom w:val="single" w:sz="2" w:space="0" w:color="auto"/>
              <w:right w:val="nil"/>
            </w:tcBorders>
          </w:tcPr>
          <w:p w:rsidR="00624767" w:rsidRPr="00532843" w:rsidRDefault="00624767" w:rsidP="00624767">
            <w:pPr>
              <w:spacing w:line="360" w:lineRule="auto"/>
              <w:jc w:val="center"/>
              <w:rPr>
                <w:rFonts w:ascii="Arial" w:hAnsi="Arial" w:cs="Arial"/>
                <w:sz w:val="20"/>
                <w:szCs w:val="20"/>
              </w:rPr>
            </w:pPr>
            <w:r w:rsidRPr="00532843">
              <w:rPr>
                <w:rFonts w:ascii="Arial" w:hAnsi="Arial" w:cs="Arial"/>
                <w:sz w:val="20"/>
                <w:szCs w:val="20"/>
              </w:rPr>
              <w:t>3.</w:t>
            </w:r>
            <w:r>
              <w:rPr>
                <w:rFonts w:ascii="Arial" w:hAnsi="Arial" w:cs="Arial"/>
                <w:sz w:val="20"/>
                <w:szCs w:val="20"/>
              </w:rPr>
              <w:t>30</w:t>
            </w:r>
          </w:p>
        </w:tc>
        <w:tc>
          <w:tcPr>
            <w:tcW w:w="1440" w:type="dxa"/>
            <w:vMerge/>
            <w:tcBorders>
              <w:top w:val="nil"/>
              <w:left w:val="nil"/>
              <w:bottom w:val="single" w:sz="2" w:space="0" w:color="auto"/>
              <w:right w:val="nil"/>
            </w:tcBorders>
            <w:vAlign w:val="center"/>
          </w:tcPr>
          <w:p w:rsidR="00624767" w:rsidRPr="00532843" w:rsidRDefault="00624767" w:rsidP="00624767">
            <w:pPr>
              <w:spacing w:line="360" w:lineRule="auto"/>
              <w:jc w:val="center"/>
              <w:rPr>
                <w:sz w:val="22"/>
                <w:szCs w:val="22"/>
              </w:rPr>
            </w:pPr>
          </w:p>
        </w:tc>
        <w:tc>
          <w:tcPr>
            <w:tcW w:w="1800" w:type="dxa"/>
            <w:vMerge/>
            <w:tcBorders>
              <w:left w:val="nil"/>
              <w:bottom w:val="single" w:sz="2" w:space="0" w:color="auto"/>
              <w:right w:val="nil"/>
            </w:tcBorders>
            <w:vAlign w:val="center"/>
          </w:tcPr>
          <w:p w:rsidR="00624767" w:rsidRPr="00532843" w:rsidRDefault="00624767" w:rsidP="00624767">
            <w:pPr>
              <w:spacing w:line="360" w:lineRule="auto"/>
              <w:jc w:val="center"/>
              <w:rPr>
                <w:sz w:val="22"/>
                <w:szCs w:val="22"/>
              </w:rPr>
            </w:pPr>
          </w:p>
        </w:tc>
      </w:tr>
      <w:tr w:rsidR="00624767" w:rsidRPr="00532843">
        <w:trPr>
          <w:trHeight w:val="277"/>
        </w:trPr>
        <w:tc>
          <w:tcPr>
            <w:tcW w:w="3894" w:type="dxa"/>
            <w:vMerge w:val="restart"/>
            <w:tcBorders>
              <w:top w:val="nil"/>
              <w:left w:val="nil"/>
              <w:bottom w:val="single" w:sz="2" w:space="0" w:color="auto"/>
              <w:right w:val="nil"/>
            </w:tcBorders>
            <w:vAlign w:val="center"/>
          </w:tcPr>
          <w:p w:rsidR="00624767" w:rsidRPr="00532843" w:rsidRDefault="00624767" w:rsidP="00624767">
            <w:pPr>
              <w:spacing w:line="360" w:lineRule="auto"/>
              <w:rPr>
                <w:b/>
                <w:sz w:val="22"/>
                <w:szCs w:val="22"/>
              </w:rPr>
            </w:pPr>
            <w:r w:rsidRPr="00532843">
              <w:rPr>
                <w:b/>
                <w:sz w:val="22"/>
                <w:szCs w:val="22"/>
              </w:rPr>
              <w:t>H</w:t>
            </w:r>
            <w:r w:rsidRPr="00532843">
              <w:rPr>
                <w:b/>
                <w:sz w:val="22"/>
                <w:szCs w:val="22"/>
                <w:vertAlign w:val="subscript"/>
              </w:rPr>
              <w:t>1</w:t>
            </w:r>
            <w:r w:rsidRPr="00532843">
              <w:rPr>
                <w:b/>
                <w:sz w:val="22"/>
                <w:szCs w:val="22"/>
              </w:rPr>
              <w:t xml:space="preserve"> base; H</w:t>
            </w:r>
            <w:r w:rsidRPr="00532843">
              <w:rPr>
                <w:b/>
                <w:sz w:val="22"/>
                <w:szCs w:val="22"/>
                <w:vertAlign w:val="subscript"/>
              </w:rPr>
              <w:t>2</w:t>
            </w:r>
            <w:r w:rsidRPr="00532843">
              <w:rPr>
                <w:b/>
                <w:sz w:val="22"/>
                <w:szCs w:val="22"/>
              </w:rPr>
              <w:t xml:space="preserve"> increased 0.03</w:t>
            </w:r>
          </w:p>
        </w:tc>
        <w:tc>
          <w:tcPr>
            <w:tcW w:w="1794" w:type="dxa"/>
            <w:tcBorders>
              <w:top w:val="single" w:sz="2" w:space="0" w:color="auto"/>
              <w:left w:val="nil"/>
              <w:bottom w:val="nil"/>
              <w:right w:val="nil"/>
            </w:tcBorders>
          </w:tcPr>
          <w:p w:rsidR="00624767" w:rsidRPr="00532843" w:rsidRDefault="00624767" w:rsidP="00624767">
            <w:pPr>
              <w:spacing w:line="360" w:lineRule="auto"/>
              <w:jc w:val="center"/>
              <w:rPr>
                <w:rFonts w:ascii="Arial" w:hAnsi="Arial" w:cs="Arial"/>
                <w:sz w:val="20"/>
                <w:szCs w:val="20"/>
              </w:rPr>
            </w:pPr>
            <w:r w:rsidRPr="00532843">
              <w:rPr>
                <w:rFonts w:ascii="Arial" w:hAnsi="Arial" w:cs="Arial"/>
                <w:sz w:val="20"/>
                <w:szCs w:val="20"/>
              </w:rPr>
              <w:t>Placebo</w:t>
            </w:r>
          </w:p>
        </w:tc>
        <w:tc>
          <w:tcPr>
            <w:tcW w:w="900" w:type="dxa"/>
            <w:tcBorders>
              <w:top w:val="single" w:sz="2" w:space="0" w:color="auto"/>
              <w:left w:val="nil"/>
              <w:bottom w:val="nil"/>
              <w:right w:val="nil"/>
            </w:tcBorders>
          </w:tcPr>
          <w:p w:rsidR="00624767" w:rsidRPr="00532843" w:rsidRDefault="00624767" w:rsidP="00624767">
            <w:pPr>
              <w:spacing w:line="360" w:lineRule="auto"/>
              <w:jc w:val="center"/>
              <w:rPr>
                <w:rFonts w:ascii="Arial" w:hAnsi="Arial" w:cs="Arial"/>
                <w:sz w:val="20"/>
                <w:szCs w:val="20"/>
              </w:rPr>
            </w:pPr>
            <w:r w:rsidRPr="00532843">
              <w:rPr>
                <w:rFonts w:ascii="Arial" w:hAnsi="Arial" w:cs="Arial"/>
                <w:sz w:val="20"/>
                <w:szCs w:val="20"/>
              </w:rPr>
              <w:t>0.81</w:t>
            </w:r>
          </w:p>
        </w:tc>
        <w:tc>
          <w:tcPr>
            <w:tcW w:w="900" w:type="dxa"/>
            <w:tcBorders>
              <w:top w:val="single" w:sz="2" w:space="0" w:color="auto"/>
              <w:left w:val="nil"/>
              <w:bottom w:val="nil"/>
              <w:right w:val="nil"/>
            </w:tcBorders>
          </w:tcPr>
          <w:p w:rsidR="00624767" w:rsidRPr="00532843" w:rsidRDefault="00624767" w:rsidP="00624767">
            <w:pPr>
              <w:spacing w:line="360" w:lineRule="auto"/>
              <w:jc w:val="center"/>
              <w:rPr>
                <w:rFonts w:ascii="Arial" w:hAnsi="Arial" w:cs="Arial"/>
                <w:sz w:val="20"/>
                <w:szCs w:val="20"/>
              </w:rPr>
            </w:pPr>
            <w:r w:rsidRPr="00532843">
              <w:rPr>
                <w:rFonts w:ascii="Arial" w:hAnsi="Arial" w:cs="Arial"/>
                <w:sz w:val="20"/>
                <w:szCs w:val="20"/>
              </w:rPr>
              <w:t>2.6</w:t>
            </w:r>
            <w:r>
              <w:rPr>
                <w:rFonts w:ascii="Arial" w:hAnsi="Arial" w:cs="Arial"/>
                <w:sz w:val="20"/>
                <w:szCs w:val="20"/>
              </w:rPr>
              <w:t>9</w:t>
            </w:r>
          </w:p>
        </w:tc>
        <w:tc>
          <w:tcPr>
            <w:tcW w:w="900" w:type="dxa"/>
            <w:tcBorders>
              <w:top w:val="single" w:sz="2" w:space="0" w:color="auto"/>
              <w:left w:val="nil"/>
              <w:bottom w:val="nil"/>
              <w:right w:val="nil"/>
            </w:tcBorders>
          </w:tcPr>
          <w:p w:rsidR="00624767" w:rsidRPr="00532843" w:rsidRDefault="00624767" w:rsidP="00624767">
            <w:pPr>
              <w:spacing w:line="360" w:lineRule="auto"/>
              <w:jc w:val="center"/>
              <w:rPr>
                <w:rFonts w:ascii="Arial" w:hAnsi="Arial" w:cs="Arial"/>
                <w:sz w:val="20"/>
                <w:szCs w:val="20"/>
              </w:rPr>
            </w:pPr>
            <w:r w:rsidRPr="00532843">
              <w:rPr>
                <w:rFonts w:ascii="Arial" w:hAnsi="Arial" w:cs="Arial"/>
                <w:sz w:val="20"/>
                <w:szCs w:val="20"/>
              </w:rPr>
              <w:t>0.60</w:t>
            </w:r>
          </w:p>
        </w:tc>
        <w:tc>
          <w:tcPr>
            <w:tcW w:w="900" w:type="dxa"/>
            <w:tcBorders>
              <w:top w:val="single" w:sz="2" w:space="0" w:color="auto"/>
              <w:left w:val="nil"/>
              <w:bottom w:val="nil"/>
              <w:right w:val="nil"/>
            </w:tcBorders>
          </w:tcPr>
          <w:p w:rsidR="00624767" w:rsidRPr="00532843" w:rsidRDefault="00624767" w:rsidP="00624767">
            <w:pPr>
              <w:spacing w:line="360" w:lineRule="auto"/>
              <w:jc w:val="center"/>
              <w:rPr>
                <w:rFonts w:ascii="Arial" w:hAnsi="Arial" w:cs="Arial"/>
                <w:sz w:val="20"/>
                <w:szCs w:val="20"/>
              </w:rPr>
            </w:pPr>
            <w:r w:rsidRPr="00532843">
              <w:rPr>
                <w:rFonts w:ascii="Arial" w:hAnsi="Arial" w:cs="Arial"/>
                <w:sz w:val="20"/>
                <w:szCs w:val="20"/>
              </w:rPr>
              <w:t>0.</w:t>
            </w:r>
            <w:r>
              <w:rPr>
                <w:rFonts w:ascii="Arial" w:hAnsi="Arial" w:cs="Arial"/>
                <w:sz w:val="20"/>
                <w:szCs w:val="20"/>
              </w:rPr>
              <w:t>61</w:t>
            </w:r>
          </w:p>
        </w:tc>
        <w:tc>
          <w:tcPr>
            <w:tcW w:w="1080" w:type="dxa"/>
            <w:tcBorders>
              <w:top w:val="single" w:sz="2" w:space="0" w:color="auto"/>
              <w:left w:val="nil"/>
              <w:bottom w:val="nil"/>
              <w:right w:val="nil"/>
            </w:tcBorders>
          </w:tcPr>
          <w:p w:rsidR="00624767" w:rsidRPr="00532843" w:rsidRDefault="00624767" w:rsidP="00624767">
            <w:pPr>
              <w:spacing w:line="360" w:lineRule="auto"/>
              <w:jc w:val="center"/>
              <w:rPr>
                <w:rFonts w:ascii="Arial" w:hAnsi="Arial" w:cs="Arial"/>
                <w:sz w:val="20"/>
                <w:szCs w:val="20"/>
              </w:rPr>
            </w:pPr>
            <w:r w:rsidRPr="00532843">
              <w:rPr>
                <w:rFonts w:ascii="Arial" w:hAnsi="Arial" w:cs="Arial"/>
                <w:sz w:val="20"/>
                <w:szCs w:val="20"/>
              </w:rPr>
              <w:t>3.</w:t>
            </w:r>
            <w:r>
              <w:rPr>
                <w:rFonts w:ascii="Arial" w:hAnsi="Arial" w:cs="Arial"/>
                <w:sz w:val="20"/>
                <w:szCs w:val="20"/>
              </w:rPr>
              <w:t>30</w:t>
            </w:r>
          </w:p>
        </w:tc>
        <w:tc>
          <w:tcPr>
            <w:tcW w:w="1440" w:type="dxa"/>
            <w:vMerge w:val="restart"/>
            <w:tcBorders>
              <w:top w:val="nil"/>
              <w:left w:val="nil"/>
              <w:bottom w:val="single" w:sz="2" w:space="0" w:color="auto"/>
              <w:right w:val="nil"/>
            </w:tcBorders>
            <w:vAlign w:val="center"/>
          </w:tcPr>
          <w:p w:rsidR="00624767" w:rsidRPr="00532843" w:rsidRDefault="00624767" w:rsidP="00624767">
            <w:pPr>
              <w:spacing w:line="360" w:lineRule="auto"/>
              <w:jc w:val="center"/>
              <w:rPr>
                <w:rFonts w:ascii="Arial" w:hAnsi="Arial" w:cs="Arial"/>
                <w:sz w:val="20"/>
                <w:szCs w:val="20"/>
              </w:rPr>
            </w:pPr>
            <w:r w:rsidRPr="00532843">
              <w:rPr>
                <w:rFonts w:ascii="Arial" w:hAnsi="Arial" w:cs="Arial"/>
                <w:sz w:val="20"/>
                <w:szCs w:val="20"/>
              </w:rPr>
              <w:t>0.1</w:t>
            </w:r>
            <w:r>
              <w:rPr>
                <w:rFonts w:ascii="Arial" w:hAnsi="Arial" w:cs="Arial"/>
                <w:sz w:val="20"/>
                <w:szCs w:val="20"/>
              </w:rPr>
              <w:t>3</w:t>
            </w:r>
          </w:p>
        </w:tc>
        <w:tc>
          <w:tcPr>
            <w:tcW w:w="1800" w:type="dxa"/>
            <w:vMerge w:val="restart"/>
            <w:tcBorders>
              <w:top w:val="nil"/>
              <w:left w:val="nil"/>
              <w:right w:val="nil"/>
            </w:tcBorders>
            <w:vAlign w:val="center"/>
          </w:tcPr>
          <w:p w:rsidR="00624767" w:rsidRPr="00532843" w:rsidRDefault="00624767" w:rsidP="00624767">
            <w:pPr>
              <w:spacing w:line="360" w:lineRule="auto"/>
              <w:jc w:val="center"/>
              <w:rPr>
                <w:rFonts w:ascii="Arial" w:hAnsi="Arial" w:cs="Arial"/>
                <w:sz w:val="20"/>
                <w:szCs w:val="20"/>
              </w:rPr>
            </w:pPr>
            <w:r w:rsidRPr="00532843">
              <w:rPr>
                <w:rFonts w:ascii="Arial" w:hAnsi="Arial" w:cs="Arial"/>
                <w:sz w:val="20"/>
                <w:szCs w:val="20"/>
              </w:rPr>
              <w:t>3</w:t>
            </w:r>
            <w:r>
              <w:rPr>
                <w:rFonts w:ascii="Arial" w:hAnsi="Arial" w:cs="Arial"/>
                <w:sz w:val="20"/>
                <w:szCs w:val="20"/>
              </w:rPr>
              <w:t>0</w:t>
            </w:r>
          </w:p>
        </w:tc>
      </w:tr>
      <w:tr w:rsidR="00624767" w:rsidRPr="00532843">
        <w:trPr>
          <w:trHeight w:val="276"/>
        </w:trPr>
        <w:tc>
          <w:tcPr>
            <w:tcW w:w="3894" w:type="dxa"/>
            <w:vMerge/>
            <w:tcBorders>
              <w:top w:val="nil"/>
              <w:left w:val="nil"/>
              <w:bottom w:val="single" w:sz="2" w:space="0" w:color="auto"/>
              <w:right w:val="nil"/>
            </w:tcBorders>
            <w:vAlign w:val="center"/>
          </w:tcPr>
          <w:p w:rsidR="00624767" w:rsidRPr="00532843" w:rsidRDefault="00624767" w:rsidP="00624767">
            <w:pPr>
              <w:spacing w:line="360" w:lineRule="auto"/>
              <w:rPr>
                <w:b/>
                <w:sz w:val="22"/>
                <w:szCs w:val="22"/>
              </w:rPr>
            </w:pPr>
          </w:p>
        </w:tc>
        <w:tc>
          <w:tcPr>
            <w:tcW w:w="1794" w:type="dxa"/>
            <w:tcBorders>
              <w:top w:val="nil"/>
              <w:left w:val="nil"/>
              <w:bottom w:val="single" w:sz="2" w:space="0" w:color="auto"/>
              <w:right w:val="nil"/>
            </w:tcBorders>
          </w:tcPr>
          <w:p w:rsidR="00624767" w:rsidRPr="00532843" w:rsidRDefault="00624767" w:rsidP="00624767">
            <w:pPr>
              <w:spacing w:line="360" w:lineRule="auto"/>
              <w:jc w:val="center"/>
              <w:rPr>
                <w:rFonts w:ascii="Arial" w:hAnsi="Arial" w:cs="Arial"/>
                <w:sz w:val="20"/>
                <w:szCs w:val="20"/>
              </w:rPr>
            </w:pPr>
            <w:r w:rsidRPr="00532843">
              <w:rPr>
                <w:rFonts w:ascii="Arial" w:hAnsi="Arial" w:cs="Arial"/>
                <w:sz w:val="20"/>
                <w:szCs w:val="20"/>
              </w:rPr>
              <w:t>Digoxin</w:t>
            </w:r>
          </w:p>
        </w:tc>
        <w:tc>
          <w:tcPr>
            <w:tcW w:w="900" w:type="dxa"/>
            <w:tcBorders>
              <w:top w:val="nil"/>
              <w:left w:val="nil"/>
              <w:bottom w:val="single" w:sz="2" w:space="0" w:color="auto"/>
              <w:right w:val="nil"/>
            </w:tcBorders>
          </w:tcPr>
          <w:p w:rsidR="00624767" w:rsidRPr="00532843" w:rsidRDefault="00624767" w:rsidP="00624767">
            <w:pPr>
              <w:spacing w:line="360" w:lineRule="auto"/>
              <w:jc w:val="center"/>
              <w:rPr>
                <w:rFonts w:ascii="Arial" w:hAnsi="Arial" w:cs="Arial"/>
                <w:sz w:val="20"/>
                <w:szCs w:val="20"/>
              </w:rPr>
            </w:pPr>
            <w:r w:rsidRPr="00532843">
              <w:rPr>
                <w:rFonts w:ascii="Arial" w:hAnsi="Arial" w:cs="Arial"/>
                <w:sz w:val="20"/>
                <w:szCs w:val="20"/>
              </w:rPr>
              <w:t>0.81</w:t>
            </w:r>
          </w:p>
        </w:tc>
        <w:tc>
          <w:tcPr>
            <w:tcW w:w="900" w:type="dxa"/>
            <w:tcBorders>
              <w:top w:val="nil"/>
              <w:left w:val="nil"/>
              <w:bottom w:val="single" w:sz="2" w:space="0" w:color="auto"/>
              <w:right w:val="nil"/>
            </w:tcBorders>
          </w:tcPr>
          <w:p w:rsidR="00624767" w:rsidRPr="00532843" w:rsidRDefault="00624767" w:rsidP="00624767">
            <w:pPr>
              <w:spacing w:line="360" w:lineRule="auto"/>
              <w:jc w:val="center"/>
              <w:rPr>
                <w:rFonts w:ascii="Arial" w:hAnsi="Arial" w:cs="Arial"/>
                <w:sz w:val="20"/>
                <w:szCs w:val="20"/>
              </w:rPr>
            </w:pPr>
            <w:r w:rsidRPr="00532843">
              <w:rPr>
                <w:rFonts w:ascii="Arial" w:hAnsi="Arial" w:cs="Arial"/>
                <w:sz w:val="20"/>
                <w:szCs w:val="20"/>
              </w:rPr>
              <w:t>2.</w:t>
            </w:r>
            <w:r>
              <w:rPr>
                <w:rFonts w:ascii="Arial" w:hAnsi="Arial" w:cs="Arial"/>
                <w:sz w:val="20"/>
                <w:szCs w:val="20"/>
              </w:rPr>
              <w:t>96</w:t>
            </w:r>
          </w:p>
        </w:tc>
        <w:tc>
          <w:tcPr>
            <w:tcW w:w="900" w:type="dxa"/>
            <w:tcBorders>
              <w:top w:val="nil"/>
              <w:left w:val="nil"/>
              <w:bottom w:val="single" w:sz="2" w:space="0" w:color="auto"/>
              <w:right w:val="nil"/>
            </w:tcBorders>
          </w:tcPr>
          <w:p w:rsidR="00624767" w:rsidRPr="00532843" w:rsidRDefault="00624767" w:rsidP="00624767">
            <w:pPr>
              <w:spacing w:line="360" w:lineRule="auto"/>
              <w:jc w:val="center"/>
              <w:rPr>
                <w:rFonts w:ascii="Arial" w:hAnsi="Arial" w:cs="Arial"/>
                <w:sz w:val="20"/>
                <w:szCs w:val="20"/>
              </w:rPr>
            </w:pPr>
            <w:r w:rsidRPr="00532843">
              <w:rPr>
                <w:rFonts w:ascii="Arial" w:hAnsi="Arial" w:cs="Arial"/>
                <w:sz w:val="20"/>
                <w:szCs w:val="20"/>
              </w:rPr>
              <w:t>0.60</w:t>
            </w:r>
          </w:p>
        </w:tc>
        <w:tc>
          <w:tcPr>
            <w:tcW w:w="900" w:type="dxa"/>
            <w:tcBorders>
              <w:top w:val="nil"/>
              <w:left w:val="nil"/>
              <w:bottom w:val="single" w:sz="2" w:space="0" w:color="auto"/>
              <w:right w:val="nil"/>
            </w:tcBorders>
          </w:tcPr>
          <w:p w:rsidR="00624767" w:rsidRPr="00532843" w:rsidRDefault="00624767" w:rsidP="00624767">
            <w:pPr>
              <w:spacing w:line="360" w:lineRule="auto"/>
              <w:jc w:val="center"/>
              <w:rPr>
                <w:rFonts w:ascii="Arial" w:hAnsi="Arial" w:cs="Arial"/>
                <w:sz w:val="20"/>
                <w:szCs w:val="20"/>
              </w:rPr>
            </w:pPr>
            <w:r>
              <w:rPr>
                <w:rFonts w:ascii="Arial" w:hAnsi="Arial" w:cs="Arial"/>
                <w:sz w:val="20"/>
                <w:szCs w:val="20"/>
              </w:rPr>
              <w:t>0.47</w:t>
            </w:r>
          </w:p>
        </w:tc>
        <w:tc>
          <w:tcPr>
            <w:tcW w:w="1080" w:type="dxa"/>
            <w:tcBorders>
              <w:top w:val="nil"/>
              <w:left w:val="nil"/>
              <w:bottom w:val="single" w:sz="2" w:space="0" w:color="auto"/>
              <w:right w:val="nil"/>
            </w:tcBorders>
          </w:tcPr>
          <w:p w:rsidR="00624767" w:rsidRPr="00532843" w:rsidRDefault="00624767" w:rsidP="00624767">
            <w:pPr>
              <w:spacing w:line="360" w:lineRule="auto"/>
              <w:jc w:val="center"/>
              <w:rPr>
                <w:rFonts w:ascii="Arial" w:hAnsi="Arial" w:cs="Arial"/>
                <w:sz w:val="20"/>
                <w:szCs w:val="20"/>
              </w:rPr>
            </w:pPr>
            <w:r w:rsidRPr="00532843">
              <w:rPr>
                <w:rFonts w:ascii="Arial" w:hAnsi="Arial" w:cs="Arial"/>
                <w:sz w:val="20"/>
                <w:szCs w:val="20"/>
              </w:rPr>
              <w:t>3.</w:t>
            </w:r>
            <w:r>
              <w:rPr>
                <w:rFonts w:ascii="Arial" w:hAnsi="Arial" w:cs="Arial"/>
                <w:sz w:val="20"/>
                <w:szCs w:val="20"/>
              </w:rPr>
              <w:t>43</w:t>
            </w:r>
          </w:p>
        </w:tc>
        <w:tc>
          <w:tcPr>
            <w:tcW w:w="1440" w:type="dxa"/>
            <w:vMerge/>
            <w:tcBorders>
              <w:top w:val="nil"/>
              <w:left w:val="nil"/>
              <w:bottom w:val="single" w:sz="2" w:space="0" w:color="auto"/>
              <w:right w:val="nil"/>
            </w:tcBorders>
            <w:vAlign w:val="center"/>
          </w:tcPr>
          <w:p w:rsidR="00624767" w:rsidRPr="00532843" w:rsidRDefault="00624767" w:rsidP="00624767">
            <w:pPr>
              <w:spacing w:line="360" w:lineRule="auto"/>
              <w:jc w:val="center"/>
              <w:rPr>
                <w:sz w:val="22"/>
                <w:szCs w:val="22"/>
              </w:rPr>
            </w:pPr>
          </w:p>
        </w:tc>
        <w:tc>
          <w:tcPr>
            <w:tcW w:w="1800" w:type="dxa"/>
            <w:vMerge/>
            <w:tcBorders>
              <w:left w:val="nil"/>
              <w:bottom w:val="single" w:sz="2" w:space="0" w:color="auto"/>
              <w:right w:val="nil"/>
            </w:tcBorders>
            <w:vAlign w:val="center"/>
          </w:tcPr>
          <w:p w:rsidR="00624767" w:rsidRPr="00532843" w:rsidRDefault="00624767" w:rsidP="00624767">
            <w:pPr>
              <w:spacing w:line="360" w:lineRule="auto"/>
              <w:jc w:val="center"/>
              <w:rPr>
                <w:sz w:val="22"/>
                <w:szCs w:val="22"/>
              </w:rPr>
            </w:pPr>
          </w:p>
        </w:tc>
      </w:tr>
      <w:tr w:rsidR="00624767" w:rsidRPr="00532843">
        <w:trPr>
          <w:trHeight w:val="277"/>
        </w:trPr>
        <w:tc>
          <w:tcPr>
            <w:tcW w:w="3894" w:type="dxa"/>
            <w:vMerge w:val="restart"/>
            <w:tcBorders>
              <w:top w:val="nil"/>
              <w:left w:val="nil"/>
              <w:bottom w:val="single" w:sz="2" w:space="0" w:color="auto"/>
              <w:right w:val="nil"/>
            </w:tcBorders>
            <w:vAlign w:val="center"/>
          </w:tcPr>
          <w:p w:rsidR="00624767" w:rsidRPr="00532843" w:rsidRDefault="00624767" w:rsidP="00624767">
            <w:pPr>
              <w:spacing w:line="360" w:lineRule="auto"/>
              <w:rPr>
                <w:b/>
                <w:sz w:val="22"/>
                <w:szCs w:val="22"/>
              </w:rPr>
            </w:pPr>
            <w:r w:rsidRPr="00532843">
              <w:rPr>
                <w:b/>
                <w:sz w:val="22"/>
                <w:szCs w:val="22"/>
              </w:rPr>
              <w:t>H</w:t>
            </w:r>
            <w:r w:rsidRPr="00532843">
              <w:rPr>
                <w:b/>
                <w:sz w:val="22"/>
                <w:szCs w:val="22"/>
                <w:vertAlign w:val="subscript"/>
              </w:rPr>
              <w:t>1</w:t>
            </w:r>
            <w:r w:rsidRPr="00532843">
              <w:rPr>
                <w:b/>
                <w:sz w:val="22"/>
                <w:szCs w:val="22"/>
              </w:rPr>
              <w:t xml:space="preserve"> base; H</w:t>
            </w:r>
            <w:r w:rsidRPr="00532843">
              <w:rPr>
                <w:b/>
                <w:sz w:val="22"/>
                <w:szCs w:val="22"/>
                <w:vertAlign w:val="subscript"/>
              </w:rPr>
              <w:t>2</w:t>
            </w:r>
            <w:r w:rsidRPr="00532843">
              <w:rPr>
                <w:b/>
                <w:sz w:val="22"/>
                <w:szCs w:val="22"/>
              </w:rPr>
              <w:t xml:space="preserve"> decreased 0.03</w:t>
            </w:r>
          </w:p>
        </w:tc>
        <w:tc>
          <w:tcPr>
            <w:tcW w:w="1794" w:type="dxa"/>
            <w:tcBorders>
              <w:top w:val="single" w:sz="2" w:space="0" w:color="auto"/>
              <w:left w:val="nil"/>
              <w:bottom w:val="nil"/>
              <w:right w:val="nil"/>
            </w:tcBorders>
          </w:tcPr>
          <w:p w:rsidR="00624767" w:rsidRPr="00532843" w:rsidRDefault="00624767" w:rsidP="00624767">
            <w:pPr>
              <w:spacing w:line="360" w:lineRule="auto"/>
              <w:jc w:val="center"/>
              <w:rPr>
                <w:rFonts w:ascii="Arial" w:hAnsi="Arial" w:cs="Arial"/>
                <w:sz w:val="20"/>
                <w:szCs w:val="20"/>
              </w:rPr>
            </w:pPr>
            <w:r w:rsidRPr="00532843">
              <w:rPr>
                <w:rFonts w:ascii="Arial" w:hAnsi="Arial" w:cs="Arial"/>
                <w:sz w:val="20"/>
                <w:szCs w:val="20"/>
              </w:rPr>
              <w:t>Placebo</w:t>
            </w:r>
          </w:p>
        </w:tc>
        <w:tc>
          <w:tcPr>
            <w:tcW w:w="900" w:type="dxa"/>
            <w:tcBorders>
              <w:top w:val="single" w:sz="2" w:space="0" w:color="auto"/>
              <w:left w:val="nil"/>
              <w:bottom w:val="nil"/>
              <w:right w:val="nil"/>
            </w:tcBorders>
          </w:tcPr>
          <w:p w:rsidR="00624767" w:rsidRPr="00532843" w:rsidRDefault="00624767" w:rsidP="00624767">
            <w:pPr>
              <w:spacing w:line="360" w:lineRule="auto"/>
              <w:jc w:val="center"/>
              <w:rPr>
                <w:rFonts w:ascii="Arial" w:hAnsi="Arial" w:cs="Arial"/>
                <w:sz w:val="20"/>
                <w:szCs w:val="20"/>
              </w:rPr>
            </w:pPr>
            <w:r w:rsidRPr="00532843">
              <w:rPr>
                <w:rFonts w:ascii="Arial" w:hAnsi="Arial" w:cs="Arial"/>
                <w:sz w:val="20"/>
                <w:szCs w:val="20"/>
              </w:rPr>
              <w:t>0.81</w:t>
            </w:r>
          </w:p>
        </w:tc>
        <w:tc>
          <w:tcPr>
            <w:tcW w:w="900" w:type="dxa"/>
            <w:tcBorders>
              <w:top w:val="single" w:sz="2" w:space="0" w:color="auto"/>
              <w:left w:val="nil"/>
              <w:bottom w:val="nil"/>
              <w:right w:val="nil"/>
            </w:tcBorders>
          </w:tcPr>
          <w:p w:rsidR="00624767" w:rsidRPr="00532843" w:rsidRDefault="00624767" w:rsidP="00624767">
            <w:pPr>
              <w:spacing w:line="360" w:lineRule="auto"/>
              <w:jc w:val="center"/>
              <w:rPr>
                <w:rFonts w:ascii="Arial" w:hAnsi="Arial" w:cs="Arial"/>
                <w:sz w:val="20"/>
                <w:szCs w:val="20"/>
              </w:rPr>
            </w:pPr>
            <w:r w:rsidRPr="00532843">
              <w:rPr>
                <w:rFonts w:ascii="Arial" w:hAnsi="Arial" w:cs="Arial"/>
                <w:sz w:val="20"/>
                <w:szCs w:val="20"/>
              </w:rPr>
              <w:t>2.6</w:t>
            </w:r>
            <w:r>
              <w:rPr>
                <w:rFonts w:ascii="Arial" w:hAnsi="Arial" w:cs="Arial"/>
                <w:sz w:val="20"/>
                <w:szCs w:val="20"/>
              </w:rPr>
              <w:t>9</w:t>
            </w:r>
          </w:p>
        </w:tc>
        <w:tc>
          <w:tcPr>
            <w:tcW w:w="900" w:type="dxa"/>
            <w:tcBorders>
              <w:top w:val="single" w:sz="2" w:space="0" w:color="auto"/>
              <w:left w:val="nil"/>
              <w:bottom w:val="nil"/>
              <w:right w:val="nil"/>
            </w:tcBorders>
          </w:tcPr>
          <w:p w:rsidR="00624767" w:rsidRPr="00532843" w:rsidRDefault="00624767" w:rsidP="00624767">
            <w:pPr>
              <w:spacing w:line="360" w:lineRule="auto"/>
              <w:jc w:val="center"/>
              <w:rPr>
                <w:rFonts w:ascii="Arial" w:hAnsi="Arial" w:cs="Arial"/>
                <w:sz w:val="20"/>
                <w:szCs w:val="20"/>
              </w:rPr>
            </w:pPr>
            <w:r w:rsidRPr="00532843">
              <w:rPr>
                <w:rFonts w:ascii="Arial" w:hAnsi="Arial" w:cs="Arial"/>
                <w:sz w:val="20"/>
                <w:szCs w:val="20"/>
              </w:rPr>
              <w:t>0.54</w:t>
            </w:r>
          </w:p>
        </w:tc>
        <w:tc>
          <w:tcPr>
            <w:tcW w:w="900" w:type="dxa"/>
            <w:tcBorders>
              <w:top w:val="single" w:sz="2" w:space="0" w:color="auto"/>
              <w:left w:val="nil"/>
              <w:bottom w:val="nil"/>
              <w:right w:val="nil"/>
            </w:tcBorders>
          </w:tcPr>
          <w:p w:rsidR="00624767" w:rsidRPr="00532843" w:rsidRDefault="00624767" w:rsidP="00624767">
            <w:pPr>
              <w:spacing w:line="360" w:lineRule="auto"/>
              <w:jc w:val="center"/>
              <w:rPr>
                <w:rFonts w:ascii="Arial" w:hAnsi="Arial" w:cs="Arial"/>
                <w:sz w:val="20"/>
                <w:szCs w:val="20"/>
              </w:rPr>
            </w:pPr>
            <w:r w:rsidRPr="00532843">
              <w:rPr>
                <w:rFonts w:ascii="Arial" w:hAnsi="Arial" w:cs="Arial"/>
                <w:sz w:val="20"/>
                <w:szCs w:val="20"/>
              </w:rPr>
              <w:t>0.5</w:t>
            </w:r>
            <w:r>
              <w:rPr>
                <w:rFonts w:ascii="Arial" w:hAnsi="Arial" w:cs="Arial"/>
                <w:sz w:val="20"/>
                <w:szCs w:val="20"/>
              </w:rPr>
              <w:t>5</w:t>
            </w:r>
          </w:p>
        </w:tc>
        <w:tc>
          <w:tcPr>
            <w:tcW w:w="1080" w:type="dxa"/>
            <w:tcBorders>
              <w:top w:val="single" w:sz="2" w:space="0" w:color="auto"/>
              <w:left w:val="nil"/>
              <w:bottom w:val="nil"/>
              <w:right w:val="nil"/>
            </w:tcBorders>
          </w:tcPr>
          <w:p w:rsidR="00624767" w:rsidRPr="00532843" w:rsidRDefault="00624767" w:rsidP="00624767">
            <w:pPr>
              <w:spacing w:line="360" w:lineRule="auto"/>
              <w:jc w:val="center"/>
              <w:rPr>
                <w:rFonts w:ascii="Arial" w:hAnsi="Arial" w:cs="Arial"/>
                <w:sz w:val="20"/>
                <w:szCs w:val="20"/>
              </w:rPr>
            </w:pPr>
            <w:r w:rsidRPr="00532843">
              <w:rPr>
                <w:rFonts w:ascii="Arial" w:hAnsi="Arial" w:cs="Arial"/>
                <w:sz w:val="20"/>
                <w:szCs w:val="20"/>
              </w:rPr>
              <w:t>3.2</w:t>
            </w:r>
            <w:r>
              <w:rPr>
                <w:rFonts w:ascii="Arial" w:hAnsi="Arial" w:cs="Arial"/>
                <w:sz w:val="20"/>
                <w:szCs w:val="20"/>
              </w:rPr>
              <w:t>4</w:t>
            </w:r>
          </w:p>
        </w:tc>
        <w:tc>
          <w:tcPr>
            <w:tcW w:w="1440" w:type="dxa"/>
            <w:vMerge w:val="restart"/>
            <w:tcBorders>
              <w:top w:val="nil"/>
              <w:left w:val="nil"/>
              <w:bottom w:val="single" w:sz="2" w:space="0" w:color="auto"/>
              <w:right w:val="nil"/>
            </w:tcBorders>
            <w:vAlign w:val="center"/>
          </w:tcPr>
          <w:p w:rsidR="00624767" w:rsidRPr="00532843" w:rsidRDefault="00624767" w:rsidP="00624767">
            <w:pPr>
              <w:spacing w:line="360" w:lineRule="auto"/>
              <w:jc w:val="center"/>
              <w:rPr>
                <w:rFonts w:ascii="Arial" w:hAnsi="Arial" w:cs="Arial"/>
                <w:sz w:val="20"/>
                <w:szCs w:val="20"/>
              </w:rPr>
            </w:pPr>
            <w:r w:rsidRPr="00532843">
              <w:rPr>
                <w:rFonts w:ascii="Arial" w:hAnsi="Arial" w:cs="Arial"/>
                <w:sz w:val="20"/>
                <w:szCs w:val="20"/>
              </w:rPr>
              <w:t>0.1</w:t>
            </w:r>
            <w:r>
              <w:rPr>
                <w:rFonts w:ascii="Arial" w:hAnsi="Arial" w:cs="Arial"/>
                <w:sz w:val="20"/>
                <w:szCs w:val="20"/>
              </w:rPr>
              <w:t>5</w:t>
            </w:r>
          </w:p>
        </w:tc>
        <w:tc>
          <w:tcPr>
            <w:tcW w:w="1800" w:type="dxa"/>
            <w:vMerge w:val="restart"/>
            <w:tcBorders>
              <w:top w:val="nil"/>
              <w:left w:val="nil"/>
              <w:right w:val="nil"/>
            </w:tcBorders>
            <w:vAlign w:val="center"/>
          </w:tcPr>
          <w:p w:rsidR="00624767" w:rsidRPr="00532843" w:rsidRDefault="00624767" w:rsidP="00624767">
            <w:pPr>
              <w:spacing w:line="360" w:lineRule="auto"/>
              <w:jc w:val="center"/>
              <w:rPr>
                <w:rFonts w:ascii="Arial" w:hAnsi="Arial" w:cs="Arial"/>
                <w:sz w:val="20"/>
                <w:szCs w:val="20"/>
              </w:rPr>
            </w:pPr>
            <w:r>
              <w:rPr>
                <w:rFonts w:ascii="Arial" w:hAnsi="Arial" w:cs="Arial"/>
                <w:sz w:val="20"/>
                <w:szCs w:val="20"/>
              </w:rPr>
              <w:t>50</w:t>
            </w:r>
          </w:p>
        </w:tc>
      </w:tr>
      <w:tr w:rsidR="00624767" w:rsidRPr="00532843">
        <w:trPr>
          <w:trHeight w:val="276"/>
        </w:trPr>
        <w:tc>
          <w:tcPr>
            <w:tcW w:w="3894" w:type="dxa"/>
            <w:vMerge/>
            <w:tcBorders>
              <w:top w:val="nil"/>
              <w:left w:val="nil"/>
              <w:bottom w:val="single" w:sz="2" w:space="0" w:color="auto"/>
              <w:right w:val="nil"/>
            </w:tcBorders>
            <w:vAlign w:val="center"/>
          </w:tcPr>
          <w:p w:rsidR="00624767" w:rsidRPr="00532843" w:rsidRDefault="00624767" w:rsidP="00624767">
            <w:pPr>
              <w:spacing w:line="360" w:lineRule="auto"/>
              <w:rPr>
                <w:b/>
                <w:sz w:val="22"/>
                <w:szCs w:val="22"/>
              </w:rPr>
            </w:pPr>
          </w:p>
        </w:tc>
        <w:tc>
          <w:tcPr>
            <w:tcW w:w="1794" w:type="dxa"/>
            <w:tcBorders>
              <w:top w:val="nil"/>
              <w:left w:val="nil"/>
              <w:bottom w:val="single" w:sz="2" w:space="0" w:color="auto"/>
              <w:right w:val="nil"/>
            </w:tcBorders>
          </w:tcPr>
          <w:p w:rsidR="00624767" w:rsidRPr="00532843" w:rsidRDefault="00624767" w:rsidP="00624767">
            <w:pPr>
              <w:spacing w:line="360" w:lineRule="auto"/>
              <w:jc w:val="center"/>
              <w:rPr>
                <w:rFonts w:ascii="Arial" w:hAnsi="Arial" w:cs="Arial"/>
                <w:sz w:val="20"/>
                <w:szCs w:val="20"/>
              </w:rPr>
            </w:pPr>
            <w:r w:rsidRPr="00532843">
              <w:rPr>
                <w:rFonts w:ascii="Arial" w:hAnsi="Arial" w:cs="Arial"/>
                <w:sz w:val="20"/>
                <w:szCs w:val="20"/>
              </w:rPr>
              <w:t>Digoxin</w:t>
            </w:r>
          </w:p>
        </w:tc>
        <w:tc>
          <w:tcPr>
            <w:tcW w:w="900" w:type="dxa"/>
            <w:tcBorders>
              <w:top w:val="nil"/>
              <w:left w:val="nil"/>
              <w:bottom w:val="single" w:sz="2" w:space="0" w:color="auto"/>
              <w:right w:val="nil"/>
            </w:tcBorders>
          </w:tcPr>
          <w:p w:rsidR="00624767" w:rsidRPr="00532843" w:rsidRDefault="00624767" w:rsidP="00624767">
            <w:pPr>
              <w:spacing w:line="360" w:lineRule="auto"/>
              <w:jc w:val="center"/>
              <w:rPr>
                <w:rFonts w:ascii="Arial" w:hAnsi="Arial" w:cs="Arial"/>
                <w:sz w:val="20"/>
                <w:szCs w:val="20"/>
              </w:rPr>
            </w:pPr>
            <w:r w:rsidRPr="00532843">
              <w:rPr>
                <w:rFonts w:ascii="Arial" w:hAnsi="Arial" w:cs="Arial"/>
                <w:sz w:val="20"/>
                <w:szCs w:val="20"/>
              </w:rPr>
              <w:t>0.81</w:t>
            </w:r>
          </w:p>
        </w:tc>
        <w:tc>
          <w:tcPr>
            <w:tcW w:w="900" w:type="dxa"/>
            <w:tcBorders>
              <w:top w:val="nil"/>
              <w:left w:val="nil"/>
              <w:bottom w:val="single" w:sz="2" w:space="0" w:color="auto"/>
              <w:right w:val="nil"/>
            </w:tcBorders>
          </w:tcPr>
          <w:p w:rsidR="00624767" w:rsidRPr="00532843" w:rsidRDefault="00624767" w:rsidP="00624767">
            <w:pPr>
              <w:spacing w:line="360" w:lineRule="auto"/>
              <w:jc w:val="center"/>
              <w:rPr>
                <w:rFonts w:ascii="Arial" w:hAnsi="Arial" w:cs="Arial"/>
                <w:sz w:val="20"/>
                <w:szCs w:val="20"/>
              </w:rPr>
            </w:pPr>
            <w:r w:rsidRPr="00532843">
              <w:rPr>
                <w:rFonts w:ascii="Arial" w:hAnsi="Arial" w:cs="Arial"/>
                <w:sz w:val="20"/>
                <w:szCs w:val="20"/>
              </w:rPr>
              <w:t>2.</w:t>
            </w:r>
            <w:r>
              <w:rPr>
                <w:rFonts w:ascii="Arial" w:hAnsi="Arial" w:cs="Arial"/>
                <w:sz w:val="20"/>
                <w:szCs w:val="20"/>
              </w:rPr>
              <w:t>96</w:t>
            </w:r>
          </w:p>
        </w:tc>
        <w:tc>
          <w:tcPr>
            <w:tcW w:w="900" w:type="dxa"/>
            <w:tcBorders>
              <w:top w:val="nil"/>
              <w:left w:val="nil"/>
              <w:bottom w:val="single" w:sz="2" w:space="0" w:color="auto"/>
              <w:right w:val="nil"/>
            </w:tcBorders>
          </w:tcPr>
          <w:p w:rsidR="00624767" w:rsidRPr="00532843" w:rsidRDefault="00624767" w:rsidP="00624767">
            <w:pPr>
              <w:spacing w:line="360" w:lineRule="auto"/>
              <w:jc w:val="center"/>
              <w:rPr>
                <w:rFonts w:ascii="Arial" w:hAnsi="Arial" w:cs="Arial"/>
                <w:sz w:val="20"/>
                <w:szCs w:val="20"/>
              </w:rPr>
            </w:pPr>
            <w:r w:rsidRPr="00532843">
              <w:rPr>
                <w:rFonts w:ascii="Arial" w:hAnsi="Arial" w:cs="Arial"/>
                <w:sz w:val="20"/>
                <w:szCs w:val="20"/>
              </w:rPr>
              <w:t>0.54</w:t>
            </w:r>
          </w:p>
        </w:tc>
        <w:tc>
          <w:tcPr>
            <w:tcW w:w="900" w:type="dxa"/>
            <w:tcBorders>
              <w:top w:val="nil"/>
              <w:left w:val="nil"/>
              <w:bottom w:val="single" w:sz="2" w:space="0" w:color="auto"/>
              <w:right w:val="nil"/>
            </w:tcBorders>
          </w:tcPr>
          <w:p w:rsidR="00624767" w:rsidRPr="00532843" w:rsidRDefault="00624767" w:rsidP="00624767">
            <w:pPr>
              <w:spacing w:line="360" w:lineRule="auto"/>
              <w:jc w:val="center"/>
              <w:rPr>
                <w:rFonts w:ascii="Arial" w:hAnsi="Arial" w:cs="Arial"/>
                <w:sz w:val="20"/>
                <w:szCs w:val="20"/>
              </w:rPr>
            </w:pPr>
            <w:r w:rsidRPr="00532843">
              <w:rPr>
                <w:rFonts w:ascii="Arial" w:hAnsi="Arial" w:cs="Arial"/>
                <w:sz w:val="20"/>
                <w:szCs w:val="20"/>
              </w:rPr>
              <w:t>0.4</w:t>
            </w:r>
            <w:r>
              <w:rPr>
                <w:rFonts w:ascii="Arial" w:hAnsi="Arial" w:cs="Arial"/>
                <w:sz w:val="20"/>
                <w:szCs w:val="20"/>
              </w:rPr>
              <w:t>2</w:t>
            </w:r>
          </w:p>
        </w:tc>
        <w:tc>
          <w:tcPr>
            <w:tcW w:w="1080" w:type="dxa"/>
            <w:tcBorders>
              <w:top w:val="nil"/>
              <w:left w:val="nil"/>
              <w:bottom w:val="single" w:sz="2" w:space="0" w:color="auto"/>
              <w:right w:val="nil"/>
            </w:tcBorders>
          </w:tcPr>
          <w:p w:rsidR="00624767" w:rsidRPr="00532843" w:rsidRDefault="00624767" w:rsidP="00624767">
            <w:pPr>
              <w:spacing w:line="360" w:lineRule="auto"/>
              <w:jc w:val="center"/>
              <w:rPr>
                <w:rFonts w:ascii="Arial" w:hAnsi="Arial" w:cs="Arial"/>
                <w:sz w:val="20"/>
                <w:szCs w:val="20"/>
              </w:rPr>
            </w:pPr>
            <w:r w:rsidRPr="00532843">
              <w:rPr>
                <w:rFonts w:ascii="Arial" w:hAnsi="Arial" w:cs="Arial"/>
                <w:sz w:val="20"/>
                <w:szCs w:val="20"/>
              </w:rPr>
              <w:t>3.3</w:t>
            </w:r>
            <w:r>
              <w:rPr>
                <w:rFonts w:ascii="Arial" w:hAnsi="Arial" w:cs="Arial"/>
                <w:sz w:val="20"/>
                <w:szCs w:val="20"/>
              </w:rPr>
              <w:t>9</w:t>
            </w:r>
          </w:p>
        </w:tc>
        <w:tc>
          <w:tcPr>
            <w:tcW w:w="1440" w:type="dxa"/>
            <w:vMerge/>
            <w:tcBorders>
              <w:top w:val="nil"/>
              <w:left w:val="nil"/>
              <w:bottom w:val="single" w:sz="2" w:space="0" w:color="auto"/>
              <w:right w:val="nil"/>
            </w:tcBorders>
            <w:vAlign w:val="center"/>
          </w:tcPr>
          <w:p w:rsidR="00624767" w:rsidRPr="00532843" w:rsidRDefault="00624767" w:rsidP="00624767">
            <w:pPr>
              <w:spacing w:line="360" w:lineRule="auto"/>
              <w:jc w:val="center"/>
              <w:rPr>
                <w:sz w:val="22"/>
                <w:szCs w:val="22"/>
              </w:rPr>
            </w:pPr>
          </w:p>
        </w:tc>
        <w:tc>
          <w:tcPr>
            <w:tcW w:w="1800" w:type="dxa"/>
            <w:vMerge/>
            <w:tcBorders>
              <w:left w:val="nil"/>
              <w:bottom w:val="single" w:sz="2" w:space="0" w:color="auto"/>
              <w:right w:val="nil"/>
            </w:tcBorders>
            <w:vAlign w:val="center"/>
          </w:tcPr>
          <w:p w:rsidR="00624767" w:rsidRPr="00532843" w:rsidRDefault="00624767" w:rsidP="00624767">
            <w:pPr>
              <w:spacing w:line="360" w:lineRule="auto"/>
              <w:jc w:val="center"/>
              <w:rPr>
                <w:sz w:val="22"/>
                <w:szCs w:val="22"/>
              </w:rPr>
            </w:pPr>
          </w:p>
        </w:tc>
      </w:tr>
      <w:tr w:rsidR="00624767" w:rsidRPr="00532843">
        <w:trPr>
          <w:trHeight w:val="377"/>
        </w:trPr>
        <w:tc>
          <w:tcPr>
            <w:tcW w:w="3894" w:type="dxa"/>
            <w:vMerge w:val="restart"/>
            <w:tcBorders>
              <w:top w:val="nil"/>
              <w:left w:val="nil"/>
              <w:bottom w:val="single" w:sz="2" w:space="0" w:color="auto"/>
              <w:right w:val="nil"/>
            </w:tcBorders>
            <w:vAlign w:val="center"/>
          </w:tcPr>
          <w:p w:rsidR="00624767" w:rsidRPr="00532843" w:rsidRDefault="00624767" w:rsidP="00624767">
            <w:pPr>
              <w:spacing w:line="360" w:lineRule="auto"/>
              <w:rPr>
                <w:b/>
                <w:sz w:val="22"/>
                <w:szCs w:val="22"/>
              </w:rPr>
            </w:pPr>
            <w:r w:rsidRPr="00532843">
              <w:rPr>
                <w:b/>
                <w:sz w:val="22"/>
                <w:szCs w:val="22"/>
              </w:rPr>
              <w:t>H</w:t>
            </w:r>
            <w:r w:rsidRPr="00532843">
              <w:rPr>
                <w:b/>
                <w:sz w:val="22"/>
                <w:szCs w:val="22"/>
                <w:vertAlign w:val="subscript"/>
              </w:rPr>
              <w:t>1</w:t>
            </w:r>
            <w:r w:rsidRPr="00532843">
              <w:rPr>
                <w:b/>
                <w:sz w:val="22"/>
                <w:szCs w:val="22"/>
              </w:rPr>
              <w:t xml:space="preserve"> increased 0.03; H</w:t>
            </w:r>
            <w:r w:rsidRPr="00532843">
              <w:rPr>
                <w:b/>
                <w:sz w:val="22"/>
                <w:szCs w:val="22"/>
                <w:vertAlign w:val="subscript"/>
              </w:rPr>
              <w:t>2</w:t>
            </w:r>
            <w:r w:rsidRPr="00532843">
              <w:rPr>
                <w:b/>
                <w:sz w:val="22"/>
                <w:szCs w:val="22"/>
              </w:rPr>
              <w:t xml:space="preserve"> decreased 0.03</w:t>
            </w:r>
          </w:p>
        </w:tc>
        <w:tc>
          <w:tcPr>
            <w:tcW w:w="1794" w:type="dxa"/>
            <w:tcBorders>
              <w:top w:val="single" w:sz="2" w:space="0" w:color="auto"/>
              <w:left w:val="nil"/>
              <w:bottom w:val="nil"/>
              <w:right w:val="nil"/>
            </w:tcBorders>
          </w:tcPr>
          <w:p w:rsidR="00624767" w:rsidRPr="00532843" w:rsidRDefault="00624767" w:rsidP="00624767">
            <w:pPr>
              <w:spacing w:line="360" w:lineRule="auto"/>
              <w:jc w:val="center"/>
              <w:rPr>
                <w:rFonts w:ascii="Arial" w:hAnsi="Arial" w:cs="Arial"/>
                <w:sz w:val="20"/>
                <w:szCs w:val="20"/>
              </w:rPr>
            </w:pPr>
            <w:r w:rsidRPr="00532843">
              <w:rPr>
                <w:rFonts w:ascii="Arial" w:hAnsi="Arial" w:cs="Arial"/>
                <w:sz w:val="20"/>
                <w:szCs w:val="20"/>
              </w:rPr>
              <w:t>Placebo</w:t>
            </w:r>
          </w:p>
        </w:tc>
        <w:tc>
          <w:tcPr>
            <w:tcW w:w="900" w:type="dxa"/>
            <w:tcBorders>
              <w:top w:val="single" w:sz="2" w:space="0" w:color="auto"/>
              <w:left w:val="nil"/>
              <w:bottom w:val="nil"/>
              <w:right w:val="nil"/>
            </w:tcBorders>
          </w:tcPr>
          <w:p w:rsidR="00624767" w:rsidRPr="00532843" w:rsidRDefault="00624767" w:rsidP="00624767">
            <w:pPr>
              <w:spacing w:line="360" w:lineRule="auto"/>
              <w:jc w:val="center"/>
              <w:rPr>
                <w:rFonts w:ascii="Arial" w:hAnsi="Arial" w:cs="Arial"/>
                <w:sz w:val="20"/>
                <w:szCs w:val="20"/>
              </w:rPr>
            </w:pPr>
            <w:r w:rsidRPr="00532843">
              <w:rPr>
                <w:rFonts w:ascii="Arial" w:hAnsi="Arial" w:cs="Arial"/>
                <w:sz w:val="20"/>
                <w:szCs w:val="20"/>
              </w:rPr>
              <w:t>0.84</w:t>
            </w:r>
          </w:p>
        </w:tc>
        <w:tc>
          <w:tcPr>
            <w:tcW w:w="900" w:type="dxa"/>
            <w:tcBorders>
              <w:top w:val="single" w:sz="2" w:space="0" w:color="auto"/>
              <w:left w:val="nil"/>
              <w:bottom w:val="nil"/>
              <w:right w:val="nil"/>
            </w:tcBorders>
          </w:tcPr>
          <w:p w:rsidR="00624767" w:rsidRPr="00532843" w:rsidRDefault="00624767" w:rsidP="00624767">
            <w:pPr>
              <w:spacing w:line="360" w:lineRule="auto"/>
              <w:jc w:val="center"/>
              <w:rPr>
                <w:rFonts w:ascii="Arial" w:hAnsi="Arial" w:cs="Arial"/>
                <w:sz w:val="20"/>
                <w:szCs w:val="20"/>
              </w:rPr>
            </w:pPr>
            <w:r w:rsidRPr="00532843">
              <w:rPr>
                <w:rFonts w:ascii="Arial" w:hAnsi="Arial" w:cs="Arial"/>
                <w:sz w:val="20"/>
                <w:szCs w:val="20"/>
              </w:rPr>
              <w:t>2.</w:t>
            </w:r>
            <w:r>
              <w:rPr>
                <w:rFonts w:ascii="Arial" w:hAnsi="Arial" w:cs="Arial"/>
                <w:sz w:val="20"/>
                <w:szCs w:val="20"/>
              </w:rPr>
              <w:t>79</w:t>
            </w:r>
          </w:p>
        </w:tc>
        <w:tc>
          <w:tcPr>
            <w:tcW w:w="900" w:type="dxa"/>
            <w:tcBorders>
              <w:top w:val="single" w:sz="2" w:space="0" w:color="auto"/>
              <w:left w:val="nil"/>
              <w:bottom w:val="nil"/>
              <w:right w:val="nil"/>
            </w:tcBorders>
          </w:tcPr>
          <w:p w:rsidR="00624767" w:rsidRPr="00532843" w:rsidRDefault="00624767" w:rsidP="00624767">
            <w:pPr>
              <w:spacing w:line="360" w:lineRule="auto"/>
              <w:jc w:val="center"/>
              <w:rPr>
                <w:rFonts w:ascii="Arial" w:hAnsi="Arial" w:cs="Arial"/>
                <w:sz w:val="20"/>
                <w:szCs w:val="20"/>
              </w:rPr>
            </w:pPr>
            <w:r w:rsidRPr="00532843">
              <w:rPr>
                <w:rFonts w:ascii="Arial" w:hAnsi="Arial" w:cs="Arial"/>
                <w:sz w:val="20"/>
                <w:szCs w:val="20"/>
              </w:rPr>
              <w:t>0.54</w:t>
            </w:r>
          </w:p>
        </w:tc>
        <w:tc>
          <w:tcPr>
            <w:tcW w:w="900" w:type="dxa"/>
            <w:tcBorders>
              <w:top w:val="single" w:sz="2" w:space="0" w:color="auto"/>
              <w:left w:val="nil"/>
              <w:bottom w:val="nil"/>
              <w:right w:val="nil"/>
            </w:tcBorders>
          </w:tcPr>
          <w:p w:rsidR="00624767" w:rsidRPr="00532843" w:rsidRDefault="00624767" w:rsidP="00624767">
            <w:pPr>
              <w:spacing w:line="360" w:lineRule="auto"/>
              <w:jc w:val="center"/>
              <w:rPr>
                <w:rFonts w:ascii="Arial" w:hAnsi="Arial" w:cs="Arial"/>
                <w:sz w:val="20"/>
                <w:szCs w:val="20"/>
              </w:rPr>
            </w:pPr>
            <w:r w:rsidRPr="00532843">
              <w:rPr>
                <w:rFonts w:ascii="Arial" w:hAnsi="Arial" w:cs="Arial"/>
                <w:sz w:val="20"/>
                <w:szCs w:val="20"/>
              </w:rPr>
              <w:t>0.5</w:t>
            </w:r>
            <w:r>
              <w:rPr>
                <w:rFonts w:ascii="Arial" w:hAnsi="Arial" w:cs="Arial"/>
                <w:sz w:val="20"/>
                <w:szCs w:val="20"/>
              </w:rPr>
              <w:t>5</w:t>
            </w:r>
          </w:p>
        </w:tc>
        <w:tc>
          <w:tcPr>
            <w:tcW w:w="1080" w:type="dxa"/>
            <w:tcBorders>
              <w:top w:val="single" w:sz="2" w:space="0" w:color="auto"/>
              <w:left w:val="nil"/>
              <w:bottom w:val="nil"/>
              <w:right w:val="nil"/>
            </w:tcBorders>
          </w:tcPr>
          <w:p w:rsidR="00624767" w:rsidRPr="00532843" w:rsidRDefault="00624767" w:rsidP="00624767">
            <w:pPr>
              <w:spacing w:line="360" w:lineRule="auto"/>
              <w:jc w:val="center"/>
              <w:rPr>
                <w:rFonts w:ascii="Arial" w:hAnsi="Arial" w:cs="Arial"/>
                <w:sz w:val="20"/>
                <w:szCs w:val="20"/>
              </w:rPr>
            </w:pPr>
            <w:r w:rsidRPr="00532843">
              <w:rPr>
                <w:rFonts w:ascii="Arial" w:hAnsi="Arial" w:cs="Arial"/>
                <w:sz w:val="20"/>
                <w:szCs w:val="20"/>
              </w:rPr>
              <w:t>3.</w:t>
            </w:r>
            <w:r>
              <w:rPr>
                <w:rFonts w:ascii="Arial" w:hAnsi="Arial" w:cs="Arial"/>
                <w:sz w:val="20"/>
                <w:szCs w:val="20"/>
              </w:rPr>
              <w:t>34</w:t>
            </w:r>
          </w:p>
        </w:tc>
        <w:tc>
          <w:tcPr>
            <w:tcW w:w="1440" w:type="dxa"/>
            <w:vMerge w:val="restart"/>
            <w:tcBorders>
              <w:top w:val="nil"/>
              <w:left w:val="nil"/>
              <w:bottom w:val="single" w:sz="2" w:space="0" w:color="auto"/>
              <w:right w:val="nil"/>
            </w:tcBorders>
            <w:vAlign w:val="center"/>
          </w:tcPr>
          <w:p w:rsidR="00624767" w:rsidRPr="00532843" w:rsidRDefault="00624767" w:rsidP="00624767">
            <w:pPr>
              <w:spacing w:line="360" w:lineRule="auto"/>
              <w:jc w:val="center"/>
              <w:rPr>
                <w:rFonts w:ascii="Arial" w:hAnsi="Arial" w:cs="Arial"/>
                <w:sz w:val="20"/>
                <w:szCs w:val="20"/>
              </w:rPr>
            </w:pPr>
            <w:r w:rsidRPr="00532843">
              <w:rPr>
                <w:rFonts w:ascii="Arial" w:hAnsi="Arial" w:cs="Arial"/>
                <w:sz w:val="20"/>
                <w:szCs w:val="20"/>
              </w:rPr>
              <w:t>0.1</w:t>
            </w:r>
            <w:r>
              <w:rPr>
                <w:rFonts w:ascii="Arial" w:hAnsi="Arial" w:cs="Arial"/>
                <w:sz w:val="20"/>
                <w:szCs w:val="20"/>
              </w:rPr>
              <w:t>6</w:t>
            </w:r>
          </w:p>
        </w:tc>
        <w:tc>
          <w:tcPr>
            <w:tcW w:w="1800" w:type="dxa"/>
            <w:vMerge w:val="restart"/>
            <w:tcBorders>
              <w:top w:val="nil"/>
              <w:left w:val="nil"/>
              <w:right w:val="nil"/>
            </w:tcBorders>
            <w:vAlign w:val="center"/>
          </w:tcPr>
          <w:p w:rsidR="00624767" w:rsidRPr="00532843" w:rsidRDefault="00624767" w:rsidP="00624767">
            <w:pPr>
              <w:spacing w:line="360" w:lineRule="auto"/>
              <w:jc w:val="center"/>
              <w:rPr>
                <w:rFonts w:ascii="Arial" w:hAnsi="Arial" w:cs="Arial"/>
                <w:sz w:val="20"/>
                <w:szCs w:val="20"/>
              </w:rPr>
            </w:pPr>
            <w:r>
              <w:rPr>
                <w:rFonts w:ascii="Arial" w:hAnsi="Arial" w:cs="Arial"/>
                <w:sz w:val="20"/>
                <w:szCs w:val="20"/>
              </w:rPr>
              <w:t>60</w:t>
            </w:r>
          </w:p>
        </w:tc>
      </w:tr>
      <w:tr w:rsidR="00624767" w:rsidRPr="00532843">
        <w:trPr>
          <w:trHeight w:val="376"/>
        </w:trPr>
        <w:tc>
          <w:tcPr>
            <w:tcW w:w="3894" w:type="dxa"/>
            <w:vMerge/>
            <w:tcBorders>
              <w:top w:val="nil"/>
              <w:left w:val="nil"/>
              <w:bottom w:val="single" w:sz="2" w:space="0" w:color="auto"/>
              <w:right w:val="nil"/>
            </w:tcBorders>
            <w:vAlign w:val="center"/>
          </w:tcPr>
          <w:p w:rsidR="00624767" w:rsidRPr="00532843" w:rsidRDefault="00624767" w:rsidP="00624767">
            <w:pPr>
              <w:spacing w:line="360" w:lineRule="auto"/>
              <w:rPr>
                <w:b/>
                <w:sz w:val="22"/>
                <w:szCs w:val="22"/>
              </w:rPr>
            </w:pPr>
          </w:p>
        </w:tc>
        <w:tc>
          <w:tcPr>
            <w:tcW w:w="1794" w:type="dxa"/>
            <w:tcBorders>
              <w:top w:val="nil"/>
              <w:left w:val="nil"/>
              <w:bottom w:val="single" w:sz="2" w:space="0" w:color="auto"/>
              <w:right w:val="nil"/>
            </w:tcBorders>
          </w:tcPr>
          <w:p w:rsidR="00624767" w:rsidRPr="00532843" w:rsidRDefault="00624767" w:rsidP="00624767">
            <w:pPr>
              <w:spacing w:line="360" w:lineRule="auto"/>
              <w:jc w:val="center"/>
              <w:rPr>
                <w:rFonts w:ascii="Arial" w:hAnsi="Arial" w:cs="Arial"/>
                <w:sz w:val="20"/>
                <w:szCs w:val="20"/>
              </w:rPr>
            </w:pPr>
            <w:r w:rsidRPr="00532843">
              <w:rPr>
                <w:rFonts w:ascii="Arial" w:hAnsi="Arial" w:cs="Arial"/>
                <w:sz w:val="20"/>
                <w:szCs w:val="20"/>
              </w:rPr>
              <w:t>Digoxin</w:t>
            </w:r>
          </w:p>
        </w:tc>
        <w:tc>
          <w:tcPr>
            <w:tcW w:w="900" w:type="dxa"/>
            <w:tcBorders>
              <w:top w:val="nil"/>
              <w:left w:val="nil"/>
              <w:bottom w:val="single" w:sz="2" w:space="0" w:color="auto"/>
              <w:right w:val="nil"/>
            </w:tcBorders>
          </w:tcPr>
          <w:p w:rsidR="00624767" w:rsidRPr="00532843" w:rsidRDefault="00624767" w:rsidP="00624767">
            <w:pPr>
              <w:spacing w:line="360" w:lineRule="auto"/>
              <w:jc w:val="center"/>
              <w:rPr>
                <w:rFonts w:ascii="Arial" w:hAnsi="Arial" w:cs="Arial"/>
                <w:sz w:val="20"/>
                <w:szCs w:val="20"/>
              </w:rPr>
            </w:pPr>
            <w:r w:rsidRPr="00532843">
              <w:rPr>
                <w:rFonts w:ascii="Arial" w:hAnsi="Arial" w:cs="Arial"/>
                <w:sz w:val="20"/>
                <w:szCs w:val="20"/>
              </w:rPr>
              <w:t>0.84</w:t>
            </w:r>
          </w:p>
        </w:tc>
        <w:tc>
          <w:tcPr>
            <w:tcW w:w="900" w:type="dxa"/>
            <w:tcBorders>
              <w:top w:val="nil"/>
              <w:left w:val="nil"/>
              <w:bottom w:val="single" w:sz="2" w:space="0" w:color="auto"/>
              <w:right w:val="nil"/>
            </w:tcBorders>
          </w:tcPr>
          <w:p w:rsidR="00624767" w:rsidRPr="00532843" w:rsidRDefault="00624767" w:rsidP="00624767">
            <w:pPr>
              <w:spacing w:line="360" w:lineRule="auto"/>
              <w:jc w:val="center"/>
              <w:rPr>
                <w:rFonts w:ascii="Arial" w:hAnsi="Arial" w:cs="Arial"/>
                <w:sz w:val="20"/>
                <w:szCs w:val="20"/>
              </w:rPr>
            </w:pPr>
            <w:r>
              <w:rPr>
                <w:rFonts w:ascii="Arial" w:hAnsi="Arial" w:cs="Arial"/>
                <w:sz w:val="20"/>
                <w:szCs w:val="20"/>
              </w:rPr>
              <w:t>3.07</w:t>
            </w:r>
          </w:p>
        </w:tc>
        <w:tc>
          <w:tcPr>
            <w:tcW w:w="900" w:type="dxa"/>
            <w:tcBorders>
              <w:top w:val="nil"/>
              <w:left w:val="nil"/>
              <w:bottom w:val="single" w:sz="2" w:space="0" w:color="auto"/>
              <w:right w:val="nil"/>
            </w:tcBorders>
          </w:tcPr>
          <w:p w:rsidR="00624767" w:rsidRPr="00532843" w:rsidRDefault="00624767" w:rsidP="00624767">
            <w:pPr>
              <w:spacing w:line="360" w:lineRule="auto"/>
              <w:jc w:val="center"/>
              <w:rPr>
                <w:rFonts w:ascii="Arial" w:hAnsi="Arial" w:cs="Arial"/>
                <w:sz w:val="20"/>
                <w:szCs w:val="20"/>
              </w:rPr>
            </w:pPr>
            <w:r w:rsidRPr="00532843">
              <w:rPr>
                <w:rFonts w:ascii="Arial" w:hAnsi="Arial" w:cs="Arial"/>
                <w:sz w:val="20"/>
                <w:szCs w:val="20"/>
              </w:rPr>
              <w:t>0.54</w:t>
            </w:r>
          </w:p>
        </w:tc>
        <w:tc>
          <w:tcPr>
            <w:tcW w:w="900" w:type="dxa"/>
            <w:tcBorders>
              <w:top w:val="nil"/>
              <w:left w:val="nil"/>
              <w:bottom w:val="single" w:sz="2" w:space="0" w:color="auto"/>
              <w:right w:val="nil"/>
            </w:tcBorders>
          </w:tcPr>
          <w:p w:rsidR="00624767" w:rsidRPr="00532843" w:rsidRDefault="00624767" w:rsidP="00624767">
            <w:pPr>
              <w:spacing w:line="360" w:lineRule="auto"/>
              <w:jc w:val="center"/>
              <w:rPr>
                <w:rFonts w:ascii="Arial" w:hAnsi="Arial" w:cs="Arial"/>
                <w:sz w:val="20"/>
                <w:szCs w:val="20"/>
              </w:rPr>
            </w:pPr>
            <w:r w:rsidRPr="00532843">
              <w:rPr>
                <w:rFonts w:ascii="Arial" w:hAnsi="Arial" w:cs="Arial"/>
                <w:sz w:val="20"/>
                <w:szCs w:val="20"/>
              </w:rPr>
              <w:t>0.4</w:t>
            </w:r>
            <w:r>
              <w:rPr>
                <w:rFonts w:ascii="Arial" w:hAnsi="Arial" w:cs="Arial"/>
                <w:sz w:val="20"/>
                <w:szCs w:val="20"/>
              </w:rPr>
              <w:t>2</w:t>
            </w:r>
          </w:p>
        </w:tc>
        <w:tc>
          <w:tcPr>
            <w:tcW w:w="1080" w:type="dxa"/>
            <w:tcBorders>
              <w:top w:val="nil"/>
              <w:left w:val="nil"/>
              <w:bottom w:val="single" w:sz="2" w:space="0" w:color="auto"/>
              <w:right w:val="nil"/>
            </w:tcBorders>
          </w:tcPr>
          <w:p w:rsidR="00624767" w:rsidRPr="00532843" w:rsidRDefault="00624767" w:rsidP="00624767">
            <w:pPr>
              <w:spacing w:line="360" w:lineRule="auto"/>
              <w:jc w:val="center"/>
              <w:rPr>
                <w:rFonts w:ascii="Arial" w:hAnsi="Arial" w:cs="Arial"/>
                <w:sz w:val="20"/>
                <w:szCs w:val="20"/>
              </w:rPr>
            </w:pPr>
            <w:r w:rsidRPr="00532843">
              <w:rPr>
                <w:rFonts w:ascii="Arial" w:hAnsi="Arial" w:cs="Arial"/>
                <w:sz w:val="20"/>
                <w:szCs w:val="20"/>
              </w:rPr>
              <w:t>3.</w:t>
            </w:r>
            <w:r>
              <w:rPr>
                <w:rFonts w:ascii="Arial" w:hAnsi="Arial" w:cs="Arial"/>
                <w:sz w:val="20"/>
                <w:szCs w:val="20"/>
              </w:rPr>
              <w:t>50</w:t>
            </w:r>
          </w:p>
        </w:tc>
        <w:tc>
          <w:tcPr>
            <w:tcW w:w="1440" w:type="dxa"/>
            <w:vMerge/>
            <w:tcBorders>
              <w:top w:val="nil"/>
              <w:left w:val="nil"/>
              <w:bottom w:val="single" w:sz="2" w:space="0" w:color="auto"/>
              <w:right w:val="nil"/>
            </w:tcBorders>
            <w:vAlign w:val="center"/>
          </w:tcPr>
          <w:p w:rsidR="00624767" w:rsidRPr="00532843" w:rsidRDefault="00624767" w:rsidP="00624767">
            <w:pPr>
              <w:spacing w:line="360" w:lineRule="auto"/>
              <w:jc w:val="center"/>
              <w:rPr>
                <w:sz w:val="22"/>
                <w:szCs w:val="22"/>
              </w:rPr>
            </w:pPr>
          </w:p>
        </w:tc>
        <w:tc>
          <w:tcPr>
            <w:tcW w:w="1800" w:type="dxa"/>
            <w:vMerge/>
            <w:tcBorders>
              <w:left w:val="nil"/>
              <w:bottom w:val="single" w:sz="2" w:space="0" w:color="auto"/>
              <w:right w:val="nil"/>
            </w:tcBorders>
            <w:vAlign w:val="center"/>
          </w:tcPr>
          <w:p w:rsidR="00624767" w:rsidRPr="00532843" w:rsidRDefault="00624767" w:rsidP="00624767">
            <w:pPr>
              <w:spacing w:line="360" w:lineRule="auto"/>
              <w:jc w:val="center"/>
              <w:rPr>
                <w:sz w:val="22"/>
                <w:szCs w:val="22"/>
              </w:rPr>
            </w:pPr>
          </w:p>
        </w:tc>
      </w:tr>
      <w:tr w:rsidR="00624767" w:rsidRPr="00532843">
        <w:trPr>
          <w:trHeight w:val="377"/>
        </w:trPr>
        <w:tc>
          <w:tcPr>
            <w:tcW w:w="3894" w:type="dxa"/>
            <w:vMerge w:val="restart"/>
            <w:tcBorders>
              <w:top w:val="nil"/>
              <w:left w:val="nil"/>
              <w:bottom w:val="single" w:sz="2" w:space="0" w:color="auto"/>
              <w:right w:val="nil"/>
            </w:tcBorders>
            <w:vAlign w:val="center"/>
          </w:tcPr>
          <w:p w:rsidR="00624767" w:rsidRPr="00532843" w:rsidRDefault="00624767" w:rsidP="00624767">
            <w:pPr>
              <w:spacing w:line="360" w:lineRule="auto"/>
              <w:rPr>
                <w:b/>
                <w:sz w:val="22"/>
                <w:szCs w:val="22"/>
              </w:rPr>
            </w:pPr>
            <w:r w:rsidRPr="00532843">
              <w:rPr>
                <w:b/>
                <w:sz w:val="22"/>
                <w:szCs w:val="22"/>
              </w:rPr>
              <w:t>H</w:t>
            </w:r>
            <w:r w:rsidRPr="00532843">
              <w:rPr>
                <w:b/>
                <w:sz w:val="22"/>
                <w:szCs w:val="22"/>
                <w:vertAlign w:val="subscript"/>
              </w:rPr>
              <w:t>1</w:t>
            </w:r>
            <w:r w:rsidRPr="00532843">
              <w:rPr>
                <w:b/>
                <w:sz w:val="22"/>
                <w:szCs w:val="22"/>
              </w:rPr>
              <w:t xml:space="preserve"> decreased 0.03; H</w:t>
            </w:r>
            <w:r w:rsidRPr="00532843">
              <w:rPr>
                <w:b/>
                <w:sz w:val="22"/>
                <w:szCs w:val="22"/>
                <w:vertAlign w:val="subscript"/>
              </w:rPr>
              <w:t>2</w:t>
            </w:r>
            <w:r w:rsidRPr="00532843">
              <w:rPr>
                <w:b/>
                <w:sz w:val="22"/>
                <w:szCs w:val="22"/>
              </w:rPr>
              <w:t xml:space="preserve"> increased 0.03</w:t>
            </w:r>
          </w:p>
        </w:tc>
        <w:tc>
          <w:tcPr>
            <w:tcW w:w="1794" w:type="dxa"/>
            <w:tcBorders>
              <w:top w:val="single" w:sz="2" w:space="0" w:color="auto"/>
              <w:left w:val="nil"/>
              <w:bottom w:val="nil"/>
              <w:right w:val="nil"/>
            </w:tcBorders>
          </w:tcPr>
          <w:p w:rsidR="00624767" w:rsidRPr="00532843" w:rsidRDefault="00624767" w:rsidP="00624767">
            <w:pPr>
              <w:spacing w:line="360" w:lineRule="auto"/>
              <w:jc w:val="center"/>
              <w:rPr>
                <w:rFonts w:ascii="Arial" w:hAnsi="Arial" w:cs="Arial"/>
                <w:sz w:val="20"/>
                <w:szCs w:val="20"/>
              </w:rPr>
            </w:pPr>
            <w:r w:rsidRPr="00532843">
              <w:rPr>
                <w:rFonts w:ascii="Arial" w:hAnsi="Arial" w:cs="Arial"/>
                <w:sz w:val="20"/>
                <w:szCs w:val="20"/>
              </w:rPr>
              <w:t>Placebo</w:t>
            </w:r>
          </w:p>
        </w:tc>
        <w:tc>
          <w:tcPr>
            <w:tcW w:w="900" w:type="dxa"/>
            <w:tcBorders>
              <w:top w:val="single" w:sz="2" w:space="0" w:color="auto"/>
              <w:left w:val="nil"/>
              <w:bottom w:val="nil"/>
              <w:right w:val="nil"/>
            </w:tcBorders>
          </w:tcPr>
          <w:p w:rsidR="00624767" w:rsidRPr="00532843" w:rsidRDefault="00624767" w:rsidP="00624767">
            <w:pPr>
              <w:spacing w:line="360" w:lineRule="auto"/>
              <w:jc w:val="center"/>
              <w:rPr>
                <w:rFonts w:ascii="Arial" w:hAnsi="Arial" w:cs="Arial"/>
                <w:sz w:val="20"/>
                <w:szCs w:val="20"/>
              </w:rPr>
            </w:pPr>
            <w:r w:rsidRPr="00532843">
              <w:rPr>
                <w:rFonts w:ascii="Arial" w:hAnsi="Arial" w:cs="Arial"/>
                <w:sz w:val="20"/>
                <w:szCs w:val="20"/>
              </w:rPr>
              <w:t>0.78</w:t>
            </w:r>
          </w:p>
        </w:tc>
        <w:tc>
          <w:tcPr>
            <w:tcW w:w="900" w:type="dxa"/>
            <w:tcBorders>
              <w:top w:val="single" w:sz="2" w:space="0" w:color="auto"/>
              <w:left w:val="nil"/>
              <w:bottom w:val="nil"/>
              <w:right w:val="nil"/>
            </w:tcBorders>
          </w:tcPr>
          <w:p w:rsidR="00624767" w:rsidRPr="00532843" w:rsidRDefault="00624767" w:rsidP="00624767">
            <w:pPr>
              <w:spacing w:line="360" w:lineRule="auto"/>
              <w:jc w:val="center"/>
              <w:rPr>
                <w:rFonts w:ascii="Arial" w:hAnsi="Arial" w:cs="Arial"/>
                <w:sz w:val="20"/>
                <w:szCs w:val="20"/>
              </w:rPr>
            </w:pPr>
            <w:r w:rsidRPr="00532843">
              <w:rPr>
                <w:rFonts w:ascii="Arial" w:hAnsi="Arial" w:cs="Arial"/>
                <w:sz w:val="20"/>
                <w:szCs w:val="20"/>
              </w:rPr>
              <w:t>2.5</w:t>
            </w:r>
            <w:r>
              <w:rPr>
                <w:rFonts w:ascii="Arial" w:hAnsi="Arial" w:cs="Arial"/>
                <w:sz w:val="20"/>
                <w:szCs w:val="20"/>
              </w:rPr>
              <w:t>9</w:t>
            </w:r>
          </w:p>
        </w:tc>
        <w:tc>
          <w:tcPr>
            <w:tcW w:w="900" w:type="dxa"/>
            <w:tcBorders>
              <w:top w:val="single" w:sz="2" w:space="0" w:color="auto"/>
              <w:left w:val="nil"/>
              <w:bottom w:val="nil"/>
              <w:right w:val="nil"/>
            </w:tcBorders>
          </w:tcPr>
          <w:p w:rsidR="00624767" w:rsidRPr="00532843" w:rsidRDefault="00624767" w:rsidP="00624767">
            <w:pPr>
              <w:spacing w:line="360" w:lineRule="auto"/>
              <w:jc w:val="center"/>
              <w:rPr>
                <w:rFonts w:ascii="Arial" w:hAnsi="Arial" w:cs="Arial"/>
                <w:sz w:val="20"/>
                <w:szCs w:val="20"/>
              </w:rPr>
            </w:pPr>
            <w:r w:rsidRPr="00532843">
              <w:rPr>
                <w:rFonts w:ascii="Arial" w:hAnsi="Arial" w:cs="Arial"/>
                <w:sz w:val="20"/>
                <w:szCs w:val="20"/>
              </w:rPr>
              <w:t>0.60</w:t>
            </w:r>
          </w:p>
        </w:tc>
        <w:tc>
          <w:tcPr>
            <w:tcW w:w="900" w:type="dxa"/>
            <w:tcBorders>
              <w:top w:val="single" w:sz="2" w:space="0" w:color="auto"/>
              <w:left w:val="nil"/>
              <w:bottom w:val="nil"/>
              <w:right w:val="nil"/>
            </w:tcBorders>
          </w:tcPr>
          <w:p w:rsidR="00624767" w:rsidRPr="00532843" w:rsidRDefault="00624767" w:rsidP="00624767">
            <w:pPr>
              <w:spacing w:line="360" w:lineRule="auto"/>
              <w:jc w:val="center"/>
              <w:rPr>
                <w:rFonts w:ascii="Arial" w:hAnsi="Arial" w:cs="Arial"/>
                <w:sz w:val="20"/>
                <w:szCs w:val="20"/>
              </w:rPr>
            </w:pPr>
            <w:r w:rsidRPr="00532843">
              <w:rPr>
                <w:rFonts w:ascii="Arial" w:hAnsi="Arial" w:cs="Arial"/>
                <w:sz w:val="20"/>
                <w:szCs w:val="20"/>
              </w:rPr>
              <w:t>0.6</w:t>
            </w:r>
            <w:r>
              <w:rPr>
                <w:rFonts w:ascii="Arial" w:hAnsi="Arial" w:cs="Arial"/>
                <w:sz w:val="20"/>
                <w:szCs w:val="20"/>
              </w:rPr>
              <w:t>1</w:t>
            </w:r>
          </w:p>
        </w:tc>
        <w:tc>
          <w:tcPr>
            <w:tcW w:w="1080" w:type="dxa"/>
            <w:tcBorders>
              <w:top w:val="single" w:sz="2" w:space="0" w:color="auto"/>
              <w:left w:val="nil"/>
              <w:bottom w:val="nil"/>
              <w:right w:val="nil"/>
            </w:tcBorders>
          </w:tcPr>
          <w:p w:rsidR="00624767" w:rsidRPr="00532843" w:rsidRDefault="00624767" w:rsidP="00624767">
            <w:pPr>
              <w:spacing w:line="360" w:lineRule="auto"/>
              <w:jc w:val="center"/>
              <w:rPr>
                <w:rFonts w:ascii="Arial" w:hAnsi="Arial" w:cs="Arial"/>
                <w:sz w:val="20"/>
                <w:szCs w:val="20"/>
              </w:rPr>
            </w:pPr>
            <w:r w:rsidRPr="00532843">
              <w:rPr>
                <w:rFonts w:ascii="Arial" w:hAnsi="Arial" w:cs="Arial"/>
                <w:sz w:val="20"/>
                <w:szCs w:val="20"/>
              </w:rPr>
              <w:t>3.</w:t>
            </w:r>
            <w:r>
              <w:rPr>
                <w:rFonts w:ascii="Arial" w:hAnsi="Arial" w:cs="Arial"/>
                <w:sz w:val="20"/>
                <w:szCs w:val="20"/>
              </w:rPr>
              <w:t>20</w:t>
            </w:r>
          </w:p>
        </w:tc>
        <w:tc>
          <w:tcPr>
            <w:tcW w:w="1440" w:type="dxa"/>
            <w:vMerge w:val="restart"/>
            <w:tcBorders>
              <w:top w:val="nil"/>
              <w:left w:val="nil"/>
              <w:bottom w:val="single" w:sz="2" w:space="0" w:color="auto"/>
              <w:right w:val="nil"/>
            </w:tcBorders>
            <w:vAlign w:val="center"/>
          </w:tcPr>
          <w:p w:rsidR="00624767" w:rsidRPr="00532843" w:rsidRDefault="00624767" w:rsidP="00624767">
            <w:pPr>
              <w:spacing w:line="360" w:lineRule="auto"/>
              <w:jc w:val="center"/>
              <w:rPr>
                <w:rFonts w:ascii="Arial" w:hAnsi="Arial" w:cs="Arial"/>
                <w:sz w:val="20"/>
                <w:szCs w:val="20"/>
              </w:rPr>
            </w:pPr>
            <w:r w:rsidRPr="00532843">
              <w:rPr>
                <w:rFonts w:ascii="Arial" w:hAnsi="Arial" w:cs="Arial"/>
                <w:sz w:val="20"/>
                <w:szCs w:val="20"/>
              </w:rPr>
              <w:t>0.</w:t>
            </w:r>
            <w:r>
              <w:rPr>
                <w:rFonts w:ascii="Arial" w:hAnsi="Arial" w:cs="Arial"/>
                <w:sz w:val="20"/>
                <w:szCs w:val="20"/>
              </w:rPr>
              <w:t>12</w:t>
            </w:r>
          </w:p>
        </w:tc>
        <w:tc>
          <w:tcPr>
            <w:tcW w:w="1800" w:type="dxa"/>
            <w:vMerge w:val="restart"/>
            <w:tcBorders>
              <w:top w:val="nil"/>
              <w:left w:val="nil"/>
              <w:right w:val="nil"/>
            </w:tcBorders>
            <w:vAlign w:val="center"/>
          </w:tcPr>
          <w:p w:rsidR="00624767" w:rsidRPr="00532843" w:rsidRDefault="00624767" w:rsidP="00624767">
            <w:pPr>
              <w:spacing w:line="360" w:lineRule="auto"/>
              <w:jc w:val="center"/>
              <w:rPr>
                <w:rFonts w:ascii="Arial" w:hAnsi="Arial" w:cs="Arial"/>
                <w:sz w:val="20"/>
                <w:szCs w:val="20"/>
              </w:rPr>
            </w:pPr>
            <w:r>
              <w:rPr>
                <w:rFonts w:ascii="Arial" w:hAnsi="Arial" w:cs="Arial"/>
                <w:sz w:val="20"/>
                <w:szCs w:val="20"/>
              </w:rPr>
              <w:t>20</w:t>
            </w:r>
          </w:p>
        </w:tc>
      </w:tr>
      <w:tr w:rsidR="00624767" w:rsidRPr="00532843">
        <w:trPr>
          <w:trHeight w:val="376"/>
        </w:trPr>
        <w:tc>
          <w:tcPr>
            <w:tcW w:w="3894" w:type="dxa"/>
            <w:vMerge/>
            <w:tcBorders>
              <w:top w:val="nil"/>
              <w:left w:val="nil"/>
              <w:bottom w:val="single" w:sz="2" w:space="0" w:color="auto"/>
              <w:right w:val="nil"/>
            </w:tcBorders>
            <w:vAlign w:val="center"/>
          </w:tcPr>
          <w:p w:rsidR="00624767" w:rsidRPr="00532843" w:rsidRDefault="00624767" w:rsidP="00624767">
            <w:pPr>
              <w:spacing w:line="360" w:lineRule="auto"/>
              <w:rPr>
                <w:b/>
                <w:sz w:val="22"/>
                <w:szCs w:val="22"/>
              </w:rPr>
            </w:pPr>
          </w:p>
        </w:tc>
        <w:tc>
          <w:tcPr>
            <w:tcW w:w="1794" w:type="dxa"/>
            <w:tcBorders>
              <w:top w:val="nil"/>
              <w:left w:val="nil"/>
              <w:bottom w:val="single" w:sz="2" w:space="0" w:color="auto"/>
              <w:right w:val="nil"/>
            </w:tcBorders>
          </w:tcPr>
          <w:p w:rsidR="00624767" w:rsidRPr="00532843" w:rsidRDefault="00624767" w:rsidP="00624767">
            <w:pPr>
              <w:spacing w:line="360" w:lineRule="auto"/>
              <w:jc w:val="center"/>
              <w:rPr>
                <w:rFonts w:ascii="Arial" w:hAnsi="Arial" w:cs="Arial"/>
                <w:sz w:val="20"/>
                <w:szCs w:val="20"/>
              </w:rPr>
            </w:pPr>
            <w:r w:rsidRPr="00532843">
              <w:rPr>
                <w:rFonts w:ascii="Arial" w:hAnsi="Arial" w:cs="Arial"/>
                <w:sz w:val="20"/>
                <w:szCs w:val="20"/>
              </w:rPr>
              <w:t>Digoxin</w:t>
            </w:r>
          </w:p>
        </w:tc>
        <w:tc>
          <w:tcPr>
            <w:tcW w:w="900" w:type="dxa"/>
            <w:tcBorders>
              <w:top w:val="nil"/>
              <w:left w:val="nil"/>
              <w:bottom w:val="single" w:sz="2" w:space="0" w:color="auto"/>
              <w:right w:val="nil"/>
            </w:tcBorders>
          </w:tcPr>
          <w:p w:rsidR="00624767" w:rsidRPr="00532843" w:rsidRDefault="00624767" w:rsidP="00624767">
            <w:pPr>
              <w:spacing w:line="360" w:lineRule="auto"/>
              <w:jc w:val="center"/>
              <w:rPr>
                <w:rFonts w:ascii="Arial" w:hAnsi="Arial" w:cs="Arial"/>
                <w:sz w:val="20"/>
                <w:szCs w:val="20"/>
              </w:rPr>
            </w:pPr>
            <w:r w:rsidRPr="00532843">
              <w:rPr>
                <w:rFonts w:ascii="Arial" w:hAnsi="Arial" w:cs="Arial"/>
                <w:sz w:val="20"/>
                <w:szCs w:val="20"/>
              </w:rPr>
              <w:t>0.78</w:t>
            </w:r>
          </w:p>
        </w:tc>
        <w:tc>
          <w:tcPr>
            <w:tcW w:w="900" w:type="dxa"/>
            <w:tcBorders>
              <w:top w:val="nil"/>
              <w:left w:val="nil"/>
              <w:bottom w:val="single" w:sz="2" w:space="0" w:color="auto"/>
              <w:right w:val="nil"/>
            </w:tcBorders>
          </w:tcPr>
          <w:p w:rsidR="00624767" w:rsidRPr="00532843" w:rsidRDefault="00624767" w:rsidP="00624767">
            <w:pPr>
              <w:spacing w:line="360" w:lineRule="auto"/>
              <w:jc w:val="center"/>
              <w:rPr>
                <w:rFonts w:ascii="Arial" w:hAnsi="Arial" w:cs="Arial"/>
                <w:sz w:val="20"/>
                <w:szCs w:val="20"/>
              </w:rPr>
            </w:pPr>
            <w:r w:rsidRPr="00532843">
              <w:rPr>
                <w:rFonts w:ascii="Arial" w:hAnsi="Arial" w:cs="Arial"/>
                <w:sz w:val="20"/>
                <w:szCs w:val="20"/>
              </w:rPr>
              <w:t>2.</w:t>
            </w:r>
            <w:r>
              <w:rPr>
                <w:rFonts w:ascii="Arial" w:hAnsi="Arial" w:cs="Arial"/>
                <w:sz w:val="20"/>
                <w:szCs w:val="20"/>
              </w:rPr>
              <w:t>85</w:t>
            </w:r>
          </w:p>
        </w:tc>
        <w:tc>
          <w:tcPr>
            <w:tcW w:w="900" w:type="dxa"/>
            <w:tcBorders>
              <w:top w:val="nil"/>
              <w:left w:val="nil"/>
              <w:bottom w:val="single" w:sz="2" w:space="0" w:color="auto"/>
              <w:right w:val="nil"/>
            </w:tcBorders>
          </w:tcPr>
          <w:p w:rsidR="00624767" w:rsidRPr="00532843" w:rsidRDefault="00624767" w:rsidP="00624767">
            <w:pPr>
              <w:spacing w:line="360" w:lineRule="auto"/>
              <w:jc w:val="center"/>
              <w:rPr>
                <w:rFonts w:ascii="Arial" w:hAnsi="Arial" w:cs="Arial"/>
                <w:sz w:val="20"/>
                <w:szCs w:val="20"/>
              </w:rPr>
            </w:pPr>
            <w:r w:rsidRPr="00532843">
              <w:rPr>
                <w:rFonts w:ascii="Arial" w:hAnsi="Arial" w:cs="Arial"/>
                <w:sz w:val="20"/>
                <w:szCs w:val="20"/>
              </w:rPr>
              <w:t>0.60</w:t>
            </w:r>
          </w:p>
        </w:tc>
        <w:tc>
          <w:tcPr>
            <w:tcW w:w="900" w:type="dxa"/>
            <w:tcBorders>
              <w:top w:val="nil"/>
              <w:left w:val="nil"/>
              <w:bottom w:val="single" w:sz="2" w:space="0" w:color="auto"/>
              <w:right w:val="nil"/>
            </w:tcBorders>
          </w:tcPr>
          <w:p w:rsidR="00624767" w:rsidRPr="00532843" w:rsidRDefault="00624767" w:rsidP="00624767">
            <w:pPr>
              <w:spacing w:line="360" w:lineRule="auto"/>
              <w:jc w:val="center"/>
              <w:rPr>
                <w:rFonts w:ascii="Arial" w:hAnsi="Arial" w:cs="Arial"/>
                <w:sz w:val="20"/>
                <w:szCs w:val="20"/>
              </w:rPr>
            </w:pPr>
            <w:r w:rsidRPr="00532843">
              <w:rPr>
                <w:rFonts w:ascii="Arial" w:hAnsi="Arial" w:cs="Arial"/>
                <w:sz w:val="20"/>
                <w:szCs w:val="20"/>
              </w:rPr>
              <w:t>0.</w:t>
            </w:r>
            <w:r>
              <w:rPr>
                <w:rFonts w:ascii="Arial" w:hAnsi="Arial" w:cs="Arial"/>
                <w:sz w:val="20"/>
                <w:szCs w:val="20"/>
              </w:rPr>
              <w:t>47</w:t>
            </w:r>
          </w:p>
        </w:tc>
        <w:tc>
          <w:tcPr>
            <w:tcW w:w="1080" w:type="dxa"/>
            <w:tcBorders>
              <w:top w:val="nil"/>
              <w:left w:val="nil"/>
              <w:bottom w:val="single" w:sz="2" w:space="0" w:color="auto"/>
              <w:right w:val="nil"/>
            </w:tcBorders>
          </w:tcPr>
          <w:p w:rsidR="00624767" w:rsidRPr="00532843" w:rsidRDefault="00624767" w:rsidP="00624767">
            <w:pPr>
              <w:spacing w:line="360" w:lineRule="auto"/>
              <w:jc w:val="center"/>
              <w:rPr>
                <w:rFonts w:ascii="Arial" w:hAnsi="Arial" w:cs="Arial"/>
                <w:sz w:val="20"/>
                <w:szCs w:val="20"/>
              </w:rPr>
            </w:pPr>
            <w:r w:rsidRPr="00532843">
              <w:rPr>
                <w:rFonts w:ascii="Arial" w:hAnsi="Arial" w:cs="Arial"/>
                <w:sz w:val="20"/>
                <w:szCs w:val="20"/>
              </w:rPr>
              <w:t>3.</w:t>
            </w:r>
            <w:r>
              <w:rPr>
                <w:rFonts w:ascii="Arial" w:hAnsi="Arial" w:cs="Arial"/>
                <w:sz w:val="20"/>
                <w:szCs w:val="20"/>
              </w:rPr>
              <w:t>32</w:t>
            </w:r>
          </w:p>
        </w:tc>
        <w:tc>
          <w:tcPr>
            <w:tcW w:w="1440" w:type="dxa"/>
            <w:vMerge/>
            <w:tcBorders>
              <w:top w:val="nil"/>
              <w:left w:val="nil"/>
              <w:bottom w:val="single" w:sz="2" w:space="0" w:color="auto"/>
              <w:right w:val="nil"/>
            </w:tcBorders>
            <w:vAlign w:val="center"/>
          </w:tcPr>
          <w:p w:rsidR="00624767" w:rsidRPr="00532843" w:rsidRDefault="00624767" w:rsidP="00624767">
            <w:pPr>
              <w:spacing w:line="360" w:lineRule="auto"/>
              <w:jc w:val="center"/>
              <w:rPr>
                <w:sz w:val="22"/>
                <w:szCs w:val="22"/>
              </w:rPr>
            </w:pPr>
          </w:p>
        </w:tc>
        <w:tc>
          <w:tcPr>
            <w:tcW w:w="1800" w:type="dxa"/>
            <w:vMerge/>
            <w:tcBorders>
              <w:left w:val="nil"/>
              <w:bottom w:val="single" w:sz="2" w:space="0" w:color="auto"/>
              <w:right w:val="nil"/>
            </w:tcBorders>
            <w:vAlign w:val="center"/>
          </w:tcPr>
          <w:p w:rsidR="00624767" w:rsidRPr="00532843" w:rsidRDefault="00624767" w:rsidP="00624767">
            <w:pPr>
              <w:spacing w:line="360" w:lineRule="auto"/>
              <w:jc w:val="center"/>
              <w:rPr>
                <w:sz w:val="22"/>
                <w:szCs w:val="22"/>
              </w:rPr>
            </w:pPr>
          </w:p>
        </w:tc>
      </w:tr>
      <w:tr w:rsidR="00624767" w:rsidRPr="00532843">
        <w:trPr>
          <w:trHeight w:val="377"/>
        </w:trPr>
        <w:tc>
          <w:tcPr>
            <w:tcW w:w="3894" w:type="dxa"/>
            <w:vMerge w:val="restart"/>
            <w:tcBorders>
              <w:top w:val="nil"/>
              <w:left w:val="nil"/>
              <w:bottom w:val="single" w:sz="2" w:space="0" w:color="auto"/>
              <w:right w:val="nil"/>
            </w:tcBorders>
            <w:vAlign w:val="center"/>
          </w:tcPr>
          <w:p w:rsidR="00624767" w:rsidRPr="00532843" w:rsidRDefault="00624767" w:rsidP="00624767">
            <w:pPr>
              <w:spacing w:line="360" w:lineRule="auto"/>
              <w:rPr>
                <w:b/>
                <w:sz w:val="22"/>
                <w:szCs w:val="22"/>
              </w:rPr>
            </w:pPr>
            <w:r w:rsidRPr="00532843">
              <w:rPr>
                <w:b/>
                <w:sz w:val="22"/>
                <w:szCs w:val="22"/>
              </w:rPr>
              <w:t>H</w:t>
            </w:r>
            <w:r w:rsidRPr="00532843">
              <w:rPr>
                <w:b/>
                <w:sz w:val="22"/>
                <w:szCs w:val="22"/>
                <w:vertAlign w:val="subscript"/>
              </w:rPr>
              <w:t>1</w:t>
            </w:r>
            <w:r w:rsidRPr="00532843">
              <w:rPr>
                <w:b/>
                <w:sz w:val="22"/>
                <w:szCs w:val="22"/>
              </w:rPr>
              <w:t xml:space="preserve"> increased 0.03; H</w:t>
            </w:r>
            <w:r w:rsidRPr="00532843">
              <w:rPr>
                <w:b/>
                <w:sz w:val="22"/>
                <w:szCs w:val="22"/>
                <w:vertAlign w:val="subscript"/>
              </w:rPr>
              <w:t>2</w:t>
            </w:r>
            <w:r w:rsidRPr="00532843">
              <w:rPr>
                <w:b/>
                <w:sz w:val="22"/>
                <w:szCs w:val="22"/>
              </w:rPr>
              <w:t xml:space="preserve"> increased 0.03</w:t>
            </w:r>
          </w:p>
        </w:tc>
        <w:tc>
          <w:tcPr>
            <w:tcW w:w="1794" w:type="dxa"/>
            <w:tcBorders>
              <w:top w:val="single" w:sz="2" w:space="0" w:color="auto"/>
              <w:left w:val="nil"/>
              <w:bottom w:val="nil"/>
              <w:right w:val="nil"/>
            </w:tcBorders>
          </w:tcPr>
          <w:p w:rsidR="00624767" w:rsidRPr="00532843" w:rsidRDefault="00624767" w:rsidP="00624767">
            <w:pPr>
              <w:spacing w:line="360" w:lineRule="auto"/>
              <w:jc w:val="center"/>
              <w:rPr>
                <w:rFonts w:ascii="Arial" w:hAnsi="Arial" w:cs="Arial"/>
                <w:sz w:val="20"/>
                <w:szCs w:val="20"/>
              </w:rPr>
            </w:pPr>
            <w:r w:rsidRPr="00532843">
              <w:rPr>
                <w:rFonts w:ascii="Arial" w:hAnsi="Arial" w:cs="Arial"/>
                <w:sz w:val="20"/>
                <w:szCs w:val="20"/>
              </w:rPr>
              <w:t>Placebo</w:t>
            </w:r>
          </w:p>
        </w:tc>
        <w:tc>
          <w:tcPr>
            <w:tcW w:w="900" w:type="dxa"/>
            <w:tcBorders>
              <w:top w:val="single" w:sz="2" w:space="0" w:color="auto"/>
              <w:left w:val="nil"/>
              <w:bottom w:val="nil"/>
              <w:right w:val="nil"/>
            </w:tcBorders>
          </w:tcPr>
          <w:p w:rsidR="00624767" w:rsidRPr="00532843" w:rsidRDefault="00624767" w:rsidP="00624767">
            <w:pPr>
              <w:spacing w:line="360" w:lineRule="auto"/>
              <w:jc w:val="center"/>
              <w:rPr>
                <w:rFonts w:ascii="Arial" w:hAnsi="Arial" w:cs="Arial"/>
                <w:sz w:val="20"/>
                <w:szCs w:val="20"/>
              </w:rPr>
            </w:pPr>
            <w:r w:rsidRPr="00532843">
              <w:rPr>
                <w:rFonts w:ascii="Arial" w:hAnsi="Arial" w:cs="Arial"/>
                <w:sz w:val="20"/>
                <w:szCs w:val="20"/>
              </w:rPr>
              <w:t>0.84</w:t>
            </w:r>
          </w:p>
        </w:tc>
        <w:tc>
          <w:tcPr>
            <w:tcW w:w="900" w:type="dxa"/>
            <w:tcBorders>
              <w:top w:val="single" w:sz="2" w:space="0" w:color="auto"/>
              <w:left w:val="nil"/>
              <w:bottom w:val="nil"/>
              <w:right w:val="nil"/>
            </w:tcBorders>
          </w:tcPr>
          <w:p w:rsidR="00624767" w:rsidRPr="00532843" w:rsidRDefault="00624767" w:rsidP="00624767">
            <w:pPr>
              <w:spacing w:line="360" w:lineRule="auto"/>
              <w:jc w:val="center"/>
              <w:rPr>
                <w:rFonts w:ascii="Arial" w:hAnsi="Arial" w:cs="Arial"/>
                <w:sz w:val="20"/>
                <w:szCs w:val="20"/>
              </w:rPr>
            </w:pPr>
            <w:r w:rsidRPr="00532843">
              <w:rPr>
                <w:rFonts w:ascii="Arial" w:hAnsi="Arial" w:cs="Arial"/>
                <w:sz w:val="20"/>
                <w:szCs w:val="20"/>
              </w:rPr>
              <w:t>2.</w:t>
            </w:r>
            <w:r>
              <w:rPr>
                <w:rFonts w:ascii="Arial" w:hAnsi="Arial" w:cs="Arial"/>
                <w:sz w:val="20"/>
                <w:szCs w:val="20"/>
              </w:rPr>
              <w:t>79</w:t>
            </w:r>
          </w:p>
        </w:tc>
        <w:tc>
          <w:tcPr>
            <w:tcW w:w="900" w:type="dxa"/>
            <w:tcBorders>
              <w:top w:val="single" w:sz="2" w:space="0" w:color="auto"/>
              <w:left w:val="nil"/>
              <w:bottom w:val="nil"/>
              <w:right w:val="nil"/>
            </w:tcBorders>
          </w:tcPr>
          <w:p w:rsidR="00624767" w:rsidRPr="00532843" w:rsidRDefault="00624767" w:rsidP="00624767">
            <w:pPr>
              <w:spacing w:line="360" w:lineRule="auto"/>
              <w:jc w:val="center"/>
              <w:rPr>
                <w:rFonts w:ascii="Arial" w:hAnsi="Arial" w:cs="Arial"/>
                <w:sz w:val="20"/>
                <w:szCs w:val="20"/>
              </w:rPr>
            </w:pPr>
            <w:r w:rsidRPr="00532843">
              <w:rPr>
                <w:rFonts w:ascii="Arial" w:hAnsi="Arial" w:cs="Arial"/>
                <w:sz w:val="20"/>
                <w:szCs w:val="20"/>
              </w:rPr>
              <w:t>0.60</w:t>
            </w:r>
          </w:p>
        </w:tc>
        <w:tc>
          <w:tcPr>
            <w:tcW w:w="900" w:type="dxa"/>
            <w:tcBorders>
              <w:top w:val="single" w:sz="2" w:space="0" w:color="auto"/>
              <w:left w:val="nil"/>
              <w:bottom w:val="nil"/>
              <w:right w:val="nil"/>
            </w:tcBorders>
          </w:tcPr>
          <w:p w:rsidR="00624767" w:rsidRPr="00532843" w:rsidRDefault="00624767" w:rsidP="00624767">
            <w:pPr>
              <w:spacing w:line="360" w:lineRule="auto"/>
              <w:jc w:val="center"/>
              <w:rPr>
                <w:rFonts w:ascii="Arial" w:hAnsi="Arial" w:cs="Arial"/>
                <w:sz w:val="20"/>
                <w:szCs w:val="20"/>
              </w:rPr>
            </w:pPr>
            <w:r w:rsidRPr="00532843">
              <w:rPr>
                <w:rFonts w:ascii="Arial" w:hAnsi="Arial" w:cs="Arial"/>
                <w:sz w:val="20"/>
                <w:szCs w:val="20"/>
              </w:rPr>
              <w:t>0.</w:t>
            </w:r>
            <w:r>
              <w:rPr>
                <w:rFonts w:ascii="Arial" w:hAnsi="Arial" w:cs="Arial"/>
                <w:sz w:val="20"/>
                <w:szCs w:val="20"/>
              </w:rPr>
              <w:t>61</w:t>
            </w:r>
          </w:p>
        </w:tc>
        <w:tc>
          <w:tcPr>
            <w:tcW w:w="1080" w:type="dxa"/>
            <w:tcBorders>
              <w:top w:val="single" w:sz="2" w:space="0" w:color="auto"/>
              <w:left w:val="nil"/>
              <w:bottom w:val="nil"/>
              <w:right w:val="nil"/>
            </w:tcBorders>
          </w:tcPr>
          <w:p w:rsidR="00624767" w:rsidRPr="00532843" w:rsidRDefault="00624767" w:rsidP="00624767">
            <w:pPr>
              <w:spacing w:line="360" w:lineRule="auto"/>
              <w:jc w:val="center"/>
              <w:rPr>
                <w:rFonts w:ascii="Arial" w:hAnsi="Arial" w:cs="Arial"/>
                <w:sz w:val="20"/>
                <w:szCs w:val="20"/>
              </w:rPr>
            </w:pPr>
            <w:r w:rsidRPr="00532843">
              <w:rPr>
                <w:rFonts w:ascii="Arial" w:hAnsi="Arial" w:cs="Arial"/>
                <w:sz w:val="20"/>
                <w:szCs w:val="20"/>
              </w:rPr>
              <w:t>3.</w:t>
            </w:r>
            <w:r>
              <w:rPr>
                <w:rFonts w:ascii="Arial" w:hAnsi="Arial" w:cs="Arial"/>
                <w:sz w:val="20"/>
                <w:szCs w:val="20"/>
              </w:rPr>
              <w:t>40</w:t>
            </w:r>
          </w:p>
        </w:tc>
        <w:tc>
          <w:tcPr>
            <w:tcW w:w="1440" w:type="dxa"/>
            <w:vMerge w:val="restart"/>
            <w:tcBorders>
              <w:top w:val="nil"/>
              <w:left w:val="nil"/>
              <w:bottom w:val="single" w:sz="2" w:space="0" w:color="auto"/>
              <w:right w:val="nil"/>
            </w:tcBorders>
            <w:vAlign w:val="center"/>
          </w:tcPr>
          <w:p w:rsidR="00624767" w:rsidRPr="00532843" w:rsidRDefault="00624767" w:rsidP="00624767">
            <w:pPr>
              <w:spacing w:line="360" w:lineRule="auto"/>
              <w:jc w:val="center"/>
              <w:rPr>
                <w:rFonts w:ascii="Arial" w:hAnsi="Arial" w:cs="Arial"/>
                <w:sz w:val="20"/>
                <w:szCs w:val="20"/>
              </w:rPr>
            </w:pPr>
            <w:r w:rsidRPr="00532843">
              <w:rPr>
                <w:rFonts w:ascii="Arial" w:hAnsi="Arial" w:cs="Arial"/>
                <w:sz w:val="20"/>
                <w:szCs w:val="20"/>
              </w:rPr>
              <w:t>0.1</w:t>
            </w:r>
            <w:r>
              <w:rPr>
                <w:rFonts w:ascii="Arial" w:hAnsi="Arial" w:cs="Arial"/>
                <w:sz w:val="20"/>
                <w:szCs w:val="20"/>
              </w:rPr>
              <w:t>4</w:t>
            </w:r>
          </w:p>
        </w:tc>
        <w:tc>
          <w:tcPr>
            <w:tcW w:w="1800" w:type="dxa"/>
            <w:vMerge w:val="restart"/>
            <w:tcBorders>
              <w:top w:val="nil"/>
              <w:left w:val="nil"/>
              <w:right w:val="nil"/>
            </w:tcBorders>
            <w:vAlign w:val="center"/>
          </w:tcPr>
          <w:p w:rsidR="00624767" w:rsidRPr="00532843" w:rsidRDefault="00624767" w:rsidP="00624767">
            <w:pPr>
              <w:spacing w:line="360" w:lineRule="auto"/>
              <w:jc w:val="center"/>
              <w:rPr>
                <w:rFonts w:ascii="Arial" w:hAnsi="Arial" w:cs="Arial"/>
                <w:sz w:val="20"/>
                <w:szCs w:val="20"/>
              </w:rPr>
            </w:pPr>
            <w:r>
              <w:rPr>
                <w:rFonts w:ascii="Arial" w:hAnsi="Arial" w:cs="Arial"/>
                <w:sz w:val="20"/>
                <w:szCs w:val="20"/>
              </w:rPr>
              <w:t>40</w:t>
            </w:r>
          </w:p>
        </w:tc>
      </w:tr>
      <w:tr w:rsidR="00624767" w:rsidRPr="00532843">
        <w:trPr>
          <w:trHeight w:val="376"/>
        </w:trPr>
        <w:tc>
          <w:tcPr>
            <w:tcW w:w="3894" w:type="dxa"/>
            <w:vMerge/>
            <w:tcBorders>
              <w:top w:val="nil"/>
              <w:left w:val="nil"/>
              <w:bottom w:val="single" w:sz="2" w:space="0" w:color="auto"/>
              <w:right w:val="nil"/>
            </w:tcBorders>
            <w:vAlign w:val="center"/>
          </w:tcPr>
          <w:p w:rsidR="00624767" w:rsidRPr="00532843" w:rsidRDefault="00624767" w:rsidP="00624767">
            <w:pPr>
              <w:spacing w:line="360" w:lineRule="auto"/>
              <w:rPr>
                <w:b/>
                <w:sz w:val="22"/>
                <w:szCs w:val="22"/>
              </w:rPr>
            </w:pPr>
          </w:p>
        </w:tc>
        <w:tc>
          <w:tcPr>
            <w:tcW w:w="1794" w:type="dxa"/>
            <w:tcBorders>
              <w:top w:val="nil"/>
              <w:left w:val="nil"/>
              <w:bottom w:val="single" w:sz="2" w:space="0" w:color="auto"/>
              <w:right w:val="nil"/>
            </w:tcBorders>
          </w:tcPr>
          <w:p w:rsidR="00624767" w:rsidRPr="00532843" w:rsidRDefault="00624767" w:rsidP="00624767">
            <w:pPr>
              <w:spacing w:line="360" w:lineRule="auto"/>
              <w:jc w:val="center"/>
              <w:rPr>
                <w:rFonts w:ascii="Arial" w:hAnsi="Arial" w:cs="Arial"/>
                <w:sz w:val="20"/>
                <w:szCs w:val="20"/>
              </w:rPr>
            </w:pPr>
            <w:r w:rsidRPr="00532843">
              <w:rPr>
                <w:rFonts w:ascii="Arial" w:hAnsi="Arial" w:cs="Arial"/>
                <w:sz w:val="20"/>
                <w:szCs w:val="20"/>
              </w:rPr>
              <w:t>Digoxin</w:t>
            </w:r>
          </w:p>
        </w:tc>
        <w:tc>
          <w:tcPr>
            <w:tcW w:w="900" w:type="dxa"/>
            <w:tcBorders>
              <w:top w:val="nil"/>
              <w:left w:val="nil"/>
              <w:bottom w:val="single" w:sz="2" w:space="0" w:color="auto"/>
              <w:right w:val="nil"/>
            </w:tcBorders>
          </w:tcPr>
          <w:p w:rsidR="00624767" w:rsidRPr="00532843" w:rsidRDefault="00624767" w:rsidP="00624767">
            <w:pPr>
              <w:spacing w:line="360" w:lineRule="auto"/>
              <w:jc w:val="center"/>
              <w:rPr>
                <w:rFonts w:ascii="Arial" w:hAnsi="Arial" w:cs="Arial"/>
                <w:sz w:val="20"/>
                <w:szCs w:val="20"/>
              </w:rPr>
            </w:pPr>
            <w:r w:rsidRPr="00532843">
              <w:rPr>
                <w:rFonts w:ascii="Arial" w:hAnsi="Arial" w:cs="Arial"/>
                <w:sz w:val="20"/>
                <w:szCs w:val="20"/>
              </w:rPr>
              <w:t>0.84</w:t>
            </w:r>
          </w:p>
        </w:tc>
        <w:tc>
          <w:tcPr>
            <w:tcW w:w="900" w:type="dxa"/>
            <w:tcBorders>
              <w:top w:val="nil"/>
              <w:left w:val="nil"/>
              <w:bottom w:val="single" w:sz="2" w:space="0" w:color="auto"/>
              <w:right w:val="nil"/>
            </w:tcBorders>
          </w:tcPr>
          <w:p w:rsidR="00624767" w:rsidRPr="00532843" w:rsidRDefault="00624767" w:rsidP="00624767">
            <w:pPr>
              <w:spacing w:line="360" w:lineRule="auto"/>
              <w:jc w:val="center"/>
              <w:rPr>
                <w:rFonts w:ascii="Arial" w:hAnsi="Arial" w:cs="Arial"/>
                <w:sz w:val="20"/>
                <w:szCs w:val="20"/>
              </w:rPr>
            </w:pPr>
            <w:r>
              <w:rPr>
                <w:rFonts w:ascii="Arial" w:hAnsi="Arial" w:cs="Arial"/>
                <w:sz w:val="20"/>
                <w:szCs w:val="20"/>
              </w:rPr>
              <w:t>3.07</w:t>
            </w:r>
          </w:p>
        </w:tc>
        <w:tc>
          <w:tcPr>
            <w:tcW w:w="900" w:type="dxa"/>
            <w:tcBorders>
              <w:top w:val="nil"/>
              <w:left w:val="nil"/>
              <w:bottom w:val="single" w:sz="2" w:space="0" w:color="auto"/>
              <w:right w:val="nil"/>
            </w:tcBorders>
          </w:tcPr>
          <w:p w:rsidR="00624767" w:rsidRPr="00532843" w:rsidRDefault="00624767" w:rsidP="00624767">
            <w:pPr>
              <w:spacing w:line="360" w:lineRule="auto"/>
              <w:jc w:val="center"/>
              <w:rPr>
                <w:rFonts w:ascii="Arial" w:hAnsi="Arial" w:cs="Arial"/>
                <w:sz w:val="20"/>
                <w:szCs w:val="20"/>
              </w:rPr>
            </w:pPr>
            <w:r w:rsidRPr="00532843">
              <w:rPr>
                <w:rFonts w:ascii="Arial" w:hAnsi="Arial" w:cs="Arial"/>
                <w:sz w:val="20"/>
                <w:szCs w:val="20"/>
              </w:rPr>
              <w:t>0.60</w:t>
            </w:r>
          </w:p>
        </w:tc>
        <w:tc>
          <w:tcPr>
            <w:tcW w:w="900" w:type="dxa"/>
            <w:tcBorders>
              <w:top w:val="nil"/>
              <w:left w:val="nil"/>
              <w:bottom w:val="single" w:sz="2" w:space="0" w:color="auto"/>
              <w:right w:val="nil"/>
            </w:tcBorders>
          </w:tcPr>
          <w:p w:rsidR="00624767" w:rsidRPr="00532843" w:rsidRDefault="00624767" w:rsidP="00624767">
            <w:pPr>
              <w:spacing w:line="360" w:lineRule="auto"/>
              <w:jc w:val="center"/>
              <w:rPr>
                <w:rFonts w:ascii="Arial" w:hAnsi="Arial" w:cs="Arial"/>
                <w:sz w:val="20"/>
                <w:szCs w:val="20"/>
              </w:rPr>
            </w:pPr>
            <w:r w:rsidRPr="00532843">
              <w:rPr>
                <w:rFonts w:ascii="Arial" w:hAnsi="Arial" w:cs="Arial"/>
                <w:sz w:val="20"/>
                <w:szCs w:val="20"/>
              </w:rPr>
              <w:t>0.</w:t>
            </w:r>
            <w:r>
              <w:rPr>
                <w:rFonts w:ascii="Arial" w:hAnsi="Arial" w:cs="Arial"/>
                <w:sz w:val="20"/>
                <w:szCs w:val="20"/>
              </w:rPr>
              <w:t>47</w:t>
            </w:r>
          </w:p>
        </w:tc>
        <w:tc>
          <w:tcPr>
            <w:tcW w:w="1080" w:type="dxa"/>
            <w:tcBorders>
              <w:top w:val="nil"/>
              <w:left w:val="nil"/>
              <w:bottom w:val="single" w:sz="2" w:space="0" w:color="auto"/>
              <w:right w:val="nil"/>
            </w:tcBorders>
          </w:tcPr>
          <w:p w:rsidR="00624767" w:rsidRPr="00532843" w:rsidRDefault="00624767" w:rsidP="00624767">
            <w:pPr>
              <w:spacing w:line="360" w:lineRule="auto"/>
              <w:jc w:val="center"/>
              <w:rPr>
                <w:rFonts w:ascii="Arial" w:hAnsi="Arial" w:cs="Arial"/>
                <w:sz w:val="20"/>
                <w:szCs w:val="20"/>
              </w:rPr>
            </w:pPr>
            <w:r w:rsidRPr="00532843">
              <w:rPr>
                <w:rFonts w:ascii="Arial" w:hAnsi="Arial" w:cs="Arial"/>
                <w:sz w:val="20"/>
                <w:szCs w:val="20"/>
              </w:rPr>
              <w:t>3.</w:t>
            </w:r>
            <w:r>
              <w:rPr>
                <w:rFonts w:ascii="Arial" w:hAnsi="Arial" w:cs="Arial"/>
                <w:sz w:val="20"/>
                <w:szCs w:val="20"/>
              </w:rPr>
              <w:t>54</w:t>
            </w:r>
          </w:p>
        </w:tc>
        <w:tc>
          <w:tcPr>
            <w:tcW w:w="1440" w:type="dxa"/>
            <w:vMerge/>
            <w:tcBorders>
              <w:top w:val="nil"/>
              <w:left w:val="nil"/>
              <w:bottom w:val="single" w:sz="2" w:space="0" w:color="auto"/>
              <w:right w:val="nil"/>
            </w:tcBorders>
            <w:vAlign w:val="center"/>
          </w:tcPr>
          <w:p w:rsidR="00624767" w:rsidRPr="00532843" w:rsidRDefault="00624767" w:rsidP="00624767">
            <w:pPr>
              <w:spacing w:line="360" w:lineRule="auto"/>
              <w:jc w:val="center"/>
              <w:rPr>
                <w:sz w:val="22"/>
                <w:szCs w:val="22"/>
              </w:rPr>
            </w:pPr>
          </w:p>
        </w:tc>
        <w:tc>
          <w:tcPr>
            <w:tcW w:w="1800" w:type="dxa"/>
            <w:vMerge/>
            <w:tcBorders>
              <w:left w:val="nil"/>
              <w:bottom w:val="single" w:sz="2" w:space="0" w:color="auto"/>
              <w:right w:val="nil"/>
            </w:tcBorders>
            <w:vAlign w:val="center"/>
          </w:tcPr>
          <w:p w:rsidR="00624767" w:rsidRPr="00532843" w:rsidRDefault="00624767" w:rsidP="00624767">
            <w:pPr>
              <w:spacing w:line="360" w:lineRule="auto"/>
              <w:jc w:val="center"/>
              <w:rPr>
                <w:sz w:val="22"/>
                <w:szCs w:val="22"/>
              </w:rPr>
            </w:pPr>
          </w:p>
        </w:tc>
      </w:tr>
      <w:tr w:rsidR="00624767" w:rsidRPr="00532843">
        <w:trPr>
          <w:trHeight w:val="377"/>
        </w:trPr>
        <w:tc>
          <w:tcPr>
            <w:tcW w:w="3894" w:type="dxa"/>
            <w:vMerge w:val="restart"/>
            <w:tcBorders>
              <w:top w:val="nil"/>
              <w:left w:val="nil"/>
              <w:bottom w:val="single" w:sz="2" w:space="0" w:color="auto"/>
              <w:right w:val="nil"/>
            </w:tcBorders>
            <w:vAlign w:val="center"/>
          </w:tcPr>
          <w:p w:rsidR="00624767" w:rsidRPr="00532843" w:rsidRDefault="00624767" w:rsidP="00624767">
            <w:pPr>
              <w:spacing w:line="360" w:lineRule="auto"/>
              <w:rPr>
                <w:b/>
                <w:sz w:val="22"/>
                <w:szCs w:val="22"/>
              </w:rPr>
            </w:pPr>
            <w:r w:rsidRPr="00532843">
              <w:rPr>
                <w:b/>
                <w:sz w:val="22"/>
                <w:szCs w:val="22"/>
              </w:rPr>
              <w:t>H</w:t>
            </w:r>
            <w:r w:rsidRPr="00532843">
              <w:rPr>
                <w:b/>
                <w:sz w:val="22"/>
                <w:szCs w:val="22"/>
                <w:vertAlign w:val="subscript"/>
              </w:rPr>
              <w:t>1</w:t>
            </w:r>
            <w:r w:rsidRPr="00532843">
              <w:rPr>
                <w:b/>
                <w:sz w:val="22"/>
                <w:szCs w:val="22"/>
              </w:rPr>
              <w:t xml:space="preserve"> decreased 0.03; H</w:t>
            </w:r>
            <w:r w:rsidRPr="00532843">
              <w:rPr>
                <w:b/>
                <w:sz w:val="22"/>
                <w:szCs w:val="22"/>
                <w:vertAlign w:val="subscript"/>
              </w:rPr>
              <w:t>2</w:t>
            </w:r>
            <w:r w:rsidRPr="00532843">
              <w:rPr>
                <w:b/>
                <w:sz w:val="22"/>
                <w:szCs w:val="22"/>
              </w:rPr>
              <w:t xml:space="preserve"> decreased 0.03</w:t>
            </w:r>
          </w:p>
        </w:tc>
        <w:tc>
          <w:tcPr>
            <w:tcW w:w="1794" w:type="dxa"/>
            <w:tcBorders>
              <w:top w:val="single" w:sz="2" w:space="0" w:color="auto"/>
              <w:left w:val="nil"/>
              <w:bottom w:val="nil"/>
              <w:right w:val="nil"/>
            </w:tcBorders>
          </w:tcPr>
          <w:p w:rsidR="00624767" w:rsidRPr="00532843" w:rsidRDefault="00624767" w:rsidP="00624767">
            <w:pPr>
              <w:spacing w:line="360" w:lineRule="auto"/>
              <w:jc w:val="center"/>
              <w:rPr>
                <w:rFonts w:ascii="Arial" w:hAnsi="Arial" w:cs="Arial"/>
                <w:sz w:val="20"/>
                <w:szCs w:val="20"/>
              </w:rPr>
            </w:pPr>
            <w:r w:rsidRPr="00532843">
              <w:rPr>
                <w:rFonts w:ascii="Arial" w:hAnsi="Arial" w:cs="Arial"/>
                <w:sz w:val="20"/>
                <w:szCs w:val="20"/>
              </w:rPr>
              <w:t>Placebo</w:t>
            </w:r>
          </w:p>
        </w:tc>
        <w:tc>
          <w:tcPr>
            <w:tcW w:w="900" w:type="dxa"/>
            <w:tcBorders>
              <w:top w:val="single" w:sz="2" w:space="0" w:color="auto"/>
              <w:left w:val="nil"/>
              <w:bottom w:val="nil"/>
              <w:right w:val="nil"/>
            </w:tcBorders>
          </w:tcPr>
          <w:p w:rsidR="00624767" w:rsidRPr="00532843" w:rsidRDefault="00624767" w:rsidP="00624767">
            <w:pPr>
              <w:spacing w:line="360" w:lineRule="auto"/>
              <w:jc w:val="center"/>
              <w:rPr>
                <w:rFonts w:ascii="Arial" w:hAnsi="Arial" w:cs="Arial"/>
                <w:sz w:val="20"/>
                <w:szCs w:val="20"/>
              </w:rPr>
            </w:pPr>
            <w:r w:rsidRPr="00532843">
              <w:rPr>
                <w:rFonts w:ascii="Arial" w:hAnsi="Arial" w:cs="Arial"/>
                <w:sz w:val="20"/>
                <w:szCs w:val="20"/>
              </w:rPr>
              <w:t>0.78</w:t>
            </w:r>
          </w:p>
        </w:tc>
        <w:tc>
          <w:tcPr>
            <w:tcW w:w="900" w:type="dxa"/>
            <w:tcBorders>
              <w:top w:val="single" w:sz="2" w:space="0" w:color="auto"/>
              <w:left w:val="nil"/>
              <w:bottom w:val="nil"/>
              <w:right w:val="nil"/>
            </w:tcBorders>
          </w:tcPr>
          <w:p w:rsidR="00624767" w:rsidRPr="00532843" w:rsidRDefault="00624767" w:rsidP="00624767">
            <w:pPr>
              <w:spacing w:line="360" w:lineRule="auto"/>
              <w:jc w:val="center"/>
              <w:rPr>
                <w:rFonts w:ascii="Arial" w:hAnsi="Arial" w:cs="Arial"/>
                <w:sz w:val="20"/>
                <w:szCs w:val="20"/>
              </w:rPr>
            </w:pPr>
            <w:r w:rsidRPr="00532843">
              <w:rPr>
                <w:rFonts w:ascii="Arial" w:hAnsi="Arial" w:cs="Arial"/>
                <w:sz w:val="20"/>
                <w:szCs w:val="20"/>
              </w:rPr>
              <w:t>2.5</w:t>
            </w:r>
            <w:r>
              <w:rPr>
                <w:rFonts w:ascii="Arial" w:hAnsi="Arial" w:cs="Arial"/>
                <w:sz w:val="20"/>
                <w:szCs w:val="20"/>
              </w:rPr>
              <w:t>9</w:t>
            </w:r>
          </w:p>
        </w:tc>
        <w:tc>
          <w:tcPr>
            <w:tcW w:w="900" w:type="dxa"/>
            <w:tcBorders>
              <w:top w:val="single" w:sz="2" w:space="0" w:color="auto"/>
              <w:left w:val="nil"/>
              <w:bottom w:val="nil"/>
              <w:right w:val="nil"/>
            </w:tcBorders>
          </w:tcPr>
          <w:p w:rsidR="00624767" w:rsidRPr="00532843" w:rsidRDefault="00624767" w:rsidP="00624767">
            <w:pPr>
              <w:spacing w:line="360" w:lineRule="auto"/>
              <w:jc w:val="center"/>
              <w:rPr>
                <w:rFonts w:ascii="Arial" w:hAnsi="Arial" w:cs="Arial"/>
                <w:sz w:val="20"/>
                <w:szCs w:val="20"/>
              </w:rPr>
            </w:pPr>
            <w:r w:rsidRPr="00532843">
              <w:rPr>
                <w:rFonts w:ascii="Arial" w:hAnsi="Arial" w:cs="Arial"/>
                <w:sz w:val="20"/>
                <w:szCs w:val="20"/>
              </w:rPr>
              <w:t>0.54</w:t>
            </w:r>
          </w:p>
        </w:tc>
        <w:tc>
          <w:tcPr>
            <w:tcW w:w="900" w:type="dxa"/>
            <w:tcBorders>
              <w:top w:val="single" w:sz="2" w:space="0" w:color="auto"/>
              <w:left w:val="nil"/>
              <w:bottom w:val="nil"/>
              <w:right w:val="nil"/>
            </w:tcBorders>
          </w:tcPr>
          <w:p w:rsidR="00624767" w:rsidRPr="00532843" w:rsidRDefault="00624767" w:rsidP="00624767">
            <w:pPr>
              <w:spacing w:line="360" w:lineRule="auto"/>
              <w:jc w:val="center"/>
              <w:rPr>
                <w:rFonts w:ascii="Arial" w:hAnsi="Arial" w:cs="Arial"/>
                <w:sz w:val="20"/>
                <w:szCs w:val="20"/>
              </w:rPr>
            </w:pPr>
            <w:r w:rsidRPr="00532843">
              <w:rPr>
                <w:rFonts w:ascii="Arial" w:hAnsi="Arial" w:cs="Arial"/>
                <w:sz w:val="20"/>
                <w:szCs w:val="20"/>
              </w:rPr>
              <w:t>0.</w:t>
            </w:r>
            <w:r>
              <w:rPr>
                <w:rFonts w:ascii="Arial" w:hAnsi="Arial" w:cs="Arial"/>
                <w:sz w:val="20"/>
                <w:szCs w:val="20"/>
              </w:rPr>
              <w:t>55</w:t>
            </w:r>
          </w:p>
        </w:tc>
        <w:tc>
          <w:tcPr>
            <w:tcW w:w="1080" w:type="dxa"/>
            <w:tcBorders>
              <w:top w:val="single" w:sz="2" w:space="0" w:color="auto"/>
              <w:left w:val="nil"/>
              <w:bottom w:val="nil"/>
              <w:right w:val="nil"/>
            </w:tcBorders>
          </w:tcPr>
          <w:p w:rsidR="00624767" w:rsidRPr="00532843" w:rsidRDefault="00624767" w:rsidP="00624767">
            <w:pPr>
              <w:spacing w:line="360" w:lineRule="auto"/>
              <w:jc w:val="center"/>
              <w:rPr>
                <w:rFonts w:ascii="Arial" w:hAnsi="Arial" w:cs="Arial"/>
                <w:sz w:val="20"/>
                <w:szCs w:val="20"/>
              </w:rPr>
            </w:pPr>
            <w:r w:rsidRPr="00532843">
              <w:rPr>
                <w:rFonts w:ascii="Arial" w:hAnsi="Arial" w:cs="Arial"/>
                <w:sz w:val="20"/>
                <w:szCs w:val="20"/>
              </w:rPr>
              <w:t>3.1</w:t>
            </w:r>
            <w:r>
              <w:rPr>
                <w:rFonts w:ascii="Arial" w:hAnsi="Arial" w:cs="Arial"/>
                <w:sz w:val="20"/>
                <w:szCs w:val="20"/>
              </w:rPr>
              <w:t>4</w:t>
            </w:r>
          </w:p>
        </w:tc>
        <w:tc>
          <w:tcPr>
            <w:tcW w:w="1440" w:type="dxa"/>
            <w:vMerge w:val="restart"/>
            <w:tcBorders>
              <w:top w:val="nil"/>
              <w:left w:val="nil"/>
              <w:bottom w:val="single" w:sz="2" w:space="0" w:color="auto"/>
              <w:right w:val="nil"/>
            </w:tcBorders>
            <w:vAlign w:val="center"/>
          </w:tcPr>
          <w:p w:rsidR="00624767" w:rsidRPr="00532843" w:rsidRDefault="00624767" w:rsidP="00624767">
            <w:pPr>
              <w:spacing w:line="360" w:lineRule="auto"/>
              <w:jc w:val="center"/>
              <w:rPr>
                <w:rFonts w:ascii="Arial" w:hAnsi="Arial" w:cs="Arial"/>
                <w:sz w:val="20"/>
                <w:szCs w:val="20"/>
              </w:rPr>
            </w:pPr>
            <w:r w:rsidRPr="00532843">
              <w:rPr>
                <w:rFonts w:ascii="Arial" w:hAnsi="Arial" w:cs="Arial"/>
                <w:sz w:val="20"/>
                <w:szCs w:val="20"/>
              </w:rPr>
              <w:t>0.1</w:t>
            </w:r>
            <w:r>
              <w:rPr>
                <w:rFonts w:ascii="Arial" w:hAnsi="Arial" w:cs="Arial"/>
                <w:sz w:val="20"/>
                <w:szCs w:val="20"/>
              </w:rPr>
              <w:t>4</w:t>
            </w:r>
          </w:p>
        </w:tc>
        <w:tc>
          <w:tcPr>
            <w:tcW w:w="1800" w:type="dxa"/>
            <w:vMerge w:val="restart"/>
            <w:tcBorders>
              <w:top w:val="nil"/>
              <w:left w:val="nil"/>
              <w:right w:val="nil"/>
            </w:tcBorders>
            <w:vAlign w:val="center"/>
          </w:tcPr>
          <w:p w:rsidR="00624767" w:rsidRPr="00532843" w:rsidRDefault="00624767" w:rsidP="00624767">
            <w:pPr>
              <w:spacing w:line="360" w:lineRule="auto"/>
              <w:jc w:val="center"/>
              <w:rPr>
                <w:rFonts w:ascii="Arial" w:hAnsi="Arial" w:cs="Arial"/>
                <w:sz w:val="20"/>
                <w:szCs w:val="20"/>
              </w:rPr>
            </w:pPr>
            <w:r>
              <w:rPr>
                <w:rFonts w:ascii="Arial" w:hAnsi="Arial" w:cs="Arial"/>
                <w:sz w:val="20"/>
                <w:szCs w:val="20"/>
              </w:rPr>
              <w:t>40</w:t>
            </w:r>
          </w:p>
        </w:tc>
      </w:tr>
      <w:tr w:rsidR="00624767" w:rsidRPr="00532843">
        <w:trPr>
          <w:trHeight w:val="376"/>
        </w:trPr>
        <w:tc>
          <w:tcPr>
            <w:tcW w:w="3894" w:type="dxa"/>
            <w:vMerge/>
            <w:tcBorders>
              <w:top w:val="nil"/>
              <w:left w:val="nil"/>
              <w:bottom w:val="single" w:sz="2" w:space="0" w:color="auto"/>
              <w:right w:val="nil"/>
            </w:tcBorders>
            <w:vAlign w:val="center"/>
          </w:tcPr>
          <w:p w:rsidR="00624767" w:rsidRPr="00532843" w:rsidRDefault="00624767" w:rsidP="00624767">
            <w:pPr>
              <w:spacing w:line="360" w:lineRule="auto"/>
              <w:rPr>
                <w:b/>
                <w:sz w:val="22"/>
                <w:szCs w:val="22"/>
              </w:rPr>
            </w:pPr>
          </w:p>
        </w:tc>
        <w:tc>
          <w:tcPr>
            <w:tcW w:w="1794" w:type="dxa"/>
            <w:tcBorders>
              <w:top w:val="nil"/>
              <w:left w:val="nil"/>
              <w:bottom w:val="single" w:sz="2" w:space="0" w:color="auto"/>
              <w:right w:val="nil"/>
            </w:tcBorders>
          </w:tcPr>
          <w:p w:rsidR="00624767" w:rsidRPr="00532843" w:rsidRDefault="00624767" w:rsidP="00624767">
            <w:pPr>
              <w:jc w:val="center"/>
              <w:rPr>
                <w:rFonts w:ascii="Arial" w:hAnsi="Arial" w:cs="Arial"/>
                <w:sz w:val="20"/>
                <w:szCs w:val="20"/>
              </w:rPr>
            </w:pPr>
            <w:r w:rsidRPr="00532843">
              <w:rPr>
                <w:rFonts w:ascii="Arial" w:hAnsi="Arial" w:cs="Arial"/>
                <w:sz w:val="20"/>
                <w:szCs w:val="20"/>
              </w:rPr>
              <w:t>Digoxin</w:t>
            </w:r>
          </w:p>
        </w:tc>
        <w:tc>
          <w:tcPr>
            <w:tcW w:w="900" w:type="dxa"/>
            <w:tcBorders>
              <w:top w:val="nil"/>
              <w:left w:val="nil"/>
              <w:bottom w:val="single" w:sz="2" w:space="0" w:color="auto"/>
              <w:right w:val="nil"/>
            </w:tcBorders>
          </w:tcPr>
          <w:p w:rsidR="00624767" w:rsidRPr="00532843" w:rsidRDefault="00624767" w:rsidP="00624767">
            <w:pPr>
              <w:jc w:val="center"/>
              <w:rPr>
                <w:rFonts w:ascii="Arial" w:hAnsi="Arial" w:cs="Arial"/>
                <w:sz w:val="20"/>
                <w:szCs w:val="20"/>
              </w:rPr>
            </w:pPr>
            <w:r w:rsidRPr="00532843">
              <w:rPr>
                <w:rFonts w:ascii="Arial" w:hAnsi="Arial" w:cs="Arial"/>
                <w:sz w:val="20"/>
                <w:szCs w:val="20"/>
              </w:rPr>
              <w:t>0.78</w:t>
            </w:r>
          </w:p>
        </w:tc>
        <w:tc>
          <w:tcPr>
            <w:tcW w:w="900" w:type="dxa"/>
            <w:tcBorders>
              <w:top w:val="nil"/>
              <w:left w:val="nil"/>
              <w:bottom w:val="single" w:sz="2" w:space="0" w:color="auto"/>
              <w:right w:val="nil"/>
            </w:tcBorders>
          </w:tcPr>
          <w:p w:rsidR="00624767" w:rsidRPr="00532843" w:rsidRDefault="00624767" w:rsidP="00624767">
            <w:pPr>
              <w:jc w:val="center"/>
              <w:rPr>
                <w:rFonts w:ascii="Arial" w:hAnsi="Arial" w:cs="Arial"/>
                <w:sz w:val="20"/>
                <w:szCs w:val="20"/>
              </w:rPr>
            </w:pPr>
            <w:r w:rsidRPr="00532843">
              <w:rPr>
                <w:rFonts w:ascii="Arial" w:hAnsi="Arial" w:cs="Arial"/>
                <w:sz w:val="20"/>
                <w:szCs w:val="20"/>
              </w:rPr>
              <w:t>2.</w:t>
            </w:r>
            <w:r>
              <w:rPr>
                <w:rFonts w:ascii="Arial" w:hAnsi="Arial" w:cs="Arial"/>
                <w:sz w:val="20"/>
                <w:szCs w:val="20"/>
              </w:rPr>
              <w:t>85</w:t>
            </w:r>
          </w:p>
        </w:tc>
        <w:tc>
          <w:tcPr>
            <w:tcW w:w="900" w:type="dxa"/>
            <w:tcBorders>
              <w:top w:val="nil"/>
              <w:left w:val="nil"/>
              <w:bottom w:val="single" w:sz="2" w:space="0" w:color="auto"/>
              <w:right w:val="nil"/>
            </w:tcBorders>
          </w:tcPr>
          <w:p w:rsidR="00624767" w:rsidRPr="00532843" w:rsidRDefault="00624767" w:rsidP="00624767">
            <w:pPr>
              <w:jc w:val="center"/>
              <w:rPr>
                <w:rFonts w:ascii="Arial" w:hAnsi="Arial" w:cs="Arial"/>
                <w:sz w:val="20"/>
                <w:szCs w:val="20"/>
              </w:rPr>
            </w:pPr>
            <w:r w:rsidRPr="00532843">
              <w:rPr>
                <w:rFonts w:ascii="Arial" w:hAnsi="Arial" w:cs="Arial"/>
                <w:sz w:val="20"/>
                <w:szCs w:val="20"/>
              </w:rPr>
              <w:t>0.54</w:t>
            </w:r>
          </w:p>
        </w:tc>
        <w:tc>
          <w:tcPr>
            <w:tcW w:w="900" w:type="dxa"/>
            <w:tcBorders>
              <w:top w:val="nil"/>
              <w:left w:val="nil"/>
              <w:bottom w:val="single" w:sz="2" w:space="0" w:color="auto"/>
              <w:right w:val="nil"/>
            </w:tcBorders>
          </w:tcPr>
          <w:p w:rsidR="00624767" w:rsidRPr="00532843" w:rsidRDefault="00624767" w:rsidP="00624767">
            <w:pPr>
              <w:jc w:val="center"/>
              <w:rPr>
                <w:rFonts w:ascii="Arial" w:hAnsi="Arial" w:cs="Arial"/>
                <w:sz w:val="20"/>
                <w:szCs w:val="20"/>
              </w:rPr>
            </w:pPr>
            <w:r w:rsidRPr="00532843">
              <w:rPr>
                <w:rFonts w:ascii="Arial" w:hAnsi="Arial" w:cs="Arial"/>
                <w:sz w:val="20"/>
                <w:szCs w:val="20"/>
              </w:rPr>
              <w:t>0.4</w:t>
            </w:r>
            <w:r>
              <w:rPr>
                <w:rFonts w:ascii="Arial" w:hAnsi="Arial" w:cs="Arial"/>
                <w:sz w:val="20"/>
                <w:szCs w:val="20"/>
              </w:rPr>
              <w:t>2</w:t>
            </w:r>
          </w:p>
        </w:tc>
        <w:tc>
          <w:tcPr>
            <w:tcW w:w="1080" w:type="dxa"/>
            <w:tcBorders>
              <w:top w:val="nil"/>
              <w:left w:val="nil"/>
              <w:bottom w:val="single" w:sz="2" w:space="0" w:color="auto"/>
              <w:right w:val="nil"/>
            </w:tcBorders>
          </w:tcPr>
          <w:p w:rsidR="00624767" w:rsidRPr="00532843" w:rsidRDefault="00624767" w:rsidP="00624767">
            <w:pPr>
              <w:jc w:val="center"/>
              <w:rPr>
                <w:rFonts w:ascii="Arial" w:hAnsi="Arial" w:cs="Arial"/>
                <w:sz w:val="20"/>
                <w:szCs w:val="20"/>
              </w:rPr>
            </w:pPr>
            <w:r w:rsidRPr="00532843">
              <w:rPr>
                <w:rFonts w:ascii="Arial" w:hAnsi="Arial" w:cs="Arial"/>
                <w:sz w:val="20"/>
                <w:szCs w:val="20"/>
              </w:rPr>
              <w:t>3.2</w:t>
            </w:r>
            <w:r>
              <w:rPr>
                <w:rFonts w:ascii="Arial" w:hAnsi="Arial" w:cs="Arial"/>
                <w:sz w:val="20"/>
                <w:szCs w:val="20"/>
              </w:rPr>
              <w:t>8</w:t>
            </w:r>
          </w:p>
        </w:tc>
        <w:tc>
          <w:tcPr>
            <w:tcW w:w="1440" w:type="dxa"/>
            <w:vMerge/>
            <w:tcBorders>
              <w:top w:val="nil"/>
              <w:left w:val="nil"/>
              <w:bottom w:val="single" w:sz="2" w:space="0" w:color="auto"/>
              <w:right w:val="nil"/>
            </w:tcBorders>
            <w:vAlign w:val="center"/>
          </w:tcPr>
          <w:p w:rsidR="00624767" w:rsidRPr="00532843" w:rsidRDefault="00624767" w:rsidP="00624767">
            <w:pPr>
              <w:spacing w:line="360" w:lineRule="auto"/>
              <w:jc w:val="center"/>
              <w:rPr>
                <w:sz w:val="22"/>
                <w:szCs w:val="22"/>
              </w:rPr>
            </w:pPr>
          </w:p>
        </w:tc>
        <w:tc>
          <w:tcPr>
            <w:tcW w:w="1800" w:type="dxa"/>
            <w:vMerge/>
            <w:tcBorders>
              <w:left w:val="nil"/>
              <w:bottom w:val="single" w:sz="2" w:space="0" w:color="auto"/>
              <w:right w:val="nil"/>
            </w:tcBorders>
          </w:tcPr>
          <w:p w:rsidR="00624767" w:rsidRPr="00532843" w:rsidRDefault="00624767" w:rsidP="00624767">
            <w:pPr>
              <w:spacing w:line="360" w:lineRule="auto"/>
              <w:jc w:val="center"/>
              <w:rPr>
                <w:sz w:val="22"/>
                <w:szCs w:val="22"/>
              </w:rPr>
            </w:pPr>
          </w:p>
        </w:tc>
      </w:tr>
    </w:tbl>
    <w:p w:rsidR="00624767" w:rsidRDefault="00624767" w:rsidP="00624767">
      <w:pPr>
        <w:tabs>
          <w:tab w:val="right" w:pos="360"/>
          <w:tab w:val="left" w:pos="540"/>
        </w:tabs>
        <w:spacing w:line="480" w:lineRule="auto"/>
        <w:ind w:left="540" w:hanging="540"/>
        <w:sectPr w:rsidR="00624767">
          <w:pgSz w:w="15840" w:h="12240" w:orient="landscape"/>
          <w:pgMar w:top="1418" w:right="1304" w:bottom="1418" w:left="1304" w:gutter="0"/>
          <w:titlePg/>
          <w:docGrid w:linePitch="360"/>
        </w:sectPr>
      </w:pPr>
    </w:p>
    <w:p w:rsidR="00DF2C28" w:rsidRDefault="006506AF" w:rsidP="00DF2C28">
      <w:pPr>
        <w:jc w:val="center"/>
      </w:pPr>
      <w:r>
        <w:fldChar w:fldCharType="begin"/>
      </w:r>
      <w:r w:rsidR="005A50B1">
        <w:instrText xml:space="preserve"> ADDIN REFMGR.REFLIST </w:instrText>
      </w:r>
      <w:r>
        <w:fldChar w:fldCharType="separate"/>
      </w:r>
      <w:r w:rsidR="00DF2C28">
        <w:t>Reference List</w:t>
      </w:r>
    </w:p>
    <w:p w:rsidR="00DF2C28" w:rsidRDefault="00DF2C28" w:rsidP="00DF2C28">
      <w:pPr>
        <w:jc w:val="center"/>
      </w:pPr>
    </w:p>
    <w:p w:rsidR="00DF2C28" w:rsidRDefault="00DF2C28" w:rsidP="00DF2C28">
      <w:pPr>
        <w:tabs>
          <w:tab w:val="right" w:pos="540"/>
          <w:tab w:val="left" w:pos="720"/>
        </w:tabs>
        <w:spacing w:after="240"/>
        <w:ind w:left="720" w:hanging="720"/>
      </w:pPr>
      <w:r>
        <w:tab/>
        <w:t xml:space="preserve">(1) </w:t>
      </w:r>
      <w:r>
        <w:tab/>
        <w:t>O'Connor CM, Gattis WA, Ryan TJ. The role of clinical nonfatal end points in cardiovascular phase II/III clinical trials. Am Heart J 2000 Apr;139(4):S143-S154.</w:t>
      </w:r>
    </w:p>
    <w:p w:rsidR="00DF2C28" w:rsidRDefault="00DF2C28" w:rsidP="00DF2C28">
      <w:pPr>
        <w:tabs>
          <w:tab w:val="right" w:pos="540"/>
          <w:tab w:val="left" w:pos="720"/>
        </w:tabs>
        <w:spacing w:after="240"/>
        <w:ind w:left="720" w:hanging="720"/>
      </w:pPr>
      <w:r>
        <w:tab/>
        <w:t xml:space="preserve">(2) </w:t>
      </w:r>
      <w:r>
        <w:tab/>
        <w:t>Taylor AL, Ziesche S, Yancy C, et al. Combination of isosorbide dinitrate and hydralazine in blacks with heart failure. N Engl J Med 2004 Nov 11;351(20):2049-57.</w:t>
      </w:r>
    </w:p>
    <w:p w:rsidR="00DF2C28" w:rsidRDefault="00DF2C28" w:rsidP="00DF2C28">
      <w:pPr>
        <w:tabs>
          <w:tab w:val="right" w:pos="540"/>
          <w:tab w:val="left" w:pos="720"/>
        </w:tabs>
        <w:spacing w:after="240"/>
        <w:ind w:left="720" w:hanging="720"/>
      </w:pPr>
      <w:r>
        <w:tab/>
        <w:t xml:space="preserve">(3) </w:t>
      </w:r>
      <w:r>
        <w:tab/>
        <w:t>DeMets DL, Califf RM. Lessons Learned From Recent Cardiovascular Clinical Trials: Part I. Circulation 2002 Aug 6;106(6):746-51.</w:t>
      </w:r>
    </w:p>
    <w:p w:rsidR="00DF2C28" w:rsidRDefault="00DF2C28" w:rsidP="00DF2C28">
      <w:pPr>
        <w:tabs>
          <w:tab w:val="right" w:pos="540"/>
          <w:tab w:val="left" w:pos="720"/>
        </w:tabs>
        <w:spacing w:after="240"/>
        <w:ind w:left="720" w:hanging="720"/>
      </w:pPr>
      <w:r>
        <w:tab/>
        <w:t xml:space="preserve">(4) </w:t>
      </w:r>
      <w:r>
        <w:tab/>
        <w:t>Neaton JD, Gray G, Zuckerman BD,</w:t>
      </w:r>
      <w:r w:rsidR="00A46332">
        <w:t xml:space="preserve"> et al</w:t>
      </w:r>
      <w:r>
        <w:t>. Key issues in end point selection for heart failure trials: composite end points. J Card Fail 2005 Oct;11(8):567-75.</w:t>
      </w:r>
    </w:p>
    <w:p w:rsidR="00DF2C28" w:rsidRDefault="00DF2C28" w:rsidP="00DF2C28">
      <w:pPr>
        <w:tabs>
          <w:tab w:val="right" w:pos="540"/>
          <w:tab w:val="left" w:pos="720"/>
        </w:tabs>
        <w:spacing w:after="240"/>
        <w:ind w:left="720" w:hanging="720"/>
      </w:pPr>
      <w:r>
        <w:tab/>
        <w:t xml:space="preserve">(5) </w:t>
      </w:r>
      <w:r>
        <w:tab/>
        <w:t>Ferreira-Gonzalez I, Busse JW, Heels-Ansdell D, et al. Problems with use of composite end points in cardiovascular trials: systematic review of randomised controlled trials. BMJ 2007 Apr 14;334(7597):786.</w:t>
      </w:r>
    </w:p>
    <w:p w:rsidR="00DF2C28" w:rsidRDefault="00DF2C28" w:rsidP="00DF2C28">
      <w:pPr>
        <w:tabs>
          <w:tab w:val="right" w:pos="540"/>
          <w:tab w:val="left" w:pos="720"/>
        </w:tabs>
        <w:spacing w:after="240"/>
        <w:ind w:left="720" w:hanging="720"/>
      </w:pPr>
      <w:r>
        <w:tab/>
        <w:t xml:space="preserve">(6) </w:t>
      </w:r>
      <w:r>
        <w:tab/>
        <w:t>Glasziou PP, Simes RJ, Gelber RD. Quality adjusted survival analysis. Stat Med 1990 Nov;9(11):1259-76.</w:t>
      </w:r>
    </w:p>
    <w:p w:rsidR="00DF2C28" w:rsidRDefault="00DF2C28" w:rsidP="00DF2C28">
      <w:pPr>
        <w:tabs>
          <w:tab w:val="right" w:pos="540"/>
          <w:tab w:val="left" w:pos="720"/>
        </w:tabs>
        <w:spacing w:after="240"/>
        <w:ind w:left="720" w:hanging="720"/>
      </w:pPr>
      <w:r>
        <w:tab/>
        <w:t xml:space="preserve">(7) </w:t>
      </w:r>
      <w:r>
        <w:tab/>
        <w:t>Canadian Coordinating Office for Health Technology Assessment. Guidelines for economic evaluation of pharmaceuticals in Canada. 2nd ed. Ottawa: Canadian Coordinating Office for Health Technology Assessment (CCOHTA); 1997.</w:t>
      </w:r>
    </w:p>
    <w:p w:rsidR="00DF2C28" w:rsidRDefault="00DF2C28" w:rsidP="00DF2C28">
      <w:pPr>
        <w:tabs>
          <w:tab w:val="right" w:pos="540"/>
          <w:tab w:val="left" w:pos="720"/>
        </w:tabs>
        <w:spacing w:after="240"/>
        <w:ind w:left="720" w:hanging="720"/>
      </w:pPr>
      <w:r>
        <w:tab/>
        <w:t xml:space="preserve">(8) </w:t>
      </w:r>
      <w:r>
        <w:tab/>
        <w:t>Cole BF, Gelber RD, Goldhirsch A. Cox regression models for quality adjusted survival analysis. Stat Med 1993 May 30;12(10):975-87.</w:t>
      </w:r>
    </w:p>
    <w:p w:rsidR="00DF2C28" w:rsidRDefault="00DF2C28" w:rsidP="00DF2C28">
      <w:pPr>
        <w:tabs>
          <w:tab w:val="right" w:pos="540"/>
          <w:tab w:val="left" w:pos="720"/>
        </w:tabs>
        <w:spacing w:after="240"/>
        <w:ind w:left="720" w:hanging="720"/>
      </w:pPr>
      <w:r>
        <w:tab/>
        <w:t xml:space="preserve">(9) </w:t>
      </w:r>
      <w:r>
        <w:tab/>
        <w:t xml:space="preserve">Eurich DT, Majumdar SR, McAlister FA, </w:t>
      </w:r>
      <w:r w:rsidR="00A46332">
        <w:t>et al.</w:t>
      </w:r>
      <w:r>
        <w:t xml:space="preserve"> Improved Clinical Outcomes Associated With Metformin in Patients With Diabetes and Heart Failure. Diabetes Care 2005 Oct 1;28(10):2345-51.</w:t>
      </w:r>
    </w:p>
    <w:p w:rsidR="00DF2C28" w:rsidRDefault="00DF2C28" w:rsidP="00DF2C28">
      <w:pPr>
        <w:tabs>
          <w:tab w:val="right" w:pos="540"/>
          <w:tab w:val="left" w:pos="720"/>
        </w:tabs>
        <w:spacing w:after="240"/>
        <w:ind w:left="720" w:hanging="720"/>
      </w:pPr>
      <w:r>
        <w:tab/>
        <w:t xml:space="preserve">(10) </w:t>
      </w:r>
      <w:r>
        <w:tab/>
        <w:t>The Digitalis Investigation Group. The effect of digoxin on mortality and morbidity in patients with heart failure. N Engl J Med 1997 Feb 20;336(8):525-33.</w:t>
      </w:r>
    </w:p>
    <w:p w:rsidR="00DF2C28" w:rsidRDefault="00DF2C28" w:rsidP="00DF2C28">
      <w:pPr>
        <w:tabs>
          <w:tab w:val="right" w:pos="540"/>
          <w:tab w:val="left" w:pos="720"/>
        </w:tabs>
        <w:spacing w:after="240"/>
        <w:ind w:left="720" w:hanging="720"/>
      </w:pPr>
      <w:r>
        <w:tab/>
        <w:t xml:space="preserve">(11) </w:t>
      </w:r>
      <w:r>
        <w:tab/>
        <w:t>Maddigan SL, Feeny DH, Johnson JA. Health-related quality of life deficits associated with diabetes and comorbidities in a Canadian National Population Health Survey. Qual Life Res 2005 Jun;14(5):1311-20.</w:t>
      </w:r>
    </w:p>
    <w:p w:rsidR="00DF2C28" w:rsidRDefault="00DF2C28" w:rsidP="00DF2C28">
      <w:pPr>
        <w:tabs>
          <w:tab w:val="right" w:pos="540"/>
          <w:tab w:val="left" w:pos="720"/>
        </w:tabs>
        <w:spacing w:after="240"/>
        <w:ind w:left="720" w:hanging="720"/>
      </w:pPr>
      <w:r>
        <w:tab/>
        <w:t xml:space="preserve">(12) </w:t>
      </w:r>
      <w:r>
        <w:tab/>
        <w:t xml:space="preserve">Nichol G, Kaul P, Huszti E, </w:t>
      </w:r>
      <w:r w:rsidR="00A46332">
        <w:t>et al.</w:t>
      </w:r>
      <w:r>
        <w:t xml:space="preserve"> Cost-effectiveness of cardiac resynchronization therapy in patients with symptomatic heart failure. Ann Intern Med 2004 Sep 7;141(5):343-51.</w:t>
      </w:r>
    </w:p>
    <w:p w:rsidR="00DF2C28" w:rsidRDefault="00DF2C28" w:rsidP="00DF2C28">
      <w:pPr>
        <w:tabs>
          <w:tab w:val="right" w:pos="540"/>
          <w:tab w:val="left" w:pos="720"/>
        </w:tabs>
        <w:spacing w:after="240"/>
        <w:ind w:left="720" w:hanging="720"/>
      </w:pPr>
      <w:r>
        <w:tab/>
        <w:t xml:space="preserve">(13) </w:t>
      </w:r>
      <w:r>
        <w:tab/>
        <w:t>Efron B. Censored-Data and the Bootstrap. Journal of the American Statistical Association 1981;76(374):312-9.</w:t>
      </w:r>
    </w:p>
    <w:p w:rsidR="00DF2C28" w:rsidRDefault="00DF2C28" w:rsidP="00DF2C28">
      <w:pPr>
        <w:tabs>
          <w:tab w:val="right" w:pos="540"/>
          <w:tab w:val="left" w:pos="720"/>
        </w:tabs>
        <w:spacing w:after="240"/>
        <w:ind w:left="720" w:hanging="720"/>
      </w:pPr>
      <w:r>
        <w:tab/>
        <w:t xml:space="preserve">(14) </w:t>
      </w:r>
      <w:r>
        <w:tab/>
      </w:r>
      <w:r w:rsidR="00A46332">
        <w:t>Horsman J, Furlong W, Feeny D, et al.</w:t>
      </w:r>
      <w:r>
        <w:t xml:space="preserve"> The Health Utilities Index (HUI(R)): concepts, measurement properties and applications. Health Qual Life Outcomes 2003 Oct 16;1(1):54.</w:t>
      </w:r>
    </w:p>
    <w:p w:rsidR="00DF2C28" w:rsidRDefault="00DF2C28" w:rsidP="00DF2C28">
      <w:pPr>
        <w:tabs>
          <w:tab w:val="right" w:pos="540"/>
          <w:tab w:val="left" w:pos="720"/>
        </w:tabs>
        <w:spacing w:after="240"/>
        <w:ind w:left="720" w:hanging="720"/>
      </w:pPr>
      <w:r>
        <w:tab/>
        <w:t xml:space="preserve">(15) </w:t>
      </w:r>
      <w:r>
        <w:tab/>
        <w:t>Boyko WL, Jr., Glick HA, Schulman KA. Economics and cost-effectiveness in evaluating the value of cardiovascular therapies. ACE inhibitors in the management of congestive heart failure: comparative economic data. Am Heart J 1999 May;137(5):S115-S119.</w:t>
      </w:r>
    </w:p>
    <w:p w:rsidR="00DF2C28" w:rsidRDefault="00DF2C28" w:rsidP="00DF2C28">
      <w:pPr>
        <w:tabs>
          <w:tab w:val="right" w:pos="540"/>
          <w:tab w:val="left" w:pos="720"/>
        </w:tabs>
        <w:spacing w:after="240"/>
        <w:ind w:left="720" w:hanging="720"/>
      </w:pPr>
      <w:r>
        <w:tab/>
        <w:t xml:space="preserve">(16) </w:t>
      </w:r>
      <w:r>
        <w:tab/>
        <w:t>Cole BF, Gelber RD, Anderson KM. Parametric approaches to quality-adjusted survival analysis. International Breast Cancer Study Group. Biometrics 1994 Sep;50(3):621-31.</w:t>
      </w:r>
    </w:p>
    <w:p w:rsidR="00DF2C28" w:rsidRDefault="00DF2C28" w:rsidP="00DF2C28">
      <w:pPr>
        <w:tabs>
          <w:tab w:val="right" w:pos="540"/>
          <w:tab w:val="left" w:pos="720"/>
        </w:tabs>
        <w:spacing w:after="240"/>
        <w:ind w:left="720" w:hanging="720"/>
      </w:pPr>
      <w:r>
        <w:tab/>
        <w:t xml:space="preserve">(17) </w:t>
      </w:r>
      <w:r>
        <w:tab/>
        <w:t>Southern DA, Faris PD, Brant R, et al. Kaplan-Meier methods yielded misleading results in competing risk scenarios. J Clin Epidemiol 2006 Oct;59(10):1110-4.</w:t>
      </w:r>
    </w:p>
    <w:p w:rsidR="00DF2C28" w:rsidRDefault="00DF2C28" w:rsidP="00DF2C28">
      <w:pPr>
        <w:tabs>
          <w:tab w:val="right" w:pos="540"/>
          <w:tab w:val="left" w:pos="720"/>
        </w:tabs>
        <w:spacing w:after="240"/>
        <w:ind w:left="720" w:hanging="720"/>
      </w:pPr>
      <w:r>
        <w:tab/>
        <w:t xml:space="preserve">(18) </w:t>
      </w:r>
      <w:r>
        <w:tab/>
        <w:t xml:space="preserve">Eurich DT, Johnson JA, Reid KJ, </w:t>
      </w:r>
      <w:r w:rsidR="00A46332">
        <w:t>et al.</w:t>
      </w:r>
      <w:r>
        <w:t xml:space="preserve"> Assessing responsiveness of generic and specific health related quality of life measures in heart failure. Health Qual Life Outcomes 2006;4:89.</w:t>
      </w:r>
    </w:p>
    <w:p w:rsidR="00DF2C28" w:rsidRDefault="00DF2C28" w:rsidP="00DF2C28">
      <w:pPr>
        <w:tabs>
          <w:tab w:val="right" w:pos="540"/>
          <w:tab w:val="left" w:pos="720"/>
        </w:tabs>
        <w:spacing w:after="240"/>
        <w:ind w:left="720" w:hanging="720"/>
      </w:pPr>
      <w:r>
        <w:tab/>
        <w:t xml:space="preserve">(19) </w:t>
      </w:r>
      <w:r>
        <w:tab/>
        <w:t>Kaplan EL, Meier P. Nonparametric estimation from icomplet observations. Journal of the American Statistical Association 1958;54:457-81.</w:t>
      </w:r>
    </w:p>
    <w:p w:rsidR="00DF2C28" w:rsidRDefault="00DF2C28" w:rsidP="00DF2C28">
      <w:pPr>
        <w:tabs>
          <w:tab w:val="right" w:pos="540"/>
          <w:tab w:val="left" w:pos="720"/>
        </w:tabs>
        <w:spacing w:after="240"/>
        <w:ind w:left="720" w:hanging="720"/>
      </w:pPr>
      <w:r>
        <w:tab/>
        <w:t xml:space="preserve">(20) </w:t>
      </w:r>
      <w:r>
        <w:tab/>
        <w:t>Tsiatis AA. Estimating the distribution of quality-adjusted life with censored data. Am Heart J 2000 Apr;139(4):S177-S181.</w:t>
      </w:r>
    </w:p>
    <w:p w:rsidR="00DF2C28" w:rsidRDefault="00DF2C28" w:rsidP="00DF2C28">
      <w:pPr>
        <w:tabs>
          <w:tab w:val="right" w:pos="540"/>
          <w:tab w:val="left" w:pos="720"/>
        </w:tabs>
        <w:spacing w:after="240"/>
        <w:ind w:left="720" w:hanging="720"/>
      </w:pPr>
      <w:r>
        <w:tab/>
        <w:t xml:space="preserve">(21) </w:t>
      </w:r>
      <w:r>
        <w:tab/>
        <w:t>Hinkley DV. Bootstrap Methods. Journal of the Royal Statistical Society Series B-Methodological 1988;50(3):321-37.</w:t>
      </w:r>
    </w:p>
    <w:p w:rsidR="00DF2C28" w:rsidRDefault="00DF2C28" w:rsidP="00DF2C28">
      <w:pPr>
        <w:tabs>
          <w:tab w:val="right" w:pos="540"/>
          <w:tab w:val="left" w:pos="720"/>
        </w:tabs>
        <w:spacing w:after="240"/>
        <w:ind w:left="720" w:hanging="720"/>
      </w:pPr>
      <w:r>
        <w:tab/>
        <w:t xml:space="preserve">(22) </w:t>
      </w:r>
      <w:r>
        <w:tab/>
        <w:t xml:space="preserve">Eurich DT, Majumdar SR, Tsuyuki RT, </w:t>
      </w:r>
      <w:r w:rsidR="00A46332">
        <w:t>et al.</w:t>
      </w:r>
      <w:r>
        <w:t xml:space="preserve"> Reduced mortality associated with the use of ACE inhibitors in patients with type 2 diabetes. Diabetes Care 2004 Jun;27(6):1330-4.</w:t>
      </w:r>
    </w:p>
    <w:p w:rsidR="00DF2C28" w:rsidRDefault="00DF2C28" w:rsidP="00DF2C28">
      <w:pPr>
        <w:tabs>
          <w:tab w:val="right" w:pos="540"/>
          <w:tab w:val="left" w:pos="720"/>
        </w:tabs>
        <w:spacing w:after="240"/>
        <w:ind w:left="720" w:hanging="720"/>
      </w:pPr>
      <w:r>
        <w:tab/>
        <w:t xml:space="preserve">(23) </w:t>
      </w:r>
      <w:r>
        <w:tab/>
        <w:t xml:space="preserve">Johnson JA, Majumdar SR, Simpson SH, </w:t>
      </w:r>
      <w:r w:rsidR="00A46332">
        <w:t>et al.</w:t>
      </w:r>
      <w:r>
        <w:t xml:space="preserve"> Decreased mortality associated with metformin use compared to sulfonylurea monotherapy in type 2 diabetes mellitus. Diabetes Care 2002;25:2244-8.</w:t>
      </w:r>
    </w:p>
    <w:p w:rsidR="00DF2C28" w:rsidRDefault="00DF2C28" w:rsidP="00DF2C28">
      <w:pPr>
        <w:tabs>
          <w:tab w:val="right" w:pos="540"/>
          <w:tab w:val="left" w:pos="720"/>
        </w:tabs>
        <w:spacing w:after="240"/>
        <w:ind w:left="720" w:hanging="720"/>
      </w:pPr>
      <w:r>
        <w:tab/>
        <w:t xml:space="preserve">(24) </w:t>
      </w:r>
      <w:r>
        <w:tab/>
        <w:t>The Digitalis Investigation Group. Rationale, design, implementation, and baseline characteristics of patients in the DIG trial: a large, simple, long-term trial to evaluate the effect of digitalis on mortality in heart failure. Control Clin Trials 1996 Feb;17(1):77-97.</w:t>
      </w:r>
    </w:p>
    <w:p w:rsidR="00DF2C28" w:rsidRDefault="00DF2C28" w:rsidP="00DF2C28">
      <w:pPr>
        <w:tabs>
          <w:tab w:val="right" w:pos="540"/>
          <w:tab w:val="left" w:pos="720"/>
        </w:tabs>
        <w:ind w:left="720" w:hanging="720"/>
      </w:pPr>
    </w:p>
    <w:p w:rsidR="005F0529" w:rsidRDefault="006506AF" w:rsidP="00DF2C28">
      <w:pPr>
        <w:tabs>
          <w:tab w:val="right" w:pos="540"/>
          <w:tab w:val="left" w:pos="720"/>
        </w:tabs>
        <w:ind w:left="720" w:hanging="720"/>
      </w:pPr>
      <w:r>
        <w:fldChar w:fldCharType="end"/>
      </w:r>
    </w:p>
    <w:sectPr w:rsidR="005F0529" w:rsidSect="006C653B">
      <w:footerReference w:type="even" r:id="rId25"/>
      <w:footerReference w:type="default" r:id="rId26"/>
      <w:pgSz w:w="12240" w:h="15840"/>
      <w:pgMar w:top="1440" w:right="1440" w:bottom="1440" w:left="1440" w:header="706" w:footer="706" w:gutter="0"/>
      <w:cols w:space="708"/>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CC1637" w:rsidRDefault="00CC1637">
      <w:r>
        <w:separator/>
      </w:r>
    </w:p>
  </w:endnote>
  <w:endnote w:type="continuationSeparator" w:id="1">
    <w:p w:rsidR="00CC1637" w:rsidRDefault="00CC163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Tahoma">
    <w:panose1 w:val="020B0604030504040204"/>
    <w:charset w:val="00"/>
    <w:family w:val="swiss"/>
    <w:pitch w:val="variable"/>
    <w:sig w:usb0="E1002AFF" w:usb1="C000605B" w:usb2="00000029" w:usb3="00000000" w:csb0="000101FF" w:csb1="00000000"/>
  </w:font>
  <w:font w:name="Consolas">
    <w:panose1 w:val="020B0609020204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A70C2" w:rsidRDefault="006506AF" w:rsidP="0043037C">
    <w:pPr>
      <w:pStyle w:val="Footer"/>
      <w:framePr w:wrap="around" w:vAnchor="text" w:hAnchor="margin" w:xAlign="right" w:y="1"/>
      <w:rPr>
        <w:rStyle w:val="PageNumber"/>
      </w:rPr>
    </w:pPr>
    <w:r>
      <w:rPr>
        <w:rStyle w:val="PageNumber"/>
      </w:rPr>
      <w:fldChar w:fldCharType="begin"/>
    </w:r>
    <w:r w:rsidR="000A70C2">
      <w:rPr>
        <w:rStyle w:val="PageNumber"/>
      </w:rPr>
      <w:instrText xml:space="preserve">PAGE  </w:instrText>
    </w:r>
    <w:r>
      <w:rPr>
        <w:rStyle w:val="PageNumber"/>
      </w:rPr>
      <w:fldChar w:fldCharType="end"/>
    </w:r>
  </w:p>
  <w:p w:rsidR="000A70C2" w:rsidRDefault="000A70C2" w:rsidP="00054810">
    <w:pPr>
      <w:pStyle w:val="Footer"/>
      <w:ind w:right="360"/>
    </w:pP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A70C2" w:rsidRDefault="000A70C2" w:rsidP="00054810">
    <w:pPr>
      <w:pStyle w:val="Footer"/>
      <w:ind w:right="360"/>
    </w:pPr>
  </w:p>
</w:ftr>
</file>

<file path=word/footer3.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A70C2" w:rsidRDefault="006506AF" w:rsidP="00624767">
    <w:pPr>
      <w:pStyle w:val="Footer"/>
      <w:framePr w:wrap="around" w:vAnchor="text" w:hAnchor="margin" w:xAlign="right" w:y="1"/>
      <w:rPr>
        <w:rStyle w:val="PageNumber"/>
      </w:rPr>
    </w:pPr>
    <w:r>
      <w:rPr>
        <w:rStyle w:val="PageNumber"/>
      </w:rPr>
      <w:fldChar w:fldCharType="begin"/>
    </w:r>
    <w:r w:rsidR="000A70C2">
      <w:rPr>
        <w:rStyle w:val="PageNumber"/>
      </w:rPr>
      <w:instrText xml:space="preserve">PAGE  </w:instrText>
    </w:r>
    <w:r>
      <w:rPr>
        <w:rStyle w:val="PageNumber"/>
      </w:rPr>
      <w:fldChar w:fldCharType="end"/>
    </w:r>
  </w:p>
  <w:p w:rsidR="000A70C2" w:rsidRDefault="000A70C2" w:rsidP="00624767">
    <w:pPr>
      <w:pStyle w:val="Footer"/>
      <w:ind w:right="360"/>
    </w:pPr>
  </w:p>
</w:ftr>
</file>

<file path=word/footer4.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A70C2" w:rsidRDefault="006506AF" w:rsidP="00624767">
    <w:pPr>
      <w:pStyle w:val="Footer"/>
      <w:framePr w:wrap="around" w:vAnchor="text" w:hAnchor="margin" w:xAlign="right" w:y="1"/>
      <w:rPr>
        <w:rStyle w:val="PageNumber"/>
      </w:rPr>
    </w:pPr>
    <w:r>
      <w:rPr>
        <w:rStyle w:val="PageNumber"/>
      </w:rPr>
      <w:fldChar w:fldCharType="begin"/>
    </w:r>
    <w:r w:rsidR="000A70C2">
      <w:rPr>
        <w:rStyle w:val="PageNumber"/>
      </w:rPr>
      <w:instrText xml:space="preserve">PAGE  </w:instrText>
    </w:r>
    <w:r>
      <w:rPr>
        <w:rStyle w:val="PageNumber"/>
      </w:rPr>
      <w:fldChar w:fldCharType="separate"/>
    </w:r>
    <w:r w:rsidR="00843A91">
      <w:rPr>
        <w:rStyle w:val="PageNumber"/>
        <w:noProof/>
      </w:rPr>
      <w:t>25</w:t>
    </w:r>
    <w:r>
      <w:rPr>
        <w:rStyle w:val="PageNumber"/>
      </w:rPr>
      <w:fldChar w:fldCharType="end"/>
    </w:r>
  </w:p>
  <w:p w:rsidR="000A70C2" w:rsidRDefault="000A70C2" w:rsidP="00624767">
    <w:pPr>
      <w:pStyle w:val="Footer"/>
      <w:ind w:right="360"/>
    </w:pPr>
  </w:p>
</w:ftr>
</file>

<file path=word/footer5.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A70C2" w:rsidRDefault="006506AF" w:rsidP="00624767">
    <w:pPr>
      <w:pStyle w:val="Footer"/>
      <w:framePr w:wrap="around" w:vAnchor="text" w:hAnchor="margin" w:xAlign="right" w:y="1"/>
      <w:rPr>
        <w:rStyle w:val="PageNumber"/>
      </w:rPr>
    </w:pPr>
    <w:r>
      <w:rPr>
        <w:rStyle w:val="PageNumber"/>
      </w:rPr>
      <w:fldChar w:fldCharType="begin"/>
    </w:r>
    <w:r w:rsidR="000A70C2">
      <w:rPr>
        <w:rStyle w:val="PageNumber"/>
      </w:rPr>
      <w:instrText xml:space="preserve">PAGE  </w:instrText>
    </w:r>
    <w:r>
      <w:rPr>
        <w:rStyle w:val="PageNumber"/>
      </w:rPr>
      <w:fldChar w:fldCharType="end"/>
    </w:r>
  </w:p>
  <w:p w:rsidR="000A70C2" w:rsidRDefault="000A70C2" w:rsidP="00624767">
    <w:pPr>
      <w:pStyle w:val="Footer"/>
      <w:ind w:right="360"/>
    </w:pPr>
  </w:p>
</w:ftr>
</file>

<file path=word/footer6.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A70C2" w:rsidRDefault="006506AF" w:rsidP="00624767">
    <w:pPr>
      <w:pStyle w:val="Footer"/>
      <w:framePr w:wrap="around" w:vAnchor="text" w:hAnchor="margin" w:xAlign="right" w:y="1"/>
      <w:rPr>
        <w:rStyle w:val="PageNumber"/>
      </w:rPr>
    </w:pPr>
    <w:r>
      <w:rPr>
        <w:rStyle w:val="PageNumber"/>
      </w:rPr>
      <w:fldChar w:fldCharType="begin"/>
    </w:r>
    <w:r w:rsidR="000A70C2">
      <w:rPr>
        <w:rStyle w:val="PageNumber"/>
      </w:rPr>
      <w:instrText xml:space="preserve">PAGE  </w:instrText>
    </w:r>
    <w:r>
      <w:rPr>
        <w:rStyle w:val="PageNumber"/>
      </w:rPr>
      <w:fldChar w:fldCharType="separate"/>
    </w:r>
    <w:r w:rsidR="00A46332">
      <w:rPr>
        <w:rStyle w:val="PageNumber"/>
        <w:noProof/>
      </w:rPr>
      <w:t>36</w:t>
    </w:r>
    <w:r>
      <w:rPr>
        <w:rStyle w:val="PageNumber"/>
      </w:rPr>
      <w:fldChar w:fldCharType="end"/>
    </w:r>
  </w:p>
  <w:p w:rsidR="000A70C2" w:rsidRDefault="000A70C2" w:rsidP="00624767">
    <w:pPr>
      <w:pStyle w:val="Footer"/>
      <w:ind w:right="360"/>
    </w:pPr>
  </w:p>
</w:ftr>
</file>

<file path=word/footer7.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A70C2" w:rsidRDefault="006506AF" w:rsidP="004470A4">
    <w:pPr>
      <w:pStyle w:val="Footer"/>
      <w:framePr w:wrap="around" w:vAnchor="text" w:hAnchor="margin" w:xAlign="right" w:y="1"/>
      <w:rPr>
        <w:rStyle w:val="PageNumber"/>
      </w:rPr>
    </w:pPr>
    <w:r>
      <w:rPr>
        <w:rStyle w:val="PageNumber"/>
      </w:rPr>
      <w:fldChar w:fldCharType="begin"/>
    </w:r>
    <w:r w:rsidR="000A70C2">
      <w:rPr>
        <w:rStyle w:val="PageNumber"/>
      </w:rPr>
      <w:instrText xml:space="preserve">PAGE  </w:instrText>
    </w:r>
    <w:r>
      <w:rPr>
        <w:rStyle w:val="PageNumber"/>
      </w:rPr>
      <w:fldChar w:fldCharType="end"/>
    </w:r>
  </w:p>
  <w:p w:rsidR="000A70C2" w:rsidRDefault="000A70C2" w:rsidP="009B542A">
    <w:pPr>
      <w:pStyle w:val="Footer"/>
      <w:ind w:right="360"/>
    </w:pPr>
  </w:p>
</w:ftr>
</file>

<file path=word/footer8.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A70C2" w:rsidRDefault="006506AF" w:rsidP="004470A4">
    <w:pPr>
      <w:pStyle w:val="Footer"/>
      <w:framePr w:wrap="around" w:vAnchor="text" w:hAnchor="margin" w:xAlign="right" w:y="1"/>
      <w:rPr>
        <w:rStyle w:val="PageNumber"/>
      </w:rPr>
    </w:pPr>
    <w:r>
      <w:rPr>
        <w:rStyle w:val="PageNumber"/>
      </w:rPr>
      <w:fldChar w:fldCharType="begin"/>
    </w:r>
    <w:r w:rsidR="000A70C2">
      <w:rPr>
        <w:rStyle w:val="PageNumber"/>
      </w:rPr>
      <w:instrText xml:space="preserve">PAGE  </w:instrText>
    </w:r>
    <w:r>
      <w:rPr>
        <w:rStyle w:val="PageNumber"/>
      </w:rPr>
      <w:fldChar w:fldCharType="separate"/>
    </w:r>
    <w:r w:rsidR="00A46332">
      <w:rPr>
        <w:rStyle w:val="PageNumber"/>
        <w:noProof/>
      </w:rPr>
      <w:t>37</w:t>
    </w:r>
    <w:r>
      <w:rPr>
        <w:rStyle w:val="PageNumber"/>
      </w:rPr>
      <w:fldChar w:fldCharType="end"/>
    </w:r>
  </w:p>
  <w:p w:rsidR="000A70C2" w:rsidRDefault="000A70C2" w:rsidP="009B542A">
    <w:pPr>
      <w:pStyle w:val="Footer"/>
      <w:ind w:right="360"/>
    </w:pP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CC1637" w:rsidRDefault="00CC1637">
      <w:r>
        <w:separator/>
      </w:r>
    </w:p>
  </w:footnote>
  <w:footnote w:type="continuationSeparator" w:id="1">
    <w:p w:rsidR="00CC1637" w:rsidRDefault="00CC1637">
      <w:r>
        <w:continuationSeparator/>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A70C2" w:rsidRDefault="006506AF">
    <w:pPr>
      <w:pStyle w:val="Header"/>
      <w:framePr w:wrap="around" w:vAnchor="text" w:hAnchor="margin" w:xAlign="right" w:y="1"/>
      <w:rPr>
        <w:rStyle w:val="PageNumber"/>
      </w:rPr>
    </w:pPr>
    <w:r>
      <w:rPr>
        <w:rStyle w:val="PageNumber"/>
      </w:rPr>
      <w:fldChar w:fldCharType="begin"/>
    </w:r>
    <w:r w:rsidR="000A70C2">
      <w:rPr>
        <w:rStyle w:val="PageNumber"/>
      </w:rPr>
      <w:instrText xml:space="preserve">PAGE  </w:instrText>
    </w:r>
    <w:r>
      <w:rPr>
        <w:rStyle w:val="PageNumber"/>
      </w:rPr>
      <w:fldChar w:fldCharType="end"/>
    </w:r>
  </w:p>
  <w:p w:rsidR="000A70C2" w:rsidRDefault="000A70C2">
    <w:pPr>
      <w:pStyle w:val="Header"/>
      <w:ind w:right="360"/>
    </w:pPr>
  </w:p>
</w:hdr>
</file>

<file path=word/header2.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A70C2" w:rsidRDefault="006506AF">
    <w:pPr>
      <w:pStyle w:val="Header"/>
      <w:jc w:val="right"/>
    </w:pPr>
    <w:fldSimple w:instr=" PAGE   \* MERGEFORMAT ">
      <w:r w:rsidR="00843A91">
        <w:rPr>
          <w:noProof/>
        </w:rPr>
        <w:t>16</w:t>
      </w:r>
    </w:fldSimple>
  </w:p>
  <w:p w:rsidR="000A70C2" w:rsidRDefault="000A70C2">
    <w:pPr>
      <w:pStyle w:val="Header"/>
      <w:ind w:right="360"/>
    </w:pPr>
  </w:p>
</w:hdr>
</file>

<file path=word/header3.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A70C2" w:rsidRDefault="006506AF">
    <w:pPr>
      <w:pStyle w:val="Header"/>
      <w:framePr w:wrap="around" w:vAnchor="text" w:hAnchor="margin" w:xAlign="right" w:y="1"/>
      <w:rPr>
        <w:rStyle w:val="PageNumber"/>
      </w:rPr>
    </w:pPr>
    <w:r>
      <w:rPr>
        <w:rStyle w:val="PageNumber"/>
      </w:rPr>
      <w:fldChar w:fldCharType="begin"/>
    </w:r>
    <w:r w:rsidR="000A70C2">
      <w:rPr>
        <w:rStyle w:val="PageNumber"/>
      </w:rPr>
      <w:instrText xml:space="preserve">PAGE  </w:instrText>
    </w:r>
    <w:r>
      <w:rPr>
        <w:rStyle w:val="PageNumber"/>
      </w:rPr>
      <w:fldChar w:fldCharType="end"/>
    </w:r>
  </w:p>
  <w:p w:rsidR="000A70C2" w:rsidRDefault="000A70C2">
    <w:pPr>
      <w:pStyle w:val="Header"/>
      <w:ind w:right="360"/>
    </w:pPr>
  </w:p>
</w:hdr>
</file>

<file path=word/header4.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A70C2" w:rsidRDefault="000A70C2">
    <w:pPr>
      <w:pStyle w:val="Header"/>
      <w:ind w:right="360"/>
    </w:pPr>
    <w:r>
      <w:t xml:space="preserve">Eurich et al.                                                                                                                     </w:t>
    </w:r>
    <w:r w:rsidR="006506AF">
      <w:rPr>
        <w:rStyle w:val="PageNumber"/>
      </w:rPr>
      <w:fldChar w:fldCharType="begin"/>
    </w:r>
    <w:r>
      <w:rPr>
        <w:rStyle w:val="PageNumber"/>
      </w:rPr>
      <w:instrText xml:space="preserve"> PAGE </w:instrText>
    </w:r>
    <w:r w:rsidR="006506AF">
      <w:rPr>
        <w:rStyle w:val="PageNumber"/>
      </w:rPr>
      <w:fldChar w:fldCharType="separate"/>
    </w:r>
    <w:r w:rsidR="00843A91">
      <w:rPr>
        <w:rStyle w:val="PageNumber"/>
        <w:noProof/>
      </w:rPr>
      <w:t>25</w:t>
    </w:r>
    <w:r w:rsidR="006506AF">
      <w:rPr>
        <w:rStyle w:val="PageNumber"/>
      </w:rPr>
      <w:fldChar w:fldCharType="end"/>
    </w:r>
    <w:r>
      <w:rPr>
        <w:rStyle w:val="PageNumber"/>
      </w:rPr>
      <w:t xml:space="preserve"> of </w:t>
    </w:r>
    <w:r w:rsidR="006506AF">
      <w:rPr>
        <w:rStyle w:val="PageNumber"/>
      </w:rPr>
      <w:fldChar w:fldCharType="begin"/>
    </w:r>
    <w:r>
      <w:rPr>
        <w:rStyle w:val="PageNumber"/>
      </w:rPr>
      <w:instrText xml:space="preserve"> NUMPAGES </w:instrText>
    </w:r>
    <w:r w:rsidR="006506AF">
      <w:rPr>
        <w:rStyle w:val="PageNumber"/>
      </w:rPr>
      <w:fldChar w:fldCharType="separate"/>
    </w:r>
    <w:r w:rsidR="00843A91">
      <w:rPr>
        <w:rStyle w:val="PageNumber"/>
        <w:noProof/>
      </w:rPr>
      <w:t>38</w:t>
    </w:r>
    <w:r w:rsidR="006506AF">
      <w:rPr>
        <w:rStyle w:val="PageNumber"/>
      </w:rPr>
      <w:fldChar w:fldCharType="end"/>
    </w:r>
    <w:r>
      <w:tab/>
    </w:r>
    <w:r>
      <w:tab/>
    </w:r>
  </w:p>
</w:hdr>
</file>

<file path=word/header5.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A70C2" w:rsidRDefault="006506AF">
    <w:pPr>
      <w:pStyle w:val="Header"/>
      <w:framePr w:wrap="around" w:vAnchor="text" w:hAnchor="margin" w:xAlign="right" w:y="1"/>
      <w:rPr>
        <w:rStyle w:val="PageNumber"/>
      </w:rPr>
    </w:pPr>
    <w:r>
      <w:rPr>
        <w:rStyle w:val="PageNumber"/>
      </w:rPr>
      <w:fldChar w:fldCharType="begin"/>
    </w:r>
    <w:r w:rsidR="000A70C2">
      <w:rPr>
        <w:rStyle w:val="PageNumber"/>
      </w:rPr>
      <w:instrText xml:space="preserve">PAGE  </w:instrText>
    </w:r>
    <w:r>
      <w:rPr>
        <w:rStyle w:val="PageNumber"/>
      </w:rPr>
      <w:fldChar w:fldCharType="end"/>
    </w:r>
  </w:p>
  <w:p w:rsidR="000A70C2" w:rsidRDefault="000A70C2">
    <w:pPr>
      <w:pStyle w:val="Header"/>
      <w:ind w:right="360"/>
    </w:pPr>
  </w:p>
</w:hdr>
</file>

<file path=word/header6.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A70C2" w:rsidRDefault="000A70C2">
    <w:pPr>
      <w:pStyle w:val="Header"/>
      <w:ind w:right="360"/>
    </w:pPr>
    <w:r>
      <w:t xml:space="preserve">Eurich et al.                                                                                                                     </w:t>
    </w:r>
    <w:r w:rsidR="006506AF">
      <w:rPr>
        <w:rStyle w:val="PageNumber"/>
      </w:rPr>
      <w:fldChar w:fldCharType="begin"/>
    </w:r>
    <w:r>
      <w:rPr>
        <w:rStyle w:val="PageNumber"/>
      </w:rPr>
      <w:instrText xml:space="preserve"> PAGE </w:instrText>
    </w:r>
    <w:r w:rsidR="006506AF">
      <w:rPr>
        <w:rStyle w:val="PageNumber"/>
      </w:rPr>
      <w:fldChar w:fldCharType="separate"/>
    </w:r>
    <w:r w:rsidR="00A46332">
      <w:rPr>
        <w:rStyle w:val="PageNumber"/>
        <w:noProof/>
      </w:rPr>
      <w:t>36</w:t>
    </w:r>
    <w:r w:rsidR="006506AF">
      <w:rPr>
        <w:rStyle w:val="PageNumber"/>
      </w:rPr>
      <w:fldChar w:fldCharType="end"/>
    </w:r>
    <w:r>
      <w:rPr>
        <w:rStyle w:val="PageNumber"/>
      </w:rPr>
      <w:t xml:space="preserve"> of </w:t>
    </w:r>
    <w:r w:rsidR="006506AF">
      <w:rPr>
        <w:rStyle w:val="PageNumber"/>
      </w:rPr>
      <w:fldChar w:fldCharType="begin"/>
    </w:r>
    <w:r>
      <w:rPr>
        <w:rStyle w:val="PageNumber"/>
      </w:rPr>
      <w:instrText xml:space="preserve"> NUMPAGES </w:instrText>
    </w:r>
    <w:r w:rsidR="006506AF">
      <w:rPr>
        <w:rStyle w:val="PageNumber"/>
      </w:rPr>
      <w:fldChar w:fldCharType="separate"/>
    </w:r>
    <w:r w:rsidR="00A46332">
      <w:rPr>
        <w:rStyle w:val="PageNumber"/>
        <w:noProof/>
      </w:rPr>
      <w:t>38</w:t>
    </w:r>
    <w:r w:rsidR="006506AF">
      <w:rPr>
        <w:rStyle w:val="PageNumber"/>
      </w:rPr>
      <w:fldChar w:fldCharType="end"/>
    </w:r>
    <w:r>
      <w:tab/>
    </w:r>
    <w:r>
      <w:tab/>
    </w: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65pt;height:.65pt" o:bullet="t">
        <v:imagedata r:id="rId1" o:title=""/>
      </v:shape>
    </w:pict>
  </w:numPicBullet>
  <w:abstractNum w:abstractNumId="0">
    <w:nsid w:val="0C3F79B5"/>
    <w:multiLevelType w:val="hybridMultilevel"/>
    <w:tmpl w:val="AF2E0F4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DB40396"/>
    <w:multiLevelType w:val="hybridMultilevel"/>
    <w:tmpl w:val="27E266DE"/>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30E73A66"/>
    <w:multiLevelType w:val="singleLevel"/>
    <w:tmpl w:val="1130E068"/>
    <w:lvl w:ilvl="0">
      <w:start w:val="1"/>
      <w:numFmt w:val="decimal"/>
      <w:lvlText w:val="%1."/>
      <w:lvlJc w:val="left"/>
      <w:pPr>
        <w:tabs>
          <w:tab w:val="num" w:pos="720"/>
        </w:tabs>
        <w:ind w:left="720" w:hanging="360"/>
      </w:pPr>
      <w:rPr>
        <w:b w:val="0"/>
      </w:rPr>
    </w:lvl>
  </w:abstractNum>
  <w:abstractNum w:abstractNumId="3">
    <w:nsid w:val="32603A52"/>
    <w:multiLevelType w:val="hybridMultilevel"/>
    <w:tmpl w:val="256E37E8"/>
    <w:lvl w:ilvl="0" w:tplc="50C63CF0">
      <w:start w:val="1"/>
      <w:numFmt w:val="bullet"/>
      <w:lvlText w:val=""/>
      <w:lvlPicBulletId w:val="0"/>
      <w:lvlJc w:val="left"/>
      <w:pPr>
        <w:tabs>
          <w:tab w:val="num" w:pos="720"/>
        </w:tabs>
        <w:ind w:left="720" w:hanging="360"/>
      </w:pPr>
      <w:rPr>
        <w:rFonts w:ascii="Symbol" w:hAnsi="Symbol" w:hint="default"/>
      </w:rPr>
    </w:lvl>
    <w:lvl w:ilvl="1" w:tplc="31A4C6C8" w:tentative="1">
      <w:start w:val="1"/>
      <w:numFmt w:val="bullet"/>
      <w:lvlText w:val=""/>
      <w:lvlJc w:val="left"/>
      <w:pPr>
        <w:tabs>
          <w:tab w:val="num" w:pos="1440"/>
        </w:tabs>
        <w:ind w:left="1440" w:hanging="360"/>
      </w:pPr>
      <w:rPr>
        <w:rFonts w:ascii="Symbol" w:hAnsi="Symbol" w:hint="default"/>
      </w:rPr>
    </w:lvl>
    <w:lvl w:ilvl="2" w:tplc="7704313E" w:tentative="1">
      <w:start w:val="1"/>
      <w:numFmt w:val="bullet"/>
      <w:lvlText w:val=""/>
      <w:lvlJc w:val="left"/>
      <w:pPr>
        <w:tabs>
          <w:tab w:val="num" w:pos="2160"/>
        </w:tabs>
        <w:ind w:left="2160" w:hanging="360"/>
      </w:pPr>
      <w:rPr>
        <w:rFonts w:ascii="Symbol" w:hAnsi="Symbol" w:hint="default"/>
      </w:rPr>
    </w:lvl>
    <w:lvl w:ilvl="3" w:tplc="66122188" w:tentative="1">
      <w:start w:val="1"/>
      <w:numFmt w:val="bullet"/>
      <w:lvlText w:val=""/>
      <w:lvlJc w:val="left"/>
      <w:pPr>
        <w:tabs>
          <w:tab w:val="num" w:pos="2880"/>
        </w:tabs>
        <w:ind w:left="2880" w:hanging="360"/>
      </w:pPr>
      <w:rPr>
        <w:rFonts w:ascii="Symbol" w:hAnsi="Symbol" w:hint="default"/>
      </w:rPr>
    </w:lvl>
    <w:lvl w:ilvl="4" w:tplc="CEB44F7A" w:tentative="1">
      <w:start w:val="1"/>
      <w:numFmt w:val="bullet"/>
      <w:lvlText w:val=""/>
      <w:lvlJc w:val="left"/>
      <w:pPr>
        <w:tabs>
          <w:tab w:val="num" w:pos="3600"/>
        </w:tabs>
        <w:ind w:left="3600" w:hanging="360"/>
      </w:pPr>
      <w:rPr>
        <w:rFonts w:ascii="Symbol" w:hAnsi="Symbol" w:hint="default"/>
      </w:rPr>
    </w:lvl>
    <w:lvl w:ilvl="5" w:tplc="58809100" w:tentative="1">
      <w:start w:val="1"/>
      <w:numFmt w:val="bullet"/>
      <w:lvlText w:val=""/>
      <w:lvlJc w:val="left"/>
      <w:pPr>
        <w:tabs>
          <w:tab w:val="num" w:pos="4320"/>
        </w:tabs>
        <w:ind w:left="4320" w:hanging="360"/>
      </w:pPr>
      <w:rPr>
        <w:rFonts w:ascii="Symbol" w:hAnsi="Symbol" w:hint="default"/>
      </w:rPr>
    </w:lvl>
    <w:lvl w:ilvl="6" w:tplc="436AC1BC" w:tentative="1">
      <w:start w:val="1"/>
      <w:numFmt w:val="bullet"/>
      <w:lvlText w:val=""/>
      <w:lvlJc w:val="left"/>
      <w:pPr>
        <w:tabs>
          <w:tab w:val="num" w:pos="5040"/>
        </w:tabs>
        <w:ind w:left="5040" w:hanging="360"/>
      </w:pPr>
      <w:rPr>
        <w:rFonts w:ascii="Symbol" w:hAnsi="Symbol" w:hint="default"/>
      </w:rPr>
    </w:lvl>
    <w:lvl w:ilvl="7" w:tplc="01708DA2" w:tentative="1">
      <w:start w:val="1"/>
      <w:numFmt w:val="bullet"/>
      <w:lvlText w:val=""/>
      <w:lvlJc w:val="left"/>
      <w:pPr>
        <w:tabs>
          <w:tab w:val="num" w:pos="5760"/>
        </w:tabs>
        <w:ind w:left="5760" w:hanging="360"/>
      </w:pPr>
      <w:rPr>
        <w:rFonts w:ascii="Symbol" w:hAnsi="Symbol" w:hint="default"/>
      </w:rPr>
    </w:lvl>
    <w:lvl w:ilvl="8" w:tplc="067878BE" w:tentative="1">
      <w:start w:val="1"/>
      <w:numFmt w:val="bullet"/>
      <w:lvlText w:val=""/>
      <w:lvlJc w:val="left"/>
      <w:pPr>
        <w:tabs>
          <w:tab w:val="num" w:pos="6480"/>
        </w:tabs>
        <w:ind w:left="6480" w:hanging="360"/>
      </w:pPr>
      <w:rPr>
        <w:rFonts w:ascii="Symbol" w:hAnsi="Symbol" w:hint="default"/>
      </w:rPr>
    </w:lvl>
  </w:abstractNum>
  <w:abstractNum w:abstractNumId="4">
    <w:nsid w:val="77123DCD"/>
    <w:multiLevelType w:val="hybridMultilevel"/>
    <w:tmpl w:val="3A5C68A4"/>
    <w:lvl w:ilvl="0" w:tplc="04090015">
      <w:start w:val="1"/>
      <w:numFmt w:val="upperLetter"/>
      <w:lvlText w:val="%1."/>
      <w:lvlJc w:val="left"/>
      <w:pPr>
        <w:tabs>
          <w:tab w:val="num" w:pos="900"/>
        </w:tabs>
        <w:ind w:left="900" w:hanging="360"/>
      </w:p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grammar="clean"/>
  <w:stylePaneFormatFilter w:val="3701"/>
  <w:doNotTrackMoves/>
  <w:defaultTabStop w:val="360"/>
  <w:drawingGridHorizontalSpacing w:val="120"/>
  <w:displayHorizontalDrawingGridEvery w:val="2"/>
  <w:characterSpacingControl w:val="doNotCompress"/>
  <w:footnotePr>
    <w:footnote w:id="0"/>
    <w:footnote w:id="1"/>
  </w:footnotePr>
  <w:endnotePr>
    <w:endnote w:id="0"/>
    <w:endnote w:id="1"/>
  </w:endnotePr>
  <w:compat/>
  <w:docVars>
    <w:docVar w:name="REFMGR.InstantFormat" w:val="&lt;InstantFormat&gt;&lt;Enabled&gt;1&lt;/Enabled&gt;&lt;ScanUnformatted&gt;1&lt;/ScanUnformatted&gt;&lt;ScanChanges&gt;1&lt;/ScanChanges&gt;&lt;/InstantFormat&gt;"/>
    <w:docVar w:name="REFMGR.Layout" w:val="&lt;Layout&gt;&lt;StartingRefnum&gt;Vancouver&lt;/StartingRefnum&gt;&lt;FontName&gt;Times New Roman&lt;/FontName&gt;&lt;FontSize&gt;12&lt;/FontSize&gt;&lt;ReflistTitle&gt;Reference List&lt;/ReflistTitle&gt;&lt;SpaceAfter&gt;1&lt;/SpaceAfter&gt;&lt;ReflistOrder&gt;0&lt;/ReflistOrder&gt;&lt;CitationOrder&gt;0&lt;/CitationOrder&gt;&lt;NumberReferences&gt;1&lt;/NumberReferences&gt;&lt;FirstLineIndent&gt;0&lt;/FirstLineIndent&gt;&lt;HangingIndent&gt;0&lt;/HangingIndent&gt;&lt;LineSpacing&gt;0&lt;/LineSpacing&gt;&lt;ShowReprint&gt;1&lt;/ShowReprint&gt;&lt;ShowNotes&gt;0&lt;/ShowNotes&gt;&lt;ShowKeywords&gt;0&lt;/ShowKeywords&gt;&lt;ShortFormFields&gt;0&lt;/ShortFormFields&gt;&lt;ShowRecordID&gt;0&lt;/ShowRecordID&gt;&lt;ShowAbstract&gt;0&lt;/ShowAbstract&gt;&lt;/Layout&gt;"/>
    <w:docVar w:name="REFMGR.Libraries" w:val="&lt;Databases&gt;&lt;Libraries&gt;&lt;item&gt;dean&lt;/item&gt;&lt;/Libraries&gt;&lt;/Databases&gt;"/>
  </w:docVars>
  <w:rsids>
    <w:rsidRoot w:val="00954615"/>
    <w:rsid w:val="0000145E"/>
    <w:rsid w:val="00004047"/>
    <w:rsid w:val="000066E5"/>
    <w:rsid w:val="00007B40"/>
    <w:rsid w:val="00011B6B"/>
    <w:rsid w:val="00013851"/>
    <w:rsid w:val="00021E03"/>
    <w:rsid w:val="000263CB"/>
    <w:rsid w:val="00026E1B"/>
    <w:rsid w:val="00033CF7"/>
    <w:rsid w:val="00033EE6"/>
    <w:rsid w:val="00052AC3"/>
    <w:rsid w:val="00054810"/>
    <w:rsid w:val="000560EC"/>
    <w:rsid w:val="0006027B"/>
    <w:rsid w:val="00062181"/>
    <w:rsid w:val="000657F8"/>
    <w:rsid w:val="00072E27"/>
    <w:rsid w:val="00077E57"/>
    <w:rsid w:val="00083960"/>
    <w:rsid w:val="0008442E"/>
    <w:rsid w:val="00087997"/>
    <w:rsid w:val="0009035B"/>
    <w:rsid w:val="000A1278"/>
    <w:rsid w:val="000A1E60"/>
    <w:rsid w:val="000A3A2D"/>
    <w:rsid w:val="000A3B6F"/>
    <w:rsid w:val="000A656F"/>
    <w:rsid w:val="000A70C2"/>
    <w:rsid w:val="000A7855"/>
    <w:rsid w:val="000B0F12"/>
    <w:rsid w:val="000B5E6A"/>
    <w:rsid w:val="000C3BD9"/>
    <w:rsid w:val="000C5833"/>
    <w:rsid w:val="000C694F"/>
    <w:rsid w:val="000D0922"/>
    <w:rsid w:val="000D1C1F"/>
    <w:rsid w:val="000D68A4"/>
    <w:rsid w:val="000E5F65"/>
    <w:rsid w:val="000F4ED0"/>
    <w:rsid w:val="000F7E7F"/>
    <w:rsid w:val="001010D3"/>
    <w:rsid w:val="001036D6"/>
    <w:rsid w:val="00110B95"/>
    <w:rsid w:val="00111CB8"/>
    <w:rsid w:val="00115862"/>
    <w:rsid w:val="00115900"/>
    <w:rsid w:val="0011705F"/>
    <w:rsid w:val="001175DF"/>
    <w:rsid w:val="00120934"/>
    <w:rsid w:val="0012580F"/>
    <w:rsid w:val="00135C9A"/>
    <w:rsid w:val="001379AE"/>
    <w:rsid w:val="00143013"/>
    <w:rsid w:val="00150CA1"/>
    <w:rsid w:val="00151141"/>
    <w:rsid w:val="001521BD"/>
    <w:rsid w:val="001613C4"/>
    <w:rsid w:val="00162B2C"/>
    <w:rsid w:val="00166A2B"/>
    <w:rsid w:val="0017005A"/>
    <w:rsid w:val="00170927"/>
    <w:rsid w:val="0018776C"/>
    <w:rsid w:val="00190366"/>
    <w:rsid w:val="00191631"/>
    <w:rsid w:val="00191C6D"/>
    <w:rsid w:val="00193A63"/>
    <w:rsid w:val="001A4EA1"/>
    <w:rsid w:val="001B2846"/>
    <w:rsid w:val="001B316E"/>
    <w:rsid w:val="001B6391"/>
    <w:rsid w:val="001B6691"/>
    <w:rsid w:val="001C2D18"/>
    <w:rsid w:val="001C5A8B"/>
    <w:rsid w:val="001C7336"/>
    <w:rsid w:val="001D4EEF"/>
    <w:rsid w:val="001D5D82"/>
    <w:rsid w:val="001D67FF"/>
    <w:rsid w:val="001E0689"/>
    <w:rsid w:val="001E1BF2"/>
    <w:rsid w:val="001E3953"/>
    <w:rsid w:val="001F3E45"/>
    <w:rsid w:val="001F401F"/>
    <w:rsid w:val="001F5547"/>
    <w:rsid w:val="001F6013"/>
    <w:rsid w:val="00207F95"/>
    <w:rsid w:val="00211EAB"/>
    <w:rsid w:val="002271F9"/>
    <w:rsid w:val="002336E1"/>
    <w:rsid w:val="002418FD"/>
    <w:rsid w:val="0024471F"/>
    <w:rsid w:val="002508A4"/>
    <w:rsid w:val="00257C6D"/>
    <w:rsid w:val="00267163"/>
    <w:rsid w:val="00267C6E"/>
    <w:rsid w:val="0027000A"/>
    <w:rsid w:val="00274430"/>
    <w:rsid w:val="00275015"/>
    <w:rsid w:val="00287D2E"/>
    <w:rsid w:val="002911B3"/>
    <w:rsid w:val="00291C37"/>
    <w:rsid w:val="00295D37"/>
    <w:rsid w:val="0029668C"/>
    <w:rsid w:val="002A1715"/>
    <w:rsid w:val="002A24A1"/>
    <w:rsid w:val="002A5310"/>
    <w:rsid w:val="002A61B8"/>
    <w:rsid w:val="002B11F4"/>
    <w:rsid w:val="002B15E7"/>
    <w:rsid w:val="002B4865"/>
    <w:rsid w:val="002B4D34"/>
    <w:rsid w:val="002B54AC"/>
    <w:rsid w:val="002B7A4C"/>
    <w:rsid w:val="002C198E"/>
    <w:rsid w:val="002C470A"/>
    <w:rsid w:val="002D1CBD"/>
    <w:rsid w:val="002D3F13"/>
    <w:rsid w:val="002E4749"/>
    <w:rsid w:val="002E542D"/>
    <w:rsid w:val="002E5D9B"/>
    <w:rsid w:val="002E7B7A"/>
    <w:rsid w:val="002F30D1"/>
    <w:rsid w:val="002F352C"/>
    <w:rsid w:val="003042A9"/>
    <w:rsid w:val="0030528D"/>
    <w:rsid w:val="003062CB"/>
    <w:rsid w:val="00312071"/>
    <w:rsid w:val="00320250"/>
    <w:rsid w:val="00327722"/>
    <w:rsid w:val="003311CC"/>
    <w:rsid w:val="00332905"/>
    <w:rsid w:val="00333DD5"/>
    <w:rsid w:val="00334FA6"/>
    <w:rsid w:val="0033718D"/>
    <w:rsid w:val="003378C3"/>
    <w:rsid w:val="00340210"/>
    <w:rsid w:val="003414B5"/>
    <w:rsid w:val="003524B2"/>
    <w:rsid w:val="0035254C"/>
    <w:rsid w:val="00353B04"/>
    <w:rsid w:val="00355E88"/>
    <w:rsid w:val="00362C1E"/>
    <w:rsid w:val="00362D1F"/>
    <w:rsid w:val="00365CDD"/>
    <w:rsid w:val="00391565"/>
    <w:rsid w:val="00397BE8"/>
    <w:rsid w:val="003A207E"/>
    <w:rsid w:val="003B0C2D"/>
    <w:rsid w:val="003B7CDC"/>
    <w:rsid w:val="003C13CC"/>
    <w:rsid w:val="003D06DF"/>
    <w:rsid w:val="003D2B0C"/>
    <w:rsid w:val="003D33AF"/>
    <w:rsid w:val="003D7F4C"/>
    <w:rsid w:val="003E518F"/>
    <w:rsid w:val="003F46A5"/>
    <w:rsid w:val="003F6F7B"/>
    <w:rsid w:val="003F7378"/>
    <w:rsid w:val="00403A5E"/>
    <w:rsid w:val="00403B8E"/>
    <w:rsid w:val="0040598D"/>
    <w:rsid w:val="00410A9F"/>
    <w:rsid w:val="00411DCC"/>
    <w:rsid w:val="00412686"/>
    <w:rsid w:val="00416014"/>
    <w:rsid w:val="00420886"/>
    <w:rsid w:val="00422DEF"/>
    <w:rsid w:val="00424363"/>
    <w:rsid w:val="004271B0"/>
    <w:rsid w:val="00427807"/>
    <w:rsid w:val="00430105"/>
    <w:rsid w:val="0043037C"/>
    <w:rsid w:val="00433516"/>
    <w:rsid w:val="00434942"/>
    <w:rsid w:val="00436E97"/>
    <w:rsid w:val="004404B6"/>
    <w:rsid w:val="0044429A"/>
    <w:rsid w:val="004470A4"/>
    <w:rsid w:val="0044724E"/>
    <w:rsid w:val="004472BD"/>
    <w:rsid w:val="004561FC"/>
    <w:rsid w:val="004610ED"/>
    <w:rsid w:val="00463C71"/>
    <w:rsid w:val="00464127"/>
    <w:rsid w:val="0046704E"/>
    <w:rsid w:val="00475BCF"/>
    <w:rsid w:val="00476F92"/>
    <w:rsid w:val="00477E8B"/>
    <w:rsid w:val="00481947"/>
    <w:rsid w:val="00482B55"/>
    <w:rsid w:val="00482E5F"/>
    <w:rsid w:val="0049338B"/>
    <w:rsid w:val="00494D65"/>
    <w:rsid w:val="00496E28"/>
    <w:rsid w:val="004A5CDE"/>
    <w:rsid w:val="004A7D73"/>
    <w:rsid w:val="004B3B33"/>
    <w:rsid w:val="004B5322"/>
    <w:rsid w:val="004B5FE3"/>
    <w:rsid w:val="004B75F3"/>
    <w:rsid w:val="004C10CF"/>
    <w:rsid w:val="004C4869"/>
    <w:rsid w:val="004C68AF"/>
    <w:rsid w:val="004D3C8E"/>
    <w:rsid w:val="004D44BE"/>
    <w:rsid w:val="004E3517"/>
    <w:rsid w:val="004F6A58"/>
    <w:rsid w:val="004F6EC0"/>
    <w:rsid w:val="005000BD"/>
    <w:rsid w:val="005032FE"/>
    <w:rsid w:val="00506397"/>
    <w:rsid w:val="005075A6"/>
    <w:rsid w:val="00507E62"/>
    <w:rsid w:val="005104D8"/>
    <w:rsid w:val="00520CB1"/>
    <w:rsid w:val="0052450C"/>
    <w:rsid w:val="00532843"/>
    <w:rsid w:val="005411A6"/>
    <w:rsid w:val="00541365"/>
    <w:rsid w:val="005438ED"/>
    <w:rsid w:val="00544F22"/>
    <w:rsid w:val="005468EA"/>
    <w:rsid w:val="00546F94"/>
    <w:rsid w:val="00551DEE"/>
    <w:rsid w:val="00552B91"/>
    <w:rsid w:val="00561BF8"/>
    <w:rsid w:val="0056392B"/>
    <w:rsid w:val="005652F6"/>
    <w:rsid w:val="00565A4F"/>
    <w:rsid w:val="00566BF3"/>
    <w:rsid w:val="00574D1B"/>
    <w:rsid w:val="00576567"/>
    <w:rsid w:val="00581873"/>
    <w:rsid w:val="005823D9"/>
    <w:rsid w:val="00587158"/>
    <w:rsid w:val="0059269B"/>
    <w:rsid w:val="005940F6"/>
    <w:rsid w:val="00595165"/>
    <w:rsid w:val="00595839"/>
    <w:rsid w:val="005A50B1"/>
    <w:rsid w:val="005A7742"/>
    <w:rsid w:val="005B13B0"/>
    <w:rsid w:val="005B3809"/>
    <w:rsid w:val="005B497F"/>
    <w:rsid w:val="005B4AB2"/>
    <w:rsid w:val="005B6452"/>
    <w:rsid w:val="005B6831"/>
    <w:rsid w:val="005C16D4"/>
    <w:rsid w:val="005C1F7C"/>
    <w:rsid w:val="005C632B"/>
    <w:rsid w:val="005D1F48"/>
    <w:rsid w:val="005D335A"/>
    <w:rsid w:val="005D62E0"/>
    <w:rsid w:val="005D63DB"/>
    <w:rsid w:val="005E2DE8"/>
    <w:rsid w:val="005E551A"/>
    <w:rsid w:val="005E725F"/>
    <w:rsid w:val="005E7CE7"/>
    <w:rsid w:val="005F0529"/>
    <w:rsid w:val="005F1D1E"/>
    <w:rsid w:val="005F57B4"/>
    <w:rsid w:val="005F6DAA"/>
    <w:rsid w:val="00600393"/>
    <w:rsid w:val="00602BE4"/>
    <w:rsid w:val="00605C1A"/>
    <w:rsid w:val="006061C0"/>
    <w:rsid w:val="00607670"/>
    <w:rsid w:val="0060771B"/>
    <w:rsid w:val="0061015D"/>
    <w:rsid w:val="00612584"/>
    <w:rsid w:val="00614790"/>
    <w:rsid w:val="00620324"/>
    <w:rsid w:val="00621034"/>
    <w:rsid w:val="00624767"/>
    <w:rsid w:val="00632474"/>
    <w:rsid w:val="0063325A"/>
    <w:rsid w:val="00635FF6"/>
    <w:rsid w:val="006366E7"/>
    <w:rsid w:val="00641A2A"/>
    <w:rsid w:val="00641D3A"/>
    <w:rsid w:val="00641E32"/>
    <w:rsid w:val="0064740D"/>
    <w:rsid w:val="006506AF"/>
    <w:rsid w:val="00655680"/>
    <w:rsid w:val="00664233"/>
    <w:rsid w:val="00666BA8"/>
    <w:rsid w:val="00670B78"/>
    <w:rsid w:val="00674A36"/>
    <w:rsid w:val="00676E33"/>
    <w:rsid w:val="00687C39"/>
    <w:rsid w:val="00691499"/>
    <w:rsid w:val="00697015"/>
    <w:rsid w:val="006A0441"/>
    <w:rsid w:val="006A0BC4"/>
    <w:rsid w:val="006A1FB1"/>
    <w:rsid w:val="006A2B00"/>
    <w:rsid w:val="006A63A0"/>
    <w:rsid w:val="006B1AA2"/>
    <w:rsid w:val="006B4D21"/>
    <w:rsid w:val="006B6625"/>
    <w:rsid w:val="006B7C81"/>
    <w:rsid w:val="006C3F50"/>
    <w:rsid w:val="006C59A7"/>
    <w:rsid w:val="006C653B"/>
    <w:rsid w:val="006D0726"/>
    <w:rsid w:val="006D6151"/>
    <w:rsid w:val="006F07B5"/>
    <w:rsid w:val="0070655E"/>
    <w:rsid w:val="00711CC3"/>
    <w:rsid w:val="0071301F"/>
    <w:rsid w:val="007241F4"/>
    <w:rsid w:val="007274C5"/>
    <w:rsid w:val="00730B9C"/>
    <w:rsid w:val="00733EB1"/>
    <w:rsid w:val="00736187"/>
    <w:rsid w:val="00736B97"/>
    <w:rsid w:val="00737272"/>
    <w:rsid w:val="00741DC8"/>
    <w:rsid w:val="0074464D"/>
    <w:rsid w:val="00744801"/>
    <w:rsid w:val="007550F5"/>
    <w:rsid w:val="0075740F"/>
    <w:rsid w:val="00761BD6"/>
    <w:rsid w:val="0076600A"/>
    <w:rsid w:val="00766E79"/>
    <w:rsid w:val="00772388"/>
    <w:rsid w:val="007846DF"/>
    <w:rsid w:val="00786156"/>
    <w:rsid w:val="0079187F"/>
    <w:rsid w:val="0079251A"/>
    <w:rsid w:val="007A2E76"/>
    <w:rsid w:val="007A3171"/>
    <w:rsid w:val="007B6CFE"/>
    <w:rsid w:val="007C01EC"/>
    <w:rsid w:val="007C1EB6"/>
    <w:rsid w:val="007C7007"/>
    <w:rsid w:val="007D0C59"/>
    <w:rsid w:val="007D5C9C"/>
    <w:rsid w:val="007D6781"/>
    <w:rsid w:val="007E16CF"/>
    <w:rsid w:val="007E5B58"/>
    <w:rsid w:val="007E6970"/>
    <w:rsid w:val="007F322F"/>
    <w:rsid w:val="007F4F26"/>
    <w:rsid w:val="007F7797"/>
    <w:rsid w:val="00801163"/>
    <w:rsid w:val="0080332B"/>
    <w:rsid w:val="00806E63"/>
    <w:rsid w:val="00814DF6"/>
    <w:rsid w:val="00817AA2"/>
    <w:rsid w:val="0082083A"/>
    <w:rsid w:val="00837255"/>
    <w:rsid w:val="00842FC1"/>
    <w:rsid w:val="00843A08"/>
    <w:rsid w:val="00843A91"/>
    <w:rsid w:val="00853624"/>
    <w:rsid w:val="00860D66"/>
    <w:rsid w:val="00862270"/>
    <w:rsid w:val="00863077"/>
    <w:rsid w:val="00864BA3"/>
    <w:rsid w:val="008670B4"/>
    <w:rsid w:val="00871CC8"/>
    <w:rsid w:val="008736CD"/>
    <w:rsid w:val="00881D5A"/>
    <w:rsid w:val="00890530"/>
    <w:rsid w:val="008913FD"/>
    <w:rsid w:val="008937F7"/>
    <w:rsid w:val="00897387"/>
    <w:rsid w:val="008A1337"/>
    <w:rsid w:val="008A175F"/>
    <w:rsid w:val="008A1D7B"/>
    <w:rsid w:val="008A5753"/>
    <w:rsid w:val="008A77B3"/>
    <w:rsid w:val="008C04AC"/>
    <w:rsid w:val="008C2F40"/>
    <w:rsid w:val="008C607E"/>
    <w:rsid w:val="008D1340"/>
    <w:rsid w:val="008D71C1"/>
    <w:rsid w:val="008E0763"/>
    <w:rsid w:val="008E386C"/>
    <w:rsid w:val="008E7275"/>
    <w:rsid w:val="008F1822"/>
    <w:rsid w:val="008F2C1B"/>
    <w:rsid w:val="008F3732"/>
    <w:rsid w:val="008F4340"/>
    <w:rsid w:val="008F497A"/>
    <w:rsid w:val="008F7E1D"/>
    <w:rsid w:val="0090177A"/>
    <w:rsid w:val="00901AD9"/>
    <w:rsid w:val="00906506"/>
    <w:rsid w:val="009144B7"/>
    <w:rsid w:val="009156FF"/>
    <w:rsid w:val="009202C2"/>
    <w:rsid w:val="0092232A"/>
    <w:rsid w:val="0092366D"/>
    <w:rsid w:val="00924423"/>
    <w:rsid w:val="00924A79"/>
    <w:rsid w:val="00925DA1"/>
    <w:rsid w:val="00932AF9"/>
    <w:rsid w:val="00933B79"/>
    <w:rsid w:val="00944548"/>
    <w:rsid w:val="00945C25"/>
    <w:rsid w:val="00952A2E"/>
    <w:rsid w:val="00952FDE"/>
    <w:rsid w:val="00953916"/>
    <w:rsid w:val="00954615"/>
    <w:rsid w:val="009572AF"/>
    <w:rsid w:val="0096095F"/>
    <w:rsid w:val="00961633"/>
    <w:rsid w:val="00962BA7"/>
    <w:rsid w:val="009638A0"/>
    <w:rsid w:val="00963B79"/>
    <w:rsid w:val="00964077"/>
    <w:rsid w:val="009712C3"/>
    <w:rsid w:val="00973815"/>
    <w:rsid w:val="00973CE5"/>
    <w:rsid w:val="0097462F"/>
    <w:rsid w:val="009808A0"/>
    <w:rsid w:val="00985932"/>
    <w:rsid w:val="00992F02"/>
    <w:rsid w:val="009943C0"/>
    <w:rsid w:val="00995208"/>
    <w:rsid w:val="00996DCE"/>
    <w:rsid w:val="009A661B"/>
    <w:rsid w:val="009A7E31"/>
    <w:rsid w:val="009B32FA"/>
    <w:rsid w:val="009B542A"/>
    <w:rsid w:val="009C73FC"/>
    <w:rsid w:val="009D0B12"/>
    <w:rsid w:val="009D3FBF"/>
    <w:rsid w:val="009D5B26"/>
    <w:rsid w:val="009E0584"/>
    <w:rsid w:val="009E2274"/>
    <w:rsid w:val="009E2B58"/>
    <w:rsid w:val="009E3093"/>
    <w:rsid w:val="009E45EC"/>
    <w:rsid w:val="009E67D0"/>
    <w:rsid w:val="009F0537"/>
    <w:rsid w:val="009F42D5"/>
    <w:rsid w:val="009F48E8"/>
    <w:rsid w:val="009F6C71"/>
    <w:rsid w:val="00A128B4"/>
    <w:rsid w:val="00A20075"/>
    <w:rsid w:val="00A327BD"/>
    <w:rsid w:val="00A3336E"/>
    <w:rsid w:val="00A33F2D"/>
    <w:rsid w:val="00A36F3F"/>
    <w:rsid w:val="00A41858"/>
    <w:rsid w:val="00A46332"/>
    <w:rsid w:val="00A53407"/>
    <w:rsid w:val="00A53BC8"/>
    <w:rsid w:val="00A565A7"/>
    <w:rsid w:val="00A629E5"/>
    <w:rsid w:val="00A66DE6"/>
    <w:rsid w:val="00A8007E"/>
    <w:rsid w:val="00A82595"/>
    <w:rsid w:val="00A833C4"/>
    <w:rsid w:val="00A8428A"/>
    <w:rsid w:val="00A85E00"/>
    <w:rsid w:val="00A9199C"/>
    <w:rsid w:val="00A9210C"/>
    <w:rsid w:val="00AA0A85"/>
    <w:rsid w:val="00AB3430"/>
    <w:rsid w:val="00AB524C"/>
    <w:rsid w:val="00AB596C"/>
    <w:rsid w:val="00AC22D6"/>
    <w:rsid w:val="00AC2940"/>
    <w:rsid w:val="00AD05E3"/>
    <w:rsid w:val="00AD6F71"/>
    <w:rsid w:val="00AE1ACC"/>
    <w:rsid w:val="00AE1E9A"/>
    <w:rsid w:val="00AE7AC0"/>
    <w:rsid w:val="00AF3305"/>
    <w:rsid w:val="00AF614B"/>
    <w:rsid w:val="00B026D5"/>
    <w:rsid w:val="00B265BE"/>
    <w:rsid w:val="00B26DE4"/>
    <w:rsid w:val="00B32C22"/>
    <w:rsid w:val="00B3596D"/>
    <w:rsid w:val="00B364D6"/>
    <w:rsid w:val="00B40641"/>
    <w:rsid w:val="00B422AE"/>
    <w:rsid w:val="00B47259"/>
    <w:rsid w:val="00B47EF8"/>
    <w:rsid w:val="00B5103C"/>
    <w:rsid w:val="00B64204"/>
    <w:rsid w:val="00B66306"/>
    <w:rsid w:val="00B7063B"/>
    <w:rsid w:val="00B72A37"/>
    <w:rsid w:val="00B80D9F"/>
    <w:rsid w:val="00B81931"/>
    <w:rsid w:val="00B83131"/>
    <w:rsid w:val="00B90239"/>
    <w:rsid w:val="00B97A6F"/>
    <w:rsid w:val="00BA2172"/>
    <w:rsid w:val="00BA572A"/>
    <w:rsid w:val="00BB3C6C"/>
    <w:rsid w:val="00BB490D"/>
    <w:rsid w:val="00BB4F9C"/>
    <w:rsid w:val="00BB65C9"/>
    <w:rsid w:val="00BB6667"/>
    <w:rsid w:val="00BB7D3F"/>
    <w:rsid w:val="00BC046F"/>
    <w:rsid w:val="00BC26DE"/>
    <w:rsid w:val="00BC64CF"/>
    <w:rsid w:val="00BD19C1"/>
    <w:rsid w:val="00BD682F"/>
    <w:rsid w:val="00BD73EE"/>
    <w:rsid w:val="00BE14F5"/>
    <w:rsid w:val="00BE6BA2"/>
    <w:rsid w:val="00BF3E81"/>
    <w:rsid w:val="00C01C15"/>
    <w:rsid w:val="00C0314C"/>
    <w:rsid w:val="00C203EC"/>
    <w:rsid w:val="00C207B0"/>
    <w:rsid w:val="00C269CA"/>
    <w:rsid w:val="00C3152D"/>
    <w:rsid w:val="00C325E2"/>
    <w:rsid w:val="00C32E50"/>
    <w:rsid w:val="00C33794"/>
    <w:rsid w:val="00C34CFE"/>
    <w:rsid w:val="00C46F5A"/>
    <w:rsid w:val="00C50D68"/>
    <w:rsid w:val="00C51B29"/>
    <w:rsid w:val="00C5442D"/>
    <w:rsid w:val="00C56DD8"/>
    <w:rsid w:val="00C60964"/>
    <w:rsid w:val="00C61614"/>
    <w:rsid w:val="00C61945"/>
    <w:rsid w:val="00C63EA0"/>
    <w:rsid w:val="00C71338"/>
    <w:rsid w:val="00C72AB0"/>
    <w:rsid w:val="00C80B72"/>
    <w:rsid w:val="00C9319B"/>
    <w:rsid w:val="00C93B6A"/>
    <w:rsid w:val="00CA15D7"/>
    <w:rsid w:val="00CA25A0"/>
    <w:rsid w:val="00CA442A"/>
    <w:rsid w:val="00CB77B7"/>
    <w:rsid w:val="00CB7D57"/>
    <w:rsid w:val="00CC1637"/>
    <w:rsid w:val="00CC2A4D"/>
    <w:rsid w:val="00CC45D8"/>
    <w:rsid w:val="00CC70E5"/>
    <w:rsid w:val="00CC7FCC"/>
    <w:rsid w:val="00CD17DF"/>
    <w:rsid w:val="00CE061D"/>
    <w:rsid w:val="00CE13CC"/>
    <w:rsid w:val="00CE3CF2"/>
    <w:rsid w:val="00CE4F40"/>
    <w:rsid w:val="00CF19C2"/>
    <w:rsid w:val="00CF6A6D"/>
    <w:rsid w:val="00D04991"/>
    <w:rsid w:val="00D05457"/>
    <w:rsid w:val="00D137A3"/>
    <w:rsid w:val="00D14573"/>
    <w:rsid w:val="00D22DD9"/>
    <w:rsid w:val="00D27BC9"/>
    <w:rsid w:val="00D305BA"/>
    <w:rsid w:val="00D32C0D"/>
    <w:rsid w:val="00D359CD"/>
    <w:rsid w:val="00D40DB2"/>
    <w:rsid w:val="00D437C3"/>
    <w:rsid w:val="00D4799F"/>
    <w:rsid w:val="00D51C5B"/>
    <w:rsid w:val="00D52A9E"/>
    <w:rsid w:val="00D53570"/>
    <w:rsid w:val="00D564DC"/>
    <w:rsid w:val="00D57848"/>
    <w:rsid w:val="00D57AB1"/>
    <w:rsid w:val="00D70B14"/>
    <w:rsid w:val="00D76695"/>
    <w:rsid w:val="00D8003F"/>
    <w:rsid w:val="00D80B91"/>
    <w:rsid w:val="00D810A8"/>
    <w:rsid w:val="00D90DF4"/>
    <w:rsid w:val="00D916EC"/>
    <w:rsid w:val="00D937E5"/>
    <w:rsid w:val="00DA4083"/>
    <w:rsid w:val="00DA49C1"/>
    <w:rsid w:val="00DA718A"/>
    <w:rsid w:val="00DB6176"/>
    <w:rsid w:val="00DB7672"/>
    <w:rsid w:val="00DC01E8"/>
    <w:rsid w:val="00DD1388"/>
    <w:rsid w:val="00DD465F"/>
    <w:rsid w:val="00DD64FB"/>
    <w:rsid w:val="00DE06A1"/>
    <w:rsid w:val="00DF1933"/>
    <w:rsid w:val="00DF2C28"/>
    <w:rsid w:val="00DF7546"/>
    <w:rsid w:val="00E0246C"/>
    <w:rsid w:val="00E050B4"/>
    <w:rsid w:val="00E05AC7"/>
    <w:rsid w:val="00E106B1"/>
    <w:rsid w:val="00E11471"/>
    <w:rsid w:val="00E13662"/>
    <w:rsid w:val="00E14E86"/>
    <w:rsid w:val="00E15F37"/>
    <w:rsid w:val="00E2328B"/>
    <w:rsid w:val="00E277D5"/>
    <w:rsid w:val="00E33A83"/>
    <w:rsid w:val="00E3678B"/>
    <w:rsid w:val="00E374D4"/>
    <w:rsid w:val="00E37C17"/>
    <w:rsid w:val="00E4140D"/>
    <w:rsid w:val="00E454F8"/>
    <w:rsid w:val="00E558D8"/>
    <w:rsid w:val="00E60F32"/>
    <w:rsid w:val="00E6131C"/>
    <w:rsid w:val="00E62080"/>
    <w:rsid w:val="00E655D9"/>
    <w:rsid w:val="00E658C0"/>
    <w:rsid w:val="00E6659F"/>
    <w:rsid w:val="00E77BE7"/>
    <w:rsid w:val="00E8571F"/>
    <w:rsid w:val="00E864DD"/>
    <w:rsid w:val="00E92C1D"/>
    <w:rsid w:val="00EA1211"/>
    <w:rsid w:val="00EA455D"/>
    <w:rsid w:val="00EA45F4"/>
    <w:rsid w:val="00EA52EC"/>
    <w:rsid w:val="00EA7CE1"/>
    <w:rsid w:val="00EB1F1B"/>
    <w:rsid w:val="00EB4663"/>
    <w:rsid w:val="00EB63FC"/>
    <w:rsid w:val="00EB7105"/>
    <w:rsid w:val="00EC04E2"/>
    <w:rsid w:val="00EC2110"/>
    <w:rsid w:val="00EC556F"/>
    <w:rsid w:val="00ED0091"/>
    <w:rsid w:val="00ED032A"/>
    <w:rsid w:val="00ED0916"/>
    <w:rsid w:val="00ED6F10"/>
    <w:rsid w:val="00ED70AE"/>
    <w:rsid w:val="00EE02E0"/>
    <w:rsid w:val="00EE5523"/>
    <w:rsid w:val="00EF15FB"/>
    <w:rsid w:val="00EF265B"/>
    <w:rsid w:val="00EF4338"/>
    <w:rsid w:val="00EF5378"/>
    <w:rsid w:val="00F00E97"/>
    <w:rsid w:val="00F124CD"/>
    <w:rsid w:val="00F34053"/>
    <w:rsid w:val="00F3488F"/>
    <w:rsid w:val="00F359AE"/>
    <w:rsid w:val="00F37EDB"/>
    <w:rsid w:val="00F45D28"/>
    <w:rsid w:val="00F46FB4"/>
    <w:rsid w:val="00F5428C"/>
    <w:rsid w:val="00F55C66"/>
    <w:rsid w:val="00F63223"/>
    <w:rsid w:val="00F635A8"/>
    <w:rsid w:val="00F6458F"/>
    <w:rsid w:val="00F70F99"/>
    <w:rsid w:val="00F80855"/>
    <w:rsid w:val="00F84934"/>
    <w:rsid w:val="00F94628"/>
    <w:rsid w:val="00F94C5C"/>
    <w:rsid w:val="00FA2C2D"/>
    <w:rsid w:val="00FA57D1"/>
    <w:rsid w:val="00FB2F13"/>
    <w:rsid w:val="00FB462F"/>
    <w:rsid w:val="00FB540C"/>
    <w:rsid w:val="00FC511E"/>
    <w:rsid w:val="00FC5C39"/>
    <w:rsid w:val="00FC7620"/>
    <w:rsid w:val="00FD02BF"/>
    <w:rsid w:val="00FD5C3D"/>
    <w:rsid w:val="00FF0BCF"/>
    <w:rsid w:val="00FF0D0E"/>
    <w:rsid w:val="00FF226A"/>
  </w:rsids>
  <m:mathPr>
    <m:mathFont m:val="Garamond"/>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180">
      <o:colormenu v:ext="edit" strokecolor="#396"/>
    </o:shapedefaults>
    <o:shapelayout v:ext="edit">
      <o:idmap v:ext="edit" data="1"/>
      <o:rules v:ext="edit">
        <o:r id="V:Rule5" type="connector" idref="#_x0000_s1175"/>
        <o:r id="V:Rule6" type="connector" idref="#_x0000_s1171"/>
        <o:r id="V:Rule7" type="connector" idref="#_x0000_s1172"/>
        <o:r id="V:Rule8" type="connector" idref="#_x0000_s117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D0C59"/>
    <w:rPr>
      <w:sz w:val="24"/>
      <w:szCs w:val="24"/>
      <w:lang w:val="en-US" w:eastAsia="en-US"/>
    </w:rPr>
  </w:style>
  <w:style w:type="paragraph" w:styleId="Heading4">
    <w:name w:val="heading 4"/>
    <w:basedOn w:val="Normal"/>
    <w:qFormat/>
    <w:rsid w:val="009E3093"/>
    <w:pPr>
      <w:spacing w:before="100" w:beforeAutospacing="1" w:after="100" w:afterAutospacing="1"/>
      <w:outlineLvl w:val="3"/>
    </w:pPr>
    <w:rPr>
      <w:b/>
      <w:bCs/>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Footer">
    <w:name w:val="footer"/>
    <w:basedOn w:val="Normal"/>
    <w:rsid w:val="009B542A"/>
    <w:pPr>
      <w:tabs>
        <w:tab w:val="center" w:pos="4320"/>
        <w:tab w:val="right" w:pos="8640"/>
      </w:tabs>
    </w:pPr>
  </w:style>
  <w:style w:type="character" w:styleId="PageNumber">
    <w:name w:val="page number"/>
    <w:basedOn w:val="DefaultParagraphFont"/>
    <w:rsid w:val="009B542A"/>
  </w:style>
  <w:style w:type="paragraph" w:styleId="Header">
    <w:name w:val="header"/>
    <w:basedOn w:val="Normal"/>
    <w:link w:val="HeaderChar"/>
    <w:rsid w:val="009B542A"/>
    <w:pPr>
      <w:tabs>
        <w:tab w:val="center" w:pos="4320"/>
        <w:tab w:val="right" w:pos="8640"/>
      </w:tabs>
    </w:pPr>
  </w:style>
  <w:style w:type="table" w:styleId="TableGrid">
    <w:name w:val="Table Grid"/>
    <w:basedOn w:val="TableNormal"/>
    <w:rsid w:val="00761B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7D0C59"/>
    <w:rPr>
      <w:rFonts w:ascii="Tahoma" w:hAnsi="Tahoma" w:cs="Tahoma"/>
      <w:sz w:val="16"/>
      <w:szCs w:val="16"/>
    </w:rPr>
  </w:style>
  <w:style w:type="character" w:styleId="CommentReference">
    <w:name w:val="annotation reference"/>
    <w:basedOn w:val="DefaultParagraphFont"/>
    <w:semiHidden/>
    <w:rsid w:val="00CF6A6D"/>
    <w:rPr>
      <w:sz w:val="16"/>
      <w:szCs w:val="16"/>
    </w:rPr>
  </w:style>
  <w:style w:type="paragraph" w:styleId="CommentText">
    <w:name w:val="annotation text"/>
    <w:basedOn w:val="Normal"/>
    <w:semiHidden/>
    <w:rsid w:val="00CF6A6D"/>
    <w:rPr>
      <w:sz w:val="20"/>
      <w:szCs w:val="20"/>
    </w:rPr>
  </w:style>
  <w:style w:type="paragraph" w:styleId="CommentSubject">
    <w:name w:val="annotation subject"/>
    <w:basedOn w:val="CommentText"/>
    <w:next w:val="CommentText"/>
    <w:semiHidden/>
    <w:rsid w:val="00CF6A6D"/>
    <w:rPr>
      <w:b/>
      <w:bCs/>
    </w:rPr>
  </w:style>
  <w:style w:type="character" w:styleId="Hyperlink">
    <w:name w:val="Hyperlink"/>
    <w:basedOn w:val="DefaultParagraphFont"/>
    <w:rsid w:val="00806E63"/>
    <w:rPr>
      <w:color w:val="0000FF"/>
      <w:u w:val="single"/>
    </w:rPr>
  </w:style>
  <w:style w:type="paragraph" w:styleId="NormalWeb">
    <w:name w:val="Normal (Web)"/>
    <w:basedOn w:val="Normal"/>
    <w:rsid w:val="0043037C"/>
    <w:pPr>
      <w:spacing w:before="100" w:beforeAutospacing="1" w:after="100" w:afterAutospacing="1"/>
    </w:pPr>
  </w:style>
  <w:style w:type="paragraph" w:styleId="Title">
    <w:name w:val="Title"/>
    <w:basedOn w:val="Normal"/>
    <w:qFormat/>
    <w:rsid w:val="0064740D"/>
    <w:pPr>
      <w:jc w:val="center"/>
    </w:pPr>
    <w:rPr>
      <w:b/>
      <w:bCs/>
    </w:rPr>
  </w:style>
  <w:style w:type="paragraph" w:styleId="Revision">
    <w:name w:val="Revision"/>
    <w:hidden/>
    <w:uiPriority w:val="99"/>
    <w:semiHidden/>
    <w:rsid w:val="00676E33"/>
    <w:rPr>
      <w:sz w:val="24"/>
      <w:szCs w:val="24"/>
      <w:lang w:val="en-US" w:eastAsia="en-US"/>
    </w:rPr>
  </w:style>
  <w:style w:type="character" w:customStyle="1" w:styleId="HeaderChar">
    <w:name w:val="Header Char"/>
    <w:basedOn w:val="DefaultParagraphFont"/>
    <w:link w:val="Header"/>
    <w:rsid w:val="00E106B1"/>
    <w:rPr>
      <w:sz w:val="24"/>
      <w:szCs w:val="24"/>
      <w:lang w:val="en-US" w:eastAsia="en-US"/>
    </w:rPr>
  </w:style>
  <w:style w:type="paragraph" w:styleId="PlainText">
    <w:name w:val="Plain Text"/>
    <w:basedOn w:val="Normal"/>
    <w:link w:val="PlainTextChar"/>
    <w:uiPriority w:val="99"/>
    <w:unhideWhenUsed/>
    <w:rsid w:val="00BE14F5"/>
    <w:rPr>
      <w:rFonts w:ascii="Consolas" w:eastAsia="Calibri" w:hAnsi="Consolas"/>
      <w:sz w:val="21"/>
      <w:szCs w:val="21"/>
      <w:lang w:val="en-CA"/>
    </w:rPr>
  </w:style>
  <w:style w:type="character" w:customStyle="1" w:styleId="PlainTextChar">
    <w:name w:val="Plain Text Char"/>
    <w:basedOn w:val="DefaultParagraphFont"/>
    <w:link w:val="PlainText"/>
    <w:uiPriority w:val="99"/>
    <w:rsid w:val="00BE14F5"/>
    <w:rPr>
      <w:rFonts w:ascii="Consolas" w:eastAsia="Calibri" w:hAnsi="Consolas"/>
      <w:sz w:val="21"/>
      <w:szCs w:val="21"/>
      <w:lang w:eastAsia="en-US"/>
    </w:rPr>
  </w:style>
</w:styles>
</file>

<file path=word/webSettings.xml><?xml version="1.0" encoding="utf-8"?>
<w:webSettings xmlns:r="http://schemas.openxmlformats.org/officeDocument/2006/relationships" xmlns:w="http://schemas.openxmlformats.org/wordprocessingml/2006/main">
  <w:divs>
    <w:div w:id="57486708">
      <w:bodyDiv w:val="1"/>
      <w:marLeft w:val="0"/>
      <w:marRight w:val="0"/>
      <w:marTop w:val="0"/>
      <w:marBottom w:val="0"/>
      <w:divBdr>
        <w:top w:val="none" w:sz="0" w:space="0" w:color="auto"/>
        <w:left w:val="none" w:sz="0" w:space="0" w:color="auto"/>
        <w:bottom w:val="none" w:sz="0" w:space="0" w:color="auto"/>
        <w:right w:val="none" w:sz="0" w:space="0" w:color="auto"/>
      </w:divBdr>
    </w:div>
    <w:div w:id="2042436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7" Type="http://schemas.openxmlformats.org/officeDocument/2006/relationships/endnotes" Target="endnotes.xml"/><Relationship Id="rId1" Type="http://schemas.openxmlformats.org/officeDocument/2006/relationships/customXml" Target="../customXml/item1.xml"/><Relationship Id="rId24" Type="http://schemas.openxmlformats.org/officeDocument/2006/relationships/footer" Target="footer6.xml"/><Relationship Id="rId25" Type="http://schemas.openxmlformats.org/officeDocument/2006/relationships/footer" Target="footer7.xml"/><Relationship Id="rId8" Type="http://schemas.openxmlformats.org/officeDocument/2006/relationships/hyperlink" Target="mailto:deurich@ualberta.ca" TargetMode="External"/><Relationship Id="rId13" Type="http://schemas.openxmlformats.org/officeDocument/2006/relationships/header" Target="header1.xml"/><Relationship Id="rId10" Type="http://schemas.openxmlformats.org/officeDocument/2006/relationships/image" Target="media/image3.emf"/><Relationship Id="rId12" Type="http://schemas.openxmlformats.org/officeDocument/2006/relationships/image" Target="media/image5.emf"/><Relationship Id="rId17" Type="http://schemas.openxmlformats.org/officeDocument/2006/relationships/header" Target="header3.xml"/><Relationship Id="rId9" Type="http://schemas.openxmlformats.org/officeDocument/2006/relationships/image" Target="media/image2.emf"/><Relationship Id="rId18" Type="http://schemas.openxmlformats.org/officeDocument/2006/relationships/header" Target="header4.xml"/><Relationship Id="rId3" Type="http://schemas.openxmlformats.org/officeDocument/2006/relationships/styles" Target="styles.xml"/><Relationship Id="rId27" Type="http://schemas.openxmlformats.org/officeDocument/2006/relationships/fontTable" Target="fontTable.xml"/><Relationship Id="rId14" Type="http://schemas.openxmlformats.org/officeDocument/2006/relationships/header" Target="header2.xml"/><Relationship Id="rId23" Type="http://schemas.openxmlformats.org/officeDocument/2006/relationships/footer" Target="footer5.xml"/><Relationship Id="rId4" Type="http://schemas.openxmlformats.org/officeDocument/2006/relationships/settings" Target="settings.xml"/><Relationship Id="rId28" Type="http://schemas.openxmlformats.org/officeDocument/2006/relationships/theme" Target="theme/theme1.xml"/><Relationship Id="rId26" Type="http://schemas.openxmlformats.org/officeDocument/2006/relationships/footer" Target="footer8.xml"/><Relationship Id="rId11" Type="http://schemas.openxmlformats.org/officeDocument/2006/relationships/image" Target="media/image4.emf"/><Relationship Id="rId6" Type="http://schemas.openxmlformats.org/officeDocument/2006/relationships/footnotes" Target="footnotes.xml"/><Relationship Id="rId16"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1.xml"/><Relationship Id="rId19" Type="http://schemas.openxmlformats.org/officeDocument/2006/relationships/footer" Target="footer3.xml"/><Relationship Id="rId20" Type="http://schemas.openxmlformats.org/officeDocument/2006/relationships/footer" Target="footer4.xml"/><Relationship Id="rId22" Type="http://schemas.openxmlformats.org/officeDocument/2006/relationships/header" Target="header6.xml"/><Relationship Id="rId21" Type="http://schemas.openxmlformats.org/officeDocument/2006/relationships/header" Target="header5.xml"/><Relationship Id="rId2" Type="http://schemas.openxmlformats.org/officeDocument/2006/relationships/numbering" Target="numbering.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A99316-B17A-47E6-98E5-72497A2F92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38</Pages>
  <Words>24546</Words>
  <Characters>139916</Characters>
  <Application>Microsoft Macintosh Word</Application>
  <DocSecurity>0</DocSecurity>
  <Lines>1165</Lines>
  <Paragraphs>279</Paragraphs>
  <ScaleCrop>false</ScaleCrop>
  <HeadingPairs>
    <vt:vector size="2" baseType="variant">
      <vt:variant>
        <vt:lpstr>Title</vt:lpstr>
      </vt:variant>
      <vt:variant>
        <vt:i4>1</vt:i4>
      </vt:variant>
    </vt:vector>
  </HeadingPairs>
  <TitlesOfParts>
    <vt:vector size="1" baseType="lpstr">
      <vt:lpstr>There is increasing use of composite outcomes (e</vt:lpstr>
    </vt:vector>
  </TitlesOfParts>
  <Company>Institute of Health Economics</Company>
  <LinksUpToDate>false</LinksUpToDate>
  <CharactersWithSpaces>171826</CharactersWithSpaces>
  <SharedDoc>false</SharedDoc>
  <HLinks>
    <vt:vector size="6" baseType="variant">
      <vt:variant>
        <vt:i4>3473421</vt:i4>
      </vt:variant>
      <vt:variant>
        <vt:i4>0</vt:i4>
      </vt:variant>
      <vt:variant>
        <vt:i4>0</vt:i4>
      </vt:variant>
      <vt:variant>
        <vt:i4>5</vt:i4>
      </vt:variant>
      <vt:variant>
        <vt:lpwstr>mailto:deurich@ualberta.ca</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There is increasing use of composite outcomes (e</dc:title>
  <dc:creator>Dean T. Eurich</dc:creator>
  <cp:lastModifiedBy>Dean Eurich</cp:lastModifiedBy>
  <cp:revision>3</cp:revision>
  <cp:lastPrinted>2008-11-13T21:13:00Z</cp:lastPrinted>
  <dcterms:created xsi:type="dcterms:W3CDTF">2009-02-19T16:59:00Z</dcterms:created>
  <dcterms:modified xsi:type="dcterms:W3CDTF">2009-02-19T17:03:00Z</dcterms:modified>
</cp:coreProperties>
</file>