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C37" w:rsidRPr="00826D11" w:rsidRDefault="00CA0C37" w:rsidP="00CA0C37">
      <w:pPr>
        <w:spacing w:line="480" w:lineRule="auto"/>
        <w:jc w:val="center"/>
        <w:rPr>
          <w:rFonts w:ascii="Arial" w:hAnsi="Arial" w:cs="Arial"/>
          <w:b/>
          <w:sz w:val="36"/>
          <w:szCs w:val="36"/>
        </w:rPr>
      </w:pPr>
      <w:r w:rsidRPr="00826D11">
        <w:rPr>
          <w:rFonts w:ascii="Arial" w:hAnsi="Arial" w:cs="Arial"/>
          <w:b/>
          <w:sz w:val="36"/>
          <w:szCs w:val="36"/>
        </w:rPr>
        <w:t xml:space="preserve">Impact of rosiglitazone meta-analysis on use of </w:t>
      </w:r>
    </w:p>
    <w:p w:rsidR="00CA0C37" w:rsidRPr="00826D11" w:rsidRDefault="00CA0C37" w:rsidP="00CA0C37">
      <w:pPr>
        <w:spacing w:line="480" w:lineRule="auto"/>
        <w:jc w:val="center"/>
        <w:rPr>
          <w:b/>
          <w:sz w:val="36"/>
          <w:szCs w:val="36"/>
        </w:rPr>
      </w:pPr>
      <w:r w:rsidRPr="00826D11">
        <w:rPr>
          <w:rFonts w:ascii="Arial" w:hAnsi="Arial" w:cs="Arial"/>
          <w:b/>
          <w:sz w:val="36"/>
          <w:szCs w:val="36"/>
        </w:rPr>
        <w:t>glucose-lowering medications</w:t>
      </w:r>
    </w:p>
    <w:p w:rsidR="001A0084" w:rsidRDefault="00CA0C37" w:rsidP="001A0084">
      <w:pPr>
        <w:spacing w:line="480" w:lineRule="auto"/>
        <w:jc w:val="center"/>
      </w:pPr>
      <w:r>
        <w:t xml:space="preserve">Richard </w:t>
      </w:r>
      <w:r w:rsidR="00540F9F">
        <w:t xml:space="preserve">L. </w:t>
      </w:r>
      <w:r w:rsidR="001A0084">
        <w:t xml:space="preserve">Morrow, Greg Carney, </w:t>
      </w:r>
      <w:r>
        <w:t xml:space="preserve">James M. Wright, Ken Bassett, Jenny Sutherland, </w:t>
      </w:r>
    </w:p>
    <w:p w:rsidR="00CA0C37" w:rsidRDefault="00CA0C37" w:rsidP="001A0084">
      <w:pPr>
        <w:spacing w:line="480" w:lineRule="auto"/>
        <w:jc w:val="center"/>
      </w:pPr>
      <w:r>
        <w:t>Colin R</w:t>
      </w:r>
      <w:r w:rsidR="004F51A6">
        <w:t>.</w:t>
      </w:r>
      <w:r w:rsidR="001A0084">
        <w:t xml:space="preserve"> Dormuth</w:t>
      </w:r>
    </w:p>
    <w:p w:rsidR="00505D19" w:rsidRDefault="00505D19" w:rsidP="00CA0C37">
      <w:pPr>
        <w:spacing w:line="480" w:lineRule="auto"/>
      </w:pPr>
    </w:p>
    <w:p w:rsidR="001A0084" w:rsidRDefault="001A0084" w:rsidP="00CA0C37">
      <w:pPr>
        <w:spacing w:line="480" w:lineRule="auto"/>
      </w:pPr>
      <w:r>
        <w:t xml:space="preserve">Richard L. Morrow, MA, is a health research analyst for the Therapeutics Initiative at the </w:t>
      </w:r>
      <w:smartTag w:uri="urn:schemas-microsoft-com:office:smarttags" w:element="PlaceType">
        <w:r>
          <w:t>University</w:t>
        </w:r>
      </w:smartTag>
      <w:r>
        <w:t xml:space="preserve"> of </w:t>
      </w:r>
      <w:smartTag w:uri="urn:schemas-microsoft-com:office:smarttags" w:element="PlaceName">
        <w:r>
          <w:t>British Columbia</w:t>
        </w:r>
      </w:smartTag>
      <w:r>
        <w:t xml:space="preserve">, </w:t>
      </w:r>
      <w:smartTag w:uri="urn:schemas-microsoft-com:office:smarttags" w:element="City">
        <w:r>
          <w:t>Vancouver</w:t>
        </w:r>
      </w:smartTag>
      <w:r>
        <w:t>, British Columbia</w:t>
      </w:r>
      <w:r w:rsidR="00B02CCE">
        <w:t xml:space="preserve"> (richard.morrow@ti.ubc.ca)</w:t>
      </w:r>
      <w:r>
        <w:t xml:space="preserve">. Greg Carney, </w:t>
      </w:r>
      <w:proofErr w:type="spellStart"/>
      <w:r>
        <w:t>BSc</w:t>
      </w:r>
      <w:proofErr w:type="spellEnd"/>
      <w:r>
        <w:t xml:space="preserve">, is research program manager of </w:t>
      </w:r>
      <w:proofErr w:type="spellStart"/>
      <w:r>
        <w:t>pharmacoepidemiology</w:t>
      </w:r>
      <w:proofErr w:type="spellEnd"/>
      <w:r>
        <w:t xml:space="preserve"> </w:t>
      </w:r>
      <w:r w:rsidR="00B02CCE">
        <w:t xml:space="preserve">for the Therapeutics Initiative </w:t>
      </w:r>
      <w:r>
        <w:t xml:space="preserve">at the </w:t>
      </w:r>
      <w:smartTag w:uri="urn:schemas-microsoft-com:office:smarttags" w:element="PlaceType">
        <w:r>
          <w:t>University</w:t>
        </w:r>
      </w:smartTag>
      <w:r>
        <w:t xml:space="preserve"> of British Columbia</w:t>
      </w:r>
      <w:r w:rsidR="00B02CCE">
        <w:t xml:space="preserve"> (greg.carney@ti.ubc.ca)</w:t>
      </w:r>
      <w:r>
        <w:t xml:space="preserve">. James M. Wright, MD, PhD, is professor of Anesthesiology, Pharmacology and Therapeutics and director of the Therapeutics Initiative at the </w:t>
      </w:r>
      <w:smartTag w:uri="urn:schemas-microsoft-com:office:smarttags" w:element="PlaceType">
        <w:r>
          <w:t>University</w:t>
        </w:r>
      </w:smartTag>
      <w:r>
        <w:t xml:space="preserve"> of British Columbia</w:t>
      </w:r>
      <w:r w:rsidR="00B02CCE">
        <w:t xml:space="preserve"> (jim.wright@ti.ubc.ca)</w:t>
      </w:r>
      <w:r>
        <w:t xml:space="preserve">. Ken Bassett, MD, PhD, is associate member of Anesthesiology, Pharmacology and Therapeutics and assistant professor of Family Practice at the </w:t>
      </w:r>
      <w:smartTag w:uri="urn:schemas-microsoft-com:office:smarttags" w:element="PlaceType">
        <w:r>
          <w:t>University</w:t>
        </w:r>
      </w:smartTag>
      <w:r>
        <w:t xml:space="preserve"> of British Columbia</w:t>
      </w:r>
      <w:r w:rsidR="00B02CCE">
        <w:t xml:space="preserve"> (ken.bassett@ti.ubc.ca)</w:t>
      </w:r>
      <w:r>
        <w:t xml:space="preserve">. Jenny Sutherland is an analyst and programmer for the Therapeutics Initiative at the </w:t>
      </w:r>
      <w:smartTag w:uri="urn:schemas-microsoft-com:office:smarttags" w:element="PlaceType">
        <w:r>
          <w:t>University</w:t>
        </w:r>
      </w:smartTag>
      <w:r>
        <w:t xml:space="preserve"> of British Columbia</w:t>
      </w:r>
      <w:r w:rsidR="00B02CCE">
        <w:t xml:space="preserve"> (jenny.sutherland@ti.ubc.ca)</w:t>
      </w:r>
      <w:r>
        <w:t xml:space="preserve">. Colin Dormuth is assistant professor of Anesthesiology, Pharmacology and Therapeutics at the </w:t>
      </w:r>
      <w:smartTag w:uri="urn:schemas-microsoft-com:office:smarttags" w:element="PlaceType">
        <w:r>
          <w:t>University</w:t>
        </w:r>
      </w:smartTag>
      <w:r>
        <w:t xml:space="preserve"> of British Columbia</w:t>
      </w:r>
      <w:r w:rsidR="00B02CCE">
        <w:t xml:space="preserve"> (colin.dormuth@ti.ubc.ca)</w:t>
      </w:r>
      <w:r>
        <w:t>.</w:t>
      </w:r>
    </w:p>
    <w:p w:rsidR="00505D19" w:rsidRDefault="00505D19" w:rsidP="00CA0C37">
      <w:pPr>
        <w:spacing w:line="480" w:lineRule="auto"/>
      </w:pPr>
    </w:p>
    <w:p w:rsidR="00CA0C37" w:rsidRDefault="00CA0C37" w:rsidP="00CA0C37">
      <w:pPr>
        <w:spacing w:line="480" w:lineRule="auto"/>
      </w:pPr>
      <w:r w:rsidRPr="00702448">
        <w:t xml:space="preserve">5 tables, 1 figure,  </w:t>
      </w:r>
      <w:r w:rsidR="00505D19">
        <w:t>2501</w:t>
      </w:r>
      <w:r w:rsidR="00A6329A" w:rsidRPr="00702448">
        <w:t xml:space="preserve"> </w:t>
      </w:r>
      <w:r w:rsidRPr="00702448">
        <w:t>words</w:t>
      </w:r>
    </w:p>
    <w:p w:rsidR="00CA0C37" w:rsidRDefault="00CA0C37" w:rsidP="00CA0C37">
      <w:pPr>
        <w:spacing w:line="480" w:lineRule="auto"/>
      </w:pPr>
      <w:r>
        <w:t>Competing interests: None declared.</w:t>
      </w:r>
    </w:p>
    <w:p w:rsidR="00CA0C37" w:rsidRDefault="00CA0C37" w:rsidP="00CA0C37">
      <w:pPr>
        <w:autoSpaceDE w:val="0"/>
        <w:autoSpaceDN w:val="0"/>
        <w:adjustRightInd w:val="0"/>
        <w:spacing w:line="480" w:lineRule="auto"/>
      </w:pPr>
      <w:r>
        <w:t xml:space="preserve">Acknowledgement: This work was funded from a 5-year renewable grant to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British Columbia</w:t>
          </w:r>
        </w:smartTag>
      </w:smartTag>
      <w:r>
        <w:t xml:space="preserve"> from the British Columbia Ministry of Health Services.</w:t>
      </w:r>
      <w:r w:rsidR="00505D19">
        <w:t xml:space="preserve"> The funder did not participate in the study.</w:t>
      </w:r>
    </w:p>
    <w:p w:rsidR="00CA0C37" w:rsidRDefault="00CA0C37" w:rsidP="00CA0C37">
      <w:pPr>
        <w:autoSpaceDE w:val="0"/>
        <w:autoSpaceDN w:val="0"/>
        <w:adjustRightInd w:val="0"/>
        <w:spacing w:line="480" w:lineRule="auto"/>
      </w:pPr>
    </w:p>
    <w:p w:rsidR="00CA0C37" w:rsidRDefault="00CA0C37" w:rsidP="00CA0C37">
      <w:pPr>
        <w:autoSpaceDE w:val="0"/>
        <w:autoSpaceDN w:val="0"/>
        <w:adjustRightInd w:val="0"/>
        <w:spacing w:line="480" w:lineRule="auto"/>
        <w:rPr>
          <w:b/>
        </w:rPr>
      </w:pPr>
      <w:r>
        <w:t xml:space="preserve">Corresponding author: Richard </w:t>
      </w:r>
      <w:r w:rsidR="008A4F89">
        <w:t xml:space="preserve">L. </w:t>
      </w:r>
      <w:r>
        <w:t xml:space="preserve">Morrow, Therapeutics Initiative, </w:t>
      </w:r>
      <w:smartTag w:uri="urn:schemas-microsoft-com:office:smarttags" w:element="PlaceType">
        <w:r>
          <w:t>University</w:t>
        </w:r>
      </w:smartTag>
      <w:r>
        <w:t xml:space="preserve"> of </w:t>
      </w:r>
      <w:smartTag w:uri="urn:schemas-microsoft-com:office:smarttags" w:element="PlaceName">
        <w:r>
          <w:t>British Columbia</w:t>
        </w:r>
      </w:smartTag>
      <w:r>
        <w:t xml:space="preserve">, </w:t>
      </w:r>
      <w:smartTag w:uri="urn:schemas-microsoft-com:office:smarttags" w:element="address">
        <w:smartTag w:uri="urn:schemas-microsoft-com:office:smarttags" w:element="Street">
          <w:r>
            <w:t>210-1110 Government St.</w:t>
          </w:r>
        </w:smartTag>
        <w:r>
          <w:t xml:space="preserve">, </w:t>
        </w:r>
        <w:smartTag w:uri="urn:schemas-microsoft-com:office:smarttags" w:element="City">
          <w:r>
            <w:t>Victoria</w:t>
          </w:r>
        </w:smartTag>
        <w:r>
          <w:t xml:space="preserve">, </w:t>
        </w:r>
        <w:smartTag w:uri="urn:schemas-microsoft-com:office:smarttags" w:element="State">
          <w:r>
            <w:t>BC</w:t>
          </w:r>
        </w:smartTag>
      </w:smartTag>
      <w:r>
        <w:t xml:space="preserve">  </w:t>
      </w:r>
      <w:r w:rsidRPr="00C931A8">
        <w:rPr>
          <w:rStyle w:val="postal-code"/>
          <w:color w:val="000000"/>
        </w:rPr>
        <w:t>V8W 1Y2</w:t>
      </w:r>
      <w:r w:rsidRPr="00C931A8">
        <w:rPr>
          <w:color w:val="000000"/>
        </w:rPr>
        <w:t>‎</w:t>
      </w:r>
      <w:r>
        <w:rPr>
          <w:color w:val="000000"/>
        </w:rPr>
        <w:t xml:space="preserve"> </w:t>
      </w:r>
      <w:smartTag w:uri="urn:schemas-microsoft-com:office:smarttags" w:element="place">
        <w:smartTag w:uri="urn:schemas-microsoft-com:office:smarttags" w:element="country-region">
          <w:r>
            <w:rPr>
              <w:color w:val="000000"/>
            </w:rPr>
            <w:t>Canada</w:t>
          </w:r>
        </w:smartTag>
      </w:smartTag>
      <w:r>
        <w:rPr>
          <w:color w:val="000000"/>
        </w:rPr>
        <w:t>. Tele: 250-590-5955, Fax (250-590-5954, email: richard.morrow@ti.ubc.ca</w:t>
      </w:r>
    </w:p>
    <w:p w:rsidR="00CA0C37" w:rsidRDefault="00CA0C37" w:rsidP="00CA0C37">
      <w:pPr>
        <w:spacing w:line="480" w:lineRule="auto"/>
        <w:sectPr w:rsidR="00CA0C37" w:rsidSect="00CA0C37">
          <w:footerReference w:type="even" r:id="rId8"/>
          <w:footerReference w:type="default" r:id="rId9"/>
          <w:endnotePr>
            <w:numFmt w:val="decimal"/>
          </w:endnotePr>
          <w:pgSz w:w="12240" w:h="15840"/>
          <w:pgMar w:top="1440" w:right="1440" w:bottom="1440" w:left="1440" w:header="720" w:footer="720" w:gutter="0"/>
          <w:cols w:space="720"/>
          <w:docGrid w:linePitch="360"/>
        </w:sectPr>
      </w:pPr>
    </w:p>
    <w:p w:rsidR="00CA0C37" w:rsidRPr="007D4A66" w:rsidRDefault="00CA0C37" w:rsidP="00CA0C37">
      <w:pPr>
        <w:spacing w:before="120" w:after="120" w:line="480" w:lineRule="auto"/>
        <w:ind w:firstLine="720"/>
        <w:rPr>
          <w:noProof/>
        </w:rPr>
      </w:pPr>
      <w:r w:rsidRPr="007D4A66">
        <w:lastRenderedPageBreak/>
        <w:t>A meta-analysis by Nissen and Wolski</w:t>
      </w:r>
      <w:r>
        <w:t xml:space="preserve">, published in late May </w:t>
      </w:r>
      <w:r w:rsidRPr="007D4A66">
        <w:t>2007</w:t>
      </w:r>
      <w:r>
        <w:t>,</w:t>
      </w:r>
      <w:r w:rsidRPr="007D4A66">
        <w:t xml:space="preserve"> </w:t>
      </w:r>
      <w:r>
        <w:t>showed that</w:t>
      </w:r>
      <w:r w:rsidRPr="007D4A66">
        <w:t xml:space="preserve"> rosiglitazone increased </w:t>
      </w:r>
      <w:r>
        <w:t xml:space="preserve">the </w:t>
      </w:r>
      <w:r w:rsidRPr="007D4A66">
        <w:t>myocardial infarction</w:t>
      </w:r>
      <w:r w:rsidR="003A093E">
        <w:t xml:space="preserve"> (MI) rate compared to placebo or to other </w:t>
      </w:r>
      <w:r w:rsidR="00703BDA">
        <w:t xml:space="preserve">glucose-lowering medications </w:t>
      </w:r>
      <w:r w:rsidR="005859FF">
        <w:t>[</w:t>
      </w:r>
      <w:r w:rsidRPr="00A95DA0">
        <w:t>1</w:t>
      </w:r>
      <w:r w:rsidR="005859FF">
        <w:t>]</w:t>
      </w:r>
      <w:r>
        <w:t>. The FDA issued a related safety alert on the same day the article was published</w:t>
      </w:r>
      <w:r>
        <w:rPr>
          <w:vertAlign w:val="superscript"/>
        </w:rPr>
        <w:t xml:space="preserve"> </w:t>
      </w:r>
      <w:r w:rsidR="005859FF">
        <w:t>[2]</w:t>
      </w:r>
      <w:r>
        <w:t xml:space="preserve">. On June 1, health professionals in </w:t>
      </w:r>
      <w:smartTag w:uri="urn:schemas-microsoft-com:office:smarttags" w:element="country-region">
        <w:r>
          <w:t>Canada</w:t>
        </w:r>
      </w:smartTag>
      <w:r>
        <w:t xml:space="preserve"> were sent a letter issued by GlaxoSmithKline and reviewed by Health </w:t>
      </w:r>
      <w:smartTag w:uri="urn:schemas-microsoft-com:office:smarttags" w:element="place">
        <w:smartTag w:uri="urn:schemas-microsoft-com:office:smarttags" w:element="country-region">
          <w:r>
            <w:t>Canada</w:t>
          </w:r>
        </w:smartTag>
      </w:smartTag>
      <w:r>
        <w:t xml:space="preserve"> highlighting these harmf</w:t>
      </w:r>
      <w:r w:rsidR="005859FF">
        <w:t>ul effects [3]</w:t>
      </w:r>
      <w:r>
        <w:t xml:space="preserve">. </w:t>
      </w:r>
      <w:r w:rsidR="00450B05">
        <w:t>R</w:t>
      </w:r>
      <w:r w:rsidRPr="007D4A66">
        <w:rPr>
          <w:noProof/>
        </w:rPr>
        <w:t xml:space="preserve">ecently published findings </w:t>
      </w:r>
      <w:r>
        <w:rPr>
          <w:noProof/>
        </w:rPr>
        <w:t>have indicated</w:t>
      </w:r>
      <w:r w:rsidRPr="007D4A66">
        <w:rPr>
          <w:noProof/>
        </w:rPr>
        <w:t xml:space="preserve"> that use of rosiglitazone </w:t>
      </w:r>
      <w:r>
        <w:rPr>
          <w:noProof/>
        </w:rPr>
        <w:t xml:space="preserve">has </w:t>
      </w:r>
      <w:r w:rsidRPr="007D4A66">
        <w:rPr>
          <w:noProof/>
        </w:rPr>
        <w:t xml:space="preserve">declined sharply since the release of </w:t>
      </w:r>
      <w:r>
        <w:rPr>
          <w:noProof/>
        </w:rPr>
        <w:t xml:space="preserve">the </w:t>
      </w:r>
      <w:r w:rsidRPr="007D4A66">
        <w:rPr>
          <w:noProof/>
        </w:rPr>
        <w:t>Nissen and</w:t>
      </w:r>
      <w:r>
        <w:rPr>
          <w:noProof/>
        </w:rPr>
        <w:t xml:space="preserve"> Wolski</w:t>
      </w:r>
      <w:r w:rsidRPr="007D4A66">
        <w:rPr>
          <w:noProof/>
        </w:rPr>
        <w:t xml:space="preserve"> findings</w:t>
      </w:r>
      <w:r>
        <w:rPr>
          <w:noProof/>
        </w:rPr>
        <w:t xml:space="preserve"> </w:t>
      </w:r>
      <w:r w:rsidR="005859FF">
        <w:rPr>
          <w:noProof/>
        </w:rPr>
        <w:t>[</w:t>
      </w:r>
      <w:r w:rsidR="00FF51D7" w:rsidRPr="00FF51D7">
        <w:rPr>
          <w:noProof/>
        </w:rPr>
        <w:t>4-6</w:t>
      </w:r>
      <w:r w:rsidR="005859FF">
        <w:rPr>
          <w:noProof/>
        </w:rPr>
        <w:t>]</w:t>
      </w:r>
      <w:r w:rsidR="00FF51D7">
        <w:rPr>
          <w:noProof/>
        </w:rPr>
        <w:t>.</w:t>
      </w:r>
      <w:r w:rsidRPr="007D4A66">
        <w:rPr>
          <w:noProof/>
        </w:rPr>
        <w:t xml:space="preserve"> A</w:t>
      </w:r>
      <w:r>
        <w:rPr>
          <w:noProof/>
        </w:rPr>
        <w:t>n</w:t>
      </w:r>
      <w:r w:rsidRPr="007D4A66">
        <w:rPr>
          <w:noProof/>
        </w:rPr>
        <w:t xml:space="preserve"> </w:t>
      </w:r>
      <w:r>
        <w:rPr>
          <w:noProof/>
        </w:rPr>
        <w:t>analysis in</w:t>
      </w:r>
      <w:r w:rsidRPr="007D4A66">
        <w:rPr>
          <w:noProof/>
        </w:rPr>
        <w:t xml:space="preserve"> </w:t>
      </w:r>
      <w:smartTag w:uri="urn:schemas-microsoft-com:office:smarttags" w:element="place">
        <w:smartTag w:uri="urn:schemas-microsoft-com:office:smarttags" w:element="State">
          <w:r w:rsidRPr="007D4A66">
            <w:rPr>
              <w:noProof/>
            </w:rPr>
            <w:t>Ontario</w:t>
          </w:r>
        </w:smartTag>
      </w:smartTag>
      <w:r w:rsidRPr="007D4A66">
        <w:rPr>
          <w:noProof/>
        </w:rPr>
        <w:t xml:space="preserve"> seniors found that new use of rosiglitazone </w:t>
      </w:r>
      <w:r>
        <w:rPr>
          <w:noProof/>
        </w:rPr>
        <w:t>dropped abruptly followi</w:t>
      </w:r>
      <w:r w:rsidR="005859FF">
        <w:rPr>
          <w:noProof/>
        </w:rPr>
        <w:t>ng the meta-analysis [4]</w:t>
      </w:r>
      <w:r>
        <w:rPr>
          <w:noProof/>
        </w:rPr>
        <w:t>, while a drug utilization study in a private insurance plan setting</w:t>
      </w:r>
      <w:r w:rsidRPr="007D4A66">
        <w:rPr>
          <w:noProof/>
        </w:rPr>
        <w:t xml:space="preserve"> concluded that </w:t>
      </w:r>
      <w:r>
        <w:rPr>
          <w:noProof/>
        </w:rPr>
        <w:t xml:space="preserve">prevalent </w:t>
      </w:r>
      <w:r w:rsidRPr="007D4A66">
        <w:rPr>
          <w:noProof/>
        </w:rPr>
        <w:t xml:space="preserve">use </w:t>
      </w:r>
      <w:r>
        <w:rPr>
          <w:noProof/>
        </w:rPr>
        <w:t xml:space="preserve">of rosiglitazone </w:t>
      </w:r>
      <w:r w:rsidRPr="007D4A66">
        <w:rPr>
          <w:noProof/>
        </w:rPr>
        <w:t>among</w:t>
      </w:r>
      <w:r>
        <w:rPr>
          <w:noProof/>
        </w:rPr>
        <w:t xml:space="preserve"> members fell by close to h</w:t>
      </w:r>
      <w:r w:rsidR="005859FF">
        <w:rPr>
          <w:noProof/>
        </w:rPr>
        <w:t>alf from May 20 to Dec 7, 2007 [5]</w:t>
      </w:r>
      <w:r>
        <w:rPr>
          <w:noProof/>
        </w:rPr>
        <w:t>.</w:t>
      </w:r>
      <w:r w:rsidRPr="007D4A66">
        <w:rPr>
          <w:noProof/>
        </w:rPr>
        <w:t xml:space="preserve"> The latter study also concluded that the percentage of rosiglitazone users with an elevated risk for a cardiovascular event declined </w:t>
      </w:r>
      <w:r>
        <w:rPr>
          <w:noProof/>
        </w:rPr>
        <w:t xml:space="preserve">during the same period. These studies provided evidence that the meta-analysis affected the use of thiazolidinediones (TZDs) but, importantly, did not analyze patterns of switching from rosiglitazone to other drugs or </w:t>
      </w:r>
      <w:r w:rsidR="004F51A6">
        <w:rPr>
          <w:noProof/>
        </w:rPr>
        <w:t>focus on the</w:t>
      </w:r>
      <w:r>
        <w:rPr>
          <w:noProof/>
        </w:rPr>
        <w:t xml:space="preserve"> wider impacts on prevalent use of other glucose-lowering medications. Our study examined the wider impacts of the Nissen and Wolski meta-analysis including effects on patterns of prevalent and new use of glucose-lowering medications, cessation of TZDs, and switching from rosiglitazone to other medications. We also analyzed predictors of initiation and cessation of rosiglitazone, including micro- and macrovascular </w:t>
      </w:r>
      <w:r w:rsidR="006C31D2">
        <w:rPr>
          <w:noProof/>
        </w:rPr>
        <w:t>comorbidities</w:t>
      </w:r>
      <w:r>
        <w:rPr>
          <w:noProof/>
        </w:rPr>
        <w:t xml:space="preserve">. Our study focused on drug utilization in the Canadian </w:t>
      </w:r>
      <w:smartTag w:uri="urn:schemas-microsoft-com:office:smarttags" w:element="place">
        <w:smartTag w:uri="urn:schemas-microsoft-com:office:smarttags" w:element="PlaceType">
          <w:r>
            <w:rPr>
              <w:noProof/>
            </w:rPr>
            <w:t>province</w:t>
          </w:r>
        </w:smartTag>
        <w:r>
          <w:rPr>
            <w:noProof/>
          </w:rPr>
          <w:t xml:space="preserve"> of </w:t>
        </w:r>
        <w:smartTag w:uri="urn:schemas-microsoft-com:office:smarttags" w:element="PlaceName">
          <w:r>
            <w:rPr>
              <w:noProof/>
            </w:rPr>
            <w:t>British Columbia</w:t>
          </w:r>
        </w:smartTag>
      </w:smartTag>
      <w:r w:rsidR="003E747A">
        <w:rPr>
          <w:noProof/>
        </w:rPr>
        <w:t xml:space="preserve">. TZDs </w:t>
      </w:r>
      <w:r>
        <w:rPr>
          <w:noProof/>
        </w:rPr>
        <w:t xml:space="preserve">were covered by the </w:t>
      </w:r>
      <w:r w:rsidR="003E747A">
        <w:rPr>
          <w:noProof/>
        </w:rPr>
        <w:t>provincial</w:t>
      </w:r>
      <w:r>
        <w:rPr>
          <w:noProof/>
        </w:rPr>
        <w:t xml:space="preserve"> drug plan as third-line therapies under a prior authorization process as of November 7, 2005</w:t>
      </w:r>
      <w:r w:rsidR="003E747A">
        <w:rPr>
          <w:noProof/>
        </w:rPr>
        <w:t>, for rosiglitazone (Avandia) and pioglitazone (Actos) and as of August 2, 2007, for rosiglitazone-metformin (Avandamet)</w:t>
      </w:r>
      <w:r w:rsidR="005859FF">
        <w:rPr>
          <w:noProof/>
        </w:rPr>
        <w:t xml:space="preserve"> [</w:t>
      </w:r>
      <w:r w:rsidR="00B8061F">
        <w:rPr>
          <w:noProof/>
        </w:rPr>
        <w:t>7-8</w:t>
      </w:r>
      <w:r w:rsidR="005859FF">
        <w:rPr>
          <w:noProof/>
        </w:rPr>
        <w:t>]</w:t>
      </w:r>
      <w:r>
        <w:rPr>
          <w:noProof/>
        </w:rPr>
        <w:t xml:space="preserve">. Prior to </w:t>
      </w:r>
      <w:r w:rsidR="003E747A">
        <w:rPr>
          <w:noProof/>
        </w:rPr>
        <w:t>these coverage policies</w:t>
      </w:r>
      <w:r>
        <w:rPr>
          <w:noProof/>
        </w:rPr>
        <w:t xml:space="preserve">, TZDs were available but not covered by the public drug plan. In this paper, </w:t>
      </w:r>
      <w:r>
        <w:rPr>
          <w:noProof/>
        </w:rPr>
        <w:lastRenderedPageBreak/>
        <w:t>we describe</w:t>
      </w:r>
      <w:r w:rsidRPr="007D4A66">
        <w:rPr>
          <w:noProof/>
        </w:rPr>
        <w:t xml:space="preserve"> </w:t>
      </w:r>
      <w:r>
        <w:rPr>
          <w:noProof/>
        </w:rPr>
        <w:t>the impact of the meta-analysis on glucose-lowering drug utilization and provide an analysis of factors influencing rosiglitazone utilization over time.</w:t>
      </w:r>
    </w:p>
    <w:p w:rsidR="00CA0C37" w:rsidRPr="00647A4B" w:rsidRDefault="00CA0C37" w:rsidP="00CA0C37">
      <w:pPr>
        <w:spacing w:line="480" w:lineRule="auto"/>
        <w:rPr>
          <w:rFonts w:ascii="Arial" w:hAnsi="Arial" w:cs="Arial"/>
          <w:b/>
          <w:sz w:val="28"/>
          <w:szCs w:val="28"/>
        </w:rPr>
      </w:pPr>
      <w:r w:rsidRPr="00647A4B">
        <w:rPr>
          <w:rFonts w:ascii="Arial" w:hAnsi="Arial" w:cs="Arial"/>
          <w:b/>
          <w:sz w:val="28"/>
          <w:szCs w:val="28"/>
        </w:rPr>
        <w:t>Methods</w:t>
      </w:r>
    </w:p>
    <w:p w:rsidR="00CA0C37" w:rsidRPr="00FA6C96" w:rsidRDefault="00CA0C37" w:rsidP="00CA0C37">
      <w:pPr>
        <w:spacing w:before="120" w:after="120" w:line="480" w:lineRule="auto"/>
        <w:rPr>
          <w:b/>
        </w:rPr>
      </w:pPr>
      <w:r w:rsidRPr="00647A4B">
        <w:rPr>
          <w:b/>
        </w:rPr>
        <w:t>Study population</w:t>
      </w:r>
    </w:p>
    <w:p w:rsidR="00CA0C37" w:rsidRDefault="00CA0C37" w:rsidP="00CA0C37">
      <w:pPr>
        <w:spacing w:before="120" w:after="120" w:line="480" w:lineRule="auto"/>
        <w:ind w:firstLine="720"/>
      </w:pPr>
      <w:r>
        <w:t>We used linked data from provincial administrative health databases for prescription drugs</w:t>
      </w:r>
      <w:r w:rsidRPr="007D4A66">
        <w:t xml:space="preserve"> (</w:t>
      </w:r>
      <w:proofErr w:type="spellStart"/>
      <w:r w:rsidRPr="007D4A66">
        <w:t>PharmaNet</w:t>
      </w:r>
      <w:proofErr w:type="spellEnd"/>
      <w:r w:rsidRPr="007D4A66">
        <w:t xml:space="preserve">), </w:t>
      </w:r>
      <w:r>
        <w:t>physician services (Medical Services Plan</w:t>
      </w:r>
      <w:r w:rsidR="00A80006">
        <w:t xml:space="preserve"> or MSP</w:t>
      </w:r>
      <w:r>
        <w:t>),</w:t>
      </w:r>
      <w:r w:rsidRPr="007D4A66">
        <w:t xml:space="preserve"> and hospitalization</w:t>
      </w:r>
      <w:r>
        <w:t>s</w:t>
      </w:r>
      <w:r w:rsidRPr="007D4A66">
        <w:t xml:space="preserve"> (Discha</w:t>
      </w:r>
      <w:r>
        <w:t>rge Abstracts Database).</w:t>
      </w:r>
      <w:r>
        <w:rPr>
          <w:b/>
        </w:rPr>
        <w:t xml:space="preserve"> </w:t>
      </w:r>
      <w:proofErr w:type="spellStart"/>
      <w:r>
        <w:t>PharmaNet</w:t>
      </w:r>
      <w:proofErr w:type="spellEnd"/>
      <w:r>
        <w:t xml:space="preserve"> contains records of all </w:t>
      </w:r>
      <w:proofErr w:type="spellStart"/>
      <w:r>
        <w:t>dispensings</w:t>
      </w:r>
      <w:proofErr w:type="spellEnd"/>
      <w:r>
        <w:t xml:space="preserve"> at community pharmacies in British Columbia (BC), and rates of underreporting and misclassification wo</w:t>
      </w:r>
      <w:r w:rsidR="005859FF">
        <w:t>uld be expected to be minimal [</w:t>
      </w:r>
      <w:r w:rsidR="00B8061F">
        <w:t>9</w:t>
      </w:r>
      <w:r w:rsidR="005859FF">
        <w:t>]</w:t>
      </w:r>
      <w:r>
        <w:t>. Similarly, physician services and hospitalizations data would be expected to be reliable based on studies comparing patient charts with a</w:t>
      </w:r>
      <w:r w:rsidR="000C6B7B">
        <w:t xml:space="preserve">dministrative data in </w:t>
      </w:r>
      <w:smartTag w:uri="urn:schemas-microsoft-com:office:smarttags" w:element="place">
        <w:smartTag w:uri="urn:schemas-microsoft-com:office:smarttags" w:element="country-region">
          <w:r w:rsidR="000C6B7B">
            <w:t>Canada</w:t>
          </w:r>
        </w:smartTag>
      </w:smartTag>
      <w:r w:rsidR="005859FF">
        <w:t xml:space="preserve"> [</w:t>
      </w:r>
      <w:r w:rsidR="00B8061F">
        <w:t>10-11</w:t>
      </w:r>
      <w:r w:rsidR="005859FF">
        <w:t>]</w:t>
      </w:r>
      <w:r>
        <w:t xml:space="preserve">. Our study included BC residents </w:t>
      </w:r>
      <w:r w:rsidR="0086599E">
        <w:t xml:space="preserve">of any age </w:t>
      </w:r>
      <w:r>
        <w:t xml:space="preserve">(approximately 4.3 million in 2007). We </w:t>
      </w:r>
      <w:r w:rsidRPr="007D4A66">
        <w:t>restrict</w:t>
      </w:r>
      <w:r>
        <w:t>ed</w:t>
      </w:r>
      <w:r w:rsidRPr="007D4A66">
        <w:t xml:space="preserve"> the sample to those who were </w:t>
      </w:r>
      <w:r>
        <w:t>registered</w:t>
      </w:r>
      <w:r w:rsidRPr="007D4A66">
        <w:t xml:space="preserve"> </w:t>
      </w:r>
      <w:r>
        <w:t>under</w:t>
      </w:r>
      <w:r w:rsidRPr="007D4A66">
        <w:t xml:space="preserve"> </w:t>
      </w:r>
      <w:r>
        <w:t xml:space="preserve">MSP </w:t>
      </w:r>
      <w:r w:rsidRPr="007D4A66">
        <w:t>to ensure exclusion of non-residents.</w:t>
      </w:r>
      <w:r>
        <w:t xml:space="preserve"> </w:t>
      </w:r>
      <w:r w:rsidRPr="007D4A66">
        <w:t xml:space="preserve">In our </w:t>
      </w:r>
      <w:r>
        <w:t>analysis of predictors of rosiglitazone initiation and cessation</w:t>
      </w:r>
      <w:r w:rsidRPr="007D4A66">
        <w:t xml:space="preserve">, we further limited our sample to those registered in the provincial income-based </w:t>
      </w:r>
      <w:r>
        <w:t xml:space="preserve">prescription </w:t>
      </w:r>
      <w:r w:rsidRPr="007D4A66">
        <w:t>drug plan (Fair PharmaCare)</w:t>
      </w:r>
      <w:r>
        <w:t xml:space="preserve"> to ensure we had detailed data on income on all study subjects</w:t>
      </w:r>
      <w:r w:rsidRPr="007D4A66">
        <w:t>.</w:t>
      </w:r>
      <w:r>
        <w:t xml:space="preserve"> T</w:t>
      </w:r>
      <w:r w:rsidRPr="007D4A66">
        <w:t xml:space="preserve">he study </w:t>
      </w:r>
      <w:r>
        <w:t xml:space="preserve">covered a </w:t>
      </w:r>
      <w:r w:rsidRPr="007D4A66">
        <w:t xml:space="preserve">36-month period from December 2004 to November 2007, including 29 months prior to the publication of the </w:t>
      </w:r>
      <w:r>
        <w:t xml:space="preserve">Nissen and Wolski </w:t>
      </w:r>
      <w:r w:rsidRPr="007D4A66">
        <w:t>meta-analysis</w:t>
      </w:r>
      <w:r>
        <w:t xml:space="preserve"> of rosiglitazone</w:t>
      </w:r>
      <w:r w:rsidRPr="007D4A66">
        <w:t xml:space="preserve">, a transition month </w:t>
      </w:r>
      <w:r>
        <w:t>during which</w:t>
      </w:r>
      <w:r w:rsidRPr="007D4A66">
        <w:t xml:space="preserve"> study </w:t>
      </w:r>
      <w:r>
        <w:t xml:space="preserve">was published online </w:t>
      </w:r>
      <w:r w:rsidRPr="007D4A66">
        <w:t>and six months afterwards.</w:t>
      </w:r>
      <w:r w:rsidR="00F033E2">
        <w:t xml:space="preserve"> Statistical analyses were performed using SAS version 9.1 (SAS Institute, Inc., Cary, North Carolina).</w:t>
      </w:r>
    </w:p>
    <w:p w:rsidR="00CA0C37" w:rsidRPr="00647A4B" w:rsidRDefault="00CA0C37" w:rsidP="00CA0C37">
      <w:pPr>
        <w:spacing w:before="120" w:after="120" w:line="480" w:lineRule="auto"/>
        <w:rPr>
          <w:b/>
        </w:rPr>
      </w:pPr>
      <w:r>
        <w:rPr>
          <w:b/>
        </w:rPr>
        <w:t>Definitions</w:t>
      </w:r>
      <w:r w:rsidRPr="00647A4B">
        <w:rPr>
          <w:b/>
        </w:rPr>
        <w:t xml:space="preserve"> of treatment cessation, initiation and switching</w:t>
      </w:r>
    </w:p>
    <w:p w:rsidR="00CA0C37" w:rsidRPr="007D4A66" w:rsidRDefault="00CA0C37" w:rsidP="00CA0C37">
      <w:pPr>
        <w:spacing w:before="120" w:after="120" w:line="480" w:lineRule="auto"/>
        <w:ind w:firstLine="720"/>
      </w:pPr>
      <w:r>
        <w:t>Patients with</w:t>
      </w:r>
      <w:r w:rsidRPr="007D4A66">
        <w:t xml:space="preserve"> one or more days’ supply of a drug falling within a given month</w:t>
      </w:r>
      <w:r>
        <w:t xml:space="preserve"> were considered to be ‘prevalent users’ of a drug</w:t>
      </w:r>
      <w:r w:rsidRPr="007D4A66">
        <w:t xml:space="preserve">. </w:t>
      </w:r>
      <w:r>
        <w:t>P</w:t>
      </w:r>
      <w:r w:rsidRPr="007D4A66">
        <w:t xml:space="preserve">atients were defined as ‘stoppers’ </w:t>
      </w:r>
      <w:r>
        <w:t>for</w:t>
      </w:r>
      <w:r w:rsidRPr="007D4A66">
        <w:t xml:space="preserve"> a given month if </w:t>
      </w:r>
      <w:r>
        <w:t>their current days</w:t>
      </w:r>
      <w:r w:rsidR="00A80006">
        <w:t>’</w:t>
      </w:r>
      <w:r>
        <w:t xml:space="preserve"> supply of a drug was set to expire during that month and </w:t>
      </w:r>
      <w:r w:rsidRPr="007D4A66">
        <w:t xml:space="preserve">they did not </w:t>
      </w:r>
      <w:r>
        <w:lastRenderedPageBreak/>
        <w:t>fill another</w:t>
      </w:r>
      <w:r w:rsidRPr="007D4A66">
        <w:t xml:space="preserve"> prescription for the same drug within 90 days of the end of their current days</w:t>
      </w:r>
      <w:r w:rsidR="005C5CDD">
        <w:t>’</w:t>
      </w:r>
      <w:r w:rsidRPr="007D4A66">
        <w:t xml:space="preserve"> supply</w:t>
      </w:r>
      <w:r w:rsidR="005859FF">
        <w:t xml:space="preserve"> [</w:t>
      </w:r>
      <w:r w:rsidR="00B8061F">
        <w:t>9, 12</w:t>
      </w:r>
      <w:r w:rsidR="000C6B7B">
        <w:t>-1</w:t>
      </w:r>
      <w:r w:rsidR="00B8061F">
        <w:t>4</w:t>
      </w:r>
      <w:r w:rsidR="005859FF">
        <w:t>]</w:t>
      </w:r>
      <w:r>
        <w:t xml:space="preserve">. </w:t>
      </w:r>
      <w:r w:rsidRPr="007D4A66">
        <w:t>Patients were defined as ‘starters’ if they were dispensed a drug in the current month but had not been dispensed that drug in the</w:t>
      </w:r>
      <w:r w:rsidR="005C5CDD">
        <w:t xml:space="preserve"> previous</w:t>
      </w:r>
      <w:r w:rsidRPr="007D4A66">
        <w:t xml:space="preserve"> 365 days. </w:t>
      </w:r>
      <w:r w:rsidR="005C5CDD">
        <w:t>P</w:t>
      </w:r>
      <w:r w:rsidRPr="007D4A66">
        <w:t xml:space="preserve">atients were considered ‘switchers’ if they were dispensed a new </w:t>
      </w:r>
      <w:r>
        <w:t>glucose-lowering</w:t>
      </w:r>
      <w:r w:rsidRPr="007D4A66">
        <w:t xml:space="preserve"> therapy within 30 days of stopping rosiglitazone or </w:t>
      </w:r>
      <w:proofErr w:type="spellStart"/>
      <w:r>
        <w:t>Avandamet</w:t>
      </w:r>
      <w:proofErr w:type="spellEnd"/>
      <w:r>
        <w:t xml:space="preserve"> </w:t>
      </w:r>
      <w:r w:rsidR="005859FF">
        <w:t>[</w:t>
      </w:r>
      <w:r w:rsidR="00B8061F">
        <w:t>12-14</w:t>
      </w:r>
      <w:r w:rsidR="005859FF">
        <w:t>]</w:t>
      </w:r>
      <w:r>
        <w:t>.</w:t>
      </w:r>
    </w:p>
    <w:p w:rsidR="00CA0C37" w:rsidRPr="00647A4B" w:rsidRDefault="00CA0C37" w:rsidP="00CA0C37">
      <w:pPr>
        <w:spacing w:before="120" w:after="120" w:line="480" w:lineRule="auto"/>
        <w:rPr>
          <w:b/>
        </w:rPr>
      </w:pPr>
      <w:r>
        <w:rPr>
          <w:b/>
        </w:rPr>
        <w:t>Interrupted time series analysis</w:t>
      </w:r>
    </w:p>
    <w:p w:rsidR="00CA0C37" w:rsidRPr="007D4A66" w:rsidRDefault="00CA0C37" w:rsidP="00CA0C37">
      <w:pPr>
        <w:spacing w:before="120" w:after="120" w:line="480" w:lineRule="auto"/>
        <w:ind w:firstLine="720"/>
      </w:pPr>
      <w:r w:rsidRPr="007D4A66">
        <w:t xml:space="preserve">Monthly rates for </w:t>
      </w:r>
      <w:r>
        <w:t xml:space="preserve">prevalence of treatment, </w:t>
      </w:r>
      <w:r w:rsidRPr="007D4A66">
        <w:t>treatment initiatio</w:t>
      </w:r>
      <w:r>
        <w:t xml:space="preserve">n, </w:t>
      </w:r>
      <w:r w:rsidRPr="007D4A66">
        <w:t xml:space="preserve">treatment cessation, </w:t>
      </w:r>
      <w:r>
        <w:t xml:space="preserve">and treatment switching </w:t>
      </w:r>
      <w:r w:rsidRPr="007D4A66">
        <w:t xml:space="preserve">were calculated for each month during the 36-month study period. </w:t>
      </w:r>
      <w:r>
        <w:t xml:space="preserve">For each outcome, monthly rates </w:t>
      </w:r>
      <w:r w:rsidRPr="007D4A66">
        <w:t xml:space="preserve">were </w:t>
      </w:r>
      <w:r>
        <w:t xml:space="preserve">defined as the number of patients per 100,000 </w:t>
      </w:r>
      <w:r w:rsidRPr="007D4A66">
        <w:t>patients registered</w:t>
      </w:r>
      <w:r>
        <w:t xml:space="preserve"> for medical coverage</w:t>
      </w:r>
      <w:r w:rsidRPr="007D4A66">
        <w:t xml:space="preserve"> in MSP</w:t>
      </w:r>
      <w:r>
        <w:t xml:space="preserve"> (for prevalent use or initiation) or patients  per 100 users of a medication (for switching and cessation).</w:t>
      </w:r>
    </w:p>
    <w:p w:rsidR="00CA0C37" w:rsidRPr="007D4A66" w:rsidRDefault="00CA0C37" w:rsidP="00CA0C37">
      <w:pPr>
        <w:spacing w:before="120" w:after="120" w:line="480" w:lineRule="auto"/>
        <w:ind w:firstLine="720"/>
      </w:pPr>
      <w:r w:rsidRPr="007D4A66">
        <w:t>An interrupted time series</w:t>
      </w:r>
      <w:r>
        <w:t xml:space="preserve"> linear regression</w:t>
      </w:r>
      <w:r w:rsidRPr="007D4A66">
        <w:t xml:space="preserve"> model</w:t>
      </w:r>
      <w:r w:rsidR="005859FF">
        <w:t xml:space="preserve"> [</w:t>
      </w:r>
      <w:r w:rsidR="00B8061F">
        <w:t>15-16</w:t>
      </w:r>
      <w:r w:rsidR="005859FF">
        <w:t>]</w:t>
      </w:r>
      <w:r w:rsidRPr="00492521">
        <w:rPr>
          <w:vertAlign w:val="superscript"/>
        </w:rPr>
        <w:t xml:space="preserve"> </w:t>
      </w:r>
      <w:r w:rsidRPr="007D4A66">
        <w:t>was used to test for changes in</w:t>
      </w:r>
      <w:r>
        <w:t xml:space="preserve"> these</w:t>
      </w:r>
      <w:r w:rsidRPr="007D4A66">
        <w:t xml:space="preserve"> </w:t>
      </w:r>
      <w:r>
        <w:t>monthly rates for rosiglitazone</w:t>
      </w:r>
      <w:r w:rsidRPr="007D4A66">
        <w:t xml:space="preserve">, </w:t>
      </w:r>
      <w:proofErr w:type="spellStart"/>
      <w:r>
        <w:t>Avandamet</w:t>
      </w:r>
      <w:proofErr w:type="spellEnd"/>
      <w:r w:rsidRPr="007D4A66">
        <w:t>, pioglitazone, all TZDs</w:t>
      </w:r>
      <w:r>
        <w:t xml:space="preserve">, insulin, </w:t>
      </w:r>
      <w:proofErr w:type="spellStart"/>
      <w:r>
        <w:t>metformin</w:t>
      </w:r>
      <w:proofErr w:type="spellEnd"/>
      <w:r>
        <w:t>,</w:t>
      </w:r>
      <w:r w:rsidRPr="007D4A66">
        <w:t xml:space="preserve"> sulfonylureas</w:t>
      </w:r>
      <w:r>
        <w:t xml:space="preserve">, </w:t>
      </w:r>
      <w:proofErr w:type="spellStart"/>
      <w:r w:rsidR="00963CD1">
        <w:t>acarbose</w:t>
      </w:r>
      <w:proofErr w:type="spellEnd"/>
      <w:r w:rsidR="00963CD1">
        <w:t xml:space="preserve"> and </w:t>
      </w:r>
      <w:proofErr w:type="spellStart"/>
      <w:r w:rsidR="00963CD1">
        <w:t>repaglini</w:t>
      </w:r>
      <w:r>
        <w:t>de</w:t>
      </w:r>
      <w:proofErr w:type="spellEnd"/>
      <w:r w:rsidRPr="007D4A66">
        <w:t>.</w:t>
      </w:r>
      <w:r>
        <w:t xml:space="preserve"> </w:t>
      </w:r>
      <w:r w:rsidRPr="007D4A66">
        <w:t>The model</w:t>
      </w:r>
      <w:r>
        <w:t xml:space="preserve">s </w:t>
      </w:r>
      <w:r w:rsidRPr="007D4A66">
        <w:t xml:space="preserve">included an intercept, a linear trend variable, </w:t>
      </w:r>
      <w:r w:rsidR="00EF7A65">
        <w:t xml:space="preserve">a </w:t>
      </w:r>
      <w:r w:rsidRPr="007D4A66">
        <w:t xml:space="preserve">binary indicator for the ‘transition’ month when </w:t>
      </w:r>
      <w:r w:rsidR="00EF7A65">
        <w:t>the meta-analysis</w:t>
      </w:r>
      <w:r w:rsidRPr="007D4A66">
        <w:t xml:space="preserve"> was published online</w:t>
      </w:r>
      <w:r w:rsidR="00EF7A65">
        <w:t xml:space="preserve"> (May 2007)</w:t>
      </w:r>
      <w:r w:rsidRPr="007D4A66">
        <w:t xml:space="preserve">, </w:t>
      </w:r>
      <w:r w:rsidR="00EF7A65" w:rsidRPr="007D4A66">
        <w:t xml:space="preserve">level and trend variables for the period after the meta-analysis </w:t>
      </w:r>
      <w:r w:rsidR="00EF7A65">
        <w:t>(June – November 2007),</w:t>
      </w:r>
      <w:r w:rsidR="00EF7A65" w:rsidRPr="007D4A66">
        <w:t xml:space="preserve"> </w:t>
      </w:r>
      <w:r w:rsidRPr="007D4A66">
        <w:t xml:space="preserve">level and trend variables to indicate the period after the TZD </w:t>
      </w:r>
      <w:r>
        <w:t>prior authorization</w:t>
      </w:r>
      <w:r w:rsidRPr="007D4A66">
        <w:t xml:space="preserve"> policy was introduced</w:t>
      </w:r>
      <w:r w:rsidR="00EF7A65">
        <w:t xml:space="preserve"> (November 2005 – November 2007)</w:t>
      </w:r>
      <w:r w:rsidRPr="007D4A66">
        <w:t xml:space="preserve">, and </w:t>
      </w:r>
      <w:r>
        <w:t>monthly indicators</w:t>
      </w:r>
      <w:r w:rsidRPr="007D4A66">
        <w:t xml:space="preserve"> to control for seasonal variation.</w:t>
      </w:r>
      <w:r>
        <w:t xml:space="preserve"> Based on trends in prevalent use prior to the Nissen and Wolski meta-analysis, this model was also used to estimate the ‘predicted’ number of prevalent users of each glucose-lowering drug in the absence of the meta-analysis for comparison to observed prevalence figures for November 2007. We tested regression models for autocorrelation and </w:t>
      </w:r>
      <w:r>
        <w:lastRenderedPageBreak/>
        <w:t xml:space="preserve">assumed </w:t>
      </w:r>
      <w:proofErr w:type="spellStart"/>
      <w:r>
        <w:t>autocorrelated</w:t>
      </w:r>
      <w:proofErr w:type="spellEnd"/>
      <w:r>
        <w:t xml:space="preserve"> covariance structures with 1-month lag periods in cases where a Durbin-Watson test indicated </w:t>
      </w:r>
      <w:proofErr w:type="spellStart"/>
      <w:r>
        <w:t>autocorrelated</w:t>
      </w:r>
      <w:proofErr w:type="spellEnd"/>
      <w:r>
        <w:t xml:space="preserve"> data.</w:t>
      </w:r>
    </w:p>
    <w:p w:rsidR="00CA0C37" w:rsidRPr="00647A4B" w:rsidRDefault="00CA0C37" w:rsidP="00CA0C37">
      <w:pPr>
        <w:spacing w:before="120" w:after="120" w:line="480" w:lineRule="auto"/>
        <w:rPr>
          <w:b/>
        </w:rPr>
      </w:pPr>
      <w:r>
        <w:rPr>
          <w:b/>
        </w:rPr>
        <w:t>Analysis of pr</w:t>
      </w:r>
      <w:r w:rsidRPr="00647A4B">
        <w:rPr>
          <w:b/>
        </w:rPr>
        <w:t xml:space="preserve">edictors of </w:t>
      </w:r>
      <w:r>
        <w:rPr>
          <w:b/>
        </w:rPr>
        <w:t>rosiglitazone</w:t>
      </w:r>
      <w:r w:rsidRPr="00647A4B">
        <w:rPr>
          <w:b/>
        </w:rPr>
        <w:t xml:space="preserve"> initiation and cessation</w:t>
      </w:r>
    </w:p>
    <w:p w:rsidR="00CA0C37" w:rsidRPr="007D4A66" w:rsidRDefault="00CA0C37" w:rsidP="00CA0C37">
      <w:pPr>
        <w:spacing w:before="120" w:after="120" w:line="480" w:lineRule="auto"/>
        <w:ind w:firstLine="720"/>
      </w:pPr>
      <w:r>
        <w:t>Thirty-six monthly cohorts were created for both the rosiglitazone initiation and cessation analyses. Patients were included in a</w:t>
      </w:r>
      <w:r w:rsidRPr="007D4A66">
        <w:t xml:space="preserve"> monthly cohort </w:t>
      </w:r>
      <w:r>
        <w:t xml:space="preserve">for the initiation analysis </w:t>
      </w:r>
      <w:r w:rsidRPr="007D4A66">
        <w:t xml:space="preserve">if they had received a diagnosis for diabetes </w:t>
      </w:r>
      <w:r w:rsidR="00CC4705">
        <w:t xml:space="preserve">at a physician visit </w:t>
      </w:r>
      <w:r w:rsidRPr="007D4A66">
        <w:t>in the 12 months prior to the current month (an ICD-9 code</w:t>
      </w:r>
      <w:r>
        <w:t xml:space="preserve"> </w:t>
      </w:r>
      <w:r w:rsidRPr="007D4A66">
        <w:t xml:space="preserve">of ‘250’ </w:t>
      </w:r>
      <w:r w:rsidR="005859FF">
        <w:t>[</w:t>
      </w:r>
      <w:r w:rsidR="00B8061F">
        <w:t>17</w:t>
      </w:r>
      <w:r w:rsidR="005859FF">
        <w:t>]</w:t>
      </w:r>
      <w:r w:rsidRPr="007D4A66">
        <w:t xml:space="preserve"> or a </w:t>
      </w:r>
      <w:r>
        <w:t>complex care</w:t>
      </w:r>
      <w:r w:rsidRPr="007D4A66">
        <w:t xml:space="preserve"> code</w:t>
      </w:r>
      <w:r>
        <w:rPr>
          <w:vertAlign w:val="superscript"/>
        </w:rPr>
        <w:t xml:space="preserve"> </w:t>
      </w:r>
      <w:r w:rsidR="005859FF">
        <w:t>[</w:t>
      </w:r>
      <w:r w:rsidR="00B8061F">
        <w:t>18</w:t>
      </w:r>
      <w:r w:rsidR="005859FF">
        <w:t>]</w:t>
      </w:r>
      <w:r w:rsidRPr="007D4A66">
        <w:t xml:space="preserve"> created by the BC ministry of health </w:t>
      </w:r>
      <w:r w:rsidR="00464E7E">
        <w:t xml:space="preserve">services </w:t>
      </w:r>
      <w:r w:rsidRPr="007D4A66">
        <w:t xml:space="preserve">specifying </w:t>
      </w:r>
      <w:r>
        <w:t>a diagnosis including diabetes</w:t>
      </w:r>
      <w:r w:rsidRPr="007D4A66">
        <w:t xml:space="preserve">). To be included in </w:t>
      </w:r>
      <w:r>
        <w:t>a monthly cohort for the cessation analysis</w:t>
      </w:r>
      <w:r w:rsidRPr="007D4A66">
        <w:t xml:space="preserve">, a patient must have been dispensed a </w:t>
      </w:r>
      <w:r>
        <w:t xml:space="preserve">rosiglitazone or </w:t>
      </w:r>
      <w:proofErr w:type="spellStart"/>
      <w:r>
        <w:t>Avandamet</w:t>
      </w:r>
      <w:proofErr w:type="spellEnd"/>
      <w:r>
        <w:t xml:space="preserve"> prescription</w:t>
      </w:r>
      <w:r w:rsidRPr="007D4A66">
        <w:t xml:space="preserve"> </w:t>
      </w:r>
      <w:r>
        <w:t>for which the days’ supply would end</w:t>
      </w:r>
      <w:r w:rsidRPr="007D4A66">
        <w:t xml:space="preserve"> </w:t>
      </w:r>
      <w:r>
        <w:t xml:space="preserve">during the </w:t>
      </w:r>
      <w:r w:rsidRPr="007D4A66">
        <w:t>current month</w:t>
      </w:r>
      <w:r>
        <w:t xml:space="preserve"> in the absence of a renewal</w:t>
      </w:r>
      <w:r w:rsidRPr="007D4A66">
        <w:t xml:space="preserve">. </w:t>
      </w:r>
    </w:p>
    <w:p w:rsidR="00CA0C37" w:rsidRPr="007D4A66" w:rsidRDefault="00CA0C37" w:rsidP="00CA0C37">
      <w:pPr>
        <w:spacing w:before="120" w:after="120" w:line="480" w:lineRule="auto"/>
        <w:ind w:firstLine="720"/>
      </w:pPr>
      <w:r>
        <w:t xml:space="preserve">We </w:t>
      </w:r>
      <w:r w:rsidRPr="007D4A66">
        <w:t>test</w:t>
      </w:r>
      <w:r>
        <w:t>ed</w:t>
      </w:r>
      <w:r w:rsidRPr="007D4A66">
        <w:t xml:space="preserve"> factors hypothesized to predict initiation or cessation of </w:t>
      </w:r>
      <w:r>
        <w:t>rosiglitazone</w:t>
      </w:r>
      <w:r w:rsidRPr="007D4A66">
        <w:t xml:space="preserve"> </w:t>
      </w:r>
      <w:r>
        <w:t xml:space="preserve">or </w:t>
      </w:r>
      <w:proofErr w:type="spellStart"/>
      <w:r>
        <w:t>Avanda</w:t>
      </w:r>
      <w:r w:rsidR="000C6B7B">
        <w:t>met</w:t>
      </w:r>
      <w:proofErr w:type="spellEnd"/>
      <w:r w:rsidR="000C6B7B">
        <w:t xml:space="preserve"> using</w:t>
      </w:r>
      <w:r w:rsidR="005859FF">
        <w:t xml:space="preserve"> logistic regression [</w:t>
      </w:r>
      <w:r w:rsidR="00B8061F">
        <w:t>9</w:t>
      </w:r>
      <w:r>
        <w:t>,</w:t>
      </w:r>
      <w:r w:rsidR="00B8061F">
        <w:t xml:space="preserve"> 13</w:t>
      </w:r>
      <w:r w:rsidR="005859FF">
        <w:t>]</w:t>
      </w:r>
      <w:r w:rsidRPr="007D4A66">
        <w:t xml:space="preserve">. </w:t>
      </w:r>
      <w:r>
        <w:t xml:space="preserve">The method of generalized estimating equations (GEEs) was used to adjust for correlations within subjects </w:t>
      </w:r>
      <w:r w:rsidR="005859FF">
        <w:t>across repeated observations [</w:t>
      </w:r>
      <w:r w:rsidR="00B8061F">
        <w:t>19-22</w:t>
      </w:r>
      <w:r w:rsidR="005859FF">
        <w:t>]</w:t>
      </w:r>
      <w:r>
        <w:t xml:space="preserve">.  The GEEs assumed a binomial distribution of the dependent variable and an autoregressive (AR1) correlation structure. </w:t>
      </w:r>
      <w:r w:rsidRPr="007D4A66">
        <w:t>Two regressions were used, one for the starters analysis and one for the stoppers analysis.</w:t>
      </w:r>
      <w:r>
        <w:t xml:space="preserve"> </w:t>
      </w:r>
    </w:p>
    <w:p w:rsidR="00CA0C37" w:rsidRDefault="00CA0C37" w:rsidP="00062434">
      <w:pPr>
        <w:spacing w:before="120" w:after="120" w:line="480" w:lineRule="auto"/>
        <w:ind w:firstLine="720"/>
      </w:pPr>
      <w:r>
        <w:t>The GEEs</w:t>
      </w:r>
      <w:r w:rsidRPr="007D4A66">
        <w:t xml:space="preserve"> included </w:t>
      </w:r>
      <w:r>
        <w:t xml:space="preserve">a term for a linear time trend, binary indicators for a transition period (May 2007) and the period following the meta-analysis, and a binary indicator for the period of BC </w:t>
      </w:r>
      <w:proofErr w:type="spellStart"/>
      <w:r>
        <w:t>Pharmacare</w:t>
      </w:r>
      <w:proofErr w:type="spellEnd"/>
      <w:r>
        <w:t xml:space="preserve"> coverage for TZDs. Patient characteristics were included as binary indicators for sex, age category, income level, Romano co-morbidity score level, presence of </w:t>
      </w:r>
      <w:proofErr w:type="spellStart"/>
      <w:r w:rsidR="006C31D2">
        <w:t>comorbidities</w:t>
      </w:r>
      <w:proofErr w:type="spellEnd"/>
      <w:r>
        <w:t xml:space="preserve"> (macrovascular or </w:t>
      </w:r>
      <w:proofErr w:type="spellStart"/>
      <w:r>
        <w:t>microvascular</w:t>
      </w:r>
      <w:proofErr w:type="spellEnd"/>
      <w:r>
        <w:t xml:space="preserve"> </w:t>
      </w:r>
      <w:proofErr w:type="spellStart"/>
      <w:r w:rsidR="006C31D2">
        <w:t>comorbidities</w:t>
      </w:r>
      <w:proofErr w:type="spellEnd"/>
      <w:r>
        <w:t xml:space="preserve"> or hypertension), and insulin dependence (defined as &gt;= 2 insulin prescriptions in the previous 6 months). Romano </w:t>
      </w:r>
      <w:proofErr w:type="spellStart"/>
      <w:r>
        <w:t>comorbidity</w:t>
      </w:r>
      <w:proofErr w:type="spellEnd"/>
      <w:r>
        <w:t xml:space="preserve"> scores </w:t>
      </w:r>
      <w:r w:rsidR="003422CF">
        <w:t xml:space="preserve">were included to adjust for confounding from </w:t>
      </w:r>
      <w:proofErr w:type="spellStart"/>
      <w:r w:rsidR="006C31D2">
        <w:t>comorbidities</w:t>
      </w:r>
      <w:proofErr w:type="spellEnd"/>
      <w:r w:rsidR="003422CF">
        <w:t xml:space="preserve"> </w:t>
      </w:r>
      <w:r w:rsidR="005859FF">
        <w:t>[</w:t>
      </w:r>
      <w:r w:rsidR="00B8061F">
        <w:t>9, 23</w:t>
      </w:r>
      <w:r w:rsidR="005859FF">
        <w:t>]</w:t>
      </w:r>
      <w:r w:rsidR="003422CF">
        <w:t xml:space="preserve">, </w:t>
      </w:r>
      <w:r w:rsidR="00062434">
        <w:t xml:space="preserve"> </w:t>
      </w:r>
      <w:r w:rsidR="003422CF">
        <w:t xml:space="preserve">excluding diabetes (a </w:t>
      </w:r>
      <w:r w:rsidR="003422CF">
        <w:lastRenderedPageBreak/>
        <w:t xml:space="preserve">diagnosis </w:t>
      </w:r>
      <w:r w:rsidR="003422CF" w:rsidRPr="007D4A66">
        <w:t xml:space="preserve">assumed to be shared by all persons in the </w:t>
      </w:r>
      <w:r w:rsidR="003422CF">
        <w:t>initiation and cessation</w:t>
      </w:r>
      <w:r w:rsidR="003422CF" w:rsidRPr="007D4A66">
        <w:t xml:space="preserve"> analyses</w:t>
      </w:r>
      <w:r w:rsidR="003422CF">
        <w:t>)</w:t>
      </w:r>
      <w:r w:rsidRPr="007D4A66">
        <w:t>.</w:t>
      </w:r>
      <w:r w:rsidR="005C5CDD">
        <w:t xml:space="preserve"> B</w:t>
      </w:r>
      <w:r>
        <w:t xml:space="preserve">inary indicators for the presence of macrovascular </w:t>
      </w:r>
      <w:proofErr w:type="spellStart"/>
      <w:r w:rsidR="006C31D2">
        <w:t>comorbidities</w:t>
      </w:r>
      <w:proofErr w:type="spellEnd"/>
      <w:r>
        <w:t xml:space="preserve">, </w:t>
      </w:r>
      <w:proofErr w:type="spellStart"/>
      <w:r>
        <w:t>microvascular</w:t>
      </w:r>
      <w:proofErr w:type="spellEnd"/>
      <w:r>
        <w:t xml:space="preserve"> </w:t>
      </w:r>
      <w:proofErr w:type="spellStart"/>
      <w:r w:rsidR="006C31D2">
        <w:t>comorbidities</w:t>
      </w:r>
      <w:proofErr w:type="spellEnd"/>
      <w:r>
        <w:t xml:space="preserve"> and hypertension</w:t>
      </w:r>
      <w:r w:rsidR="005C5CDD">
        <w:t xml:space="preserve"> were also included, based on whether a </w:t>
      </w:r>
      <w:r>
        <w:t xml:space="preserve">patient had received a diagnosis in one of these categories during a physician </w:t>
      </w:r>
      <w:r w:rsidR="00464E7E">
        <w:t xml:space="preserve">or hospital </w:t>
      </w:r>
      <w:r>
        <w:t xml:space="preserve">visit in </w:t>
      </w:r>
      <w:r w:rsidR="005C5CDD">
        <w:t>the previous 365 days</w:t>
      </w:r>
      <w:r w:rsidR="00A45830">
        <w:t xml:space="preserve">. </w:t>
      </w:r>
      <w:r>
        <w:t xml:space="preserve">Table 1 lists the relevant </w:t>
      </w:r>
      <w:r w:rsidR="00A45830">
        <w:t>compl</w:t>
      </w:r>
      <w:r w:rsidR="000C6B7B">
        <w:t xml:space="preserve">ex </w:t>
      </w:r>
      <w:r w:rsidR="005859FF">
        <w:t>care, ICD-9 and ICD-10 codes [</w:t>
      </w:r>
      <w:r w:rsidR="00B8061F">
        <w:t>24</w:t>
      </w:r>
      <w:r w:rsidR="005859FF">
        <w:t>]</w:t>
      </w:r>
      <w:r w:rsidR="000C6B7B">
        <w:t>.</w:t>
      </w:r>
    </w:p>
    <w:p w:rsidR="00963CD1" w:rsidRDefault="00CA0C37" w:rsidP="00963CD1">
      <w:pPr>
        <w:spacing w:before="120" w:after="120" w:line="480" w:lineRule="auto"/>
        <w:ind w:firstLine="720"/>
      </w:pPr>
      <w:r>
        <w:t xml:space="preserve">For the macrovascular, </w:t>
      </w:r>
      <w:proofErr w:type="spellStart"/>
      <w:r>
        <w:t>microvascular</w:t>
      </w:r>
      <w:proofErr w:type="spellEnd"/>
      <w:r>
        <w:t xml:space="preserve"> and hypertension co-morbidity variables, we also created interaction terms with the indicator variable for the period following the meta-analysis to test whether those factors were effect modifiers during that period based on the new safety information. From these interaction terms, odds ratios and confidence intervals were calculated to represent the impact of the meta-</w:t>
      </w:r>
      <w:proofErr w:type="spellStart"/>
      <w:r>
        <w:t>analyis</w:t>
      </w:r>
      <w:proofErr w:type="spellEnd"/>
      <w:r>
        <w:t xml:space="preserve"> in the absence and presence of each of these </w:t>
      </w:r>
      <w:proofErr w:type="spellStart"/>
      <w:r w:rsidR="006C31D2">
        <w:t>comorbidities</w:t>
      </w:r>
      <w:proofErr w:type="spellEnd"/>
      <w:r>
        <w:t xml:space="preserve"> and to represent the impact of these </w:t>
      </w:r>
      <w:proofErr w:type="spellStart"/>
      <w:r w:rsidR="006C31D2">
        <w:t>comorbidities</w:t>
      </w:r>
      <w:proofErr w:type="spellEnd"/>
      <w:r>
        <w:t xml:space="preserve"> befo</w:t>
      </w:r>
      <w:r w:rsidR="00963CD1">
        <w:t>re and after the meta-analysis.</w:t>
      </w:r>
    </w:p>
    <w:p w:rsidR="00CA0C37" w:rsidRPr="00647A4B" w:rsidRDefault="00CA0C37" w:rsidP="00963CD1">
      <w:pPr>
        <w:spacing w:before="120" w:after="120" w:line="480" w:lineRule="auto"/>
        <w:rPr>
          <w:rFonts w:ascii="Arial" w:hAnsi="Arial" w:cs="Arial"/>
          <w:b/>
          <w:sz w:val="28"/>
          <w:szCs w:val="28"/>
        </w:rPr>
      </w:pPr>
      <w:r w:rsidRPr="00647A4B">
        <w:rPr>
          <w:rFonts w:ascii="Arial" w:hAnsi="Arial" w:cs="Arial"/>
          <w:b/>
          <w:sz w:val="28"/>
          <w:szCs w:val="28"/>
        </w:rPr>
        <w:t>Results</w:t>
      </w:r>
    </w:p>
    <w:p w:rsidR="00CA0C37" w:rsidRPr="00170B2D" w:rsidRDefault="00CA0C37" w:rsidP="00CA0C37">
      <w:pPr>
        <w:spacing w:before="120" w:after="120" w:line="480" w:lineRule="auto"/>
        <w:rPr>
          <w:b/>
        </w:rPr>
      </w:pPr>
      <w:r>
        <w:rPr>
          <w:b/>
        </w:rPr>
        <w:t xml:space="preserve">Impact on utilization </w:t>
      </w:r>
      <w:r w:rsidRPr="00170B2D">
        <w:rPr>
          <w:b/>
        </w:rPr>
        <w:t>trends for glucose-lowering medi</w:t>
      </w:r>
      <w:r>
        <w:rPr>
          <w:b/>
        </w:rPr>
        <w:t>c</w:t>
      </w:r>
      <w:r w:rsidRPr="00170B2D">
        <w:rPr>
          <w:b/>
        </w:rPr>
        <w:t>ations</w:t>
      </w:r>
    </w:p>
    <w:p w:rsidR="00CA0C37" w:rsidRDefault="00CA0C37" w:rsidP="00CA0C37">
      <w:pPr>
        <w:spacing w:before="120" w:after="120" w:line="480" w:lineRule="auto"/>
        <w:ind w:firstLine="720"/>
      </w:pPr>
      <w:r>
        <w:t xml:space="preserve">Monthly trends in the number of prevalent users of TZDs are shown in Figure 1. The number of prevalent </w:t>
      </w:r>
      <w:r w:rsidRPr="00395252">
        <w:t xml:space="preserve">rosiglitazone and </w:t>
      </w:r>
      <w:proofErr w:type="spellStart"/>
      <w:r>
        <w:t>Avandamet</w:t>
      </w:r>
      <w:proofErr w:type="spellEnd"/>
      <w:r w:rsidRPr="00395252">
        <w:t xml:space="preserve"> </w:t>
      </w:r>
      <w:r>
        <w:t>users declined following the publication of the Nissen and Wolski meta-analysis, and this coincided</w:t>
      </w:r>
      <w:r w:rsidRPr="00395252">
        <w:t xml:space="preserve"> with a more modest increase in</w:t>
      </w:r>
      <w:r>
        <w:t xml:space="preserve"> the number of</w:t>
      </w:r>
      <w:r w:rsidRPr="00395252">
        <w:t xml:space="preserve"> pioglitazone</w:t>
      </w:r>
      <w:r>
        <w:t xml:space="preserve"> users</w:t>
      </w:r>
      <w:r w:rsidRPr="00395252">
        <w:t>, leading to an overall s</w:t>
      </w:r>
      <w:r>
        <w:t xml:space="preserve">teady decline in TZD prevalence. The introduction of public </w:t>
      </w:r>
      <w:r w:rsidRPr="007D4A66">
        <w:t xml:space="preserve">coverage </w:t>
      </w:r>
      <w:r w:rsidR="003E747A">
        <w:t>for rosiglitazone and pioglitazone</w:t>
      </w:r>
      <w:r w:rsidRPr="007D4A66">
        <w:t xml:space="preserve"> under a </w:t>
      </w:r>
      <w:r>
        <w:t>prior authorization policy</w:t>
      </w:r>
      <w:r w:rsidR="003E747A">
        <w:t>, in November 2005,</w:t>
      </w:r>
      <w:r>
        <w:t xml:space="preserve"> modestly increased overall TZD utilization,</w:t>
      </w:r>
      <w:r w:rsidRPr="007D4A66">
        <w:t xml:space="preserve"> </w:t>
      </w:r>
      <w:r>
        <w:t xml:space="preserve">although it had a negative impact on the use of </w:t>
      </w:r>
      <w:proofErr w:type="spellStart"/>
      <w:r>
        <w:t>Avandamet</w:t>
      </w:r>
      <w:proofErr w:type="spellEnd"/>
      <w:r w:rsidR="003E747A">
        <w:t xml:space="preserve"> (which was not publicly covered until August 2007)</w:t>
      </w:r>
      <w:r>
        <w:t xml:space="preserve">. A comparison of predicted and observed utilization for November 2007 (Table 2) showed that rosiglitazone use </w:t>
      </w:r>
      <w:r>
        <w:lastRenderedPageBreak/>
        <w:t xml:space="preserve">had </w:t>
      </w:r>
      <w:r w:rsidR="00792F2B">
        <w:t>fallen by 40 percent (95% CI, 39 to 42</w:t>
      </w:r>
      <w:r>
        <w:t xml:space="preserve">%) as compared to the predicted level of use. At the same time, the observed number of users exceeded predicted use for pioglitazone, insulin, sulfonylureas, </w:t>
      </w:r>
      <w:proofErr w:type="spellStart"/>
      <w:r>
        <w:t>acarbose</w:t>
      </w:r>
      <w:proofErr w:type="spellEnd"/>
      <w:r>
        <w:t xml:space="preserve"> and </w:t>
      </w:r>
      <w:proofErr w:type="spellStart"/>
      <w:r>
        <w:t>repaglinide</w:t>
      </w:r>
      <w:proofErr w:type="spellEnd"/>
      <w:r>
        <w:t>.</w:t>
      </w:r>
    </w:p>
    <w:p w:rsidR="00CA0C37" w:rsidRDefault="00CA0C37" w:rsidP="00CA0C37">
      <w:pPr>
        <w:spacing w:before="120" w:after="120" w:line="480" w:lineRule="auto"/>
        <w:ind w:firstLine="720"/>
      </w:pPr>
      <w:r>
        <w:t>The results of the</w:t>
      </w:r>
      <w:r w:rsidRPr="007D4A66">
        <w:t xml:space="preserve"> interrupted time s</w:t>
      </w:r>
      <w:r>
        <w:t>eries analysis evaluating the influence of the meta-</w:t>
      </w:r>
      <w:proofErr w:type="spellStart"/>
      <w:r>
        <w:t>analyis</w:t>
      </w:r>
      <w:proofErr w:type="spellEnd"/>
      <w:r w:rsidRPr="007D4A66">
        <w:t xml:space="preserve"> </w:t>
      </w:r>
      <w:r>
        <w:t xml:space="preserve">on drug utilization </w:t>
      </w:r>
      <w:r w:rsidRPr="007D4A66">
        <w:t xml:space="preserve">are reported in </w:t>
      </w:r>
      <w:r w:rsidRPr="001658F2">
        <w:t>Tabl</w:t>
      </w:r>
      <w:r>
        <w:t>e 3</w:t>
      </w:r>
      <w:r w:rsidRPr="007D4A66">
        <w:t xml:space="preserve">, including </w:t>
      </w:r>
      <w:r>
        <w:t xml:space="preserve">changes to levels and monthly trends of </w:t>
      </w:r>
      <w:r w:rsidRPr="007D4A66">
        <w:t xml:space="preserve">prevalence, treatment cessation, treatment switching and treatment initiation. </w:t>
      </w:r>
      <w:r>
        <w:t xml:space="preserve">The level of treatment cessation increased for rosiglitazone and </w:t>
      </w:r>
      <w:proofErr w:type="spellStart"/>
      <w:r>
        <w:t>Avandamet</w:t>
      </w:r>
      <w:proofErr w:type="spellEnd"/>
      <w:r>
        <w:t xml:space="preserve">, but did not show a statistically </w:t>
      </w:r>
      <w:proofErr w:type="spellStart"/>
      <w:r>
        <w:t>signficant</w:t>
      </w:r>
      <w:proofErr w:type="spellEnd"/>
      <w:r>
        <w:t xml:space="preserve"> change</w:t>
      </w:r>
      <w:r w:rsidR="00CC4705">
        <w:t xml:space="preserve"> for pioglitazone. S</w:t>
      </w:r>
      <w:r>
        <w:t xml:space="preserve">witching from rosiglitazone or </w:t>
      </w:r>
      <w:proofErr w:type="spellStart"/>
      <w:r>
        <w:t>Avandamet</w:t>
      </w:r>
      <w:proofErr w:type="spellEnd"/>
      <w:r>
        <w:t xml:space="preserve"> to other glucose-lowering drugs increased only </w:t>
      </w:r>
      <w:r w:rsidR="00CC4705">
        <w:t>slightly for pioglitazone (1.2%;</w:t>
      </w:r>
      <w:r>
        <w:t xml:space="preserve"> 95% CI, 1.1 to 1.4%) and even less for other medications (and not at all for </w:t>
      </w:r>
      <w:proofErr w:type="spellStart"/>
      <w:r>
        <w:t>repaglinide</w:t>
      </w:r>
      <w:proofErr w:type="spellEnd"/>
      <w:r>
        <w:t xml:space="preserve">). Levels of treatment initiation decreased for rosiglitazone and </w:t>
      </w:r>
      <w:proofErr w:type="spellStart"/>
      <w:r>
        <w:t>Avandamet</w:t>
      </w:r>
      <w:proofErr w:type="spellEnd"/>
      <w:r>
        <w:t xml:space="preserve"> and increased for pioglitazone, insulin, </w:t>
      </w:r>
      <w:proofErr w:type="spellStart"/>
      <w:r>
        <w:t>metformin</w:t>
      </w:r>
      <w:proofErr w:type="spellEnd"/>
      <w:r>
        <w:t xml:space="preserve">, sulfonylureas and </w:t>
      </w:r>
      <w:proofErr w:type="spellStart"/>
      <w:r>
        <w:t>acarbose</w:t>
      </w:r>
      <w:proofErr w:type="spellEnd"/>
      <w:r>
        <w:t>.</w:t>
      </w:r>
    </w:p>
    <w:p w:rsidR="00CA0C37" w:rsidRPr="00170B2D" w:rsidRDefault="00CA0C37" w:rsidP="00CA0C37">
      <w:pPr>
        <w:spacing w:before="120" w:after="120" w:line="480" w:lineRule="auto"/>
        <w:rPr>
          <w:b/>
        </w:rPr>
      </w:pPr>
      <w:r w:rsidRPr="00170B2D">
        <w:rPr>
          <w:b/>
        </w:rPr>
        <w:t>Predictors of rosiglitazone initiation and cessation</w:t>
      </w:r>
    </w:p>
    <w:p w:rsidR="00CA0C37" w:rsidRDefault="00CA0C37" w:rsidP="00CA0C37">
      <w:pPr>
        <w:spacing w:before="120" w:after="120" w:line="480" w:lineRule="auto"/>
        <w:ind w:firstLine="720"/>
      </w:pPr>
      <w:r>
        <w:t>Characteristics of patients included in our analysis of predictors of rosiglitazone initiation and cessation are summarized in Table 4. Results of the predictors analysis are presented in Table 5. Following the meta-analysis in 2007, patients were 75% less likely to initiate ros</w:t>
      </w:r>
      <w:r w:rsidR="00CC4705">
        <w:t>iglitazone</w:t>
      </w:r>
      <w:r w:rsidR="005C4798">
        <w:t xml:space="preserve"> or </w:t>
      </w:r>
      <w:proofErr w:type="spellStart"/>
      <w:r w:rsidR="005C4798">
        <w:t>Avandamet</w:t>
      </w:r>
      <w:proofErr w:type="spellEnd"/>
      <w:r w:rsidR="00CC4705">
        <w:t xml:space="preserve"> (OR=0.25;</w:t>
      </w:r>
      <w:r w:rsidR="003C427A">
        <w:t xml:space="preserve"> 95% CI</w:t>
      </w:r>
      <w:r w:rsidR="00CC4705">
        <w:t>,</w:t>
      </w:r>
      <w:r w:rsidR="003C427A">
        <w:t xml:space="preserve"> 0.21</w:t>
      </w:r>
      <w:r>
        <w:t>-0.29) and more than three times mor</w:t>
      </w:r>
      <w:r w:rsidR="00CC4705">
        <w:t>e likely to stop (OR=3.29;</w:t>
      </w:r>
      <w:r w:rsidR="003C427A">
        <w:t xml:space="preserve"> </w:t>
      </w:r>
      <w:r w:rsidR="00CC4705">
        <w:t>95% CI,</w:t>
      </w:r>
      <w:r w:rsidR="003C427A">
        <w:t xml:space="preserve"> 3.01-3.61</w:t>
      </w:r>
      <w:r>
        <w:t xml:space="preserve">).  </w:t>
      </w:r>
      <w:r w:rsidR="00A92466">
        <w:t>The introduction of public coverage for rosiglitazone (under prior authorization), p</w:t>
      </w:r>
      <w:r>
        <w:t xml:space="preserve">atient age, income level, Romano </w:t>
      </w:r>
      <w:proofErr w:type="spellStart"/>
      <w:r w:rsidR="008A4F89">
        <w:t>comorbidity</w:t>
      </w:r>
      <w:proofErr w:type="spellEnd"/>
      <w:r w:rsidR="008A4F89">
        <w:t xml:space="preserve"> </w:t>
      </w:r>
      <w:r>
        <w:t>score and insulin dependence also affected initiation and cessation.</w:t>
      </w:r>
    </w:p>
    <w:p w:rsidR="0092291F" w:rsidRDefault="00CA0C37" w:rsidP="0092291F">
      <w:pPr>
        <w:spacing w:before="120" w:after="120" w:line="480" w:lineRule="auto"/>
        <w:ind w:firstLine="720"/>
      </w:pPr>
      <w:r>
        <w:t xml:space="preserve">The presence of macrovascular </w:t>
      </w:r>
      <w:proofErr w:type="spellStart"/>
      <w:r>
        <w:t>comorbidities</w:t>
      </w:r>
      <w:proofErr w:type="spellEnd"/>
      <w:r>
        <w:t xml:space="preserve"> was an effect modifier that strengthened both the negative impact of the meta-analysis on the level of ro</w:t>
      </w:r>
      <w:r w:rsidR="00CC4705">
        <w:t>siglitazone initiation (OR=0.18;</w:t>
      </w:r>
      <w:r>
        <w:t xml:space="preserve"> 95% CI</w:t>
      </w:r>
      <w:r w:rsidR="00CC4705">
        <w:t>,</w:t>
      </w:r>
      <w:r>
        <w:t xml:space="preserve"> 0.1</w:t>
      </w:r>
      <w:r w:rsidR="001F38A2">
        <w:t>4</w:t>
      </w:r>
      <w:r>
        <w:t>-0.24) and the posi</w:t>
      </w:r>
      <w:r w:rsidR="001F38A2">
        <w:t>ti</w:t>
      </w:r>
      <w:r w:rsidR="00CC4705">
        <w:t>ve impact on cessation (OR=3.96;</w:t>
      </w:r>
      <w:r w:rsidR="001F38A2">
        <w:t xml:space="preserve"> 95% CI</w:t>
      </w:r>
      <w:r w:rsidR="00CC4705">
        <w:t>,</w:t>
      </w:r>
      <w:r w:rsidR="001F38A2">
        <w:t xml:space="preserve"> 3.48-4.49</w:t>
      </w:r>
      <w:r>
        <w:t xml:space="preserve">). </w:t>
      </w:r>
      <w:r>
        <w:lastRenderedPageBreak/>
        <w:t xml:space="preserve">Similarly, the presence of </w:t>
      </w:r>
      <w:proofErr w:type="spellStart"/>
      <w:r>
        <w:t>macr</w:t>
      </w:r>
      <w:r w:rsidR="001F38A2">
        <w:t>ovasular</w:t>
      </w:r>
      <w:proofErr w:type="spellEnd"/>
      <w:r w:rsidR="001F38A2">
        <w:t xml:space="preserve"> </w:t>
      </w:r>
      <w:proofErr w:type="spellStart"/>
      <w:r w:rsidR="001F38A2">
        <w:t>comorbidities</w:t>
      </w:r>
      <w:proofErr w:type="spellEnd"/>
      <w:r w:rsidR="001F38A2">
        <w:t xml:space="preserve"> was a borderline in</w:t>
      </w:r>
      <w:r>
        <w:t>significant predictor of rosiglitazone initiation following the publicati</w:t>
      </w:r>
      <w:r w:rsidR="001F38A2">
        <w:t>on of the meta-analysis (OR=0.78</w:t>
      </w:r>
      <w:r w:rsidR="00CC4705">
        <w:t>;</w:t>
      </w:r>
      <w:r w:rsidR="001F38A2">
        <w:t xml:space="preserve"> 95% CI</w:t>
      </w:r>
      <w:r w:rsidR="00CC4705">
        <w:t>,</w:t>
      </w:r>
      <w:r w:rsidR="001F38A2">
        <w:t xml:space="preserve"> 0.59-1.02</w:t>
      </w:r>
      <w:r>
        <w:t>) and was a stronger predictor of treatment cessation foll</w:t>
      </w:r>
      <w:r w:rsidR="003615E8">
        <w:t>owing the meta-analysis (OR=1.36</w:t>
      </w:r>
      <w:r w:rsidR="00CC4705">
        <w:t>;</w:t>
      </w:r>
      <w:r w:rsidR="003615E8">
        <w:t xml:space="preserve"> 95% CI</w:t>
      </w:r>
      <w:r w:rsidR="00CC4705">
        <w:t>,</w:t>
      </w:r>
      <w:r w:rsidR="003615E8">
        <w:t xml:space="preserve"> 1.24-1.48</w:t>
      </w:r>
      <w:r w:rsidR="00DE18A4">
        <w:t>). T</w:t>
      </w:r>
      <w:r w:rsidR="0092291F">
        <w:t xml:space="preserve">he presence of </w:t>
      </w:r>
      <w:proofErr w:type="spellStart"/>
      <w:r w:rsidR="0092291F">
        <w:t>microvascular</w:t>
      </w:r>
      <w:proofErr w:type="spellEnd"/>
      <w:r w:rsidR="0092291F">
        <w:t xml:space="preserve"> </w:t>
      </w:r>
      <w:proofErr w:type="spellStart"/>
      <w:r w:rsidR="0092291F">
        <w:t>comorbidities</w:t>
      </w:r>
      <w:proofErr w:type="spellEnd"/>
      <w:r w:rsidR="0092291F">
        <w:t xml:space="preserve"> appeared to be a weaker predi</w:t>
      </w:r>
      <w:r w:rsidR="005C0212">
        <w:t>ctor of rosiglitazone initiation</w:t>
      </w:r>
      <w:r w:rsidR="0092291F">
        <w:t xml:space="preserve"> following the meta-analysis</w:t>
      </w:r>
      <w:r w:rsidR="00DE18A4">
        <w:t xml:space="preserve"> as compared to the earlier period</w:t>
      </w:r>
      <w:r w:rsidR="0092291F">
        <w:t xml:space="preserve"> (OR=1.31</w:t>
      </w:r>
      <w:r w:rsidR="00CC4705">
        <w:t>;</w:t>
      </w:r>
      <w:r w:rsidR="0092291F">
        <w:t xml:space="preserve"> 95% CI</w:t>
      </w:r>
      <w:r w:rsidR="00CC4705">
        <w:t>,</w:t>
      </w:r>
      <w:r w:rsidR="0092291F">
        <w:t xml:space="preserve"> 1.02 – 1.</w:t>
      </w:r>
      <w:r w:rsidR="00DE18A4">
        <w:t>69)</w:t>
      </w:r>
      <w:r w:rsidR="005C0212">
        <w:t>. Also, hypertension became a significant predictor of rosiglitazone cessation following the meta-analysis (OR=1.10</w:t>
      </w:r>
      <w:r w:rsidR="00CC4705">
        <w:t>;</w:t>
      </w:r>
      <w:r w:rsidR="005C0212">
        <w:t xml:space="preserve"> 95%</w:t>
      </w:r>
      <w:r w:rsidR="00CC4705">
        <w:t xml:space="preserve"> CI,</w:t>
      </w:r>
      <w:r w:rsidR="005C0212">
        <w:t xml:space="preserve"> 1.02 – 1.18).</w:t>
      </w:r>
      <w:r w:rsidR="00DE18A4">
        <w:t xml:space="preserve"> </w:t>
      </w:r>
    </w:p>
    <w:p w:rsidR="00CA0C37" w:rsidRPr="00647A4B" w:rsidRDefault="00505D19" w:rsidP="00CA0C37">
      <w:pPr>
        <w:spacing w:line="480" w:lineRule="auto"/>
        <w:rPr>
          <w:rFonts w:ascii="Arial" w:hAnsi="Arial" w:cs="Arial"/>
          <w:b/>
          <w:sz w:val="28"/>
          <w:szCs w:val="28"/>
        </w:rPr>
      </w:pPr>
      <w:r>
        <w:rPr>
          <w:rFonts w:ascii="Arial" w:hAnsi="Arial" w:cs="Arial"/>
          <w:b/>
          <w:sz w:val="28"/>
          <w:szCs w:val="28"/>
        </w:rPr>
        <w:t>Discussion</w:t>
      </w:r>
    </w:p>
    <w:p w:rsidR="00CA0C37" w:rsidRDefault="00CA0C37" w:rsidP="00CA0C37">
      <w:pPr>
        <w:spacing w:before="120" w:after="120" w:line="480" w:lineRule="auto"/>
        <w:ind w:firstLine="720"/>
      </w:pPr>
      <w:r>
        <w:t xml:space="preserve">Publication of Nissen and </w:t>
      </w:r>
      <w:proofErr w:type="spellStart"/>
      <w:r>
        <w:t>Wolski’s</w:t>
      </w:r>
      <w:proofErr w:type="spellEnd"/>
      <w:r>
        <w:t xml:space="preserve"> meta-analysis led to a decline in rosiglitazone utilization and a corresponding rise in monthly prevalence of other glucose-lowering drugs including pioglitazone, insulin, and sulfonylureas. </w:t>
      </w:r>
      <w:r w:rsidR="008F54C1">
        <w:t xml:space="preserve">The prevalence of </w:t>
      </w:r>
      <w:proofErr w:type="spellStart"/>
      <w:r w:rsidR="008F54C1">
        <w:t>meformin</w:t>
      </w:r>
      <w:proofErr w:type="spellEnd"/>
      <w:r w:rsidR="008F54C1">
        <w:t xml:space="preserve"> did not show a statistically significant change, perhaps </w:t>
      </w:r>
      <w:r w:rsidR="00623A4F">
        <w:t xml:space="preserve">because some </w:t>
      </w:r>
      <w:r w:rsidR="008F54C1">
        <w:t xml:space="preserve">patients who were taking </w:t>
      </w:r>
      <w:proofErr w:type="spellStart"/>
      <w:r w:rsidR="008F54C1">
        <w:t>metformin</w:t>
      </w:r>
      <w:proofErr w:type="spellEnd"/>
      <w:r w:rsidR="008F54C1">
        <w:t xml:space="preserve"> and rosiglitazone stopped both medications</w:t>
      </w:r>
      <w:r w:rsidR="00623A4F">
        <w:t xml:space="preserve"> or because some patients had failed on </w:t>
      </w:r>
      <w:proofErr w:type="spellStart"/>
      <w:r w:rsidR="00623A4F">
        <w:t>metformin</w:t>
      </w:r>
      <w:proofErr w:type="spellEnd"/>
      <w:r w:rsidR="00623A4F">
        <w:t xml:space="preserve"> (a common first-line therapy)  prior to initiating rosiglitazone</w:t>
      </w:r>
      <w:r w:rsidR="008F54C1">
        <w:t xml:space="preserve">. </w:t>
      </w:r>
      <w:r>
        <w:t xml:space="preserve">In our analysis of predictors of rosiglitazone initiation and cessation, we found that macrovascular </w:t>
      </w:r>
      <w:proofErr w:type="spellStart"/>
      <w:r>
        <w:t>comorbidities</w:t>
      </w:r>
      <w:proofErr w:type="spellEnd"/>
      <w:r>
        <w:t xml:space="preserve"> had a greater impact on decisions not to initiate or to stop rosiglitazone therapy following the meta-analysis.</w:t>
      </w:r>
    </w:p>
    <w:p w:rsidR="00CA0C37" w:rsidRDefault="00CA0C37" w:rsidP="00CA0C37">
      <w:pPr>
        <w:spacing w:before="120" w:after="120" w:line="480" w:lineRule="auto"/>
        <w:ind w:firstLine="720"/>
      </w:pPr>
      <w:r>
        <w:t xml:space="preserve">While the decline in new and prevalent use of rosiglitazone and rise in pioglitazone use documented in our study is consistent with previous studies examining the impact of the Nissen and Wolski meta-analysis </w:t>
      </w:r>
      <w:r w:rsidR="005859FF">
        <w:t>[</w:t>
      </w:r>
      <w:r w:rsidR="00B8061F" w:rsidRPr="00B8061F">
        <w:t>4-6</w:t>
      </w:r>
      <w:r w:rsidR="005859FF">
        <w:t>]</w:t>
      </w:r>
      <w:r w:rsidRPr="00B8061F">
        <w:t>, we</w:t>
      </w:r>
      <w:r>
        <w:t xml:space="preserve"> believe our study is the first to link the meta-analysis to an increase in prevalent use of insulin and sulfonylureas. These changes in utilization appeared to be related more to an increase in initiation of pioglitazone and other glucose-lowering drugs rather than to switching from rosiglitazone or </w:t>
      </w:r>
      <w:proofErr w:type="spellStart"/>
      <w:r>
        <w:t>Avandamet</w:t>
      </w:r>
      <w:proofErr w:type="spellEnd"/>
      <w:r>
        <w:t xml:space="preserve">, which increased only slightly. This shift may have also been related to patients ‘switching back’ to drugs they had used at some time </w:t>
      </w:r>
      <w:r>
        <w:lastRenderedPageBreak/>
        <w:t xml:space="preserve">in the previous 365 days, although our analysis would not have counted them as ‘new users’ or ‘switchers’ in that case. These results differed from a study of </w:t>
      </w:r>
      <w:smartTag w:uri="urn:schemas-microsoft-com:office:smarttags" w:element="place">
        <w:smartTag w:uri="urn:schemas-microsoft-com:office:smarttags" w:element="State">
          <w:r>
            <w:t>Ontario</w:t>
          </w:r>
        </w:smartTag>
      </w:smartTag>
      <w:r>
        <w:t xml:space="preserve"> people over age 65 (which found no increased </w:t>
      </w:r>
      <w:r w:rsidR="00D711C8">
        <w:t>initiation</w:t>
      </w:r>
      <w:r>
        <w:t xml:space="preserve"> of </w:t>
      </w:r>
      <w:proofErr w:type="spellStart"/>
      <w:r>
        <w:t>metfor</w:t>
      </w:r>
      <w:r w:rsidR="005859FF">
        <w:t>min</w:t>
      </w:r>
      <w:proofErr w:type="spellEnd"/>
      <w:r w:rsidR="005859FF">
        <w:t xml:space="preserve">, insulin or </w:t>
      </w:r>
      <w:proofErr w:type="spellStart"/>
      <w:r w:rsidR="005859FF">
        <w:t>glibenclamide</w:t>
      </w:r>
      <w:proofErr w:type="spellEnd"/>
      <w:r w:rsidR="005859FF">
        <w:t>) [4]</w:t>
      </w:r>
      <w:r>
        <w:t>, perhaps because the population for our study included patients of all ages.</w:t>
      </w:r>
    </w:p>
    <w:p w:rsidR="00CA0C37" w:rsidRDefault="00CA0C37" w:rsidP="00CA0C37">
      <w:pPr>
        <w:spacing w:before="120" w:after="120" w:line="480" w:lineRule="auto"/>
        <w:ind w:firstLine="720"/>
      </w:pPr>
      <w:r>
        <w:t xml:space="preserve">The number of pioglitazone users rose only modestly while </w:t>
      </w:r>
      <w:proofErr w:type="spellStart"/>
      <w:r>
        <w:t>rosiglizazone</w:t>
      </w:r>
      <w:proofErr w:type="spellEnd"/>
      <w:r>
        <w:t xml:space="preserve"> use steadily declined. This suggests that the increased risk of  MI was not sufficiently interpreted as a class effect to re</w:t>
      </w:r>
      <w:r w:rsidR="005F722C">
        <w:t>duce the use of pioglitazone</w:t>
      </w:r>
      <w:r>
        <w:t>, but pioglitazone was not embraced as a less harmful alternative. The rise in the number of users was greater in absolute numbers for sulfonylureas and insulin as compared to pioglitazone (in November 2007, six months after the Nissen and Wolski meta-analysis). An earlier utilization study which found that the percentage of rosiglitazone users at increased CV risk declined in the latter half of 2007 i</w:t>
      </w:r>
      <w:r w:rsidR="005859FF">
        <w:t>s consistent with our findings [5]</w:t>
      </w:r>
      <w:r>
        <w:t xml:space="preserve">. Based on our analysis of rosiglitazone initiation and cessation, we can add that macrovascular </w:t>
      </w:r>
      <w:proofErr w:type="spellStart"/>
      <w:r>
        <w:t>comorbidities</w:t>
      </w:r>
      <w:proofErr w:type="spellEnd"/>
      <w:r>
        <w:t xml:space="preserve"> appeared to have a stronger influence on both starting and stopping decisions for rosiglitazone following the publication of the Nissen and Wolski meta-analysis.</w:t>
      </w:r>
      <w:r w:rsidR="00E07655">
        <w:t xml:space="preserve"> </w:t>
      </w:r>
    </w:p>
    <w:p w:rsidR="00CA0C37" w:rsidRDefault="00CA0C37" w:rsidP="00CA0C37">
      <w:pPr>
        <w:spacing w:before="120" w:after="120" w:line="480" w:lineRule="auto"/>
      </w:pPr>
      <w:r>
        <w:tab/>
      </w:r>
      <w:r w:rsidR="00A92466">
        <w:t xml:space="preserve">Other safety information may have contributed to the decline in overall TZD utilization </w:t>
      </w:r>
      <w:r w:rsidR="00A92466" w:rsidRPr="0035394E">
        <w:t>or more specifically to caution i</w:t>
      </w:r>
      <w:r w:rsidR="00834EE0" w:rsidRPr="0035394E">
        <w:t xml:space="preserve">n pioglitazone use, including </w:t>
      </w:r>
      <w:r w:rsidR="00A92466" w:rsidRPr="0035394E">
        <w:t>warning</w:t>
      </w:r>
      <w:r w:rsidR="00834EE0" w:rsidRPr="0035394E">
        <w:t>s</w:t>
      </w:r>
      <w:r w:rsidR="00A92466" w:rsidRPr="0035394E">
        <w:t xml:space="preserve"> </w:t>
      </w:r>
      <w:r w:rsidR="00834EE0" w:rsidRPr="0035394E">
        <w:t xml:space="preserve">in Canada and the US </w:t>
      </w:r>
      <w:r w:rsidR="00483283">
        <w:t xml:space="preserve">about fracture risk </w:t>
      </w:r>
      <w:r w:rsidR="00A92466" w:rsidRPr="0035394E">
        <w:t xml:space="preserve">in </w:t>
      </w:r>
      <w:r w:rsidR="00834EE0" w:rsidRPr="0035394E">
        <w:t>early</w:t>
      </w:r>
      <w:r w:rsidR="00A92466" w:rsidRPr="0035394E">
        <w:t xml:space="preserve"> 2007</w:t>
      </w:r>
      <w:r w:rsidR="00834EE0" w:rsidRPr="0035394E">
        <w:t xml:space="preserve"> </w:t>
      </w:r>
      <w:r w:rsidR="0035394E" w:rsidRPr="0035394E">
        <w:t>[25-28</w:t>
      </w:r>
      <w:r w:rsidR="00834EE0" w:rsidRPr="0035394E">
        <w:t>],</w:t>
      </w:r>
      <w:r w:rsidR="00A92466" w:rsidRPr="0035394E">
        <w:t xml:space="preserve"> </w:t>
      </w:r>
      <w:r w:rsidR="00834EE0" w:rsidRPr="0035394E">
        <w:t xml:space="preserve">FDA </w:t>
      </w:r>
      <w:r w:rsidR="00A92466" w:rsidRPr="0035394E">
        <w:t>boxed warnings related t</w:t>
      </w:r>
      <w:r w:rsidR="005859FF" w:rsidRPr="0035394E">
        <w:t>o heart failure in August 2007</w:t>
      </w:r>
      <w:r w:rsidR="00834EE0" w:rsidRPr="0035394E">
        <w:t xml:space="preserve"> </w:t>
      </w:r>
      <w:r w:rsidR="0035394E" w:rsidRPr="0035394E">
        <w:t>[29</w:t>
      </w:r>
      <w:r w:rsidR="00834EE0" w:rsidRPr="0035394E">
        <w:t xml:space="preserve">], and a Health Canada endorsed advisory about rosiglitazone and cardiac safety in November 2007 </w:t>
      </w:r>
      <w:r w:rsidR="005859FF" w:rsidRPr="0035394E">
        <w:t>[</w:t>
      </w:r>
      <w:r w:rsidR="0035394E" w:rsidRPr="0035394E">
        <w:t>30</w:t>
      </w:r>
      <w:r w:rsidR="005859FF" w:rsidRPr="0035394E">
        <w:t>]</w:t>
      </w:r>
      <w:r w:rsidR="00A92466" w:rsidRPr="0035394E">
        <w:t xml:space="preserve">. </w:t>
      </w:r>
      <w:r w:rsidRPr="0035394E">
        <w:t>A limitation of our study was that it was not possible to separately measure</w:t>
      </w:r>
      <w:r>
        <w:t xml:space="preserve"> the impacts of each</w:t>
      </w:r>
      <w:r w:rsidR="00A92466">
        <w:t xml:space="preserve"> warning</w:t>
      </w:r>
      <w:r>
        <w:t xml:space="preserve">. In our analysis of predictors of rosiglitazone initiation and cessation, the influence of macrovascular </w:t>
      </w:r>
      <w:proofErr w:type="spellStart"/>
      <w:r>
        <w:t>comorbidities</w:t>
      </w:r>
      <w:proofErr w:type="spellEnd"/>
      <w:r>
        <w:t xml:space="preserve"> on rosiglitazone utilization may be due in part to an increase in concerns about CHF rather than only a response to the findings of Nissen and Wolski. However, we can infer from the rise in the number of pioglitazone users that the </w:t>
      </w:r>
      <w:r>
        <w:lastRenderedPageBreak/>
        <w:t>decline in rosiglitazone use primarily resulted from the publication of the meta-analysis and related regulatory warnings and publicity.</w:t>
      </w:r>
    </w:p>
    <w:p w:rsidR="00CA0C37" w:rsidRDefault="00CA0C37" w:rsidP="00CA0C37">
      <w:pPr>
        <w:spacing w:before="120" w:after="120" w:line="480" w:lineRule="auto"/>
        <w:ind w:firstLine="720"/>
      </w:pPr>
      <w:r>
        <w:t>Our study found that concerns regarding cardiovascular harm raised in the Nissen and Wolski meta-analysis of rosiglitazone in May 2007 resulted in a decline in prevalence of rosiglitazone and a shift toward greater use of pioglitazone and other glucose-lo</w:t>
      </w:r>
      <w:r w:rsidR="00384351">
        <w:t xml:space="preserve">wering drugs including insulin and </w:t>
      </w:r>
      <w:r>
        <w:t xml:space="preserve">sulfonylureas. Utilization of rosiglitazone therapy was influenced by multiple factors, including demographic characteristics and health indicators. Our results provide evidence that macrovascular </w:t>
      </w:r>
      <w:proofErr w:type="spellStart"/>
      <w:r>
        <w:t>comorbidities</w:t>
      </w:r>
      <w:proofErr w:type="spellEnd"/>
      <w:r>
        <w:t xml:space="preserve"> played a greater role in decisions to start or stop rosiglitazone therapy as a result of the rosiglitazone meta-analysis. While other warnings about the safety of TZDs were issued in 2007, the Nissen and Wolski findings appeared to be more influential, and this may relate to broader coverage in the lay and professional media </w:t>
      </w:r>
      <w:r w:rsidR="005859FF">
        <w:t>[</w:t>
      </w:r>
      <w:r w:rsidR="00B8061F">
        <w:t>4-6</w:t>
      </w:r>
      <w:r w:rsidR="005859FF">
        <w:t>]</w:t>
      </w:r>
      <w:r>
        <w:t xml:space="preserve"> or to the perceived severity of MI risk in comparison to other safety concerns.</w:t>
      </w:r>
    </w:p>
    <w:p w:rsidR="00CA0C37" w:rsidRDefault="00CA0C37" w:rsidP="00CA0C37">
      <w:pPr>
        <w:spacing w:line="480" w:lineRule="auto"/>
      </w:pPr>
    </w:p>
    <w:p w:rsidR="00CA0C37" w:rsidRPr="00B74933" w:rsidRDefault="00CA0C37" w:rsidP="00CA0C37">
      <w:pPr>
        <w:spacing w:line="480" w:lineRule="auto"/>
        <w:rPr>
          <w:rFonts w:ascii="Arial" w:hAnsi="Arial" w:cs="Arial"/>
          <w:b/>
          <w:sz w:val="28"/>
          <w:szCs w:val="28"/>
        </w:rPr>
      </w:pPr>
      <w:r>
        <w:br w:type="page"/>
      </w:r>
      <w:r w:rsidRPr="00B74933">
        <w:rPr>
          <w:rFonts w:ascii="Arial" w:hAnsi="Arial" w:cs="Arial"/>
          <w:b/>
          <w:sz w:val="28"/>
          <w:szCs w:val="28"/>
        </w:rPr>
        <w:lastRenderedPageBreak/>
        <w:t>References</w:t>
      </w:r>
    </w:p>
    <w:p w:rsidR="00E54C8A" w:rsidRPr="00E54C8A" w:rsidRDefault="00E54C8A" w:rsidP="00CA0C37">
      <w:pPr>
        <w:pStyle w:val="EndnoteText"/>
        <w:numPr>
          <w:ilvl w:val="0"/>
          <w:numId w:val="9"/>
        </w:numPr>
        <w:spacing w:before="60" w:after="60" w:line="480" w:lineRule="auto"/>
        <w:rPr>
          <w:rFonts w:eastAsia="Calibri"/>
          <w:sz w:val="24"/>
          <w:szCs w:val="24"/>
          <w:lang w:val="de-DE"/>
        </w:rPr>
      </w:pPr>
      <w:r w:rsidRPr="00E54C8A">
        <w:rPr>
          <w:rFonts w:eastAsia="Calibri"/>
          <w:sz w:val="24"/>
          <w:szCs w:val="24"/>
          <w:lang w:val="de-DE"/>
        </w:rPr>
        <w:t xml:space="preserve">Nissen SE, Wolski K. Effect of rosiglitazone on the risk of myocardial infarction and death from cardiovascular causes. </w:t>
      </w:r>
      <w:r w:rsidRPr="001F7041">
        <w:rPr>
          <w:rFonts w:eastAsia="Calibri"/>
          <w:i/>
          <w:sz w:val="24"/>
          <w:szCs w:val="24"/>
          <w:lang w:val="de-DE"/>
        </w:rPr>
        <w:t>N Engl J Med</w:t>
      </w:r>
      <w:r w:rsidRPr="00E54C8A">
        <w:rPr>
          <w:rFonts w:eastAsia="Calibri"/>
          <w:sz w:val="24"/>
          <w:szCs w:val="24"/>
          <w:lang w:val="de-DE"/>
        </w:rPr>
        <w:t xml:space="preserve">. </w:t>
      </w:r>
      <w:r>
        <w:rPr>
          <w:rFonts w:eastAsia="Calibri"/>
          <w:sz w:val="24"/>
          <w:szCs w:val="24"/>
          <w:lang w:val="de-DE"/>
        </w:rPr>
        <w:t>2007 Jun 14</w:t>
      </w:r>
      <w:r w:rsidRPr="00E54C8A">
        <w:rPr>
          <w:rFonts w:eastAsia="Calibri"/>
          <w:sz w:val="24"/>
          <w:szCs w:val="24"/>
          <w:lang w:val="de-DE"/>
        </w:rPr>
        <w:t>;356(24):2457-2471.</w:t>
      </w:r>
    </w:p>
    <w:p w:rsidR="00CA0C37" w:rsidRPr="00936668" w:rsidRDefault="00C861F4" w:rsidP="00CA0C37">
      <w:pPr>
        <w:pStyle w:val="EndnoteText"/>
        <w:numPr>
          <w:ilvl w:val="0"/>
          <w:numId w:val="9"/>
        </w:numPr>
        <w:spacing w:before="60" w:after="60" w:line="480" w:lineRule="auto"/>
        <w:rPr>
          <w:sz w:val="24"/>
          <w:szCs w:val="24"/>
        </w:rPr>
      </w:pPr>
      <w:r>
        <w:rPr>
          <w:sz w:val="24"/>
          <w:szCs w:val="24"/>
        </w:rPr>
        <w:t>FDA</w:t>
      </w:r>
      <w:r w:rsidR="00457EA3">
        <w:rPr>
          <w:sz w:val="24"/>
          <w:szCs w:val="24"/>
        </w:rPr>
        <w:t xml:space="preserve"> </w:t>
      </w:r>
      <w:r w:rsidR="00CA0C37">
        <w:rPr>
          <w:sz w:val="24"/>
          <w:szCs w:val="24"/>
        </w:rPr>
        <w:t>US</w:t>
      </w:r>
      <w:r w:rsidR="00CA0C37" w:rsidRPr="00936668">
        <w:rPr>
          <w:sz w:val="24"/>
          <w:szCs w:val="24"/>
        </w:rPr>
        <w:t xml:space="preserve"> Food and Drug A</w:t>
      </w:r>
      <w:r w:rsidR="00CA0C37">
        <w:rPr>
          <w:sz w:val="24"/>
          <w:szCs w:val="24"/>
        </w:rPr>
        <w:t>dministration</w:t>
      </w:r>
      <w:r>
        <w:rPr>
          <w:sz w:val="24"/>
          <w:szCs w:val="24"/>
        </w:rPr>
        <w:t>: News &amp; events</w:t>
      </w:r>
      <w:r w:rsidR="00457EA3">
        <w:rPr>
          <w:sz w:val="24"/>
          <w:szCs w:val="24"/>
        </w:rPr>
        <w:t xml:space="preserve"> [Internet].</w:t>
      </w:r>
      <w:r w:rsidR="00F33C01">
        <w:rPr>
          <w:sz w:val="24"/>
          <w:szCs w:val="24"/>
        </w:rPr>
        <w:t xml:space="preserve"> </w:t>
      </w:r>
      <w:r w:rsidR="001525C1">
        <w:rPr>
          <w:sz w:val="24"/>
          <w:szCs w:val="24"/>
        </w:rPr>
        <w:t>Press release,</w:t>
      </w:r>
      <w:r w:rsidR="00CA0C37">
        <w:rPr>
          <w:sz w:val="24"/>
          <w:szCs w:val="24"/>
        </w:rPr>
        <w:t xml:space="preserve"> </w:t>
      </w:r>
      <w:r w:rsidR="00CA0C37" w:rsidRPr="00936668">
        <w:rPr>
          <w:sz w:val="24"/>
          <w:szCs w:val="24"/>
        </w:rPr>
        <w:t xml:space="preserve">FDA issues safety </w:t>
      </w:r>
      <w:r w:rsidR="00CA0C37">
        <w:rPr>
          <w:rFonts w:eastAsia="Calibri"/>
          <w:sz w:val="24"/>
          <w:szCs w:val="24"/>
        </w:rPr>
        <w:t xml:space="preserve">alert on </w:t>
      </w:r>
      <w:proofErr w:type="spellStart"/>
      <w:r w:rsidR="00CA0C37">
        <w:rPr>
          <w:rFonts w:eastAsia="Calibri"/>
          <w:sz w:val="24"/>
          <w:szCs w:val="24"/>
        </w:rPr>
        <w:t>Avandia</w:t>
      </w:r>
      <w:proofErr w:type="spellEnd"/>
      <w:r w:rsidR="001525C1">
        <w:rPr>
          <w:rFonts w:eastAsia="Calibri"/>
          <w:sz w:val="24"/>
          <w:szCs w:val="24"/>
        </w:rPr>
        <w:t xml:space="preserve">; 2007 May 21 [cited </w:t>
      </w:r>
      <w:r w:rsidR="00B65A0B">
        <w:rPr>
          <w:rFonts w:eastAsia="Calibri"/>
          <w:sz w:val="24"/>
          <w:szCs w:val="24"/>
        </w:rPr>
        <w:t>2009 July 9].</w:t>
      </w:r>
      <w:r w:rsidR="001525C1">
        <w:rPr>
          <w:rFonts w:eastAsia="Calibri"/>
          <w:sz w:val="24"/>
          <w:szCs w:val="24"/>
        </w:rPr>
        <w:t xml:space="preserve"> Available from:</w:t>
      </w:r>
      <w:r w:rsidR="00CA0C37" w:rsidRPr="00936668">
        <w:rPr>
          <w:rFonts w:eastAsia="Calibri"/>
          <w:sz w:val="24"/>
          <w:szCs w:val="24"/>
        </w:rPr>
        <w:t xml:space="preserve"> </w:t>
      </w:r>
      <w:r w:rsidR="00F33C01" w:rsidRPr="00F33C01">
        <w:rPr>
          <w:rFonts w:eastAsia="Calibri"/>
          <w:sz w:val="24"/>
          <w:szCs w:val="24"/>
        </w:rPr>
        <w:t>http://www.fda.gov/NewsEvents/Newsroom/PressAnnouncements/2007/ucm108917.htm</w:t>
      </w:r>
    </w:p>
    <w:p w:rsidR="00CA0C37" w:rsidRPr="00936668" w:rsidRDefault="005D36CD" w:rsidP="00CA0C37">
      <w:pPr>
        <w:pStyle w:val="EndnoteText"/>
        <w:numPr>
          <w:ilvl w:val="0"/>
          <w:numId w:val="9"/>
        </w:numPr>
        <w:spacing w:before="60" w:after="60" w:line="480" w:lineRule="auto"/>
        <w:rPr>
          <w:sz w:val="24"/>
          <w:szCs w:val="24"/>
        </w:rPr>
      </w:pPr>
      <w:r>
        <w:rPr>
          <w:sz w:val="24"/>
          <w:szCs w:val="24"/>
        </w:rPr>
        <w:t>GlaxoSmithKline.</w:t>
      </w:r>
      <w:r w:rsidR="00C861F4">
        <w:rPr>
          <w:sz w:val="24"/>
          <w:szCs w:val="24"/>
        </w:rPr>
        <w:t xml:space="preserve"> Cardiac safety of </w:t>
      </w:r>
      <w:proofErr w:type="spellStart"/>
      <w:r w:rsidR="00C861F4">
        <w:rPr>
          <w:sz w:val="24"/>
          <w:szCs w:val="24"/>
        </w:rPr>
        <w:t>Avandia</w:t>
      </w:r>
      <w:proofErr w:type="spellEnd"/>
      <w:r w:rsidR="00C861F4">
        <w:rPr>
          <w:sz w:val="24"/>
          <w:szCs w:val="24"/>
        </w:rPr>
        <w:t xml:space="preserve"> (rosiglitazone </w:t>
      </w:r>
      <w:proofErr w:type="spellStart"/>
      <w:r w:rsidR="00C861F4">
        <w:rPr>
          <w:sz w:val="24"/>
          <w:szCs w:val="24"/>
        </w:rPr>
        <w:t>maleate</w:t>
      </w:r>
      <w:proofErr w:type="spellEnd"/>
      <w:r w:rsidR="00C861F4">
        <w:rPr>
          <w:sz w:val="24"/>
          <w:szCs w:val="24"/>
        </w:rPr>
        <w:t>) –</w:t>
      </w:r>
      <w:r w:rsidR="003B6487">
        <w:rPr>
          <w:sz w:val="24"/>
          <w:szCs w:val="24"/>
        </w:rPr>
        <w:t xml:space="preserve"> f</w:t>
      </w:r>
      <w:r w:rsidR="00C861F4">
        <w:rPr>
          <w:sz w:val="24"/>
          <w:szCs w:val="24"/>
        </w:rPr>
        <w:t>or health professionals</w:t>
      </w:r>
      <w:r w:rsidR="001525C1">
        <w:rPr>
          <w:sz w:val="24"/>
          <w:szCs w:val="24"/>
        </w:rPr>
        <w:t xml:space="preserve"> [Internet]. </w:t>
      </w:r>
      <w:smartTag w:uri="urn:schemas-microsoft-com:office:smarttags" w:element="City">
        <w:r w:rsidR="001525C1">
          <w:rPr>
            <w:sz w:val="24"/>
            <w:szCs w:val="24"/>
          </w:rPr>
          <w:t>Ottawa</w:t>
        </w:r>
      </w:smartTag>
      <w:r w:rsidR="001525C1">
        <w:rPr>
          <w:sz w:val="24"/>
          <w:szCs w:val="24"/>
        </w:rPr>
        <w:t xml:space="preserve">: Health </w:t>
      </w:r>
      <w:smartTag w:uri="urn:schemas-microsoft-com:office:smarttags" w:element="country-region">
        <w:smartTag w:uri="urn:schemas-microsoft-com:office:smarttags" w:element="place">
          <w:r w:rsidR="001525C1">
            <w:rPr>
              <w:sz w:val="24"/>
              <w:szCs w:val="24"/>
            </w:rPr>
            <w:t>Canada</w:t>
          </w:r>
        </w:smartTag>
      </w:smartTag>
      <w:r w:rsidR="001525C1">
        <w:rPr>
          <w:sz w:val="24"/>
          <w:szCs w:val="24"/>
        </w:rPr>
        <w:t xml:space="preserve">. </w:t>
      </w:r>
      <w:r w:rsidR="00C162F7">
        <w:rPr>
          <w:sz w:val="24"/>
          <w:szCs w:val="24"/>
        </w:rPr>
        <w:t xml:space="preserve">Dear health care professional letter; </w:t>
      </w:r>
      <w:r w:rsidR="008629DF">
        <w:rPr>
          <w:sz w:val="24"/>
          <w:szCs w:val="24"/>
        </w:rPr>
        <w:t>2007 June</w:t>
      </w:r>
      <w:r w:rsidR="00B65A0B">
        <w:rPr>
          <w:sz w:val="24"/>
          <w:szCs w:val="24"/>
        </w:rPr>
        <w:t xml:space="preserve"> 1 [cited 2009 July 9]. </w:t>
      </w:r>
      <w:r w:rsidR="00CA0C37">
        <w:rPr>
          <w:sz w:val="24"/>
          <w:szCs w:val="24"/>
        </w:rPr>
        <w:t>Available</w:t>
      </w:r>
      <w:r w:rsidR="008629DF">
        <w:rPr>
          <w:sz w:val="24"/>
          <w:szCs w:val="24"/>
        </w:rPr>
        <w:t xml:space="preserve"> from</w:t>
      </w:r>
      <w:r w:rsidR="00CA0C37">
        <w:rPr>
          <w:sz w:val="24"/>
          <w:szCs w:val="24"/>
        </w:rPr>
        <w:t>:</w:t>
      </w:r>
      <w:r w:rsidR="00CA0C37" w:rsidRPr="00936668">
        <w:rPr>
          <w:rFonts w:eastAsia="Calibri"/>
          <w:sz w:val="24"/>
          <w:szCs w:val="24"/>
        </w:rPr>
        <w:t xml:space="preserve"> </w:t>
      </w:r>
      <w:hyperlink r:id="rId10" w:history="1">
        <w:r w:rsidR="00CA0C37" w:rsidRPr="00936668">
          <w:rPr>
            <w:rFonts w:eastAsia="Calibri"/>
            <w:sz w:val="24"/>
            <w:szCs w:val="24"/>
          </w:rPr>
          <w:t>http://ww</w:t>
        </w:r>
        <w:r w:rsidR="00CA0C37" w:rsidRPr="00936668">
          <w:rPr>
            <w:rFonts w:eastAsia="Calibri"/>
            <w:sz w:val="24"/>
            <w:szCs w:val="24"/>
          </w:rPr>
          <w:t>w</w:t>
        </w:r>
        <w:r w:rsidR="00CA0C37" w:rsidRPr="00936668">
          <w:rPr>
            <w:rFonts w:eastAsia="Calibri"/>
            <w:sz w:val="24"/>
            <w:szCs w:val="24"/>
          </w:rPr>
          <w:t>.hc-sc.gc.ca/dhp-mps/medeff/advisories-avis/prof/_2007/avandia_hpc-cps_4-eng.php</w:t>
        </w:r>
      </w:hyperlink>
    </w:p>
    <w:p w:rsidR="00E54C8A" w:rsidRPr="00E54C8A" w:rsidRDefault="00E54C8A" w:rsidP="00CA0C37">
      <w:pPr>
        <w:pStyle w:val="EndnoteText"/>
        <w:numPr>
          <w:ilvl w:val="0"/>
          <w:numId w:val="9"/>
        </w:numPr>
        <w:spacing w:before="60" w:after="60" w:line="480" w:lineRule="auto"/>
        <w:rPr>
          <w:rFonts w:eastAsia="Calibri"/>
          <w:sz w:val="24"/>
          <w:szCs w:val="24"/>
          <w:lang w:val="de-DE"/>
        </w:rPr>
      </w:pPr>
      <w:r w:rsidRPr="00E54C8A">
        <w:rPr>
          <w:rFonts w:eastAsia="Calibri"/>
          <w:sz w:val="24"/>
          <w:szCs w:val="24"/>
          <w:lang w:val="de-DE"/>
        </w:rPr>
        <w:t xml:space="preserve">Shah BR, Juurlink DN, Austin PC, Mamdani MM. New use of rosiglitazone decreased following publication of a meta-analysis suggesting harm. </w:t>
      </w:r>
      <w:r w:rsidRPr="001F7041">
        <w:rPr>
          <w:rFonts w:eastAsia="Calibri"/>
          <w:i/>
          <w:sz w:val="24"/>
          <w:szCs w:val="24"/>
          <w:lang w:val="de-DE"/>
        </w:rPr>
        <w:t>Diabet Med</w:t>
      </w:r>
      <w:r w:rsidRPr="00E54C8A">
        <w:rPr>
          <w:rFonts w:eastAsia="Calibri"/>
          <w:sz w:val="24"/>
          <w:szCs w:val="24"/>
          <w:lang w:val="de-DE"/>
        </w:rPr>
        <w:t xml:space="preserve">. </w:t>
      </w:r>
      <w:r>
        <w:rPr>
          <w:rFonts w:eastAsia="Calibri"/>
          <w:sz w:val="24"/>
          <w:szCs w:val="24"/>
          <w:lang w:val="de-DE"/>
        </w:rPr>
        <w:t xml:space="preserve">2008 </w:t>
      </w:r>
      <w:r w:rsidRPr="00E54C8A">
        <w:rPr>
          <w:rFonts w:eastAsia="Calibri"/>
          <w:sz w:val="24"/>
          <w:szCs w:val="24"/>
          <w:lang w:val="de-DE"/>
        </w:rPr>
        <w:t>Jul;25(7):871-874.</w:t>
      </w:r>
    </w:p>
    <w:p w:rsidR="00E54C8A" w:rsidRPr="00E54C8A" w:rsidRDefault="00E54C8A" w:rsidP="00CA0C37">
      <w:pPr>
        <w:pStyle w:val="EndnoteText"/>
        <w:numPr>
          <w:ilvl w:val="0"/>
          <w:numId w:val="9"/>
        </w:numPr>
        <w:spacing w:before="60" w:after="60" w:line="480" w:lineRule="auto"/>
        <w:rPr>
          <w:rFonts w:eastAsia="Calibri"/>
          <w:sz w:val="24"/>
          <w:szCs w:val="24"/>
          <w:lang w:val="de-DE"/>
        </w:rPr>
      </w:pPr>
      <w:r w:rsidRPr="00E54C8A">
        <w:rPr>
          <w:rFonts w:eastAsia="Calibri"/>
          <w:sz w:val="24"/>
          <w:szCs w:val="24"/>
          <w:lang w:val="de-DE"/>
        </w:rPr>
        <w:t xml:space="preserve">Starner CI, Schafer JA, Heaton AH, Gleason PP. Rosiglitazone and pioglitazone utilization from January 2007 through May 2008 associated with five risk-warning events. </w:t>
      </w:r>
      <w:r w:rsidRPr="001F7041">
        <w:rPr>
          <w:rFonts w:eastAsia="Calibri"/>
          <w:i/>
          <w:sz w:val="24"/>
          <w:szCs w:val="24"/>
          <w:lang w:val="de-DE"/>
        </w:rPr>
        <w:t>J Manag Care Pharm</w:t>
      </w:r>
      <w:r w:rsidRPr="00E54C8A">
        <w:rPr>
          <w:rFonts w:eastAsia="Calibri"/>
          <w:sz w:val="24"/>
          <w:szCs w:val="24"/>
          <w:lang w:val="de-DE"/>
        </w:rPr>
        <w:t xml:space="preserve">. </w:t>
      </w:r>
      <w:r>
        <w:rPr>
          <w:rFonts w:eastAsia="Calibri"/>
          <w:sz w:val="24"/>
          <w:szCs w:val="24"/>
          <w:lang w:val="de-DE"/>
        </w:rPr>
        <w:t>2008 Jul-Aug</w:t>
      </w:r>
      <w:r w:rsidRPr="00E54C8A">
        <w:rPr>
          <w:rFonts w:eastAsia="Calibri"/>
          <w:sz w:val="24"/>
          <w:szCs w:val="24"/>
          <w:lang w:val="de-DE"/>
        </w:rPr>
        <w:t>;14(6):523-531.</w:t>
      </w:r>
    </w:p>
    <w:p w:rsidR="00E54C8A" w:rsidRPr="00E54C8A" w:rsidRDefault="00E04B97" w:rsidP="00CA0C37">
      <w:pPr>
        <w:pStyle w:val="EndnoteText"/>
        <w:numPr>
          <w:ilvl w:val="0"/>
          <w:numId w:val="9"/>
        </w:numPr>
        <w:spacing w:before="60" w:after="60" w:line="480" w:lineRule="auto"/>
        <w:rPr>
          <w:rFonts w:eastAsia="Calibri"/>
          <w:sz w:val="24"/>
          <w:szCs w:val="24"/>
          <w:lang w:val="de-DE"/>
        </w:rPr>
      </w:pPr>
      <w:r>
        <w:rPr>
          <w:rFonts w:eastAsia="Calibri"/>
          <w:sz w:val="24"/>
          <w:szCs w:val="24"/>
          <w:lang w:val="de-DE"/>
        </w:rPr>
        <w:t>George J, Hannah S</w:t>
      </w:r>
      <w:r w:rsidR="00E54C8A" w:rsidRPr="00E54C8A">
        <w:rPr>
          <w:rFonts w:eastAsia="Calibri"/>
          <w:sz w:val="24"/>
          <w:szCs w:val="24"/>
          <w:lang w:val="de-DE"/>
        </w:rPr>
        <w:t xml:space="preserve">, Lang CC. Thiazolidinediones and the influence of media adverse reporting on prescribing attitudes in practice (TZD-IMPACT) study. </w:t>
      </w:r>
      <w:r w:rsidR="00E54C8A" w:rsidRPr="001F7041">
        <w:rPr>
          <w:rFonts w:eastAsia="Calibri"/>
          <w:i/>
          <w:sz w:val="24"/>
          <w:szCs w:val="24"/>
          <w:lang w:val="de-DE"/>
        </w:rPr>
        <w:t>Cardiovasc Ther</w:t>
      </w:r>
      <w:r w:rsidR="00E54C8A" w:rsidRPr="00E54C8A">
        <w:rPr>
          <w:rFonts w:eastAsia="Calibri"/>
          <w:sz w:val="24"/>
          <w:szCs w:val="24"/>
          <w:lang w:val="de-DE"/>
        </w:rPr>
        <w:t>. 2009</w:t>
      </w:r>
      <w:r w:rsidR="00E54C8A">
        <w:rPr>
          <w:rFonts w:eastAsia="Calibri"/>
          <w:sz w:val="24"/>
          <w:szCs w:val="24"/>
          <w:lang w:val="de-DE"/>
        </w:rPr>
        <w:t xml:space="preserve"> </w:t>
      </w:r>
      <w:r w:rsidR="00E54C8A" w:rsidRPr="00E54C8A">
        <w:rPr>
          <w:rFonts w:eastAsia="Calibri"/>
          <w:sz w:val="24"/>
          <w:szCs w:val="24"/>
          <w:lang w:val="de-DE"/>
        </w:rPr>
        <w:t>Summer;27(2):83-88.</w:t>
      </w:r>
    </w:p>
    <w:p w:rsidR="00CA0C37" w:rsidRDefault="0080718C" w:rsidP="00CA0C37">
      <w:pPr>
        <w:pStyle w:val="EndnoteText"/>
        <w:numPr>
          <w:ilvl w:val="0"/>
          <w:numId w:val="9"/>
        </w:numPr>
        <w:spacing w:before="60" w:after="60" w:line="480" w:lineRule="auto"/>
        <w:rPr>
          <w:sz w:val="24"/>
          <w:szCs w:val="24"/>
        </w:rPr>
      </w:pPr>
      <w:r>
        <w:rPr>
          <w:sz w:val="24"/>
          <w:szCs w:val="24"/>
        </w:rPr>
        <w:t>Ministry of Health</w:t>
      </w:r>
      <w:r w:rsidR="0086482C">
        <w:rPr>
          <w:sz w:val="24"/>
          <w:szCs w:val="24"/>
        </w:rPr>
        <w:t xml:space="preserve"> (</w:t>
      </w:r>
      <w:smartTag w:uri="urn:schemas-microsoft-com:office:smarttags" w:element="State">
        <w:smartTag w:uri="urn:schemas-microsoft-com:office:smarttags" w:element="place">
          <w:r w:rsidR="0086482C">
            <w:rPr>
              <w:sz w:val="24"/>
              <w:szCs w:val="24"/>
            </w:rPr>
            <w:t>British Columbia</w:t>
          </w:r>
        </w:smartTag>
      </w:smartTag>
      <w:r w:rsidR="0086482C">
        <w:rPr>
          <w:sz w:val="24"/>
          <w:szCs w:val="24"/>
        </w:rPr>
        <w:t>),</w:t>
      </w:r>
      <w:r>
        <w:rPr>
          <w:sz w:val="24"/>
          <w:szCs w:val="24"/>
        </w:rPr>
        <w:t xml:space="preserve"> P</w:t>
      </w:r>
      <w:r w:rsidR="0086482C">
        <w:rPr>
          <w:sz w:val="24"/>
          <w:szCs w:val="24"/>
        </w:rPr>
        <w:t>harmaCare.</w:t>
      </w:r>
      <w:r>
        <w:rPr>
          <w:sz w:val="24"/>
          <w:szCs w:val="24"/>
        </w:rPr>
        <w:t xml:space="preserve"> </w:t>
      </w:r>
      <w:r w:rsidR="00CA0C37" w:rsidRPr="00936668">
        <w:rPr>
          <w:rStyle w:val="EndnoteReference"/>
          <w:sz w:val="24"/>
          <w:szCs w:val="24"/>
          <w:vertAlign w:val="baseline"/>
        </w:rPr>
        <w:t xml:space="preserve">Coverage of </w:t>
      </w:r>
      <w:proofErr w:type="spellStart"/>
      <w:r w:rsidR="00CA0C37" w:rsidRPr="00936668">
        <w:rPr>
          <w:rStyle w:val="EndnoteReference"/>
          <w:sz w:val="24"/>
          <w:szCs w:val="24"/>
          <w:vertAlign w:val="baseline"/>
        </w:rPr>
        <w:t>thiazolidindiones</w:t>
      </w:r>
      <w:proofErr w:type="spellEnd"/>
      <w:r w:rsidR="00CA0C37" w:rsidRPr="00936668">
        <w:rPr>
          <w:rStyle w:val="EndnoteReference"/>
          <w:sz w:val="24"/>
          <w:szCs w:val="24"/>
          <w:vertAlign w:val="baseline"/>
        </w:rPr>
        <w:t xml:space="preserve"> (TZDs) for patients with Type II diabete</w:t>
      </w:r>
      <w:r w:rsidR="00CA0C37">
        <w:rPr>
          <w:rStyle w:val="EndnoteReference"/>
          <w:sz w:val="24"/>
          <w:szCs w:val="24"/>
          <w:vertAlign w:val="baseline"/>
        </w:rPr>
        <w:t>s.</w:t>
      </w:r>
      <w:r w:rsidR="00CA0C37" w:rsidRPr="00936668">
        <w:rPr>
          <w:rStyle w:val="EndnoteReference"/>
          <w:sz w:val="24"/>
          <w:szCs w:val="24"/>
          <w:vertAlign w:val="baseline"/>
        </w:rPr>
        <w:t xml:space="preserve"> </w:t>
      </w:r>
      <w:r w:rsidR="00CA0C37" w:rsidRPr="001F7041">
        <w:rPr>
          <w:rStyle w:val="EndnoteReference"/>
          <w:i/>
          <w:sz w:val="24"/>
          <w:szCs w:val="24"/>
          <w:vertAlign w:val="baseline"/>
        </w:rPr>
        <w:t xml:space="preserve">BC </w:t>
      </w:r>
      <w:proofErr w:type="spellStart"/>
      <w:r w:rsidR="00CA0C37" w:rsidRPr="001F7041">
        <w:rPr>
          <w:rStyle w:val="EndnoteReference"/>
          <w:i/>
          <w:sz w:val="24"/>
          <w:szCs w:val="24"/>
          <w:vertAlign w:val="baseline"/>
        </w:rPr>
        <w:t>Pharmacare</w:t>
      </w:r>
      <w:proofErr w:type="spellEnd"/>
      <w:r w:rsidR="00CA0C37" w:rsidRPr="001F7041">
        <w:rPr>
          <w:rStyle w:val="EndnoteReference"/>
          <w:i/>
          <w:sz w:val="24"/>
          <w:szCs w:val="24"/>
          <w:vertAlign w:val="baseline"/>
        </w:rPr>
        <w:t xml:space="preserve"> Newsletter</w:t>
      </w:r>
      <w:r w:rsidR="00CA0C37" w:rsidRPr="00936668">
        <w:rPr>
          <w:rStyle w:val="EndnoteReference"/>
          <w:sz w:val="24"/>
          <w:szCs w:val="24"/>
          <w:vertAlign w:val="baseline"/>
        </w:rPr>
        <w:t xml:space="preserve"> </w:t>
      </w:r>
      <w:r w:rsidR="0086482C">
        <w:rPr>
          <w:sz w:val="24"/>
          <w:szCs w:val="24"/>
        </w:rPr>
        <w:t>[Internet]. 2005 Nov 7 [cited 2009 Jul 9];</w:t>
      </w:r>
      <w:r w:rsidR="00CA0C37" w:rsidRPr="00936668">
        <w:rPr>
          <w:rStyle w:val="EndnoteReference"/>
          <w:sz w:val="24"/>
          <w:szCs w:val="24"/>
          <w:vertAlign w:val="baseline"/>
        </w:rPr>
        <w:t xml:space="preserve">5(6): 1. </w:t>
      </w:r>
      <w:r w:rsidR="00CA0C37">
        <w:rPr>
          <w:rStyle w:val="EndnoteReference"/>
          <w:sz w:val="24"/>
          <w:szCs w:val="24"/>
          <w:vertAlign w:val="baseline"/>
        </w:rPr>
        <w:t>Available</w:t>
      </w:r>
      <w:r w:rsidR="0086482C" w:rsidRPr="0086482C">
        <w:rPr>
          <w:rStyle w:val="EndnoteReference"/>
          <w:vertAlign w:val="baseline"/>
        </w:rPr>
        <w:t xml:space="preserve"> </w:t>
      </w:r>
      <w:r w:rsidR="0086482C" w:rsidRPr="0086482C">
        <w:rPr>
          <w:rStyle w:val="EndnoteReference"/>
          <w:sz w:val="24"/>
          <w:szCs w:val="24"/>
          <w:vertAlign w:val="baseline"/>
        </w:rPr>
        <w:t>from</w:t>
      </w:r>
      <w:r w:rsidR="00CA0C37">
        <w:rPr>
          <w:rStyle w:val="EndnoteReference"/>
          <w:sz w:val="24"/>
          <w:szCs w:val="24"/>
          <w:vertAlign w:val="baseline"/>
        </w:rPr>
        <w:t>:</w:t>
      </w:r>
      <w:r w:rsidR="00CA0C37" w:rsidRPr="00936668">
        <w:rPr>
          <w:rStyle w:val="EndnoteReference"/>
          <w:sz w:val="24"/>
          <w:szCs w:val="24"/>
          <w:vertAlign w:val="baseline"/>
        </w:rPr>
        <w:t xml:space="preserve"> </w:t>
      </w:r>
      <w:r w:rsidR="00484E97" w:rsidRPr="0086482C">
        <w:rPr>
          <w:rStyle w:val="EndnoteReference"/>
          <w:sz w:val="24"/>
          <w:szCs w:val="24"/>
          <w:vertAlign w:val="baseline"/>
        </w:rPr>
        <w:t xml:space="preserve"> http://www.health.gov.bc.ca/pharmacare/newsletter/05006news.pdf</w:t>
      </w:r>
    </w:p>
    <w:p w:rsidR="00C53D63" w:rsidRPr="002445C4" w:rsidRDefault="00271309" w:rsidP="00C53D63">
      <w:pPr>
        <w:pStyle w:val="EndnoteText"/>
        <w:numPr>
          <w:ilvl w:val="0"/>
          <w:numId w:val="9"/>
        </w:numPr>
        <w:spacing w:before="60" w:after="60" w:line="480" w:lineRule="auto"/>
        <w:rPr>
          <w:rStyle w:val="EndnoteReference"/>
          <w:sz w:val="24"/>
          <w:szCs w:val="24"/>
          <w:vertAlign w:val="baseline"/>
        </w:rPr>
      </w:pPr>
      <w:r>
        <w:rPr>
          <w:sz w:val="24"/>
          <w:szCs w:val="24"/>
        </w:rPr>
        <w:lastRenderedPageBreak/>
        <w:t>Ministry of Health (</w:t>
      </w:r>
      <w:smartTag w:uri="urn:schemas-microsoft-com:office:smarttags" w:element="State">
        <w:smartTag w:uri="urn:schemas-microsoft-com:office:smarttags" w:element="place">
          <w:r>
            <w:rPr>
              <w:sz w:val="24"/>
              <w:szCs w:val="24"/>
            </w:rPr>
            <w:t>British Columbia</w:t>
          </w:r>
        </w:smartTag>
      </w:smartTag>
      <w:r>
        <w:rPr>
          <w:sz w:val="24"/>
          <w:szCs w:val="24"/>
        </w:rPr>
        <w:t xml:space="preserve">), </w:t>
      </w:r>
      <w:r w:rsidR="0080718C">
        <w:rPr>
          <w:sz w:val="24"/>
          <w:szCs w:val="24"/>
        </w:rPr>
        <w:t xml:space="preserve">Pharmaceutical Services Division. </w:t>
      </w:r>
      <w:r w:rsidR="00C53D63" w:rsidRPr="002445C4">
        <w:rPr>
          <w:rStyle w:val="EndnoteReference"/>
          <w:sz w:val="24"/>
          <w:szCs w:val="24"/>
          <w:vertAlign w:val="baseline"/>
        </w:rPr>
        <w:t xml:space="preserve">Limited coverage program. </w:t>
      </w:r>
      <w:r w:rsidR="00C53D63" w:rsidRPr="001F7041">
        <w:rPr>
          <w:rStyle w:val="EndnoteReference"/>
          <w:i/>
          <w:sz w:val="24"/>
          <w:szCs w:val="24"/>
          <w:vertAlign w:val="baseline"/>
        </w:rPr>
        <w:t xml:space="preserve">BC </w:t>
      </w:r>
      <w:proofErr w:type="spellStart"/>
      <w:r w:rsidR="00C53D63" w:rsidRPr="001F7041">
        <w:rPr>
          <w:rStyle w:val="EndnoteReference"/>
          <w:i/>
          <w:sz w:val="24"/>
          <w:szCs w:val="24"/>
          <w:vertAlign w:val="baseline"/>
        </w:rPr>
        <w:t>Pharmacare</w:t>
      </w:r>
      <w:proofErr w:type="spellEnd"/>
      <w:r w:rsidR="00C53D63" w:rsidRPr="001F7041">
        <w:rPr>
          <w:rStyle w:val="EndnoteReference"/>
          <w:i/>
          <w:sz w:val="24"/>
          <w:szCs w:val="24"/>
          <w:vertAlign w:val="baseline"/>
        </w:rPr>
        <w:t xml:space="preserve"> Newsletter</w:t>
      </w:r>
      <w:r>
        <w:rPr>
          <w:sz w:val="24"/>
          <w:szCs w:val="24"/>
        </w:rPr>
        <w:t xml:space="preserve"> [Internet]. 2007 Aug 2 [cited 2009 Jul 9];</w:t>
      </w:r>
      <w:r w:rsidR="00C53D63" w:rsidRPr="002445C4">
        <w:rPr>
          <w:rStyle w:val="EndnoteReference"/>
          <w:sz w:val="24"/>
          <w:szCs w:val="24"/>
          <w:vertAlign w:val="baseline"/>
        </w:rPr>
        <w:t xml:space="preserve"> 7(5): 7. Available</w:t>
      </w:r>
      <w:r>
        <w:rPr>
          <w:sz w:val="24"/>
          <w:szCs w:val="24"/>
        </w:rPr>
        <w:t xml:space="preserve"> from</w:t>
      </w:r>
      <w:r w:rsidR="00C53D63" w:rsidRPr="002445C4">
        <w:rPr>
          <w:rStyle w:val="EndnoteReference"/>
          <w:sz w:val="24"/>
          <w:szCs w:val="24"/>
          <w:vertAlign w:val="baseline"/>
        </w:rPr>
        <w:t xml:space="preserve">: </w:t>
      </w:r>
      <w:hyperlink r:id="rId11" w:history="1">
        <w:r w:rsidR="00C53D63" w:rsidRPr="002445C4">
          <w:rPr>
            <w:rStyle w:val="EndnoteReference"/>
            <w:sz w:val="24"/>
            <w:szCs w:val="24"/>
            <w:vertAlign w:val="baseline"/>
          </w:rPr>
          <w:t>http://www.health.gov.bc.ca/pharme/newsletter/07-005news.pdf</w:t>
        </w:r>
      </w:hyperlink>
    </w:p>
    <w:p w:rsidR="00CA0C37" w:rsidRDefault="00CA0C37" w:rsidP="00CA0C37">
      <w:pPr>
        <w:pStyle w:val="EndnoteText"/>
        <w:numPr>
          <w:ilvl w:val="0"/>
          <w:numId w:val="9"/>
        </w:numPr>
        <w:spacing w:before="60" w:after="60" w:line="480" w:lineRule="auto"/>
        <w:rPr>
          <w:sz w:val="24"/>
          <w:szCs w:val="24"/>
        </w:rPr>
      </w:pPr>
      <w:r w:rsidRPr="00410B61">
        <w:rPr>
          <w:sz w:val="24"/>
          <w:szCs w:val="24"/>
        </w:rPr>
        <w:t xml:space="preserve">Dormuth CR, Glynn RJ, Neumann P, Maclure M, </w:t>
      </w:r>
      <w:proofErr w:type="spellStart"/>
      <w:r w:rsidRPr="00410B61">
        <w:rPr>
          <w:sz w:val="24"/>
          <w:szCs w:val="24"/>
        </w:rPr>
        <w:t>Brookhart</w:t>
      </w:r>
      <w:proofErr w:type="spellEnd"/>
      <w:r w:rsidRPr="00410B61">
        <w:rPr>
          <w:sz w:val="24"/>
          <w:szCs w:val="24"/>
        </w:rPr>
        <w:t xml:space="preserve"> AM, </w:t>
      </w:r>
      <w:proofErr w:type="spellStart"/>
      <w:r w:rsidRPr="00410B61">
        <w:rPr>
          <w:sz w:val="24"/>
          <w:szCs w:val="24"/>
        </w:rPr>
        <w:t>Schneeweiss</w:t>
      </w:r>
      <w:proofErr w:type="spellEnd"/>
      <w:r w:rsidRPr="00410B61">
        <w:rPr>
          <w:sz w:val="24"/>
          <w:szCs w:val="24"/>
        </w:rPr>
        <w:t xml:space="preserve"> S. Impact of two sequential drug cost-sharing policies on the use of inhaled medications in older patients with chronic obstructive pulmonary disease or asthma. </w:t>
      </w:r>
      <w:proofErr w:type="spellStart"/>
      <w:r w:rsidRPr="001F7041">
        <w:rPr>
          <w:i/>
          <w:sz w:val="24"/>
          <w:szCs w:val="24"/>
        </w:rPr>
        <w:t>Clin</w:t>
      </w:r>
      <w:proofErr w:type="spellEnd"/>
      <w:r w:rsidRPr="001F7041">
        <w:rPr>
          <w:i/>
          <w:sz w:val="24"/>
          <w:szCs w:val="24"/>
        </w:rPr>
        <w:t xml:space="preserve"> </w:t>
      </w:r>
      <w:proofErr w:type="spellStart"/>
      <w:r w:rsidRPr="001F7041">
        <w:rPr>
          <w:i/>
          <w:sz w:val="24"/>
          <w:szCs w:val="24"/>
        </w:rPr>
        <w:t>Ther</w:t>
      </w:r>
      <w:proofErr w:type="spellEnd"/>
      <w:r w:rsidRPr="001F7041">
        <w:rPr>
          <w:i/>
          <w:sz w:val="24"/>
          <w:szCs w:val="24"/>
        </w:rPr>
        <w:t>.</w:t>
      </w:r>
      <w:r w:rsidRPr="00410B61">
        <w:rPr>
          <w:sz w:val="24"/>
          <w:szCs w:val="24"/>
        </w:rPr>
        <w:t xml:space="preserve"> </w:t>
      </w:r>
      <w:r w:rsidR="00E54C8A">
        <w:rPr>
          <w:sz w:val="24"/>
          <w:szCs w:val="24"/>
        </w:rPr>
        <w:t>2006 Jun</w:t>
      </w:r>
      <w:r w:rsidRPr="00410B61">
        <w:rPr>
          <w:sz w:val="24"/>
          <w:szCs w:val="24"/>
        </w:rPr>
        <w:t>;28(6):964-978; discussion 962-963.</w:t>
      </w:r>
    </w:p>
    <w:p w:rsidR="00CA0C37" w:rsidRPr="00410B61" w:rsidRDefault="00CA0C37" w:rsidP="00CA0C37">
      <w:pPr>
        <w:pStyle w:val="EndnoteText"/>
        <w:numPr>
          <w:ilvl w:val="0"/>
          <w:numId w:val="9"/>
        </w:numPr>
        <w:spacing w:before="60" w:after="60" w:line="480" w:lineRule="auto"/>
        <w:rPr>
          <w:sz w:val="24"/>
          <w:szCs w:val="24"/>
        </w:rPr>
      </w:pPr>
      <w:r w:rsidRPr="00410B61">
        <w:rPr>
          <w:sz w:val="24"/>
          <w:szCs w:val="24"/>
        </w:rPr>
        <w:t xml:space="preserve">Humphries KH, Rankin JM, </w:t>
      </w:r>
      <w:proofErr w:type="spellStart"/>
      <w:r w:rsidRPr="00410B61">
        <w:rPr>
          <w:sz w:val="24"/>
          <w:szCs w:val="24"/>
        </w:rPr>
        <w:t>Carere</w:t>
      </w:r>
      <w:proofErr w:type="spellEnd"/>
      <w:r w:rsidRPr="00410B61">
        <w:rPr>
          <w:sz w:val="24"/>
          <w:szCs w:val="24"/>
        </w:rPr>
        <w:t xml:space="preserve"> RG, </w:t>
      </w:r>
      <w:proofErr w:type="spellStart"/>
      <w:r w:rsidRPr="00410B61">
        <w:rPr>
          <w:sz w:val="24"/>
          <w:szCs w:val="24"/>
        </w:rPr>
        <w:t>Buller</w:t>
      </w:r>
      <w:proofErr w:type="spellEnd"/>
      <w:r w:rsidRPr="00410B61">
        <w:rPr>
          <w:sz w:val="24"/>
          <w:szCs w:val="24"/>
        </w:rPr>
        <w:t xml:space="preserve"> CE, </w:t>
      </w:r>
      <w:proofErr w:type="spellStart"/>
      <w:r w:rsidRPr="00410B61">
        <w:rPr>
          <w:sz w:val="24"/>
          <w:szCs w:val="24"/>
        </w:rPr>
        <w:t>Kiely</w:t>
      </w:r>
      <w:proofErr w:type="spellEnd"/>
      <w:r w:rsidRPr="00410B61">
        <w:rPr>
          <w:sz w:val="24"/>
          <w:szCs w:val="24"/>
        </w:rPr>
        <w:t xml:space="preserve"> FM, </w:t>
      </w:r>
      <w:proofErr w:type="spellStart"/>
      <w:r w:rsidRPr="00410B61">
        <w:rPr>
          <w:sz w:val="24"/>
          <w:szCs w:val="24"/>
        </w:rPr>
        <w:t>Spinelli</w:t>
      </w:r>
      <w:proofErr w:type="spellEnd"/>
      <w:r w:rsidRPr="00410B61">
        <w:rPr>
          <w:sz w:val="24"/>
          <w:szCs w:val="24"/>
        </w:rPr>
        <w:t xml:space="preserve"> JJ. Co-morbidity data in outcomes research: are clinical data derived from administrative databases a reliable alternative to chart review? </w:t>
      </w:r>
      <w:r w:rsidRPr="001F7041">
        <w:rPr>
          <w:i/>
          <w:sz w:val="24"/>
          <w:szCs w:val="24"/>
        </w:rPr>
        <w:t xml:space="preserve">J </w:t>
      </w:r>
      <w:proofErr w:type="spellStart"/>
      <w:r w:rsidRPr="001F7041">
        <w:rPr>
          <w:i/>
          <w:sz w:val="24"/>
          <w:szCs w:val="24"/>
        </w:rPr>
        <w:t>Clin</w:t>
      </w:r>
      <w:proofErr w:type="spellEnd"/>
      <w:r w:rsidRPr="001F7041">
        <w:rPr>
          <w:i/>
          <w:sz w:val="24"/>
          <w:szCs w:val="24"/>
        </w:rPr>
        <w:t xml:space="preserve"> </w:t>
      </w:r>
      <w:proofErr w:type="spellStart"/>
      <w:r w:rsidRPr="001F7041">
        <w:rPr>
          <w:i/>
          <w:sz w:val="24"/>
          <w:szCs w:val="24"/>
        </w:rPr>
        <w:t>Epidemiol</w:t>
      </w:r>
      <w:proofErr w:type="spellEnd"/>
      <w:r w:rsidRPr="00410B61">
        <w:rPr>
          <w:sz w:val="24"/>
          <w:szCs w:val="24"/>
        </w:rPr>
        <w:t xml:space="preserve">. </w:t>
      </w:r>
      <w:r w:rsidR="00E54C8A" w:rsidRPr="00410B61">
        <w:rPr>
          <w:sz w:val="24"/>
          <w:szCs w:val="24"/>
        </w:rPr>
        <w:t>2000</w:t>
      </w:r>
      <w:r w:rsidR="00E54C8A">
        <w:rPr>
          <w:sz w:val="24"/>
          <w:szCs w:val="24"/>
        </w:rPr>
        <w:t xml:space="preserve"> </w:t>
      </w:r>
      <w:r w:rsidRPr="00410B61">
        <w:rPr>
          <w:sz w:val="24"/>
          <w:szCs w:val="24"/>
        </w:rPr>
        <w:t>A</w:t>
      </w:r>
      <w:r w:rsidR="00E54C8A">
        <w:rPr>
          <w:sz w:val="24"/>
          <w:szCs w:val="24"/>
        </w:rPr>
        <w:t>pr</w:t>
      </w:r>
      <w:r w:rsidRPr="00410B61">
        <w:rPr>
          <w:sz w:val="24"/>
          <w:szCs w:val="24"/>
        </w:rPr>
        <w:t>;53(4):343-349.</w:t>
      </w:r>
    </w:p>
    <w:p w:rsidR="00CA0C37" w:rsidRDefault="00CA0C37" w:rsidP="00CA0C37">
      <w:pPr>
        <w:pStyle w:val="EndnoteText"/>
        <w:numPr>
          <w:ilvl w:val="0"/>
          <w:numId w:val="9"/>
        </w:numPr>
        <w:spacing w:before="60" w:after="60" w:line="480" w:lineRule="auto"/>
        <w:rPr>
          <w:sz w:val="24"/>
          <w:szCs w:val="24"/>
        </w:rPr>
      </w:pPr>
      <w:r w:rsidRPr="00410B61">
        <w:rPr>
          <w:sz w:val="24"/>
          <w:szCs w:val="24"/>
        </w:rPr>
        <w:t xml:space="preserve">Steele LS, Glazier RH, Lin E, Evans M. Using administrative data to measure ambulatory mental health service provision in primary care. </w:t>
      </w:r>
      <w:r w:rsidRPr="001F7041">
        <w:rPr>
          <w:i/>
          <w:sz w:val="24"/>
          <w:szCs w:val="24"/>
        </w:rPr>
        <w:t>Med Care</w:t>
      </w:r>
      <w:r w:rsidRPr="00410B61">
        <w:rPr>
          <w:sz w:val="24"/>
          <w:szCs w:val="24"/>
        </w:rPr>
        <w:t xml:space="preserve">. </w:t>
      </w:r>
      <w:r w:rsidR="00E54C8A" w:rsidRPr="00410B61">
        <w:rPr>
          <w:sz w:val="24"/>
          <w:szCs w:val="24"/>
        </w:rPr>
        <w:t>2004</w:t>
      </w:r>
      <w:r w:rsidR="00E54C8A">
        <w:rPr>
          <w:sz w:val="24"/>
          <w:szCs w:val="24"/>
        </w:rPr>
        <w:t xml:space="preserve"> </w:t>
      </w:r>
      <w:r w:rsidRPr="00410B61">
        <w:rPr>
          <w:sz w:val="24"/>
          <w:szCs w:val="24"/>
        </w:rPr>
        <w:t>Oct;42(10):960-965.</w:t>
      </w:r>
    </w:p>
    <w:p w:rsidR="00CA0C37" w:rsidRPr="001F0E58" w:rsidRDefault="00CA0C37" w:rsidP="00CA0C37">
      <w:pPr>
        <w:pStyle w:val="EndnoteText"/>
        <w:numPr>
          <w:ilvl w:val="0"/>
          <w:numId w:val="9"/>
        </w:numPr>
        <w:spacing w:before="60" w:after="60" w:line="480" w:lineRule="auto"/>
        <w:rPr>
          <w:sz w:val="24"/>
          <w:szCs w:val="24"/>
        </w:rPr>
      </w:pPr>
      <w:proofErr w:type="spellStart"/>
      <w:r w:rsidRPr="001F0E58">
        <w:rPr>
          <w:sz w:val="24"/>
          <w:szCs w:val="24"/>
        </w:rPr>
        <w:t>Schneeweiss</w:t>
      </w:r>
      <w:proofErr w:type="spellEnd"/>
      <w:r w:rsidRPr="001F0E58">
        <w:rPr>
          <w:sz w:val="24"/>
          <w:szCs w:val="24"/>
        </w:rPr>
        <w:t xml:space="preserve"> S, </w:t>
      </w:r>
      <w:smartTag w:uri="urn:schemas-microsoft-com:office:smarttags" w:element="place">
        <w:smartTag w:uri="urn:schemas-microsoft-com:office:smarttags" w:element="City">
          <w:r w:rsidRPr="001F0E58">
            <w:rPr>
              <w:sz w:val="24"/>
              <w:szCs w:val="24"/>
            </w:rPr>
            <w:t>Walker</w:t>
          </w:r>
        </w:smartTag>
      </w:smartTag>
      <w:r w:rsidRPr="001F0E58">
        <w:rPr>
          <w:sz w:val="24"/>
          <w:szCs w:val="24"/>
        </w:rPr>
        <w:t xml:space="preserve"> AM, Glynn RJ, Maclure M, Dormuth C, </w:t>
      </w:r>
      <w:proofErr w:type="spellStart"/>
      <w:r w:rsidRPr="001F0E58">
        <w:rPr>
          <w:sz w:val="24"/>
          <w:szCs w:val="24"/>
        </w:rPr>
        <w:t>Soumerai</w:t>
      </w:r>
      <w:proofErr w:type="spellEnd"/>
      <w:r w:rsidRPr="001F0E58">
        <w:rPr>
          <w:sz w:val="24"/>
          <w:szCs w:val="24"/>
        </w:rPr>
        <w:t xml:space="preserve"> SB. Outcomes of reference pricing for </w:t>
      </w:r>
      <w:proofErr w:type="spellStart"/>
      <w:r w:rsidRPr="001F0E58">
        <w:rPr>
          <w:sz w:val="24"/>
          <w:szCs w:val="24"/>
        </w:rPr>
        <w:t>angiotensin</w:t>
      </w:r>
      <w:proofErr w:type="spellEnd"/>
      <w:r w:rsidRPr="001F0E58">
        <w:rPr>
          <w:sz w:val="24"/>
          <w:szCs w:val="24"/>
        </w:rPr>
        <w:t xml:space="preserve">-converting-enzyme inhibitors. </w:t>
      </w:r>
      <w:smartTag w:uri="urn:schemas-microsoft-com:office:smarttags" w:element="place">
        <w:r w:rsidRPr="001F7041">
          <w:rPr>
            <w:i/>
            <w:sz w:val="24"/>
            <w:szCs w:val="24"/>
          </w:rPr>
          <w:t xml:space="preserve">N </w:t>
        </w:r>
        <w:proofErr w:type="spellStart"/>
        <w:r w:rsidRPr="001F7041">
          <w:rPr>
            <w:i/>
            <w:sz w:val="24"/>
            <w:szCs w:val="24"/>
          </w:rPr>
          <w:t>Engl</w:t>
        </w:r>
      </w:smartTag>
      <w:proofErr w:type="spellEnd"/>
      <w:r w:rsidRPr="001F7041">
        <w:rPr>
          <w:i/>
          <w:sz w:val="24"/>
          <w:szCs w:val="24"/>
        </w:rPr>
        <w:t xml:space="preserve"> J Med</w:t>
      </w:r>
      <w:r w:rsidRPr="001F0E58">
        <w:rPr>
          <w:sz w:val="24"/>
          <w:szCs w:val="24"/>
        </w:rPr>
        <w:t xml:space="preserve">. </w:t>
      </w:r>
      <w:r w:rsidR="00E54C8A" w:rsidRPr="001F0E58">
        <w:rPr>
          <w:sz w:val="24"/>
          <w:szCs w:val="24"/>
        </w:rPr>
        <w:t>2002</w:t>
      </w:r>
      <w:r w:rsidR="00E54C8A">
        <w:rPr>
          <w:sz w:val="24"/>
          <w:szCs w:val="24"/>
        </w:rPr>
        <w:t xml:space="preserve"> </w:t>
      </w:r>
      <w:r w:rsidRPr="001F0E58">
        <w:rPr>
          <w:sz w:val="24"/>
          <w:szCs w:val="24"/>
        </w:rPr>
        <w:t>Mar 14;346(11):822-829.</w:t>
      </w:r>
    </w:p>
    <w:p w:rsidR="00CA0C37" w:rsidRPr="001F0E58" w:rsidRDefault="00CA0C37" w:rsidP="00CA0C37">
      <w:pPr>
        <w:pStyle w:val="EndnoteText"/>
        <w:numPr>
          <w:ilvl w:val="0"/>
          <w:numId w:val="9"/>
        </w:numPr>
        <w:spacing w:before="60" w:after="60" w:line="480" w:lineRule="auto"/>
        <w:rPr>
          <w:sz w:val="24"/>
          <w:szCs w:val="24"/>
        </w:rPr>
      </w:pPr>
      <w:proofErr w:type="spellStart"/>
      <w:r w:rsidRPr="001F0E58">
        <w:rPr>
          <w:sz w:val="24"/>
          <w:szCs w:val="24"/>
        </w:rPr>
        <w:t>Schneeweiss</w:t>
      </w:r>
      <w:proofErr w:type="spellEnd"/>
      <w:r w:rsidRPr="001F0E58">
        <w:rPr>
          <w:sz w:val="24"/>
          <w:szCs w:val="24"/>
        </w:rPr>
        <w:t xml:space="preserve"> S, </w:t>
      </w:r>
      <w:proofErr w:type="spellStart"/>
      <w:r w:rsidRPr="001F0E58">
        <w:rPr>
          <w:sz w:val="24"/>
          <w:szCs w:val="24"/>
        </w:rPr>
        <w:t>Soumerai</w:t>
      </w:r>
      <w:proofErr w:type="spellEnd"/>
      <w:r w:rsidRPr="001F0E58">
        <w:rPr>
          <w:sz w:val="24"/>
          <w:szCs w:val="24"/>
        </w:rPr>
        <w:t xml:space="preserve"> SB, Maclure M, Dormuth C, </w:t>
      </w:r>
      <w:smartTag w:uri="urn:schemas-microsoft-com:office:smarttags" w:element="place">
        <w:smartTag w:uri="urn:schemas-microsoft-com:office:smarttags" w:element="City">
          <w:r w:rsidRPr="001F0E58">
            <w:rPr>
              <w:sz w:val="24"/>
              <w:szCs w:val="24"/>
            </w:rPr>
            <w:t>Walker</w:t>
          </w:r>
        </w:smartTag>
      </w:smartTag>
      <w:r w:rsidRPr="001F0E58">
        <w:rPr>
          <w:sz w:val="24"/>
          <w:szCs w:val="24"/>
        </w:rPr>
        <w:t xml:space="preserve"> AM, Glynn RJ. Clinical and economic consequences of reference pricing for </w:t>
      </w:r>
      <w:proofErr w:type="spellStart"/>
      <w:r w:rsidRPr="001F0E58">
        <w:rPr>
          <w:sz w:val="24"/>
          <w:szCs w:val="24"/>
        </w:rPr>
        <w:t>dihydropyridine</w:t>
      </w:r>
      <w:proofErr w:type="spellEnd"/>
      <w:r w:rsidRPr="001F0E58">
        <w:rPr>
          <w:sz w:val="24"/>
          <w:szCs w:val="24"/>
        </w:rPr>
        <w:t xml:space="preserve"> calcium channel blockers. </w:t>
      </w:r>
      <w:proofErr w:type="spellStart"/>
      <w:r w:rsidRPr="001F7041">
        <w:rPr>
          <w:i/>
          <w:sz w:val="24"/>
          <w:szCs w:val="24"/>
        </w:rPr>
        <w:t>Clin</w:t>
      </w:r>
      <w:proofErr w:type="spellEnd"/>
      <w:r w:rsidRPr="001F7041">
        <w:rPr>
          <w:i/>
          <w:sz w:val="24"/>
          <w:szCs w:val="24"/>
        </w:rPr>
        <w:t xml:space="preserve"> </w:t>
      </w:r>
      <w:proofErr w:type="spellStart"/>
      <w:r w:rsidRPr="001F7041">
        <w:rPr>
          <w:i/>
          <w:sz w:val="24"/>
          <w:szCs w:val="24"/>
        </w:rPr>
        <w:t>Pharmacol</w:t>
      </w:r>
      <w:proofErr w:type="spellEnd"/>
      <w:r w:rsidRPr="001F7041">
        <w:rPr>
          <w:i/>
          <w:sz w:val="24"/>
          <w:szCs w:val="24"/>
        </w:rPr>
        <w:t xml:space="preserve"> </w:t>
      </w:r>
      <w:proofErr w:type="spellStart"/>
      <w:r w:rsidRPr="001F7041">
        <w:rPr>
          <w:i/>
          <w:sz w:val="24"/>
          <w:szCs w:val="24"/>
        </w:rPr>
        <w:t>Ther</w:t>
      </w:r>
      <w:proofErr w:type="spellEnd"/>
      <w:r w:rsidRPr="001F0E58">
        <w:rPr>
          <w:sz w:val="24"/>
          <w:szCs w:val="24"/>
        </w:rPr>
        <w:t xml:space="preserve">. </w:t>
      </w:r>
      <w:r w:rsidR="00E54C8A" w:rsidRPr="001F0E58">
        <w:rPr>
          <w:sz w:val="24"/>
          <w:szCs w:val="24"/>
        </w:rPr>
        <w:t>2003</w:t>
      </w:r>
      <w:r w:rsidR="00E54C8A">
        <w:rPr>
          <w:sz w:val="24"/>
          <w:szCs w:val="24"/>
        </w:rPr>
        <w:t xml:space="preserve"> </w:t>
      </w:r>
      <w:r w:rsidRPr="001F0E58">
        <w:rPr>
          <w:sz w:val="24"/>
          <w:szCs w:val="24"/>
        </w:rPr>
        <w:t>Oct;74(4):388-400.</w:t>
      </w:r>
    </w:p>
    <w:p w:rsidR="00CA0C37" w:rsidRPr="00410B61" w:rsidRDefault="00CA0C37" w:rsidP="00CA0C37">
      <w:pPr>
        <w:pStyle w:val="EndnoteText"/>
        <w:numPr>
          <w:ilvl w:val="0"/>
          <w:numId w:val="9"/>
        </w:numPr>
        <w:spacing w:before="60" w:after="60" w:line="480" w:lineRule="auto"/>
        <w:rPr>
          <w:sz w:val="24"/>
          <w:szCs w:val="24"/>
        </w:rPr>
      </w:pPr>
      <w:proofErr w:type="spellStart"/>
      <w:r w:rsidRPr="001F0E58">
        <w:rPr>
          <w:sz w:val="24"/>
          <w:szCs w:val="24"/>
        </w:rPr>
        <w:t>Schneeweiss</w:t>
      </w:r>
      <w:proofErr w:type="spellEnd"/>
      <w:r w:rsidRPr="001F0E58">
        <w:rPr>
          <w:sz w:val="24"/>
          <w:szCs w:val="24"/>
        </w:rPr>
        <w:t xml:space="preserve"> S, Maclure M, Dormuth CR, Glynn RJ, Canning C, </w:t>
      </w:r>
      <w:proofErr w:type="spellStart"/>
      <w:r w:rsidRPr="001F0E58">
        <w:rPr>
          <w:sz w:val="24"/>
          <w:szCs w:val="24"/>
        </w:rPr>
        <w:t>Avorn</w:t>
      </w:r>
      <w:proofErr w:type="spellEnd"/>
      <w:r w:rsidRPr="001F0E58">
        <w:rPr>
          <w:sz w:val="24"/>
          <w:szCs w:val="24"/>
        </w:rPr>
        <w:t xml:space="preserve"> J. A therapeutic substitution policy for proton pump inhibitors: clinical and economic consequences. </w:t>
      </w:r>
      <w:proofErr w:type="spellStart"/>
      <w:r w:rsidRPr="001F7041">
        <w:rPr>
          <w:i/>
          <w:sz w:val="24"/>
          <w:szCs w:val="24"/>
        </w:rPr>
        <w:t>Clin</w:t>
      </w:r>
      <w:proofErr w:type="spellEnd"/>
      <w:r w:rsidRPr="001F7041">
        <w:rPr>
          <w:i/>
          <w:sz w:val="24"/>
          <w:szCs w:val="24"/>
        </w:rPr>
        <w:t xml:space="preserve"> </w:t>
      </w:r>
      <w:proofErr w:type="spellStart"/>
      <w:r w:rsidRPr="001F7041">
        <w:rPr>
          <w:i/>
          <w:sz w:val="24"/>
          <w:szCs w:val="24"/>
        </w:rPr>
        <w:t>Pharmacol</w:t>
      </w:r>
      <w:proofErr w:type="spellEnd"/>
      <w:r w:rsidRPr="001F7041">
        <w:rPr>
          <w:i/>
          <w:sz w:val="24"/>
          <w:szCs w:val="24"/>
        </w:rPr>
        <w:t xml:space="preserve"> </w:t>
      </w:r>
      <w:proofErr w:type="spellStart"/>
      <w:r w:rsidRPr="001F7041">
        <w:rPr>
          <w:i/>
          <w:sz w:val="24"/>
          <w:szCs w:val="24"/>
        </w:rPr>
        <w:t>Ther</w:t>
      </w:r>
      <w:proofErr w:type="spellEnd"/>
      <w:r w:rsidRPr="001F0E58">
        <w:rPr>
          <w:sz w:val="24"/>
          <w:szCs w:val="24"/>
        </w:rPr>
        <w:t xml:space="preserve">. </w:t>
      </w:r>
      <w:r w:rsidR="00E54C8A" w:rsidRPr="001F0E58">
        <w:rPr>
          <w:sz w:val="24"/>
          <w:szCs w:val="24"/>
        </w:rPr>
        <w:t>2006</w:t>
      </w:r>
      <w:r w:rsidR="00E54C8A">
        <w:rPr>
          <w:sz w:val="24"/>
          <w:szCs w:val="24"/>
        </w:rPr>
        <w:t xml:space="preserve"> </w:t>
      </w:r>
      <w:r w:rsidRPr="001F0E58">
        <w:rPr>
          <w:sz w:val="24"/>
          <w:szCs w:val="24"/>
        </w:rPr>
        <w:t>Apr;79(4):379-388.</w:t>
      </w:r>
    </w:p>
    <w:p w:rsidR="001B109A" w:rsidRPr="001B109A" w:rsidRDefault="001B109A" w:rsidP="00CA0C37">
      <w:pPr>
        <w:pStyle w:val="EndnoteText"/>
        <w:numPr>
          <w:ilvl w:val="0"/>
          <w:numId w:val="9"/>
        </w:numPr>
        <w:spacing w:before="60" w:after="60" w:line="480" w:lineRule="auto"/>
        <w:rPr>
          <w:sz w:val="24"/>
          <w:szCs w:val="24"/>
        </w:rPr>
      </w:pPr>
      <w:smartTag w:uri="urn:schemas-microsoft-com:office:smarttags" w:element="place">
        <w:smartTag w:uri="urn:schemas-microsoft-com:office:smarttags" w:element="City">
          <w:r w:rsidRPr="001B109A">
            <w:rPr>
              <w:sz w:val="24"/>
              <w:szCs w:val="24"/>
            </w:rPr>
            <w:lastRenderedPageBreak/>
            <w:t>Wagner</w:t>
          </w:r>
        </w:smartTag>
        <w:r w:rsidRPr="001B109A">
          <w:rPr>
            <w:sz w:val="24"/>
            <w:szCs w:val="24"/>
          </w:rPr>
          <w:t xml:space="preserve"> </w:t>
        </w:r>
        <w:smartTag w:uri="urn:schemas-microsoft-com:office:smarttags" w:element="State">
          <w:r w:rsidRPr="001B109A">
            <w:rPr>
              <w:sz w:val="24"/>
              <w:szCs w:val="24"/>
            </w:rPr>
            <w:t>AK</w:t>
          </w:r>
        </w:smartTag>
      </w:smartTag>
      <w:r w:rsidRPr="001B109A">
        <w:rPr>
          <w:sz w:val="24"/>
          <w:szCs w:val="24"/>
        </w:rPr>
        <w:t xml:space="preserve">, </w:t>
      </w:r>
      <w:proofErr w:type="spellStart"/>
      <w:r w:rsidRPr="001B109A">
        <w:rPr>
          <w:sz w:val="24"/>
          <w:szCs w:val="24"/>
        </w:rPr>
        <w:t>Soumerai</w:t>
      </w:r>
      <w:proofErr w:type="spellEnd"/>
      <w:r w:rsidRPr="001B109A">
        <w:rPr>
          <w:sz w:val="24"/>
          <w:szCs w:val="24"/>
        </w:rPr>
        <w:t xml:space="preserve"> SB, Zhang F, Ross-</w:t>
      </w:r>
      <w:proofErr w:type="spellStart"/>
      <w:r w:rsidRPr="001B109A">
        <w:rPr>
          <w:sz w:val="24"/>
          <w:szCs w:val="24"/>
        </w:rPr>
        <w:t>Degnan</w:t>
      </w:r>
      <w:proofErr w:type="spellEnd"/>
      <w:r w:rsidRPr="001B109A">
        <w:rPr>
          <w:sz w:val="24"/>
          <w:szCs w:val="24"/>
        </w:rPr>
        <w:t xml:space="preserve"> D. Segmented regression analysis of interrupted time series studies in medication use research. </w:t>
      </w:r>
      <w:r w:rsidRPr="001F7041">
        <w:rPr>
          <w:i/>
          <w:sz w:val="24"/>
          <w:szCs w:val="24"/>
        </w:rPr>
        <w:t xml:space="preserve">J </w:t>
      </w:r>
      <w:proofErr w:type="spellStart"/>
      <w:r w:rsidRPr="001F7041">
        <w:rPr>
          <w:i/>
          <w:sz w:val="24"/>
          <w:szCs w:val="24"/>
        </w:rPr>
        <w:t>Clin</w:t>
      </w:r>
      <w:proofErr w:type="spellEnd"/>
      <w:r w:rsidRPr="001F7041">
        <w:rPr>
          <w:i/>
          <w:sz w:val="24"/>
          <w:szCs w:val="24"/>
        </w:rPr>
        <w:t xml:space="preserve"> </w:t>
      </w:r>
      <w:proofErr w:type="spellStart"/>
      <w:r w:rsidRPr="001F7041">
        <w:rPr>
          <w:i/>
          <w:sz w:val="24"/>
          <w:szCs w:val="24"/>
        </w:rPr>
        <w:t>Pharm</w:t>
      </w:r>
      <w:proofErr w:type="spellEnd"/>
      <w:r w:rsidRPr="001F7041">
        <w:rPr>
          <w:i/>
          <w:sz w:val="24"/>
          <w:szCs w:val="24"/>
        </w:rPr>
        <w:t xml:space="preserve"> </w:t>
      </w:r>
      <w:proofErr w:type="spellStart"/>
      <w:r w:rsidRPr="001F7041">
        <w:rPr>
          <w:i/>
          <w:sz w:val="24"/>
          <w:szCs w:val="24"/>
        </w:rPr>
        <w:t>Ther</w:t>
      </w:r>
      <w:proofErr w:type="spellEnd"/>
      <w:r w:rsidRPr="001F7041">
        <w:rPr>
          <w:i/>
          <w:sz w:val="24"/>
          <w:szCs w:val="24"/>
        </w:rPr>
        <w:t>.</w:t>
      </w:r>
      <w:r w:rsidRPr="001B109A">
        <w:rPr>
          <w:sz w:val="24"/>
          <w:szCs w:val="24"/>
        </w:rPr>
        <w:t xml:space="preserve"> 2002</w:t>
      </w:r>
      <w:r>
        <w:rPr>
          <w:sz w:val="24"/>
          <w:szCs w:val="24"/>
        </w:rPr>
        <w:t xml:space="preserve"> </w:t>
      </w:r>
      <w:r w:rsidRPr="001B109A">
        <w:rPr>
          <w:sz w:val="24"/>
          <w:szCs w:val="24"/>
        </w:rPr>
        <w:t>Aug;27(4):299-309.</w:t>
      </w:r>
    </w:p>
    <w:p w:rsidR="00CA0C37" w:rsidRPr="00936668" w:rsidRDefault="00CA0C37" w:rsidP="00CA0C37">
      <w:pPr>
        <w:pStyle w:val="EndnoteText"/>
        <w:numPr>
          <w:ilvl w:val="0"/>
          <w:numId w:val="9"/>
        </w:numPr>
        <w:spacing w:before="60" w:after="60" w:line="480" w:lineRule="auto"/>
        <w:rPr>
          <w:sz w:val="24"/>
          <w:szCs w:val="24"/>
        </w:rPr>
      </w:pPr>
      <w:proofErr w:type="spellStart"/>
      <w:r w:rsidRPr="00936668">
        <w:rPr>
          <w:rFonts w:eastAsia="Calibri"/>
          <w:sz w:val="24"/>
          <w:szCs w:val="24"/>
        </w:rPr>
        <w:t>Shadish</w:t>
      </w:r>
      <w:proofErr w:type="spellEnd"/>
      <w:r w:rsidRPr="00936668">
        <w:rPr>
          <w:rFonts w:eastAsia="Calibri"/>
          <w:sz w:val="24"/>
          <w:szCs w:val="24"/>
        </w:rPr>
        <w:t xml:space="preserve"> WR, Cook TD, Campbell DT. </w:t>
      </w:r>
      <w:r w:rsidRPr="001F7041">
        <w:rPr>
          <w:rFonts w:eastAsia="Calibri"/>
          <w:i/>
          <w:sz w:val="24"/>
          <w:szCs w:val="24"/>
        </w:rPr>
        <w:t>Experimental and quasi-experimental designs for generalized causal inference</w:t>
      </w:r>
      <w:r w:rsidRPr="00936668">
        <w:rPr>
          <w:rFonts w:eastAsia="Calibri"/>
          <w:sz w:val="24"/>
          <w:szCs w:val="24"/>
        </w:rPr>
        <w:t xml:space="preserve">. </w:t>
      </w:r>
      <w:smartTag w:uri="urn:schemas-microsoft-com:office:smarttags" w:element="City">
        <w:smartTag w:uri="urn:schemas-microsoft-com:office:smarttags" w:element="place">
          <w:r w:rsidRPr="00936668">
            <w:rPr>
              <w:rFonts w:eastAsia="Calibri"/>
              <w:sz w:val="24"/>
              <w:szCs w:val="24"/>
            </w:rPr>
            <w:t>Boston</w:t>
          </w:r>
        </w:smartTag>
      </w:smartTag>
      <w:r w:rsidRPr="00936668">
        <w:rPr>
          <w:rFonts w:eastAsia="Calibri"/>
          <w:sz w:val="24"/>
          <w:szCs w:val="24"/>
        </w:rPr>
        <w:t xml:space="preserve">: Houghton Mifflin; </w:t>
      </w:r>
      <w:r w:rsidR="00271309">
        <w:rPr>
          <w:rFonts w:eastAsia="Calibri"/>
          <w:sz w:val="24"/>
          <w:szCs w:val="24"/>
        </w:rPr>
        <w:t>c</w:t>
      </w:r>
      <w:r w:rsidRPr="00936668">
        <w:rPr>
          <w:rFonts w:eastAsia="Calibri"/>
          <w:sz w:val="24"/>
          <w:szCs w:val="24"/>
        </w:rPr>
        <w:t>2002.</w:t>
      </w:r>
      <w:r w:rsidR="00271309">
        <w:rPr>
          <w:rFonts w:eastAsia="Calibri"/>
          <w:sz w:val="24"/>
          <w:szCs w:val="24"/>
        </w:rPr>
        <w:t xml:space="preserve"> Chapter 6, Quasi-experiments: interrupted time-series designs; p. 171-206.</w:t>
      </w:r>
    </w:p>
    <w:p w:rsidR="00CA0C37" w:rsidRPr="00936668" w:rsidRDefault="00CA0C37" w:rsidP="00CA0C37">
      <w:pPr>
        <w:pStyle w:val="EndnoteText"/>
        <w:numPr>
          <w:ilvl w:val="0"/>
          <w:numId w:val="9"/>
        </w:numPr>
        <w:spacing w:before="60" w:after="60" w:line="480" w:lineRule="auto"/>
        <w:rPr>
          <w:sz w:val="24"/>
          <w:szCs w:val="24"/>
        </w:rPr>
      </w:pPr>
      <w:r w:rsidRPr="001F7041">
        <w:rPr>
          <w:i/>
          <w:sz w:val="24"/>
          <w:szCs w:val="24"/>
        </w:rPr>
        <w:t>International Classification of Diseases</w:t>
      </w:r>
      <w:r w:rsidRPr="00936668">
        <w:rPr>
          <w:sz w:val="24"/>
          <w:szCs w:val="24"/>
        </w:rPr>
        <w:t>, Ninth Revision, Clinical Modification, 6</w:t>
      </w:r>
      <w:r w:rsidRPr="00A4062F">
        <w:rPr>
          <w:sz w:val="24"/>
          <w:szCs w:val="24"/>
        </w:rPr>
        <w:t>th</w:t>
      </w:r>
      <w:r w:rsidRPr="00936668">
        <w:rPr>
          <w:sz w:val="24"/>
          <w:szCs w:val="24"/>
        </w:rPr>
        <w:t xml:space="preserve"> ed</w:t>
      </w:r>
      <w:r w:rsidR="00A4062F">
        <w:rPr>
          <w:sz w:val="24"/>
          <w:szCs w:val="24"/>
        </w:rPr>
        <w:t>.</w:t>
      </w:r>
      <w:r w:rsidRPr="00936668">
        <w:rPr>
          <w:sz w:val="24"/>
          <w:szCs w:val="24"/>
        </w:rPr>
        <w:t xml:space="preserve"> </w:t>
      </w:r>
      <w:smartTag w:uri="urn:schemas-microsoft-com:office:smarttags" w:element="place">
        <w:smartTag w:uri="urn:schemas-microsoft-com:office:smarttags" w:element="City">
          <w:r w:rsidRPr="00936668">
            <w:rPr>
              <w:sz w:val="24"/>
              <w:szCs w:val="24"/>
            </w:rPr>
            <w:t>Washington</w:t>
          </w:r>
        </w:smartTag>
        <w:r w:rsidRPr="00936668">
          <w:rPr>
            <w:sz w:val="24"/>
            <w:szCs w:val="24"/>
          </w:rPr>
          <w:t xml:space="preserve">, </w:t>
        </w:r>
        <w:smartTag w:uri="urn:schemas-microsoft-com:office:smarttags" w:element="State">
          <w:r w:rsidRPr="00936668">
            <w:rPr>
              <w:sz w:val="24"/>
              <w:szCs w:val="24"/>
            </w:rPr>
            <w:t>DC</w:t>
          </w:r>
        </w:smartTag>
      </w:smartTag>
      <w:r w:rsidRPr="00936668">
        <w:rPr>
          <w:sz w:val="24"/>
          <w:szCs w:val="24"/>
        </w:rPr>
        <w:t>: US Dept of Health and Human Services, Centers for Disease Control and Prevention, Centers for Medicare and Medicaid Services; 2003.</w:t>
      </w:r>
    </w:p>
    <w:p w:rsidR="00CA0C37" w:rsidRPr="00936668" w:rsidRDefault="00A4062F" w:rsidP="00CA0C37">
      <w:pPr>
        <w:pStyle w:val="EndnoteText"/>
        <w:numPr>
          <w:ilvl w:val="0"/>
          <w:numId w:val="9"/>
        </w:numPr>
        <w:spacing w:before="60" w:after="60" w:line="480" w:lineRule="auto"/>
        <w:rPr>
          <w:sz w:val="24"/>
          <w:szCs w:val="24"/>
        </w:rPr>
      </w:pPr>
      <w:r>
        <w:rPr>
          <w:sz w:val="24"/>
          <w:szCs w:val="24"/>
        </w:rPr>
        <w:t>Ministry of Health Services:</w:t>
      </w:r>
      <w:r w:rsidR="00CA0C37">
        <w:rPr>
          <w:sz w:val="24"/>
          <w:szCs w:val="24"/>
        </w:rPr>
        <w:t xml:space="preserve"> </w:t>
      </w:r>
      <w:r w:rsidR="00E57634">
        <w:rPr>
          <w:sz w:val="24"/>
          <w:szCs w:val="24"/>
        </w:rPr>
        <w:t>Frequently asked questions - full service f</w:t>
      </w:r>
      <w:r w:rsidR="00CA0C37" w:rsidRPr="00936668">
        <w:rPr>
          <w:sz w:val="24"/>
          <w:szCs w:val="24"/>
        </w:rPr>
        <w:t>am</w:t>
      </w:r>
      <w:r w:rsidR="00E57634">
        <w:rPr>
          <w:sz w:val="24"/>
          <w:szCs w:val="24"/>
        </w:rPr>
        <w:t>ily practice incentive p</w:t>
      </w:r>
      <w:r w:rsidR="00CA0C37">
        <w:rPr>
          <w:sz w:val="24"/>
          <w:szCs w:val="24"/>
        </w:rPr>
        <w:t>rogram</w:t>
      </w:r>
      <w:r>
        <w:rPr>
          <w:sz w:val="24"/>
          <w:szCs w:val="24"/>
        </w:rPr>
        <w:t xml:space="preserve"> [Internet]</w:t>
      </w:r>
      <w:r w:rsidR="00CA0C37">
        <w:rPr>
          <w:sz w:val="24"/>
          <w:szCs w:val="24"/>
        </w:rPr>
        <w:t>.</w:t>
      </w:r>
      <w:r w:rsidR="00CA0C37" w:rsidRPr="00936668">
        <w:rPr>
          <w:sz w:val="24"/>
          <w:szCs w:val="24"/>
        </w:rPr>
        <w:t xml:space="preserve"> </w:t>
      </w:r>
      <w:smartTag w:uri="urn:schemas-microsoft-com:office:smarttags" w:element="place">
        <w:smartTag w:uri="urn:schemas-microsoft-com:office:smarttags" w:element="City">
          <w:r>
            <w:rPr>
              <w:sz w:val="24"/>
              <w:szCs w:val="24"/>
            </w:rPr>
            <w:t>Victoria</w:t>
          </w:r>
        </w:smartTag>
        <w:r>
          <w:rPr>
            <w:sz w:val="24"/>
            <w:szCs w:val="24"/>
          </w:rPr>
          <w:t xml:space="preserve">, </w:t>
        </w:r>
        <w:smartTag w:uri="urn:schemas-microsoft-com:office:smarttags" w:element="State">
          <w:r>
            <w:rPr>
              <w:sz w:val="24"/>
              <w:szCs w:val="24"/>
            </w:rPr>
            <w:t>BC</w:t>
          </w:r>
        </w:smartTag>
      </w:smartTag>
      <w:r>
        <w:rPr>
          <w:sz w:val="24"/>
          <w:szCs w:val="24"/>
        </w:rPr>
        <w:t>: Ministry of Health Services. Complex care fee – summary; [cited 2009 Jul 9]</w:t>
      </w:r>
      <w:r w:rsidR="00B65A0B">
        <w:rPr>
          <w:sz w:val="24"/>
          <w:szCs w:val="24"/>
        </w:rPr>
        <w:t xml:space="preserve">. </w:t>
      </w:r>
      <w:r w:rsidR="00CA0C37">
        <w:rPr>
          <w:sz w:val="24"/>
          <w:szCs w:val="24"/>
        </w:rPr>
        <w:t>Available</w:t>
      </w:r>
      <w:r w:rsidR="00E57634">
        <w:rPr>
          <w:sz w:val="24"/>
          <w:szCs w:val="24"/>
        </w:rPr>
        <w:t xml:space="preserve"> from</w:t>
      </w:r>
      <w:r w:rsidR="00CA0C37">
        <w:rPr>
          <w:sz w:val="24"/>
          <w:szCs w:val="24"/>
        </w:rPr>
        <w:t xml:space="preserve">: </w:t>
      </w:r>
      <w:hyperlink r:id="rId12" w:history="1">
        <w:r w:rsidR="00CA0C37" w:rsidRPr="00936668">
          <w:rPr>
            <w:sz w:val="24"/>
            <w:szCs w:val="24"/>
          </w:rPr>
          <w:t>http://www.health.go</w:t>
        </w:r>
        <w:r w:rsidR="00CA0C37" w:rsidRPr="00936668">
          <w:rPr>
            <w:sz w:val="24"/>
            <w:szCs w:val="24"/>
          </w:rPr>
          <w:t>v</w:t>
        </w:r>
        <w:r w:rsidR="00CA0C37" w:rsidRPr="00936668">
          <w:rPr>
            <w:sz w:val="24"/>
            <w:szCs w:val="24"/>
          </w:rPr>
          <w:t>.bc.ca/msp/legislation/bcmaa</w:t>
        </w:r>
        <w:r w:rsidR="00CA0C37" w:rsidRPr="00936668">
          <w:rPr>
            <w:sz w:val="24"/>
            <w:szCs w:val="24"/>
          </w:rPr>
          <w:t>g</w:t>
        </w:r>
        <w:r w:rsidR="00CA0C37" w:rsidRPr="00936668">
          <w:rPr>
            <w:sz w:val="24"/>
            <w:szCs w:val="24"/>
          </w:rPr>
          <w:t>ree_faqs_fsfp.html</w:t>
        </w:r>
      </w:hyperlink>
    </w:p>
    <w:p w:rsidR="00CA0C37" w:rsidRPr="001B06DB" w:rsidRDefault="00CA0C37" w:rsidP="00CA0C37">
      <w:pPr>
        <w:pStyle w:val="EndnoteText"/>
        <w:numPr>
          <w:ilvl w:val="0"/>
          <w:numId w:val="9"/>
        </w:numPr>
        <w:spacing w:before="60" w:after="60" w:line="480" w:lineRule="auto"/>
        <w:rPr>
          <w:sz w:val="24"/>
          <w:szCs w:val="24"/>
        </w:rPr>
      </w:pPr>
      <w:r w:rsidRPr="001B109A">
        <w:rPr>
          <w:sz w:val="24"/>
          <w:szCs w:val="24"/>
        </w:rPr>
        <w:t xml:space="preserve">Liang K-Y, </w:t>
      </w:r>
      <w:proofErr w:type="spellStart"/>
      <w:r w:rsidRPr="001B109A">
        <w:rPr>
          <w:sz w:val="24"/>
          <w:szCs w:val="24"/>
        </w:rPr>
        <w:t>Zeger</w:t>
      </w:r>
      <w:proofErr w:type="spellEnd"/>
      <w:r w:rsidRPr="001B109A">
        <w:rPr>
          <w:sz w:val="24"/>
          <w:szCs w:val="24"/>
        </w:rPr>
        <w:t xml:space="preserve"> SL. </w:t>
      </w:r>
      <w:r w:rsidRPr="001B06DB">
        <w:rPr>
          <w:sz w:val="24"/>
          <w:szCs w:val="24"/>
        </w:rPr>
        <w:t xml:space="preserve">Longitudinal data analysis using generalized linear models. </w:t>
      </w:r>
      <w:proofErr w:type="spellStart"/>
      <w:r w:rsidRPr="001F7041">
        <w:rPr>
          <w:i/>
          <w:sz w:val="24"/>
          <w:szCs w:val="24"/>
        </w:rPr>
        <w:t>Biometrika</w:t>
      </w:r>
      <w:proofErr w:type="spellEnd"/>
      <w:r w:rsidRPr="001B109A">
        <w:rPr>
          <w:sz w:val="24"/>
          <w:szCs w:val="24"/>
        </w:rPr>
        <w:t xml:space="preserve">. </w:t>
      </w:r>
      <w:r w:rsidRPr="001B06DB">
        <w:rPr>
          <w:sz w:val="24"/>
          <w:szCs w:val="24"/>
        </w:rPr>
        <w:t>1986</w:t>
      </w:r>
      <w:r w:rsidR="001B109A">
        <w:rPr>
          <w:sz w:val="24"/>
          <w:szCs w:val="24"/>
        </w:rPr>
        <w:t>;</w:t>
      </w:r>
      <w:r w:rsidRPr="001B06DB">
        <w:rPr>
          <w:sz w:val="24"/>
          <w:szCs w:val="24"/>
        </w:rPr>
        <w:t>73:13-22.</w:t>
      </w:r>
    </w:p>
    <w:p w:rsidR="00CA0C37" w:rsidRPr="001B06DB" w:rsidRDefault="00CA0C37" w:rsidP="00CA0C37">
      <w:pPr>
        <w:pStyle w:val="EndnoteText"/>
        <w:numPr>
          <w:ilvl w:val="0"/>
          <w:numId w:val="9"/>
        </w:numPr>
        <w:spacing w:before="60" w:after="60" w:line="480" w:lineRule="auto"/>
        <w:rPr>
          <w:sz w:val="24"/>
          <w:szCs w:val="24"/>
        </w:rPr>
      </w:pPr>
      <w:proofErr w:type="spellStart"/>
      <w:r w:rsidRPr="001B06DB">
        <w:rPr>
          <w:sz w:val="24"/>
          <w:szCs w:val="24"/>
        </w:rPr>
        <w:t>Molenberghs</w:t>
      </w:r>
      <w:proofErr w:type="spellEnd"/>
      <w:r w:rsidRPr="001B06DB">
        <w:rPr>
          <w:sz w:val="24"/>
          <w:szCs w:val="24"/>
        </w:rPr>
        <w:t xml:space="preserve"> G, </w:t>
      </w:r>
      <w:proofErr w:type="spellStart"/>
      <w:r w:rsidRPr="001B06DB">
        <w:rPr>
          <w:sz w:val="24"/>
          <w:szCs w:val="24"/>
        </w:rPr>
        <w:t>Verbeke</w:t>
      </w:r>
      <w:proofErr w:type="spellEnd"/>
      <w:r w:rsidRPr="001B06DB">
        <w:rPr>
          <w:sz w:val="24"/>
          <w:szCs w:val="24"/>
        </w:rPr>
        <w:t xml:space="preserve"> G. </w:t>
      </w:r>
      <w:r w:rsidRPr="001F7041">
        <w:rPr>
          <w:i/>
          <w:sz w:val="24"/>
          <w:szCs w:val="24"/>
        </w:rPr>
        <w:t>Models for discrete longitudinal data</w:t>
      </w:r>
      <w:r w:rsidRPr="00E57634">
        <w:rPr>
          <w:sz w:val="24"/>
          <w:szCs w:val="24"/>
        </w:rPr>
        <w:t>.</w:t>
      </w:r>
      <w:r w:rsidRPr="001B06DB">
        <w:rPr>
          <w:sz w:val="24"/>
          <w:szCs w:val="24"/>
        </w:rPr>
        <w:t xml:space="preserve"> </w:t>
      </w:r>
      <w:smartTag w:uri="urn:schemas-microsoft-com:office:smarttags" w:element="State">
        <w:smartTag w:uri="urn:schemas-microsoft-com:office:smarttags" w:element="place">
          <w:r w:rsidRPr="001B06DB">
            <w:rPr>
              <w:sz w:val="24"/>
              <w:szCs w:val="24"/>
            </w:rPr>
            <w:t>New York</w:t>
          </w:r>
        </w:smartTag>
      </w:smartTag>
      <w:r w:rsidRPr="001B06DB">
        <w:rPr>
          <w:sz w:val="24"/>
          <w:szCs w:val="24"/>
        </w:rPr>
        <w:t xml:space="preserve">: Springer; </w:t>
      </w:r>
      <w:r w:rsidR="00E57634">
        <w:rPr>
          <w:sz w:val="24"/>
          <w:szCs w:val="24"/>
        </w:rPr>
        <w:t>c</w:t>
      </w:r>
      <w:r w:rsidRPr="001B06DB">
        <w:rPr>
          <w:sz w:val="24"/>
          <w:szCs w:val="24"/>
        </w:rPr>
        <w:t>2005</w:t>
      </w:r>
      <w:r w:rsidR="00E57634">
        <w:rPr>
          <w:sz w:val="24"/>
          <w:szCs w:val="24"/>
        </w:rPr>
        <w:t xml:space="preserve">. Chapter 8, </w:t>
      </w:r>
      <w:r w:rsidR="00E57634" w:rsidRPr="001B06DB">
        <w:rPr>
          <w:sz w:val="24"/>
          <w:szCs w:val="24"/>
        </w:rPr>
        <w:t>G</w:t>
      </w:r>
      <w:r w:rsidR="00E57634">
        <w:rPr>
          <w:sz w:val="24"/>
          <w:szCs w:val="24"/>
        </w:rPr>
        <w:t>eneralized estimating equations; p.</w:t>
      </w:r>
      <w:r w:rsidRPr="001B06DB">
        <w:rPr>
          <w:sz w:val="24"/>
          <w:szCs w:val="24"/>
        </w:rPr>
        <w:t>151-187.</w:t>
      </w:r>
    </w:p>
    <w:p w:rsidR="00CA0C37" w:rsidRPr="001B06DB" w:rsidRDefault="00CA0C37" w:rsidP="00CA0C37">
      <w:pPr>
        <w:pStyle w:val="EndnoteText"/>
        <w:numPr>
          <w:ilvl w:val="0"/>
          <w:numId w:val="9"/>
        </w:numPr>
        <w:spacing w:before="60" w:after="60" w:line="480" w:lineRule="auto"/>
        <w:rPr>
          <w:sz w:val="24"/>
          <w:szCs w:val="24"/>
        </w:rPr>
      </w:pPr>
      <w:r w:rsidRPr="001B06DB">
        <w:rPr>
          <w:sz w:val="24"/>
          <w:szCs w:val="24"/>
        </w:rPr>
        <w:t xml:space="preserve">Ballinger GA. Using generalized estimating equations for longitudinal data analysis. </w:t>
      </w:r>
      <w:r w:rsidRPr="001F7041">
        <w:rPr>
          <w:i/>
          <w:sz w:val="24"/>
          <w:szCs w:val="24"/>
        </w:rPr>
        <w:t>Organizational research methods</w:t>
      </w:r>
      <w:r w:rsidRPr="006C29CF">
        <w:rPr>
          <w:sz w:val="24"/>
          <w:szCs w:val="24"/>
        </w:rPr>
        <w:t xml:space="preserve">. </w:t>
      </w:r>
      <w:r w:rsidRPr="001B06DB">
        <w:rPr>
          <w:sz w:val="24"/>
          <w:szCs w:val="24"/>
        </w:rPr>
        <w:t>2004;7(2):127-150.</w:t>
      </w:r>
    </w:p>
    <w:p w:rsidR="00CA0C37" w:rsidRDefault="00CA0C37" w:rsidP="00CA0C37">
      <w:pPr>
        <w:pStyle w:val="EndnoteText"/>
        <w:numPr>
          <w:ilvl w:val="0"/>
          <w:numId w:val="9"/>
        </w:numPr>
        <w:spacing w:before="60" w:after="60" w:line="480" w:lineRule="auto"/>
        <w:rPr>
          <w:sz w:val="24"/>
          <w:szCs w:val="24"/>
        </w:rPr>
      </w:pPr>
      <w:r w:rsidRPr="001B06DB">
        <w:rPr>
          <w:sz w:val="24"/>
          <w:szCs w:val="24"/>
        </w:rPr>
        <w:t>Smith T, Smith B. PROC GENMOD with GEE to analyze correlated outcomes data using SAS</w:t>
      </w:r>
      <w:r w:rsidR="007B194B">
        <w:rPr>
          <w:sz w:val="24"/>
          <w:szCs w:val="24"/>
        </w:rPr>
        <w:t xml:space="preserve"> [Internet]. [cited 2009 Jul 9]. 14 p. Available from</w:t>
      </w:r>
      <w:r w:rsidRPr="001B06DB">
        <w:rPr>
          <w:sz w:val="24"/>
          <w:szCs w:val="24"/>
        </w:rPr>
        <w:t>: http://www.lexjansen.com/wuss/2006/tutorials/TUT-Sm</w:t>
      </w:r>
      <w:r w:rsidR="007B194B">
        <w:rPr>
          <w:sz w:val="24"/>
          <w:szCs w:val="24"/>
        </w:rPr>
        <w:t>ith.pdf</w:t>
      </w:r>
    </w:p>
    <w:p w:rsidR="006C29CF" w:rsidRPr="006C29CF" w:rsidRDefault="006C29CF" w:rsidP="000C6B7B">
      <w:pPr>
        <w:pStyle w:val="EndnoteText"/>
        <w:numPr>
          <w:ilvl w:val="0"/>
          <w:numId w:val="9"/>
        </w:numPr>
        <w:spacing w:before="60" w:after="60" w:line="480" w:lineRule="auto"/>
        <w:rPr>
          <w:sz w:val="24"/>
          <w:szCs w:val="24"/>
        </w:rPr>
      </w:pPr>
      <w:proofErr w:type="spellStart"/>
      <w:r w:rsidRPr="006C29CF">
        <w:rPr>
          <w:sz w:val="24"/>
          <w:szCs w:val="24"/>
        </w:rPr>
        <w:lastRenderedPageBreak/>
        <w:t>Schneeweiss</w:t>
      </w:r>
      <w:proofErr w:type="spellEnd"/>
      <w:r w:rsidRPr="006C29CF">
        <w:rPr>
          <w:sz w:val="24"/>
          <w:szCs w:val="24"/>
        </w:rPr>
        <w:t xml:space="preserve"> S, Seeger JD, Maclure M, Wang PS, </w:t>
      </w:r>
      <w:proofErr w:type="spellStart"/>
      <w:r w:rsidRPr="006C29CF">
        <w:rPr>
          <w:sz w:val="24"/>
          <w:szCs w:val="24"/>
        </w:rPr>
        <w:t>Avorn</w:t>
      </w:r>
      <w:proofErr w:type="spellEnd"/>
      <w:r w:rsidRPr="006C29CF">
        <w:rPr>
          <w:sz w:val="24"/>
          <w:szCs w:val="24"/>
        </w:rPr>
        <w:t xml:space="preserve"> J, Glynn RJ. Performance of </w:t>
      </w:r>
      <w:proofErr w:type="spellStart"/>
      <w:r w:rsidRPr="006C29CF">
        <w:rPr>
          <w:sz w:val="24"/>
          <w:szCs w:val="24"/>
        </w:rPr>
        <w:t>comorbidity</w:t>
      </w:r>
      <w:proofErr w:type="spellEnd"/>
      <w:r w:rsidRPr="006C29CF">
        <w:rPr>
          <w:sz w:val="24"/>
          <w:szCs w:val="24"/>
        </w:rPr>
        <w:t xml:space="preserve"> scores to control for confounding in epidemiologic studies using claims data. </w:t>
      </w:r>
      <w:r w:rsidRPr="001F7041">
        <w:rPr>
          <w:i/>
          <w:sz w:val="24"/>
          <w:szCs w:val="24"/>
        </w:rPr>
        <w:t xml:space="preserve">Am J </w:t>
      </w:r>
      <w:proofErr w:type="spellStart"/>
      <w:r w:rsidRPr="001F7041">
        <w:rPr>
          <w:i/>
          <w:sz w:val="24"/>
          <w:szCs w:val="24"/>
        </w:rPr>
        <w:t>Epidemiol</w:t>
      </w:r>
      <w:proofErr w:type="spellEnd"/>
      <w:r w:rsidRPr="006C29CF">
        <w:rPr>
          <w:sz w:val="24"/>
          <w:szCs w:val="24"/>
        </w:rPr>
        <w:t>. 2001</w:t>
      </w:r>
      <w:r>
        <w:rPr>
          <w:sz w:val="24"/>
          <w:szCs w:val="24"/>
        </w:rPr>
        <w:t xml:space="preserve"> </w:t>
      </w:r>
      <w:r w:rsidRPr="006C29CF">
        <w:rPr>
          <w:sz w:val="24"/>
          <w:szCs w:val="24"/>
        </w:rPr>
        <w:t>Nov 1;154(9):854-864.</w:t>
      </w:r>
    </w:p>
    <w:p w:rsidR="000C6B7B" w:rsidRDefault="007B194B" w:rsidP="000C6B7B">
      <w:pPr>
        <w:pStyle w:val="EndnoteText"/>
        <w:numPr>
          <w:ilvl w:val="0"/>
          <w:numId w:val="9"/>
        </w:numPr>
        <w:spacing w:before="60" w:after="60" w:line="480" w:lineRule="auto"/>
        <w:rPr>
          <w:sz w:val="24"/>
          <w:szCs w:val="24"/>
        </w:rPr>
      </w:pPr>
      <w:r>
        <w:rPr>
          <w:sz w:val="24"/>
          <w:szCs w:val="24"/>
        </w:rPr>
        <w:t>World Health Organization:</w:t>
      </w:r>
      <w:r w:rsidR="000C6B7B">
        <w:rPr>
          <w:sz w:val="24"/>
          <w:szCs w:val="24"/>
        </w:rPr>
        <w:t xml:space="preserve"> </w:t>
      </w:r>
      <w:r>
        <w:rPr>
          <w:sz w:val="24"/>
          <w:szCs w:val="24"/>
        </w:rPr>
        <w:t>ICD Version 2007 [Internet]</w:t>
      </w:r>
      <w:r w:rsidR="000C6B7B">
        <w:rPr>
          <w:sz w:val="24"/>
          <w:szCs w:val="24"/>
        </w:rPr>
        <w:t xml:space="preserve">. </w:t>
      </w:r>
      <w:r>
        <w:rPr>
          <w:sz w:val="24"/>
          <w:szCs w:val="24"/>
        </w:rPr>
        <w:t>World Health Organization</w:t>
      </w:r>
      <w:r w:rsidR="00623CE6">
        <w:rPr>
          <w:sz w:val="24"/>
          <w:szCs w:val="24"/>
        </w:rPr>
        <w:t>; c1994-2006</w:t>
      </w:r>
      <w:r>
        <w:rPr>
          <w:sz w:val="24"/>
          <w:szCs w:val="24"/>
        </w:rPr>
        <w:t>. International Statistical Classification of Diseases and Related Health Problems, Tenth Revision, Version for 2007</w:t>
      </w:r>
      <w:r w:rsidR="00B65A0B">
        <w:rPr>
          <w:sz w:val="24"/>
          <w:szCs w:val="24"/>
        </w:rPr>
        <w:t xml:space="preserve">; 2006 May 4 [cited 2009 Jul 9]. </w:t>
      </w:r>
      <w:r w:rsidR="00623CE6">
        <w:rPr>
          <w:sz w:val="24"/>
          <w:szCs w:val="24"/>
        </w:rPr>
        <w:t>Available from</w:t>
      </w:r>
      <w:r w:rsidR="000C6B7B">
        <w:rPr>
          <w:sz w:val="24"/>
          <w:szCs w:val="24"/>
        </w:rPr>
        <w:t xml:space="preserve">: </w:t>
      </w:r>
      <w:hyperlink r:id="rId13" w:history="1">
        <w:r w:rsidR="000C6B7B" w:rsidRPr="00171107">
          <w:rPr>
            <w:sz w:val="24"/>
            <w:szCs w:val="24"/>
          </w:rPr>
          <w:t>http://apps.who.int/class</w:t>
        </w:r>
        <w:r w:rsidR="000C6B7B" w:rsidRPr="00171107">
          <w:rPr>
            <w:sz w:val="24"/>
            <w:szCs w:val="24"/>
          </w:rPr>
          <w:t>i</w:t>
        </w:r>
        <w:r w:rsidR="000C6B7B" w:rsidRPr="00171107">
          <w:rPr>
            <w:sz w:val="24"/>
            <w:szCs w:val="24"/>
          </w:rPr>
          <w:t>fications/apps/icd/icd10online/</w:t>
        </w:r>
      </w:hyperlink>
      <w:r w:rsidR="00623CE6">
        <w:rPr>
          <w:sz w:val="24"/>
          <w:szCs w:val="24"/>
        </w:rPr>
        <w:t>.</w:t>
      </w:r>
    </w:p>
    <w:p w:rsidR="0035394E" w:rsidRDefault="005D36CD" w:rsidP="000C6B7B">
      <w:pPr>
        <w:pStyle w:val="EndnoteText"/>
        <w:numPr>
          <w:ilvl w:val="0"/>
          <w:numId w:val="9"/>
        </w:numPr>
        <w:spacing w:before="60" w:after="60" w:line="480" w:lineRule="auto"/>
        <w:rPr>
          <w:sz w:val="24"/>
          <w:szCs w:val="24"/>
        </w:rPr>
      </w:pPr>
      <w:r>
        <w:rPr>
          <w:sz w:val="24"/>
          <w:szCs w:val="24"/>
        </w:rPr>
        <w:t xml:space="preserve">GlaxoSmithKline. Important safety information on rosiglitazone-containing products: </w:t>
      </w:r>
      <w:proofErr w:type="spellStart"/>
      <w:r>
        <w:rPr>
          <w:sz w:val="24"/>
          <w:szCs w:val="24"/>
        </w:rPr>
        <w:t>Avandia</w:t>
      </w:r>
      <w:proofErr w:type="spellEnd"/>
      <w:r>
        <w:rPr>
          <w:sz w:val="24"/>
          <w:szCs w:val="24"/>
        </w:rPr>
        <w:t xml:space="preserve">, </w:t>
      </w:r>
      <w:proofErr w:type="spellStart"/>
      <w:r>
        <w:rPr>
          <w:sz w:val="24"/>
          <w:szCs w:val="24"/>
        </w:rPr>
        <w:t>Avandamet</w:t>
      </w:r>
      <w:proofErr w:type="spellEnd"/>
      <w:r>
        <w:rPr>
          <w:sz w:val="24"/>
          <w:szCs w:val="24"/>
        </w:rPr>
        <w:t xml:space="preserve"> and </w:t>
      </w:r>
      <w:proofErr w:type="spellStart"/>
      <w:r>
        <w:rPr>
          <w:sz w:val="24"/>
          <w:szCs w:val="24"/>
        </w:rPr>
        <w:t>Avandaryl</w:t>
      </w:r>
      <w:proofErr w:type="spellEnd"/>
      <w:r>
        <w:rPr>
          <w:sz w:val="24"/>
          <w:szCs w:val="24"/>
        </w:rPr>
        <w:t xml:space="preserve"> – for health professionals [Internet]. Ottawa: Health Canada. </w:t>
      </w:r>
      <w:r w:rsidR="00C162F7">
        <w:rPr>
          <w:sz w:val="24"/>
          <w:szCs w:val="24"/>
        </w:rPr>
        <w:t xml:space="preserve">Dear health care professional letter; </w:t>
      </w:r>
      <w:r>
        <w:rPr>
          <w:sz w:val="24"/>
          <w:szCs w:val="24"/>
        </w:rPr>
        <w:t>2007 Feb 23 [cited 2009 Aug 7]. Ava</w:t>
      </w:r>
      <w:r w:rsidRPr="00C162F7">
        <w:rPr>
          <w:sz w:val="24"/>
          <w:szCs w:val="24"/>
        </w:rPr>
        <w:t xml:space="preserve">ilable from: </w:t>
      </w:r>
      <w:hyperlink r:id="rId14" w:history="1">
        <w:r w:rsidRPr="00C162F7">
          <w:rPr>
            <w:sz w:val="24"/>
            <w:szCs w:val="24"/>
          </w:rPr>
          <w:t>http://www.hc-sc.gc.ca/dhp-mps/medeff/advisories-avis/prof/_2007/avandia_hpc-cps_3-eng.php</w:t>
        </w:r>
      </w:hyperlink>
    </w:p>
    <w:p w:rsidR="005D36CD" w:rsidRDefault="005D36CD" w:rsidP="000C6B7B">
      <w:pPr>
        <w:pStyle w:val="EndnoteText"/>
        <w:numPr>
          <w:ilvl w:val="0"/>
          <w:numId w:val="9"/>
        </w:numPr>
        <w:spacing w:before="60" w:after="60" w:line="480" w:lineRule="auto"/>
        <w:rPr>
          <w:sz w:val="24"/>
          <w:szCs w:val="24"/>
        </w:rPr>
      </w:pPr>
      <w:r>
        <w:rPr>
          <w:sz w:val="24"/>
          <w:szCs w:val="24"/>
        </w:rPr>
        <w:t xml:space="preserve">Eli Lilly Canada. Association between long-term treatment with </w:t>
      </w:r>
      <w:proofErr w:type="spellStart"/>
      <w:r>
        <w:rPr>
          <w:sz w:val="24"/>
          <w:szCs w:val="24"/>
        </w:rPr>
        <w:t>Actos</w:t>
      </w:r>
      <w:proofErr w:type="spellEnd"/>
      <w:r>
        <w:rPr>
          <w:sz w:val="24"/>
          <w:szCs w:val="24"/>
        </w:rPr>
        <w:t xml:space="preserve"> (pioglitazone hydrochloride) tablets for type 2 diabetes mellitus and fractures in women – for </w:t>
      </w:r>
      <w:r w:rsidR="00C162F7">
        <w:rPr>
          <w:sz w:val="24"/>
          <w:szCs w:val="24"/>
        </w:rPr>
        <w:t>health professionals</w:t>
      </w:r>
      <w:r>
        <w:rPr>
          <w:sz w:val="24"/>
          <w:szCs w:val="24"/>
        </w:rPr>
        <w:t xml:space="preserve"> </w:t>
      </w:r>
      <w:r w:rsidR="00C162F7">
        <w:rPr>
          <w:sz w:val="24"/>
          <w:szCs w:val="24"/>
        </w:rPr>
        <w:t>[Internet]. Ottawa: Health Canada. Dear health care professional letter; 2007 Apr 18 [cited 2009 Aug 7]. Available f</w:t>
      </w:r>
      <w:r w:rsidR="00C162F7" w:rsidRPr="00C162F7">
        <w:rPr>
          <w:sz w:val="24"/>
          <w:szCs w:val="24"/>
        </w:rPr>
        <w:t xml:space="preserve">rom: </w:t>
      </w:r>
      <w:hyperlink r:id="rId15" w:history="1">
        <w:r w:rsidR="00C162F7" w:rsidRPr="00C162F7">
          <w:rPr>
            <w:sz w:val="24"/>
            <w:szCs w:val="24"/>
          </w:rPr>
          <w:t>http://www.hc-sc.gc.ca/dhp-mps/medeff/advisories-avis/prof/_2007/actos_hpc-cps_2-eng.php</w:t>
        </w:r>
      </w:hyperlink>
    </w:p>
    <w:p w:rsidR="00C162F7" w:rsidRPr="001B06DB" w:rsidRDefault="00C162F7" w:rsidP="000C6B7B">
      <w:pPr>
        <w:pStyle w:val="EndnoteText"/>
        <w:numPr>
          <w:ilvl w:val="0"/>
          <w:numId w:val="9"/>
        </w:numPr>
        <w:spacing w:before="60" w:after="60" w:line="480" w:lineRule="auto"/>
        <w:rPr>
          <w:sz w:val="24"/>
          <w:szCs w:val="24"/>
        </w:rPr>
      </w:pPr>
      <w:r>
        <w:rPr>
          <w:sz w:val="24"/>
          <w:szCs w:val="24"/>
        </w:rPr>
        <w:t xml:space="preserve">GlaxoSmithKline. Clinical trial observation of an increased incidence of fractures in female patients who received long-term treatment with </w:t>
      </w:r>
      <w:proofErr w:type="spellStart"/>
      <w:r>
        <w:rPr>
          <w:sz w:val="24"/>
          <w:szCs w:val="24"/>
        </w:rPr>
        <w:t>Avandia</w:t>
      </w:r>
      <w:proofErr w:type="spellEnd"/>
      <w:r>
        <w:rPr>
          <w:sz w:val="24"/>
          <w:szCs w:val="24"/>
        </w:rPr>
        <w:t xml:space="preserve"> (rosiglitazone </w:t>
      </w:r>
      <w:proofErr w:type="spellStart"/>
      <w:r>
        <w:rPr>
          <w:sz w:val="24"/>
          <w:szCs w:val="24"/>
        </w:rPr>
        <w:t>maleate</w:t>
      </w:r>
      <w:proofErr w:type="spellEnd"/>
      <w:r>
        <w:rPr>
          <w:sz w:val="24"/>
          <w:szCs w:val="24"/>
        </w:rPr>
        <w:t xml:space="preserve">) tablets for type 2 diabetes mellitus [Internet]. FDA. Dear health care provider letter; 2007 Feb [cited 2009 Aug 7]. Available from </w:t>
      </w:r>
      <w:r w:rsidRPr="00C162F7">
        <w:rPr>
          <w:sz w:val="24"/>
          <w:szCs w:val="24"/>
        </w:rPr>
        <w:t>http://www.fda.gov/downloads/Safety/MedWatch/SafetyInformation/SafetyAlertsforHumanMedicalProducts/UCM153903.pdf</w:t>
      </w:r>
    </w:p>
    <w:p w:rsidR="00CA0C37" w:rsidRPr="00936668" w:rsidRDefault="00623CE6" w:rsidP="00CA0C37">
      <w:pPr>
        <w:pStyle w:val="EndnoteText"/>
        <w:numPr>
          <w:ilvl w:val="0"/>
          <w:numId w:val="9"/>
        </w:numPr>
        <w:spacing w:before="60" w:after="60" w:line="480" w:lineRule="auto"/>
        <w:rPr>
          <w:sz w:val="24"/>
          <w:szCs w:val="24"/>
        </w:rPr>
      </w:pPr>
      <w:r>
        <w:rPr>
          <w:sz w:val="24"/>
          <w:szCs w:val="24"/>
        </w:rPr>
        <w:lastRenderedPageBreak/>
        <w:t xml:space="preserve">Takeda Pharmaceuticals. </w:t>
      </w:r>
      <w:r w:rsidR="00CA0C37">
        <w:rPr>
          <w:sz w:val="24"/>
          <w:szCs w:val="24"/>
        </w:rPr>
        <w:t>Observation of an increased incidence of fractures in female patients who received</w:t>
      </w:r>
      <w:r>
        <w:rPr>
          <w:sz w:val="24"/>
          <w:szCs w:val="24"/>
        </w:rPr>
        <w:t xml:space="preserve"> long-term treatment with ACTOS</w:t>
      </w:r>
      <w:r w:rsidR="00CA0C37">
        <w:rPr>
          <w:sz w:val="24"/>
          <w:szCs w:val="24"/>
        </w:rPr>
        <w:t xml:space="preserve"> (pioglitazone HCI) tablets for Type 2 diabetes mellitus</w:t>
      </w:r>
      <w:r w:rsidR="00C162F7">
        <w:rPr>
          <w:sz w:val="24"/>
          <w:szCs w:val="24"/>
        </w:rPr>
        <w:t xml:space="preserve"> [Internet]. FDA.</w:t>
      </w:r>
      <w:r>
        <w:rPr>
          <w:sz w:val="24"/>
          <w:szCs w:val="24"/>
        </w:rPr>
        <w:t xml:space="preserve"> </w:t>
      </w:r>
      <w:r w:rsidR="00483283">
        <w:rPr>
          <w:sz w:val="24"/>
          <w:szCs w:val="24"/>
        </w:rPr>
        <w:t xml:space="preserve">Dear health care provider letter; </w:t>
      </w:r>
      <w:r>
        <w:rPr>
          <w:sz w:val="24"/>
          <w:szCs w:val="24"/>
        </w:rPr>
        <w:t xml:space="preserve">2007 Mar [cited 2009 Jul 9]. 2 p. </w:t>
      </w:r>
      <w:r w:rsidR="00CA0C37">
        <w:rPr>
          <w:sz w:val="24"/>
          <w:szCs w:val="24"/>
        </w:rPr>
        <w:t>Available</w:t>
      </w:r>
      <w:r>
        <w:rPr>
          <w:sz w:val="24"/>
          <w:szCs w:val="24"/>
        </w:rPr>
        <w:t xml:space="preserve"> from: </w:t>
      </w:r>
      <w:r w:rsidRPr="00623CE6">
        <w:rPr>
          <w:sz w:val="24"/>
          <w:szCs w:val="24"/>
        </w:rPr>
        <w:t>http://www.fda.gov/downloads/Safety/MedWatch/SafetyInformation/SafetyAlertsforHumanMedicalProducts/UCM153896.pdf</w:t>
      </w:r>
    </w:p>
    <w:p w:rsidR="00CA0C37" w:rsidRPr="00BD2947" w:rsidRDefault="003E4820" w:rsidP="00CA0C37">
      <w:pPr>
        <w:pStyle w:val="EndnoteText"/>
        <w:numPr>
          <w:ilvl w:val="0"/>
          <w:numId w:val="9"/>
        </w:numPr>
        <w:spacing w:before="60" w:after="60" w:line="480" w:lineRule="auto"/>
        <w:rPr>
          <w:sz w:val="24"/>
          <w:szCs w:val="24"/>
        </w:rPr>
      </w:pPr>
      <w:r>
        <w:rPr>
          <w:sz w:val="24"/>
          <w:szCs w:val="24"/>
        </w:rPr>
        <w:t xml:space="preserve">FDA </w:t>
      </w:r>
      <w:r w:rsidR="00CA0C37">
        <w:rPr>
          <w:sz w:val="24"/>
          <w:szCs w:val="24"/>
        </w:rPr>
        <w:t>US</w:t>
      </w:r>
      <w:r w:rsidR="00CA0C37" w:rsidRPr="00936668">
        <w:rPr>
          <w:sz w:val="24"/>
          <w:szCs w:val="24"/>
        </w:rPr>
        <w:t xml:space="preserve"> Food and Drug A</w:t>
      </w:r>
      <w:r>
        <w:rPr>
          <w:sz w:val="24"/>
          <w:szCs w:val="24"/>
        </w:rPr>
        <w:t>dministration: News &amp; events [Internet].</w:t>
      </w:r>
      <w:r w:rsidR="00CA0C37">
        <w:rPr>
          <w:sz w:val="24"/>
          <w:szCs w:val="24"/>
        </w:rPr>
        <w:t xml:space="preserve"> </w:t>
      </w:r>
      <w:r>
        <w:rPr>
          <w:sz w:val="24"/>
          <w:szCs w:val="24"/>
        </w:rPr>
        <w:t xml:space="preserve">Press release, </w:t>
      </w:r>
      <w:r w:rsidR="00CA0C37" w:rsidRPr="00936668">
        <w:rPr>
          <w:color w:val="000000"/>
          <w:sz w:val="24"/>
          <w:szCs w:val="24"/>
        </w:rPr>
        <w:t xml:space="preserve">Manufacturers of </w:t>
      </w:r>
      <w:r>
        <w:rPr>
          <w:color w:val="000000"/>
          <w:sz w:val="24"/>
          <w:szCs w:val="24"/>
        </w:rPr>
        <w:t>s</w:t>
      </w:r>
      <w:r w:rsidR="00CA0C37" w:rsidRPr="00936668">
        <w:rPr>
          <w:color w:val="000000"/>
          <w:sz w:val="24"/>
          <w:szCs w:val="24"/>
        </w:rPr>
        <w:t xml:space="preserve">ome </w:t>
      </w:r>
      <w:r>
        <w:rPr>
          <w:color w:val="000000"/>
          <w:sz w:val="24"/>
          <w:szCs w:val="24"/>
        </w:rPr>
        <w:t>d</w:t>
      </w:r>
      <w:r w:rsidR="00CA0C37" w:rsidRPr="00936668">
        <w:rPr>
          <w:color w:val="000000"/>
          <w:sz w:val="24"/>
          <w:szCs w:val="24"/>
        </w:rPr>
        <w:t xml:space="preserve">iabetes </w:t>
      </w:r>
      <w:r>
        <w:rPr>
          <w:color w:val="000000"/>
          <w:sz w:val="24"/>
          <w:szCs w:val="24"/>
        </w:rPr>
        <w:t>d</w:t>
      </w:r>
      <w:r w:rsidR="00CA0C37" w:rsidRPr="00936668">
        <w:rPr>
          <w:color w:val="000000"/>
          <w:sz w:val="24"/>
          <w:szCs w:val="24"/>
        </w:rPr>
        <w:t xml:space="preserve">rugs to </w:t>
      </w:r>
      <w:r>
        <w:rPr>
          <w:color w:val="000000"/>
          <w:sz w:val="24"/>
          <w:szCs w:val="24"/>
        </w:rPr>
        <w:t>s</w:t>
      </w:r>
      <w:r w:rsidR="00CA0C37" w:rsidRPr="00936668">
        <w:rPr>
          <w:color w:val="000000"/>
          <w:sz w:val="24"/>
          <w:szCs w:val="24"/>
        </w:rPr>
        <w:t xml:space="preserve">trengthen </w:t>
      </w:r>
      <w:r>
        <w:rPr>
          <w:color w:val="000000"/>
          <w:sz w:val="24"/>
          <w:szCs w:val="24"/>
        </w:rPr>
        <w:t>w</w:t>
      </w:r>
      <w:r w:rsidR="00CA0C37" w:rsidRPr="00936668">
        <w:rPr>
          <w:color w:val="000000"/>
          <w:sz w:val="24"/>
          <w:szCs w:val="24"/>
        </w:rPr>
        <w:t xml:space="preserve">arning on </w:t>
      </w:r>
      <w:r>
        <w:rPr>
          <w:color w:val="000000"/>
          <w:sz w:val="24"/>
          <w:szCs w:val="24"/>
        </w:rPr>
        <w:t>h</w:t>
      </w:r>
      <w:r w:rsidR="00CA0C37" w:rsidRPr="00936668">
        <w:rPr>
          <w:color w:val="000000"/>
          <w:sz w:val="24"/>
          <w:szCs w:val="24"/>
        </w:rPr>
        <w:t xml:space="preserve">eart </w:t>
      </w:r>
      <w:r>
        <w:rPr>
          <w:color w:val="000000"/>
          <w:sz w:val="24"/>
          <w:szCs w:val="24"/>
        </w:rPr>
        <w:t>f</w:t>
      </w:r>
      <w:r w:rsidR="00CA0C37" w:rsidRPr="00936668">
        <w:rPr>
          <w:color w:val="000000"/>
          <w:sz w:val="24"/>
          <w:szCs w:val="24"/>
        </w:rPr>
        <w:t xml:space="preserve">ailure </w:t>
      </w:r>
      <w:r>
        <w:rPr>
          <w:color w:val="000000"/>
          <w:sz w:val="24"/>
          <w:szCs w:val="24"/>
        </w:rPr>
        <w:t>r</w:t>
      </w:r>
      <w:r w:rsidR="00CA0C37" w:rsidRPr="00936668">
        <w:rPr>
          <w:color w:val="000000"/>
          <w:sz w:val="24"/>
          <w:szCs w:val="24"/>
        </w:rPr>
        <w:t xml:space="preserve">isk: </w:t>
      </w:r>
      <w:r>
        <w:rPr>
          <w:rStyle w:val="small1"/>
          <w:iCs/>
          <w:color w:val="000000"/>
          <w:sz w:val="24"/>
          <w:szCs w:val="24"/>
        </w:rPr>
        <w:t>c</w:t>
      </w:r>
      <w:r w:rsidR="00CA0C37" w:rsidRPr="00936668">
        <w:rPr>
          <w:rStyle w:val="small1"/>
          <w:iCs/>
          <w:color w:val="000000"/>
          <w:sz w:val="24"/>
          <w:szCs w:val="24"/>
        </w:rPr>
        <w:t xml:space="preserve">ompanies </w:t>
      </w:r>
      <w:r>
        <w:rPr>
          <w:rStyle w:val="small1"/>
          <w:iCs/>
          <w:color w:val="000000"/>
          <w:sz w:val="24"/>
          <w:szCs w:val="24"/>
        </w:rPr>
        <w:t>w</w:t>
      </w:r>
      <w:r w:rsidR="00CA0C37" w:rsidRPr="00936668">
        <w:rPr>
          <w:rStyle w:val="small1"/>
          <w:iCs/>
          <w:color w:val="000000"/>
          <w:sz w:val="24"/>
          <w:szCs w:val="24"/>
        </w:rPr>
        <w:t xml:space="preserve">ill </w:t>
      </w:r>
      <w:r>
        <w:rPr>
          <w:rStyle w:val="small1"/>
          <w:iCs/>
          <w:color w:val="000000"/>
          <w:sz w:val="24"/>
          <w:szCs w:val="24"/>
        </w:rPr>
        <w:t>i</w:t>
      </w:r>
      <w:r w:rsidR="00CA0C37" w:rsidRPr="00936668">
        <w:rPr>
          <w:rStyle w:val="small1"/>
          <w:iCs/>
          <w:color w:val="000000"/>
          <w:sz w:val="24"/>
          <w:szCs w:val="24"/>
        </w:rPr>
        <w:t>nclu</w:t>
      </w:r>
      <w:r w:rsidR="00CA0C37">
        <w:rPr>
          <w:rStyle w:val="small1"/>
          <w:iCs/>
          <w:color w:val="000000"/>
          <w:sz w:val="24"/>
          <w:szCs w:val="24"/>
        </w:rPr>
        <w:t xml:space="preserve">de </w:t>
      </w:r>
      <w:r>
        <w:rPr>
          <w:rStyle w:val="small1"/>
          <w:iCs/>
          <w:color w:val="000000"/>
          <w:sz w:val="24"/>
          <w:szCs w:val="24"/>
        </w:rPr>
        <w:t>b</w:t>
      </w:r>
      <w:r w:rsidR="00CA0C37">
        <w:rPr>
          <w:rStyle w:val="small1"/>
          <w:iCs/>
          <w:color w:val="000000"/>
          <w:sz w:val="24"/>
          <w:szCs w:val="24"/>
        </w:rPr>
        <w:t xml:space="preserve">oxed </w:t>
      </w:r>
      <w:r>
        <w:rPr>
          <w:rStyle w:val="small1"/>
          <w:iCs/>
          <w:color w:val="000000"/>
          <w:sz w:val="24"/>
          <w:szCs w:val="24"/>
        </w:rPr>
        <w:t>w</w:t>
      </w:r>
      <w:r w:rsidR="00CA0C37">
        <w:rPr>
          <w:rStyle w:val="small1"/>
          <w:iCs/>
          <w:color w:val="000000"/>
          <w:sz w:val="24"/>
          <w:szCs w:val="24"/>
        </w:rPr>
        <w:t xml:space="preserve">arning on </w:t>
      </w:r>
      <w:r>
        <w:rPr>
          <w:rStyle w:val="small1"/>
          <w:iCs/>
          <w:color w:val="000000"/>
          <w:sz w:val="24"/>
          <w:szCs w:val="24"/>
        </w:rPr>
        <w:t>d</w:t>
      </w:r>
      <w:r w:rsidR="00CA0C37">
        <w:rPr>
          <w:rStyle w:val="small1"/>
          <w:iCs/>
          <w:color w:val="000000"/>
          <w:sz w:val="24"/>
          <w:szCs w:val="24"/>
        </w:rPr>
        <w:t xml:space="preserve">rug </w:t>
      </w:r>
      <w:r>
        <w:rPr>
          <w:rStyle w:val="small1"/>
          <w:iCs/>
          <w:color w:val="000000"/>
          <w:sz w:val="24"/>
          <w:szCs w:val="24"/>
        </w:rPr>
        <w:t>label; 2007 Aug 14 [cit</w:t>
      </w:r>
      <w:r w:rsidR="00B65A0B">
        <w:rPr>
          <w:rStyle w:val="small1"/>
          <w:iCs/>
          <w:color w:val="000000"/>
          <w:sz w:val="24"/>
          <w:szCs w:val="24"/>
        </w:rPr>
        <w:t xml:space="preserve">ed 2009 Jul 9]. </w:t>
      </w:r>
      <w:r w:rsidR="00CA0C37">
        <w:rPr>
          <w:rStyle w:val="small1"/>
          <w:iCs/>
          <w:color w:val="000000"/>
          <w:sz w:val="24"/>
          <w:szCs w:val="24"/>
        </w:rPr>
        <w:t>Available</w:t>
      </w:r>
      <w:r>
        <w:rPr>
          <w:rStyle w:val="small1"/>
          <w:iCs/>
          <w:color w:val="000000"/>
          <w:sz w:val="24"/>
          <w:szCs w:val="24"/>
        </w:rPr>
        <w:t xml:space="preserve"> from</w:t>
      </w:r>
      <w:r w:rsidR="00CA0C37">
        <w:rPr>
          <w:rStyle w:val="small1"/>
          <w:iCs/>
          <w:color w:val="000000"/>
          <w:sz w:val="24"/>
          <w:szCs w:val="24"/>
        </w:rPr>
        <w:t>:</w:t>
      </w:r>
      <w:r w:rsidR="00CA0C37" w:rsidRPr="00936668">
        <w:rPr>
          <w:rStyle w:val="small1"/>
          <w:iCs/>
          <w:color w:val="000000"/>
          <w:sz w:val="24"/>
          <w:szCs w:val="24"/>
        </w:rPr>
        <w:t xml:space="preserve"> </w:t>
      </w:r>
      <w:hyperlink r:id="rId16" w:history="1">
        <w:r w:rsidR="00BD2947" w:rsidRPr="00BD2947">
          <w:rPr>
            <w:rStyle w:val="small1"/>
            <w:iCs/>
            <w:color w:val="000000"/>
            <w:sz w:val="24"/>
            <w:szCs w:val="24"/>
          </w:rPr>
          <w:t>http://www.fda.gov/NewsEvents/Newsroom/PressAnnouncements/2007/ucm108966.htm</w:t>
        </w:r>
      </w:hyperlink>
    </w:p>
    <w:p w:rsidR="00BD2947" w:rsidRPr="00936668" w:rsidRDefault="00BD2947" w:rsidP="00CA0C37">
      <w:pPr>
        <w:pStyle w:val="EndnoteText"/>
        <w:numPr>
          <w:ilvl w:val="0"/>
          <w:numId w:val="9"/>
        </w:numPr>
        <w:spacing w:before="60" w:after="60" w:line="480" w:lineRule="auto"/>
        <w:rPr>
          <w:sz w:val="24"/>
          <w:szCs w:val="24"/>
        </w:rPr>
      </w:pPr>
      <w:r>
        <w:rPr>
          <w:sz w:val="24"/>
          <w:szCs w:val="24"/>
        </w:rPr>
        <w:t>GlaxoSmithKline. New restrictions on the use of rosiglitazone products due to cardiac safety concerns (</w:t>
      </w:r>
      <w:proofErr w:type="spellStart"/>
      <w:r>
        <w:rPr>
          <w:sz w:val="24"/>
          <w:szCs w:val="24"/>
        </w:rPr>
        <w:t>Avandia</w:t>
      </w:r>
      <w:proofErr w:type="spellEnd"/>
      <w:r>
        <w:rPr>
          <w:sz w:val="24"/>
          <w:szCs w:val="24"/>
        </w:rPr>
        <w:t xml:space="preserve">, </w:t>
      </w:r>
      <w:proofErr w:type="spellStart"/>
      <w:r>
        <w:rPr>
          <w:sz w:val="24"/>
          <w:szCs w:val="24"/>
        </w:rPr>
        <w:t>Avandamet</w:t>
      </w:r>
      <w:proofErr w:type="spellEnd"/>
      <w:r>
        <w:rPr>
          <w:sz w:val="24"/>
          <w:szCs w:val="24"/>
        </w:rPr>
        <w:t xml:space="preserve">, </w:t>
      </w:r>
      <w:proofErr w:type="spellStart"/>
      <w:r>
        <w:rPr>
          <w:sz w:val="24"/>
          <w:szCs w:val="24"/>
        </w:rPr>
        <w:t>Avandaryl</w:t>
      </w:r>
      <w:proofErr w:type="spellEnd"/>
      <w:r>
        <w:rPr>
          <w:sz w:val="24"/>
          <w:szCs w:val="24"/>
        </w:rPr>
        <w:t xml:space="preserve">) – for health professionals [Internet]. Ottawa: Health Canada. Dear health care professional letter; 2007 Nov 1 [cited 2009 Aug 7]. Available from </w:t>
      </w:r>
      <w:r w:rsidRPr="00BD2947">
        <w:rPr>
          <w:sz w:val="24"/>
          <w:szCs w:val="24"/>
        </w:rPr>
        <w:t>http://www.hc-sc.gc.ca/dhp-mps/medeff/advisories-avis/prof/_2007/avandia_hpc-cps_5-eng.php</w:t>
      </w:r>
    </w:p>
    <w:sectPr w:rsidR="00BD2947" w:rsidRPr="00936668" w:rsidSect="00CA0C37">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7E60" w:rsidRDefault="00D87E60" w:rsidP="00CA0C37">
      <w:r>
        <w:separator/>
      </w:r>
    </w:p>
  </w:endnote>
  <w:endnote w:type="continuationSeparator" w:id="1">
    <w:p w:rsidR="00D87E60" w:rsidRDefault="00D87E60" w:rsidP="00CA0C37">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E60" w:rsidRDefault="00D87E60" w:rsidP="00CA0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87E60" w:rsidRDefault="00D87E60" w:rsidP="00CA0C3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E60" w:rsidRDefault="00D87E60" w:rsidP="00CA0C37">
    <w:pPr>
      <w:pStyle w:val="Footer"/>
      <w:ind w:right="360"/>
      <w:jc w:val="right"/>
    </w:pPr>
  </w:p>
  <w:p w:rsidR="00D87E60" w:rsidRDefault="00D87E6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7E60" w:rsidRDefault="00D87E60" w:rsidP="00CA0C3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62108">
      <w:rPr>
        <w:rStyle w:val="PageNumber"/>
        <w:noProof/>
      </w:rPr>
      <w:t>16</w:t>
    </w:r>
    <w:r>
      <w:rPr>
        <w:rStyle w:val="PageNumber"/>
      </w:rPr>
      <w:fldChar w:fldCharType="end"/>
    </w:r>
  </w:p>
  <w:p w:rsidR="00D87E60" w:rsidRDefault="00D87E60" w:rsidP="00CA0C37">
    <w:pPr>
      <w:pStyle w:val="Footer"/>
      <w:ind w:right="360"/>
      <w:jc w:val="right"/>
    </w:pPr>
  </w:p>
  <w:p w:rsidR="00D87E60" w:rsidRDefault="00D87E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7E60" w:rsidRDefault="00D87E60" w:rsidP="00CA0C37">
      <w:r>
        <w:separator/>
      </w:r>
    </w:p>
  </w:footnote>
  <w:footnote w:type="continuationSeparator" w:id="1">
    <w:p w:rsidR="00D87E60" w:rsidRDefault="00D87E60" w:rsidP="00CA0C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16401"/>
    <w:multiLevelType w:val="hybridMultilevel"/>
    <w:tmpl w:val="4B882502"/>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6E05EE5"/>
    <w:multiLevelType w:val="hybridMultilevel"/>
    <w:tmpl w:val="0A62980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75E41C0"/>
    <w:multiLevelType w:val="hybridMultilevel"/>
    <w:tmpl w:val="DA5A54F4"/>
    <w:lvl w:ilvl="0" w:tplc="04090005">
      <w:start w:val="1"/>
      <w:numFmt w:val="bullet"/>
      <w:lvlText w:val=""/>
      <w:lvlJc w:val="left"/>
      <w:pPr>
        <w:tabs>
          <w:tab w:val="num" w:pos="360"/>
        </w:tabs>
        <w:ind w:left="360" w:hanging="360"/>
      </w:pPr>
      <w:rPr>
        <w:rFonts w:ascii="Wingdings" w:hAnsi="Wingdings" w:hint="default"/>
      </w:rPr>
    </w:lvl>
    <w:lvl w:ilvl="1" w:tplc="74D0EBDC">
      <w:start w:val="1"/>
      <w:numFmt w:val="bullet"/>
      <w:lvlText w:val=""/>
      <w:lvlJc w:val="left"/>
      <w:pPr>
        <w:tabs>
          <w:tab w:val="num" w:pos="1152"/>
        </w:tabs>
        <w:ind w:left="1152" w:hanging="432"/>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80F4C25"/>
    <w:multiLevelType w:val="hybridMultilevel"/>
    <w:tmpl w:val="F2E86D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D902811"/>
    <w:multiLevelType w:val="hybridMultilevel"/>
    <w:tmpl w:val="9168BE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BC52303"/>
    <w:multiLevelType w:val="hybridMultilevel"/>
    <w:tmpl w:val="A4CA884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537F0890"/>
    <w:multiLevelType w:val="hybridMultilevel"/>
    <w:tmpl w:val="73E0B3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A4B27B4"/>
    <w:multiLevelType w:val="hybridMultilevel"/>
    <w:tmpl w:val="D910F0C0"/>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75AE6F79"/>
    <w:multiLevelType w:val="hybridMultilevel"/>
    <w:tmpl w:val="A9B292E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77C175F2"/>
    <w:multiLevelType w:val="hybridMultilevel"/>
    <w:tmpl w:val="AB40555C"/>
    <w:lvl w:ilvl="0" w:tplc="04090005">
      <w:start w:val="1"/>
      <w:numFmt w:val="bullet"/>
      <w:lvlText w:val=""/>
      <w:lvlJc w:val="left"/>
      <w:pPr>
        <w:tabs>
          <w:tab w:val="num" w:pos="360"/>
        </w:tabs>
        <w:ind w:left="360" w:hanging="360"/>
      </w:pPr>
      <w:rPr>
        <w:rFonts w:ascii="Wingdings" w:hAnsi="Wingdings" w:hint="default"/>
      </w:rPr>
    </w:lvl>
    <w:lvl w:ilvl="1" w:tplc="74D0EBDC">
      <w:start w:val="1"/>
      <w:numFmt w:val="bullet"/>
      <w:lvlText w:val=""/>
      <w:lvlJc w:val="left"/>
      <w:pPr>
        <w:tabs>
          <w:tab w:val="num" w:pos="1152"/>
        </w:tabs>
        <w:ind w:left="1152" w:hanging="432"/>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9"/>
  </w:num>
  <w:num w:numId="3">
    <w:abstractNumId w:val="2"/>
  </w:num>
  <w:num w:numId="4">
    <w:abstractNumId w:val="7"/>
  </w:num>
  <w:num w:numId="5">
    <w:abstractNumId w:val="5"/>
  </w:num>
  <w:num w:numId="6">
    <w:abstractNumId w:val="4"/>
  </w:num>
  <w:num w:numId="7">
    <w:abstractNumId w:val="6"/>
  </w:num>
  <w:num w:numId="8">
    <w:abstractNumId w:val="3"/>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footnotePr>
    <w:footnote w:id="0"/>
    <w:footnote w:id="1"/>
  </w:footnotePr>
  <w:endnotePr>
    <w:numFmt w:val="decimal"/>
    <w:endnote w:id="0"/>
    <w:endnote w:id="1"/>
  </w:endnotePr>
  <w:compat/>
  <w:rsids>
    <w:rsidRoot w:val="004E0C42"/>
    <w:rsid w:val="00010994"/>
    <w:rsid w:val="00011426"/>
    <w:rsid w:val="000132B7"/>
    <w:rsid w:val="00027C20"/>
    <w:rsid w:val="0003551D"/>
    <w:rsid w:val="000362B6"/>
    <w:rsid w:val="000537A4"/>
    <w:rsid w:val="00062434"/>
    <w:rsid w:val="000700F0"/>
    <w:rsid w:val="000868BC"/>
    <w:rsid w:val="000C6B7B"/>
    <w:rsid w:val="000F2E25"/>
    <w:rsid w:val="000F35CE"/>
    <w:rsid w:val="00137C21"/>
    <w:rsid w:val="001525C1"/>
    <w:rsid w:val="00171107"/>
    <w:rsid w:val="001A0084"/>
    <w:rsid w:val="001B109A"/>
    <w:rsid w:val="001B1375"/>
    <w:rsid w:val="001F38A2"/>
    <w:rsid w:val="001F7041"/>
    <w:rsid w:val="00202E24"/>
    <w:rsid w:val="002102C7"/>
    <w:rsid w:val="00214BE4"/>
    <w:rsid w:val="002445C4"/>
    <w:rsid w:val="00271309"/>
    <w:rsid w:val="00275688"/>
    <w:rsid w:val="00287A1E"/>
    <w:rsid w:val="002B618B"/>
    <w:rsid w:val="002D1A6D"/>
    <w:rsid w:val="002F574F"/>
    <w:rsid w:val="0030121F"/>
    <w:rsid w:val="003422CF"/>
    <w:rsid w:val="00344F23"/>
    <w:rsid w:val="0035394E"/>
    <w:rsid w:val="003615E8"/>
    <w:rsid w:val="00361E6C"/>
    <w:rsid w:val="0037333C"/>
    <w:rsid w:val="00384351"/>
    <w:rsid w:val="003A093E"/>
    <w:rsid w:val="003B6487"/>
    <w:rsid w:val="003C427A"/>
    <w:rsid w:val="003E4820"/>
    <w:rsid w:val="003E747A"/>
    <w:rsid w:val="00420D04"/>
    <w:rsid w:val="00450B05"/>
    <w:rsid w:val="00457EA3"/>
    <w:rsid w:val="00464E7E"/>
    <w:rsid w:val="0048101F"/>
    <w:rsid w:val="00483283"/>
    <w:rsid w:val="00484E97"/>
    <w:rsid w:val="00496555"/>
    <w:rsid w:val="004E668B"/>
    <w:rsid w:val="004F51A6"/>
    <w:rsid w:val="00505501"/>
    <w:rsid w:val="00505D19"/>
    <w:rsid w:val="0051253A"/>
    <w:rsid w:val="0052165E"/>
    <w:rsid w:val="00540F9F"/>
    <w:rsid w:val="005513CE"/>
    <w:rsid w:val="00551FEF"/>
    <w:rsid w:val="00572EE0"/>
    <w:rsid w:val="005859FF"/>
    <w:rsid w:val="005922A1"/>
    <w:rsid w:val="005C0212"/>
    <w:rsid w:val="005C0238"/>
    <w:rsid w:val="005C4798"/>
    <w:rsid w:val="005C5784"/>
    <w:rsid w:val="005C5CDD"/>
    <w:rsid w:val="005D36CD"/>
    <w:rsid w:val="005F0FDE"/>
    <w:rsid w:val="005F722C"/>
    <w:rsid w:val="00623A4F"/>
    <w:rsid w:val="00623CE6"/>
    <w:rsid w:val="006654B6"/>
    <w:rsid w:val="006C2818"/>
    <w:rsid w:val="006C29CF"/>
    <w:rsid w:val="006C31D2"/>
    <w:rsid w:val="006D175F"/>
    <w:rsid w:val="006D779B"/>
    <w:rsid w:val="006E2F12"/>
    <w:rsid w:val="00702448"/>
    <w:rsid w:val="00703BDA"/>
    <w:rsid w:val="007172F8"/>
    <w:rsid w:val="00734B1D"/>
    <w:rsid w:val="00792F2B"/>
    <w:rsid w:val="007B194B"/>
    <w:rsid w:val="007B68E1"/>
    <w:rsid w:val="007C7225"/>
    <w:rsid w:val="007D0DAC"/>
    <w:rsid w:val="007D714E"/>
    <w:rsid w:val="007F3345"/>
    <w:rsid w:val="00806E03"/>
    <w:rsid w:val="0080718C"/>
    <w:rsid w:val="00834EE0"/>
    <w:rsid w:val="00835A8F"/>
    <w:rsid w:val="008571D7"/>
    <w:rsid w:val="00857658"/>
    <w:rsid w:val="008629DF"/>
    <w:rsid w:val="0086482C"/>
    <w:rsid w:val="0086599E"/>
    <w:rsid w:val="0087153A"/>
    <w:rsid w:val="008914C6"/>
    <w:rsid w:val="008A4F89"/>
    <w:rsid w:val="008C1D59"/>
    <w:rsid w:val="008F54C1"/>
    <w:rsid w:val="008F671F"/>
    <w:rsid w:val="0092291F"/>
    <w:rsid w:val="00956307"/>
    <w:rsid w:val="00962108"/>
    <w:rsid w:val="00963CD1"/>
    <w:rsid w:val="00986023"/>
    <w:rsid w:val="00996958"/>
    <w:rsid w:val="009D4BCF"/>
    <w:rsid w:val="00A23AFF"/>
    <w:rsid w:val="00A267BE"/>
    <w:rsid w:val="00A37D0F"/>
    <w:rsid w:val="00A4062F"/>
    <w:rsid w:val="00A45830"/>
    <w:rsid w:val="00A63199"/>
    <w:rsid w:val="00A6329A"/>
    <w:rsid w:val="00A66563"/>
    <w:rsid w:val="00A66D63"/>
    <w:rsid w:val="00A774AF"/>
    <w:rsid w:val="00A80006"/>
    <w:rsid w:val="00A80A69"/>
    <w:rsid w:val="00A90918"/>
    <w:rsid w:val="00A92466"/>
    <w:rsid w:val="00AF6E3A"/>
    <w:rsid w:val="00B02CCE"/>
    <w:rsid w:val="00B101DA"/>
    <w:rsid w:val="00B31F61"/>
    <w:rsid w:val="00B54ED8"/>
    <w:rsid w:val="00B6019C"/>
    <w:rsid w:val="00B65A0B"/>
    <w:rsid w:val="00B8061F"/>
    <w:rsid w:val="00B92AD5"/>
    <w:rsid w:val="00BA0FA6"/>
    <w:rsid w:val="00BB6355"/>
    <w:rsid w:val="00BD2947"/>
    <w:rsid w:val="00BE666B"/>
    <w:rsid w:val="00BF7CF8"/>
    <w:rsid w:val="00C162F7"/>
    <w:rsid w:val="00C36029"/>
    <w:rsid w:val="00C40688"/>
    <w:rsid w:val="00C53D63"/>
    <w:rsid w:val="00C54C1D"/>
    <w:rsid w:val="00C55AE7"/>
    <w:rsid w:val="00C56728"/>
    <w:rsid w:val="00C758D3"/>
    <w:rsid w:val="00C861F4"/>
    <w:rsid w:val="00CA0C37"/>
    <w:rsid w:val="00CC4705"/>
    <w:rsid w:val="00CE6D10"/>
    <w:rsid w:val="00D711C8"/>
    <w:rsid w:val="00D87E60"/>
    <w:rsid w:val="00D94A5A"/>
    <w:rsid w:val="00DE18A4"/>
    <w:rsid w:val="00E04B97"/>
    <w:rsid w:val="00E07655"/>
    <w:rsid w:val="00E516D5"/>
    <w:rsid w:val="00E54C8A"/>
    <w:rsid w:val="00E57634"/>
    <w:rsid w:val="00E730C7"/>
    <w:rsid w:val="00E935D4"/>
    <w:rsid w:val="00E94B4B"/>
    <w:rsid w:val="00EA2798"/>
    <w:rsid w:val="00ED304C"/>
    <w:rsid w:val="00EF7A65"/>
    <w:rsid w:val="00F033E2"/>
    <w:rsid w:val="00F20C57"/>
    <w:rsid w:val="00F33C01"/>
    <w:rsid w:val="00F67FFD"/>
    <w:rsid w:val="00F85D2D"/>
    <w:rsid w:val="00F86287"/>
    <w:rsid w:val="00FB3DA2"/>
    <w:rsid w:val="00FC6B5E"/>
    <w:rsid w:val="00FD458A"/>
    <w:rsid w:val="00FF51D7"/>
    <w:rsid w:val="00FF6D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address"/>
  <w:smartTagType w:namespaceuri="urn:schemas-microsoft-com:office:smarttags" w:name="Street"/>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6BB"/>
    <w:rPr>
      <w:rFonts w:ascii="Times New Roman" w:eastAsia="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4A59"/>
    <w:pPr>
      <w:spacing w:before="100" w:beforeAutospacing="1" w:after="100" w:afterAutospacing="1"/>
    </w:pPr>
  </w:style>
  <w:style w:type="paragraph" w:styleId="BalloonText">
    <w:name w:val="Balloon Text"/>
    <w:basedOn w:val="Normal"/>
    <w:semiHidden/>
    <w:rsid w:val="00604466"/>
    <w:rPr>
      <w:rFonts w:ascii="Tahoma" w:hAnsi="Tahoma" w:cs="Tahoma"/>
      <w:sz w:val="16"/>
      <w:szCs w:val="16"/>
    </w:rPr>
  </w:style>
  <w:style w:type="paragraph" w:styleId="Header">
    <w:name w:val="header"/>
    <w:basedOn w:val="Normal"/>
    <w:link w:val="HeaderChar"/>
    <w:uiPriority w:val="99"/>
    <w:semiHidden/>
    <w:unhideWhenUsed/>
    <w:rsid w:val="004557F0"/>
    <w:pPr>
      <w:tabs>
        <w:tab w:val="center" w:pos="4680"/>
        <w:tab w:val="right" w:pos="9360"/>
      </w:tabs>
    </w:pPr>
  </w:style>
  <w:style w:type="character" w:customStyle="1" w:styleId="HeaderChar">
    <w:name w:val="Header Char"/>
    <w:basedOn w:val="DefaultParagraphFont"/>
    <w:link w:val="Header"/>
    <w:uiPriority w:val="99"/>
    <w:semiHidden/>
    <w:rsid w:val="004557F0"/>
    <w:rPr>
      <w:rFonts w:ascii="Times New Roman" w:eastAsia="Times New Roman" w:hAnsi="Times New Roman"/>
      <w:sz w:val="24"/>
      <w:szCs w:val="24"/>
    </w:rPr>
  </w:style>
  <w:style w:type="paragraph" w:styleId="Footer">
    <w:name w:val="footer"/>
    <w:basedOn w:val="Normal"/>
    <w:link w:val="FooterChar"/>
    <w:uiPriority w:val="99"/>
    <w:unhideWhenUsed/>
    <w:rsid w:val="004557F0"/>
    <w:pPr>
      <w:tabs>
        <w:tab w:val="center" w:pos="4680"/>
        <w:tab w:val="right" w:pos="9360"/>
      </w:tabs>
    </w:pPr>
  </w:style>
  <w:style w:type="character" w:customStyle="1" w:styleId="FooterChar">
    <w:name w:val="Footer Char"/>
    <w:basedOn w:val="DefaultParagraphFont"/>
    <w:link w:val="Footer"/>
    <w:uiPriority w:val="99"/>
    <w:rsid w:val="004557F0"/>
    <w:rPr>
      <w:rFonts w:ascii="Times New Roman" w:eastAsia="Times New Roman" w:hAnsi="Times New Roman"/>
      <w:sz w:val="24"/>
      <w:szCs w:val="24"/>
    </w:rPr>
  </w:style>
  <w:style w:type="paragraph" w:styleId="EndnoteText">
    <w:name w:val="endnote text"/>
    <w:basedOn w:val="Normal"/>
    <w:link w:val="EndnoteTextChar"/>
    <w:uiPriority w:val="99"/>
    <w:semiHidden/>
    <w:unhideWhenUsed/>
    <w:rsid w:val="0097010C"/>
    <w:rPr>
      <w:sz w:val="20"/>
      <w:szCs w:val="20"/>
    </w:rPr>
  </w:style>
  <w:style w:type="character" w:customStyle="1" w:styleId="EndnoteTextChar">
    <w:name w:val="Endnote Text Char"/>
    <w:basedOn w:val="DefaultParagraphFont"/>
    <w:link w:val="EndnoteText"/>
    <w:uiPriority w:val="99"/>
    <w:semiHidden/>
    <w:rsid w:val="0097010C"/>
    <w:rPr>
      <w:rFonts w:ascii="Times New Roman" w:eastAsia="Times New Roman" w:hAnsi="Times New Roman"/>
    </w:rPr>
  </w:style>
  <w:style w:type="character" w:styleId="EndnoteReference">
    <w:name w:val="endnote reference"/>
    <w:basedOn w:val="DefaultParagraphFont"/>
    <w:uiPriority w:val="99"/>
    <w:semiHidden/>
    <w:unhideWhenUsed/>
    <w:rsid w:val="0097010C"/>
    <w:rPr>
      <w:vertAlign w:val="superscript"/>
    </w:rPr>
  </w:style>
  <w:style w:type="character" w:styleId="Hyperlink">
    <w:name w:val="Hyperlink"/>
    <w:basedOn w:val="DefaultParagraphFont"/>
    <w:uiPriority w:val="99"/>
    <w:unhideWhenUsed/>
    <w:rsid w:val="00EA1073"/>
    <w:rPr>
      <w:color w:val="0000FF"/>
      <w:u w:val="single"/>
    </w:rPr>
  </w:style>
  <w:style w:type="paragraph" w:customStyle="1" w:styleId="References">
    <w:name w:val="References"/>
    <w:basedOn w:val="Normal"/>
    <w:autoRedefine/>
    <w:rsid w:val="00FE1D44"/>
    <w:pPr>
      <w:autoSpaceDE w:val="0"/>
      <w:autoSpaceDN w:val="0"/>
      <w:adjustRightInd w:val="0"/>
      <w:spacing w:after="120"/>
      <w:ind w:left="720" w:hanging="360"/>
    </w:pPr>
    <w:rPr>
      <w:sz w:val="20"/>
      <w:lang w:val="en-CA"/>
    </w:rPr>
  </w:style>
  <w:style w:type="character" w:styleId="Emphasis">
    <w:name w:val="Emphasis"/>
    <w:basedOn w:val="DefaultParagraphFont"/>
    <w:uiPriority w:val="20"/>
    <w:qFormat/>
    <w:rsid w:val="00BC6959"/>
    <w:rPr>
      <w:i/>
      <w:iCs/>
    </w:rPr>
  </w:style>
  <w:style w:type="character" w:customStyle="1" w:styleId="small1">
    <w:name w:val="small1"/>
    <w:basedOn w:val="DefaultParagraphFont"/>
    <w:rsid w:val="000C31AE"/>
    <w:rPr>
      <w:sz w:val="18"/>
      <w:szCs w:val="18"/>
    </w:rPr>
  </w:style>
  <w:style w:type="character" w:customStyle="1" w:styleId="author1">
    <w:name w:val="author1"/>
    <w:basedOn w:val="DefaultParagraphFont"/>
    <w:rsid w:val="005A54F7"/>
    <w:rPr>
      <w:color w:val="875700"/>
    </w:rPr>
  </w:style>
  <w:style w:type="character" w:styleId="PageNumber">
    <w:name w:val="page number"/>
    <w:basedOn w:val="DefaultParagraphFont"/>
    <w:rsid w:val="00436818"/>
  </w:style>
  <w:style w:type="character" w:styleId="CommentReference">
    <w:name w:val="annotation reference"/>
    <w:basedOn w:val="DefaultParagraphFont"/>
    <w:semiHidden/>
    <w:rsid w:val="00F72F41"/>
    <w:rPr>
      <w:sz w:val="16"/>
      <w:szCs w:val="16"/>
    </w:rPr>
  </w:style>
  <w:style w:type="paragraph" w:styleId="CommentText">
    <w:name w:val="annotation text"/>
    <w:basedOn w:val="Normal"/>
    <w:semiHidden/>
    <w:rsid w:val="00F72F41"/>
    <w:rPr>
      <w:sz w:val="20"/>
      <w:szCs w:val="20"/>
    </w:rPr>
  </w:style>
  <w:style w:type="paragraph" w:styleId="CommentSubject">
    <w:name w:val="annotation subject"/>
    <w:basedOn w:val="CommentText"/>
    <w:next w:val="CommentText"/>
    <w:semiHidden/>
    <w:rsid w:val="00F72F41"/>
    <w:rPr>
      <w:b/>
      <w:bCs/>
    </w:rPr>
  </w:style>
  <w:style w:type="character" w:customStyle="1" w:styleId="postal-code">
    <w:name w:val="postal-code"/>
    <w:basedOn w:val="DefaultParagraphFont"/>
    <w:rsid w:val="00C931A8"/>
  </w:style>
</w:styles>
</file>

<file path=word/webSettings.xml><?xml version="1.0" encoding="utf-8"?>
<w:webSettings xmlns:r="http://schemas.openxmlformats.org/officeDocument/2006/relationships" xmlns:w="http://schemas.openxmlformats.org/wordprocessingml/2006/main">
  <w:divs>
    <w:div w:id="27150208">
      <w:bodyDiv w:val="1"/>
      <w:marLeft w:val="0"/>
      <w:marRight w:val="0"/>
      <w:marTop w:val="0"/>
      <w:marBottom w:val="0"/>
      <w:divBdr>
        <w:top w:val="none" w:sz="0" w:space="0" w:color="auto"/>
        <w:left w:val="none" w:sz="0" w:space="0" w:color="auto"/>
        <w:bottom w:val="none" w:sz="0" w:space="0" w:color="auto"/>
        <w:right w:val="none" w:sz="0" w:space="0" w:color="auto"/>
      </w:divBdr>
    </w:div>
    <w:div w:id="414402338">
      <w:bodyDiv w:val="1"/>
      <w:marLeft w:val="0"/>
      <w:marRight w:val="0"/>
      <w:marTop w:val="0"/>
      <w:marBottom w:val="0"/>
      <w:divBdr>
        <w:top w:val="none" w:sz="0" w:space="0" w:color="auto"/>
        <w:left w:val="none" w:sz="0" w:space="0" w:color="auto"/>
        <w:bottom w:val="none" w:sz="0" w:space="0" w:color="auto"/>
        <w:right w:val="none" w:sz="0" w:space="0" w:color="auto"/>
      </w:divBdr>
    </w:div>
    <w:div w:id="422723340">
      <w:bodyDiv w:val="1"/>
      <w:marLeft w:val="0"/>
      <w:marRight w:val="0"/>
      <w:marTop w:val="0"/>
      <w:marBottom w:val="0"/>
      <w:divBdr>
        <w:top w:val="none" w:sz="0" w:space="0" w:color="auto"/>
        <w:left w:val="none" w:sz="0" w:space="0" w:color="auto"/>
        <w:bottom w:val="none" w:sz="0" w:space="0" w:color="auto"/>
        <w:right w:val="none" w:sz="0" w:space="0" w:color="auto"/>
      </w:divBdr>
    </w:div>
    <w:div w:id="436994597">
      <w:bodyDiv w:val="1"/>
      <w:marLeft w:val="0"/>
      <w:marRight w:val="0"/>
      <w:marTop w:val="0"/>
      <w:marBottom w:val="0"/>
      <w:divBdr>
        <w:top w:val="none" w:sz="0" w:space="0" w:color="auto"/>
        <w:left w:val="none" w:sz="0" w:space="0" w:color="auto"/>
        <w:bottom w:val="none" w:sz="0" w:space="0" w:color="auto"/>
        <w:right w:val="none" w:sz="0" w:space="0" w:color="auto"/>
      </w:divBdr>
    </w:div>
    <w:div w:id="533612819">
      <w:bodyDiv w:val="1"/>
      <w:marLeft w:val="0"/>
      <w:marRight w:val="0"/>
      <w:marTop w:val="0"/>
      <w:marBottom w:val="0"/>
      <w:divBdr>
        <w:top w:val="none" w:sz="0" w:space="0" w:color="auto"/>
        <w:left w:val="none" w:sz="0" w:space="0" w:color="auto"/>
        <w:bottom w:val="none" w:sz="0" w:space="0" w:color="auto"/>
        <w:right w:val="none" w:sz="0" w:space="0" w:color="auto"/>
      </w:divBdr>
    </w:div>
    <w:div w:id="547837979">
      <w:bodyDiv w:val="1"/>
      <w:marLeft w:val="0"/>
      <w:marRight w:val="0"/>
      <w:marTop w:val="0"/>
      <w:marBottom w:val="0"/>
      <w:divBdr>
        <w:top w:val="none" w:sz="0" w:space="0" w:color="auto"/>
        <w:left w:val="none" w:sz="0" w:space="0" w:color="auto"/>
        <w:bottom w:val="none" w:sz="0" w:space="0" w:color="auto"/>
        <w:right w:val="none" w:sz="0" w:space="0" w:color="auto"/>
      </w:divBdr>
    </w:div>
    <w:div w:id="562520251">
      <w:bodyDiv w:val="1"/>
      <w:marLeft w:val="0"/>
      <w:marRight w:val="0"/>
      <w:marTop w:val="0"/>
      <w:marBottom w:val="0"/>
      <w:divBdr>
        <w:top w:val="none" w:sz="0" w:space="0" w:color="auto"/>
        <w:left w:val="none" w:sz="0" w:space="0" w:color="auto"/>
        <w:bottom w:val="none" w:sz="0" w:space="0" w:color="auto"/>
        <w:right w:val="none" w:sz="0" w:space="0" w:color="auto"/>
      </w:divBdr>
    </w:div>
    <w:div w:id="609319821">
      <w:bodyDiv w:val="1"/>
      <w:marLeft w:val="0"/>
      <w:marRight w:val="0"/>
      <w:marTop w:val="0"/>
      <w:marBottom w:val="0"/>
      <w:divBdr>
        <w:top w:val="none" w:sz="0" w:space="0" w:color="auto"/>
        <w:left w:val="none" w:sz="0" w:space="0" w:color="auto"/>
        <w:bottom w:val="none" w:sz="0" w:space="0" w:color="auto"/>
        <w:right w:val="none" w:sz="0" w:space="0" w:color="auto"/>
      </w:divBdr>
    </w:div>
    <w:div w:id="640840566">
      <w:bodyDiv w:val="1"/>
      <w:marLeft w:val="0"/>
      <w:marRight w:val="0"/>
      <w:marTop w:val="0"/>
      <w:marBottom w:val="0"/>
      <w:divBdr>
        <w:top w:val="none" w:sz="0" w:space="0" w:color="auto"/>
        <w:left w:val="none" w:sz="0" w:space="0" w:color="auto"/>
        <w:bottom w:val="none" w:sz="0" w:space="0" w:color="auto"/>
        <w:right w:val="none" w:sz="0" w:space="0" w:color="auto"/>
      </w:divBdr>
    </w:div>
    <w:div w:id="689382267">
      <w:bodyDiv w:val="1"/>
      <w:marLeft w:val="0"/>
      <w:marRight w:val="0"/>
      <w:marTop w:val="0"/>
      <w:marBottom w:val="0"/>
      <w:divBdr>
        <w:top w:val="none" w:sz="0" w:space="0" w:color="auto"/>
        <w:left w:val="none" w:sz="0" w:space="0" w:color="auto"/>
        <w:bottom w:val="none" w:sz="0" w:space="0" w:color="auto"/>
        <w:right w:val="none" w:sz="0" w:space="0" w:color="auto"/>
      </w:divBdr>
    </w:div>
    <w:div w:id="769087628">
      <w:bodyDiv w:val="1"/>
      <w:marLeft w:val="0"/>
      <w:marRight w:val="0"/>
      <w:marTop w:val="0"/>
      <w:marBottom w:val="0"/>
      <w:divBdr>
        <w:top w:val="none" w:sz="0" w:space="0" w:color="auto"/>
        <w:left w:val="none" w:sz="0" w:space="0" w:color="auto"/>
        <w:bottom w:val="none" w:sz="0" w:space="0" w:color="auto"/>
        <w:right w:val="none" w:sz="0" w:space="0" w:color="auto"/>
      </w:divBdr>
    </w:div>
    <w:div w:id="836651532">
      <w:bodyDiv w:val="1"/>
      <w:marLeft w:val="0"/>
      <w:marRight w:val="0"/>
      <w:marTop w:val="0"/>
      <w:marBottom w:val="0"/>
      <w:divBdr>
        <w:top w:val="none" w:sz="0" w:space="0" w:color="auto"/>
        <w:left w:val="none" w:sz="0" w:space="0" w:color="auto"/>
        <w:bottom w:val="none" w:sz="0" w:space="0" w:color="auto"/>
        <w:right w:val="none" w:sz="0" w:space="0" w:color="auto"/>
      </w:divBdr>
    </w:div>
    <w:div w:id="954286528">
      <w:bodyDiv w:val="1"/>
      <w:marLeft w:val="0"/>
      <w:marRight w:val="0"/>
      <w:marTop w:val="0"/>
      <w:marBottom w:val="0"/>
      <w:divBdr>
        <w:top w:val="none" w:sz="0" w:space="0" w:color="auto"/>
        <w:left w:val="none" w:sz="0" w:space="0" w:color="auto"/>
        <w:bottom w:val="none" w:sz="0" w:space="0" w:color="auto"/>
        <w:right w:val="none" w:sz="0" w:space="0" w:color="auto"/>
      </w:divBdr>
    </w:div>
    <w:div w:id="1116215633">
      <w:bodyDiv w:val="1"/>
      <w:marLeft w:val="0"/>
      <w:marRight w:val="0"/>
      <w:marTop w:val="0"/>
      <w:marBottom w:val="0"/>
      <w:divBdr>
        <w:top w:val="none" w:sz="0" w:space="0" w:color="auto"/>
        <w:left w:val="none" w:sz="0" w:space="0" w:color="auto"/>
        <w:bottom w:val="none" w:sz="0" w:space="0" w:color="auto"/>
        <w:right w:val="none" w:sz="0" w:space="0" w:color="auto"/>
      </w:divBdr>
    </w:div>
    <w:div w:id="1189828461">
      <w:bodyDiv w:val="1"/>
      <w:marLeft w:val="0"/>
      <w:marRight w:val="0"/>
      <w:marTop w:val="0"/>
      <w:marBottom w:val="0"/>
      <w:divBdr>
        <w:top w:val="none" w:sz="0" w:space="0" w:color="auto"/>
        <w:left w:val="none" w:sz="0" w:space="0" w:color="auto"/>
        <w:bottom w:val="none" w:sz="0" w:space="0" w:color="auto"/>
        <w:right w:val="none" w:sz="0" w:space="0" w:color="auto"/>
      </w:divBdr>
    </w:div>
    <w:div w:id="1338194971">
      <w:bodyDiv w:val="1"/>
      <w:marLeft w:val="0"/>
      <w:marRight w:val="0"/>
      <w:marTop w:val="0"/>
      <w:marBottom w:val="0"/>
      <w:divBdr>
        <w:top w:val="none" w:sz="0" w:space="0" w:color="auto"/>
        <w:left w:val="none" w:sz="0" w:space="0" w:color="auto"/>
        <w:bottom w:val="none" w:sz="0" w:space="0" w:color="auto"/>
        <w:right w:val="none" w:sz="0" w:space="0" w:color="auto"/>
      </w:divBdr>
    </w:div>
    <w:div w:id="1401320558">
      <w:bodyDiv w:val="1"/>
      <w:marLeft w:val="0"/>
      <w:marRight w:val="0"/>
      <w:marTop w:val="0"/>
      <w:marBottom w:val="0"/>
      <w:divBdr>
        <w:top w:val="none" w:sz="0" w:space="0" w:color="auto"/>
        <w:left w:val="none" w:sz="0" w:space="0" w:color="auto"/>
        <w:bottom w:val="none" w:sz="0" w:space="0" w:color="auto"/>
        <w:right w:val="none" w:sz="0" w:space="0" w:color="auto"/>
      </w:divBdr>
    </w:div>
    <w:div w:id="1427386581">
      <w:bodyDiv w:val="1"/>
      <w:marLeft w:val="0"/>
      <w:marRight w:val="0"/>
      <w:marTop w:val="0"/>
      <w:marBottom w:val="0"/>
      <w:divBdr>
        <w:top w:val="none" w:sz="0" w:space="0" w:color="auto"/>
        <w:left w:val="none" w:sz="0" w:space="0" w:color="auto"/>
        <w:bottom w:val="none" w:sz="0" w:space="0" w:color="auto"/>
        <w:right w:val="none" w:sz="0" w:space="0" w:color="auto"/>
      </w:divBdr>
    </w:div>
    <w:div w:id="1436973745">
      <w:bodyDiv w:val="1"/>
      <w:marLeft w:val="0"/>
      <w:marRight w:val="0"/>
      <w:marTop w:val="0"/>
      <w:marBottom w:val="0"/>
      <w:divBdr>
        <w:top w:val="none" w:sz="0" w:space="0" w:color="auto"/>
        <w:left w:val="none" w:sz="0" w:space="0" w:color="auto"/>
        <w:bottom w:val="none" w:sz="0" w:space="0" w:color="auto"/>
        <w:right w:val="none" w:sz="0" w:space="0" w:color="auto"/>
      </w:divBdr>
    </w:div>
    <w:div w:id="1476484717">
      <w:bodyDiv w:val="1"/>
      <w:marLeft w:val="0"/>
      <w:marRight w:val="0"/>
      <w:marTop w:val="0"/>
      <w:marBottom w:val="0"/>
      <w:divBdr>
        <w:top w:val="none" w:sz="0" w:space="0" w:color="auto"/>
        <w:left w:val="none" w:sz="0" w:space="0" w:color="auto"/>
        <w:bottom w:val="none" w:sz="0" w:space="0" w:color="auto"/>
        <w:right w:val="none" w:sz="0" w:space="0" w:color="auto"/>
      </w:divBdr>
    </w:div>
    <w:div w:id="1523133295">
      <w:bodyDiv w:val="1"/>
      <w:marLeft w:val="0"/>
      <w:marRight w:val="0"/>
      <w:marTop w:val="0"/>
      <w:marBottom w:val="0"/>
      <w:divBdr>
        <w:top w:val="none" w:sz="0" w:space="0" w:color="auto"/>
        <w:left w:val="none" w:sz="0" w:space="0" w:color="auto"/>
        <w:bottom w:val="none" w:sz="0" w:space="0" w:color="auto"/>
        <w:right w:val="none" w:sz="0" w:space="0" w:color="auto"/>
      </w:divBdr>
    </w:div>
    <w:div w:id="1590894466">
      <w:bodyDiv w:val="1"/>
      <w:marLeft w:val="0"/>
      <w:marRight w:val="0"/>
      <w:marTop w:val="0"/>
      <w:marBottom w:val="0"/>
      <w:divBdr>
        <w:top w:val="none" w:sz="0" w:space="0" w:color="auto"/>
        <w:left w:val="none" w:sz="0" w:space="0" w:color="auto"/>
        <w:bottom w:val="none" w:sz="0" w:space="0" w:color="auto"/>
        <w:right w:val="none" w:sz="0" w:space="0" w:color="auto"/>
      </w:divBdr>
    </w:div>
    <w:div w:id="1591960509">
      <w:bodyDiv w:val="1"/>
      <w:marLeft w:val="0"/>
      <w:marRight w:val="0"/>
      <w:marTop w:val="0"/>
      <w:marBottom w:val="0"/>
      <w:divBdr>
        <w:top w:val="none" w:sz="0" w:space="0" w:color="auto"/>
        <w:left w:val="none" w:sz="0" w:space="0" w:color="auto"/>
        <w:bottom w:val="none" w:sz="0" w:space="0" w:color="auto"/>
        <w:right w:val="none" w:sz="0" w:space="0" w:color="auto"/>
      </w:divBdr>
    </w:div>
    <w:div w:id="1600869557">
      <w:bodyDiv w:val="1"/>
      <w:marLeft w:val="0"/>
      <w:marRight w:val="0"/>
      <w:marTop w:val="0"/>
      <w:marBottom w:val="0"/>
      <w:divBdr>
        <w:top w:val="none" w:sz="0" w:space="0" w:color="auto"/>
        <w:left w:val="none" w:sz="0" w:space="0" w:color="auto"/>
        <w:bottom w:val="none" w:sz="0" w:space="0" w:color="auto"/>
        <w:right w:val="none" w:sz="0" w:space="0" w:color="auto"/>
      </w:divBdr>
    </w:div>
    <w:div w:id="1616984324">
      <w:bodyDiv w:val="1"/>
      <w:marLeft w:val="0"/>
      <w:marRight w:val="0"/>
      <w:marTop w:val="0"/>
      <w:marBottom w:val="0"/>
      <w:divBdr>
        <w:top w:val="none" w:sz="0" w:space="0" w:color="auto"/>
        <w:left w:val="none" w:sz="0" w:space="0" w:color="auto"/>
        <w:bottom w:val="none" w:sz="0" w:space="0" w:color="auto"/>
        <w:right w:val="none" w:sz="0" w:space="0" w:color="auto"/>
      </w:divBdr>
    </w:div>
    <w:div w:id="1872258486">
      <w:bodyDiv w:val="1"/>
      <w:marLeft w:val="0"/>
      <w:marRight w:val="0"/>
      <w:marTop w:val="0"/>
      <w:marBottom w:val="0"/>
      <w:divBdr>
        <w:top w:val="none" w:sz="0" w:space="0" w:color="auto"/>
        <w:left w:val="none" w:sz="0" w:space="0" w:color="auto"/>
        <w:bottom w:val="none" w:sz="0" w:space="0" w:color="auto"/>
        <w:right w:val="none" w:sz="0" w:space="0" w:color="auto"/>
      </w:divBdr>
    </w:div>
    <w:div w:id="1892576093">
      <w:bodyDiv w:val="1"/>
      <w:marLeft w:val="0"/>
      <w:marRight w:val="0"/>
      <w:marTop w:val="0"/>
      <w:marBottom w:val="0"/>
      <w:divBdr>
        <w:top w:val="none" w:sz="0" w:space="0" w:color="auto"/>
        <w:left w:val="none" w:sz="0" w:space="0" w:color="auto"/>
        <w:bottom w:val="none" w:sz="0" w:space="0" w:color="auto"/>
        <w:right w:val="none" w:sz="0" w:space="0" w:color="auto"/>
      </w:divBdr>
    </w:div>
    <w:div w:id="203229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apps.who.int/classifications/apps/icd/icd10onlin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ealth.gov.bc.ca/msp/legislation/bcmaagree_faqs_fsfp.html"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fda.gov/NewsEvents/Newsroom/PressAnnouncements/2007/ucm108966.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ealth.gov.bc.ca/pharme/newsletter/07-005news.pdf" TargetMode="External"/><Relationship Id="rId5" Type="http://schemas.openxmlformats.org/officeDocument/2006/relationships/webSettings" Target="webSettings.xml"/><Relationship Id="rId15" Type="http://schemas.openxmlformats.org/officeDocument/2006/relationships/hyperlink" Target="http://www.hc-sc.gc.ca/dhp-mps/medeff/advisories-avis/prof/_2007/actos_hpc-cps_2-eng.php" TargetMode="External"/><Relationship Id="rId10" Type="http://schemas.openxmlformats.org/officeDocument/2006/relationships/hyperlink" Target="http://www.hc-sc.gc.ca/dhp-mps/medeff/advisories-avis/prof/_2007/avandia_hpc-cps_4-eng.ph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hc-sc.gc.ca/dhp-mps/medeff/advisories-avis/prof/_2007/avandia_hpc-cps_3-en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AA757-82B9-4F1A-915E-A253889CF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3994</Words>
  <Characters>22768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Publication of rosiglitazone meta-analysis triggers switching to other drugs</vt:lpstr>
    </vt:vector>
  </TitlesOfParts>
  <Company/>
  <LinksUpToDate>false</LinksUpToDate>
  <CharactersWithSpaces>26709</CharactersWithSpaces>
  <SharedDoc>false</SharedDoc>
  <HLinks>
    <vt:vector size="24" baseType="variant">
      <vt:variant>
        <vt:i4>1310814</vt:i4>
      </vt:variant>
      <vt:variant>
        <vt:i4>9</vt:i4>
      </vt:variant>
      <vt:variant>
        <vt:i4>0</vt:i4>
      </vt:variant>
      <vt:variant>
        <vt:i4>5</vt:i4>
      </vt:variant>
      <vt:variant>
        <vt:lpwstr>http://apps.who.int/classifications/apps/icd/icd10online/</vt:lpwstr>
      </vt:variant>
      <vt:variant>
        <vt:lpwstr/>
      </vt:variant>
      <vt:variant>
        <vt:i4>6619193</vt:i4>
      </vt:variant>
      <vt:variant>
        <vt:i4>6</vt:i4>
      </vt:variant>
      <vt:variant>
        <vt:i4>0</vt:i4>
      </vt:variant>
      <vt:variant>
        <vt:i4>5</vt:i4>
      </vt:variant>
      <vt:variant>
        <vt:lpwstr>http://www.health.gov.bc.ca/msp/legislation/bcmaagree_faqs_fsfp.html</vt:lpwstr>
      </vt:variant>
      <vt:variant>
        <vt:lpwstr/>
      </vt:variant>
      <vt:variant>
        <vt:i4>1048661</vt:i4>
      </vt:variant>
      <vt:variant>
        <vt:i4>3</vt:i4>
      </vt:variant>
      <vt:variant>
        <vt:i4>0</vt:i4>
      </vt:variant>
      <vt:variant>
        <vt:i4>5</vt:i4>
      </vt:variant>
      <vt:variant>
        <vt:lpwstr>http://www.health.gov.bc.ca/pharme/newsletter/07-005news.pdf</vt:lpwstr>
      </vt:variant>
      <vt:variant>
        <vt:lpwstr/>
      </vt:variant>
      <vt:variant>
        <vt:i4>5505058</vt:i4>
      </vt:variant>
      <vt:variant>
        <vt:i4>0</vt:i4>
      </vt:variant>
      <vt:variant>
        <vt:i4>0</vt:i4>
      </vt:variant>
      <vt:variant>
        <vt:i4>5</vt:i4>
      </vt:variant>
      <vt:variant>
        <vt:lpwstr>http://www.hc-sc.gc.ca/dhp-mps/medeff/advisories-avis/prof/_2007/avandia_hpc-cps_4-eng.php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Publication of rosiglitazone meta-analysis triggers switching to other drugs</dc:title>
  <dc:subject/>
  <dc:creator>User</dc:creator>
  <cp:keywords/>
  <cp:lastModifiedBy>Therapeutics Initiative</cp:lastModifiedBy>
  <cp:revision>2</cp:revision>
  <cp:lastPrinted>2009-08-07T23:13:00Z</cp:lastPrinted>
  <dcterms:created xsi:type="dcterms:W3CDTF">2009-08-08T00:21:00Z</dcterms:created>
  <dcterms:modified xsi:type="dcterms:W3CDTF">2009-08-08T00:21:00Z</dcterms:modified>
</cp:coreProperties>
</file>