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mallCaps/>
          <w:sz w:val="24"/>
          <w:szCs w:val="24"/>
          <w:lang w:val="en-CA"/>
        </w:rPr>
        <w:t>Who Should Travel in Kidney Exchange Programs -the Donor or the Organ?</w:t>
      </w:r>
    </w:p>
    <w:p>
      <w:pPr>
        <w:pStyle w:val="Normal"/>
        <w:rPr>
          <w:rFonts w:ascii="Times New Roman" w:hAnsi="Times New Roman" w:cs="Times New Roman"/>
          <w:b/>
          <w:b/>
          <w:smallCaps/>
          <w:sz w:val="24"/>
          <w:szCs w:val="24"/>
          <w:lang w:val="en-CA"/>
        </w:rPr>
      </w:pPr>
      <w:r>
        <w:rPr>
          <w:rFonts w:cs="Times New Roman" w:ascii="Times New Roman" w:hAnsi="Times New Roman"/>
          <w:b/>
          <w:smallCaps/>
          <w:sz w:val="24"/>
          <w:szCs w:val="24"/>
          <w:lang w:val="en-CA"/>
        </w:rPr>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t>Marie-Chantal Fortin</w:t>
      </w:r>
      <w:r>
        <w:rPr>
          <w:rFonts w:cs="Times New Roman" w:ascii="Times New Roman" w:hAnsi="Times New Roman"/>
          <w:sz w:val="24"/>
          <w:szCs w:val="24"/>
          <w:vertAlign w:val="superscript"/>
          <w:lang w:val="en-CA"/>
        </w:rPr>
        <w:t>1§</w:t>
      </w:r>
      <w:r>
        <w:rPr>
          <w:rFonts w:cs="Times New Roman" w:ascii="Times New Roman" w:hAnsi="Times New Roman"/>
          <w:sz w:val="24"/>
          <w:szCs w:val="24"/>
          <w:lang w:val="en-CA"/>
        </w:rPr>
        <w:t xml:space="preserve"> MD, PhD and Bryn Williams-Jones</w:t>
      </w:r>
      <w:r>
        <w:rPr>
          <w:rFonts w:cs="Times New Roman" w:ascii="Times New Roman" w:hAnsi="Times New Roman"/>
          <w:sz w:val="24"/>
          <w:szCs w:val="24"/>
          <w:vertAlign w:val="superscript"/>
          <w:lang w:val="en-CA"/>
        </w:rPr>
        <w:t>2</w:t>
      </w:r>
      <w:r>
        <w:rPr>
          <w:rFonts w:cs="Times New Roman" w:ascii="Times New Roman" w:hAnsi="Times New Roman"/>
          <w:sz w:val="24"/>
          <w:szCs w:val="24"/>
          <w:lang w:val="en-CA"/>
        </w:rPr>
        <w:t xml:space="preserve"> PhD</w:t>
        <w:tab/>
      </w:r>
    </w:p>
    <w:p>
      <w:pPr>
        <w:pStyle w:val="Normal"/>
        <w:spacing w:lineRule="auto" w:line="480"/>
        <w:jc w:val="both"/>
        <w:rPr/>
      </w:pPr>
      <w:r>
        <w:rPr>
          <w:rFonts w:cs="Times New Roman" w:ascii="Times New Roman" w:hAnsi="Times New Roman"/>
          <w:sz w:val="24"/>
          <w:szCs w:val="24"/>
          <w:lang w:val="en-CA"/>
        </w:rPr>
        <w:t>1. Nephrology and Transplantation Division, Centre Hospitalier de l’Université de Montréal, 1560 Sherbrooke East Street, Montreal, Quebec, Canada, H2L 4M1</w:t>
      </w:r>
    </w:p>
    <w:p>
      <w:pPr>
        <w:pStyle w:val="Normal"/>
        <w:spacing w:lineRule="auto" w:line="480"/>
        <w:jc w:val="both"/>
        <w:rPr/>
      </w:pPr>
      <w:r>
        <w:rPr>
          <w:rFonts w:cs="Times New Roman" w:ascii="Times New Roman" w:hAnsi="Times New Roman"/>
          <w:sz w:val="24"/>
          <w:szCs w:val="24"/>
        </w:rPr>
        <w:t>2. Programmes de bioéthique, Département de médecine sociale et préventive, Université de Montréal C.P. 6128, succ. Centre-ville, Montréal, QC, Canada H3C 3J7</w:t>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t>§ Corresponding author</w:t>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t>Email addresses:</w:t>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tab/>
        <w:t xml:space="preserve">MCF: </w:t>
      </w:r>
      <w:hyperlink r:id="rId2">
        <w:r>
          <w:rPr>
            <w:rStyle w:val="InternetLink"/>
            <w:rFonts w:cs="Times New Roman" w:ascii="Times New Roman" w:hAnsi="Times New Roman"/>
            <w:sz w:val="24"/>
            <w:szCs w:val="24"/>
            <w:lang w:val="en-CA"/>
          </w:rPr>
          <w:t>marie-chantal.fortin@sympatico.ca</w:t>
        </w:r>
      </w:hyperlink>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tab/>
        <w:t xml:space="preserve">BWJ: </w:t>
      </w:r>
      <w:hyperlink r:id="rId3">
        <w:r>
          <w:rPr>
            <w:rStyle w:val="InternetLink"/>
            <w:rFonts w:cs="Times New Roman" w:ascii="Times New Roman" w:hAnsi="Times New Roman"/>
            <w:sz w:val="24"/>
            <w:szCs w:val="24"/>
            <w:lang w:val="en-CA"/>
          </w:rPr>
          <w:t>bryn.williams-jones@umontreal.ca</w:t>
        </w:r>
      </w:hyperlink>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spacing w:lineRule="auto" w:line="480"/>
        <w:jc w:val="both"/>
        <w:rPr/>
      </w:pPr>
      <w:r>
        <w:rPr>
          <w:rFonts w:cs="Times New Roman" w:ascii="Times New Roman" w:hAnsi="Times New Roman"/>
          <w:lang w:val="en-CA"/>
        </w:rPr>
        <w:br/>
        <w:t>Word Count: 1163</w:t>
      </w:r>
      <w:r>
        <w:br w:type="page"/>
      </w:r>
    </w:p>
    <w:p>
      <w:pPr>
        <w:pStyle w:val="Normal"/>
        <w:spacing w:lineRule="auto" w:line="480"/>
        <w:jc w:val="both"/>
        <w:rPr/>
      </w:pPr>
      <w:r>
        <w:rPr>
          <w:rFonts w:cs="Times New Roman" w:ascii="Times New Roman" w:hAnsi="Times New Roman"/>
          <w:sz w:val="24"/>
          <w:szCs w:val="24"/>
          <w:lang w:val="en-CA"/>
        </w:rPr>
        <w:t xml:space="preserve">There is an increasing gap worldwide between the demand for and supply of kidneys for transplantation, and Canada is no exception. </w:t>
      </w:r>
      <w:r>
        <w:fldChar w:fldCharType="begin"/>
      </w:r>
      <w:r>
        <w:instrText> ADDIN EN.CITE &lt;EndNote&gt;&lt;Cite&gt;&lt;Author&gt;Institut Canadien d&amp;apos;Information sur la Santé&lt;/Author&gt;&lt;Year&gt;2009&lt;/Year&gt;&lt;RecNum&gt;50&lt;/RecNum&gt;&lt;record&gt;&lt;rec-number&gt;50&lt;/rec-number&gt;&lt;foreign-keys&gt;&lt;key app="EN" db-id="2pw0vwp0s29rtkex9tkvxfwi92d5vef55r9z"&gt;50&lt;/key&gt;&lt;/foreign-keys&gt;&lt;ref-type name="Book"&gt;6&lt;/ref-type&gt;&lt;contributors&gt;&lt;authors&gt;&lt;author&gt;Institut Canadien d&amp;apos;Information sur la Santé,&lt;/author&gt;&lt;/authors&gt;&lt;/contributors&gt;&lt;titles&gt;&lt;title&gt;Traitement du stade terminal de l&amp;apos;insuffisance organique au Canada, de 1998 à 2007. Rapport annuel 2009 du RCITO&lt;/title&gt;&lt;/titles&gt;&lt;pages&gt;72&lt;/pages&gt;&lt;dates&gt;&lt;year&gt;2009&lt;/year&gt;&lt;/dates&gt;&lt;pub-location&gt;Ottawa&lt;/pub-location&gt;&lt;publisher&gt;ICIS&lt;/publisher&gt;&lt;urls&gt;&lt;/urls&gt;&lt;/record&gt;&lt;/Cite&gt;&lt;/EndNote&gt;</w:instrText>
      </w:r>
      <w:r>
        <w:fldChar w:fldCharType="separate"/>
      </w:r>
      <w:bookmarkStart w:id="0" w:name="__Fieldmark__349_1322453857"/>
      <w:r>
        <w:rPr>
          <w:rFonts w:cs="Times New Roman" w:ascii="Times New Roman" w:hAnsi="Times New Roman"/>
          <w:sz w:val="24"/>
          <w:szCs w:val="24"/>
          <w:lang w:val="en-CA"/>
        </w:rPr>
        <w:t>(1)</w:t>
      </w:r>
      <w:r>
        <w:rPr>
          <w:rFonts w:cs="Times New Roman" w:ascii="Times New Roman" w:hAnsi="Times New Roman"/>
          <w:sz w:val="24"/>
          <w:szCs w:val="24"/>
          <w:lang w:val="en-CA"/>
        </w:rPr>
      </w:r>
      <w:r>
        <w:fldChar w:fldCharType="end"/>
      </w:r>
      <w:bookmarkEnd w:id="0"/>
      <w:r>
        <w:rPr>
          <w:rFonts w:cs="Times New Roman" w:ascii="Times New Roman" w:hAnsi="Times New Roman"/>
          <w:sz w:val="24"/>
          <w:szCs w:val="24"/>
          <w:lang w:val="en-CA"/>
        </w:rPr>
        <w:t xml:space="preserve"> In most North American and European countries, cadaveric donation has proven insufficient to meet the demand for kidneys, so other measures have been implemented to alleviate this shortage, such as extending criteria for deceased donor organs, procuring organs after cardiac death, expanding the circle of living donors to include altruistic donors, and developing exchange programmes for living incompatible donor-recipient pairs. In this latter case (the focus of this commentary), two donor-recipients pairs are linked, where donor 1 cannot donate directly to recipient 1 but can donate to recipient 2, and donor 2 can donate to recipient 1. Variations on this exchange include “domino” or chain exchanges involving more than two pairs. </w:t>
      </w:r>
      <w:r>
        <w:fldChar w:fldCharType="begin"/>
      </w:r>
      <w:r>
        <w:instrText> ADDIN EN.CITE &lt;EndNote&gt;&lt;Cite&gt;&lt;Author&gt;Gentry&lt;/Author&gt;&lt;Year&gt;2009&lt;/Year&gt;&lt;RecNum&gt;51&lt;/RecNum&gt;&lt;record&gt;&lt;rec-number&gt;51&lt;/rec-number&gt;&lt;foreign-keys&gt;&lt;key app="EN" db-id="2pw0vwp0s29rtkex9tkvxfwi92d5vef55r9z"&gt;51&lt;/key&gt;&lt;/foreign-keys&gt;&lt;ref-type name="Journal Article"&gt;17&lt;/ref-type&gt;&lt;contributors&gt;&lt;authors&gt;&lt;author&gt;Gentry, S.E.&lt;/author&gt;&lt;author&gt;Montgomery, R.A.&lt;/author&gt;&lt;author&gt;Swihart, B.J.&lt;/author&gt;&lt;author&gt;Segev, D.L.&lt;/author&gt;&lt;/authors&gt;&lt;/contributors&gt;&lt;titles&gt;&lt;title&gt;The Roles of Dominos and Nonsimultaneous Chains in Kidney Paired Donation&lt;/title&gt;&lt;secondary-title&gt;American Journal of Transplantation&lt;/secondary-title&gt;&lt;/titles&gt;&lt;periodical&gt;&lt;full-title&gt;American Journal of Transplantation&lt;/full-title&gt;&lt;/periodical&gt;&lt;pages&gt;1330-1336&lt;/pages&gt;&lt;volume&gt;9&lt;/volume&gt;&lt;dates&gt;&lt;year&gt;2009&lt;/year&gt;&lt;/dates&gt;&lt;urls&gt;&lt;/urls&gt;&lt;/record&gt;&lt;/Cite&gt;&lt;/EndNote&gt;</w:instrText>
      </w:r>
      <w:r>
        <w:fldChar w:fldCharType="separate"/>
      </w:r>
      <w:bookmarkStart w:id="1" w:name="__Fieldmark__350_1322453857"/>
      <w:r>
        <w:rPr>
          <w:rFonts w:cs="Times New Roman" w:ascii="Times New Roman" w:hAnsi="Times New Roman"/>
          <w:sz w:val="24"/>
          <w:szCs w:val="24"/>
          <w:lang w:val="en-CA"/>
        </w:rPr>
        <w:t>(2)</w:t>
      </w:r>
      <w:r>
        <w:rPr>
          <w:rFonts w:cs="Times New Roman" w:ascii="Times New Roman" w:hAnsi="Times New Roman"/>
          <w:sz w:val="24"/>
          <w:szCs w:val="24"/>
          <w:lang w:val="en-CA"/>
        </w:rPr>
      </w:r>
      <w:r>
        <w:fldChar w:fldCharType="end"/>
      </w:r>
      <w:bookmarkEnd w:id="1"/>
      <w:r>
        <w:rPr>
          <w:rFonts w:cs="Times New Roman" w:ascii="Times New Roman" w:hAnsi="Times New Roman"/>
          <w:sz w:val="24"/>
          <w:szCs w:val="24"/>
          <w:lang w:val="en-CA"/>
        </w:rPr>
        <w:t xml:space="preserve"> </w:t>
      </w:r>
    </w:p>
    <w:p>
      <w:pPr>
        <w:pStyle w:val="Normal"/>
        <w:spacing w:lineRule="auto" w:line="480"/>
        <w:ind w:firstLine="708"/>
        <w:jc w:val="both"/>
        <w:rPr/>
      </w:pPr>
      <w:r>
        <w:rPr>
          <w:rFonts w:cs="Times New Roman" w:ascii="Times New Roman" w:hAnsi="Times New Roman"/>
          <w:sz w:val="24"/>
          <w:szCs w:val="24"/>
          <w:lang w:val="en-CA"/>
        </w:rPr>
        <w:t xml:space="preserve">Interest in this type of living organ donation is growing, and some authors have estimated that such exchanges could result in 1000 to 2000 additional renal transplants performed annually in the US. </w:t>
      </w:r>
      <w:r>
        <w:fldChar w:fldCharType="begin"/>
      </w:r>
      <w:r>
        <w:instrText> ADDIN EN.CITE &lt;EndNote&gt;&lt;Cite&gt;&lt;Author&gt;Segev&lt;/Author&gt;&lt;Year&gt;2008&lt;/Year&gt;&lt;RecNum&gt;52&lt;/RecNum&gt;&lt;record&gt;&lt;rec-number&gt;52&lt;/rec-number&gt;&lt;foreign-keys&gt;&lt;key app="EN" db-id="2pw0vwp0s29rtkex9tkvxfwi92d5vef55r9z"&gt;52&lt;/key&gt;&lt;/foreign-keys&gt;&lt;ref-type name="Journal Article"&gt;17&lt;/ref-type&gt;&lt;contributors&gt;&lt;authors&gt;&lt;author&gt;Segev, Dorry L.&lt;/author&gt;&lt;author&gt;Kucirka, Lauren M.&lt;/author&gt;&lt;author&gt;Gentry, S.E.&lt;/author&gt;&lt;author&gt;Montgomery, R.A.&lt;/author&gt;&lt;/authors&gt;&lt;/contributors&gt;&lt;titles&gt;&lt;title&gt;Utilization and Outcomes of Kidney Paired Donation in the United States&lt;/title&gt;&lt;secondary-title&gt;Transplantation&lt;/secondary-title&gt;&lt;/titles&gt;&lt;periodical&gt;&lt;full-title&gt;Transplantation&lt;/full-title&gt;&lt;/periodical&gt;&lt;pages&gt;502-510&lt;/pages&gt;&lt;volume&gt;86&lt;/volume&gt;&lt;number&gt;4&lt;/number&gt;&lt;dates&gt;&lt;year&gt;2008&lt;/year&gt;&lt;/dates&gt;&lt;urls&gt;&lt;/urls&gt;&lt;/record&gt;&lt;/Cite&gt;&lt;/EndNote&gt;</w:instrText>
      </w:r>
      <w:r>
        <w:fldChar w:fldCharType="separate"/>
      </w:r>
      <w:bookmarkStart w:id="2" w:name="__Fieldmark__351_1322453857"/>
      <w:r>
        <w:rPr>
          <w:rFonts w:cs="Times New Roman" w:ascii="Times New Roman" w:hAnsi="Times New Roman"/>
          <w:sz w:val="24"/>
          <w:szCs w:val="24"/>
          <w:lang w:val="en-CA"/>
        </w:rPr>
        <w:t>(3)</w:t>
      </w:r>
      <w:r>
        <w:rPr>
          <w:rFonts w:cs="Times New Roman" w:ascii="Times New Roman" w:hAnsi="Times New Roman"/>
          <w:sz w:val="24"/>
          <w:szCs w:val="24"/>
          <w:lang w:val="en-CA"/>
        </w:rPr>
      </w:r>
      <w:r>
        <w:fldChar w:fldCharType="end"/>
      </w:r>
      <w:bookmarkEnd w:id="2"/>
      <w:r>
        <w:rPr>
          <w:rFonts w:cs="Times New Roman" w:ascii="Times New Roman" w:hAnsi="Times New Roman"/>
          <w:sz w:val="24"/>
          <w:szCs w:val="24"/>
          <w:lang w:val="en-CA"/>
        </w:rPr>
        <w:t xml:space="preserve"> In Canada, there were no exchange programmes until 2009, when the Canadian Blood Services launched the Living Paired Exchange Donor Registry; the first domino exchange in Canada took place in June 2009. </w:t>
      </w:r>
      <w:r>
        <w:fldChar w:fldCharType="begin"/>
      </w:r>
      <w:r>
        <w:instrText> ADDIN EN.CITE &lt;EndNote&gt;&lt;Cite&gt;&lt;Author&gt;Canadian Blood Services&lt;/Author&gt;&lt;RecNum&gt;59&lt;/RecNum&gt;&lt;record&gt;&lt;rec-number&gt;59&lt;/rec-number&gt;&lt;foreign-keys&gt;&lt;key app="EN" db-id="2pw0vwp0s29rtkex9tkvxfwi92d5vef55r9z"&gt;59&lt;/key&gt;&lt;/foreign-keys&gt;&lt;ref-type name="Web Page"&gt;12&lt;/ref-type&gt;&lt;contributors&gt;&lt;authors&gt;&lt;author&gt;Canadian Blood Services,&lt;/author&gt;&lt;/authors&gt;&lt;/contributors&gt;&lt;titles&gt;&lt;title&gt;Organ and Tissue Donation and Transplantation&lt;/title&gt;&lt;/titles&gt;&lt;volume&gt;2010&lt;/volume&gt;&lt;number&gt;April 8&lt;/number&gt;&lt;dates&gt;&lt;/dates&gt;&lt;urls&gt;&lt;related-urls&gt;&lt;url&gt;http://www.ccdt.ca/english/home.html&lt;/url&gt;&lt;/related-urls&gt;&lt;/urls&gt;&lt;/record&gt;&lt;/Cite&gt;&lt;/EndNote&gt;</w:instrText>
      </w:r>
      <w:r>
        <w:fldChar w:fldCharType="separate"/>
      </w:r>
      <w:bookmarkStart w:id="3" w:name="__Fieldmark__352_1322453857"/>
      <w:r>
        <w:rPr>
          <w:rFonts w:cs="Times New Roman" w:ascii="Times New Roman" w:hAnsi="Times New Roman"/>
          <w:sz w:val="24"/>
          <w:szCs w:val="24"/>
          <w:lang w:val="en-CA"/>
        </w:rPr>
        <w:t>(4)</w:t>
      </w:r>
      <w:r>
        <w:rPr>
          <w:rFonts w:cs="Times New Roman" w:ascii="Times New Roman" w:hAnsi="Times New Roman"/>
          <w:sz w:val="24"/>
          <w:szCs w:val="24"/>
          <w:lang w:val="en-CA"/>
        </w:rPr>
      </w:r>
      <w:r>
        <w:fldChar w:fldCharType="end"/>
      </w:r>
      <w:bookmarkEnd w:id="3"/>
      <w:r>
        <w:rPr>
          <w:rFonts w:cs="Times New Roman" w:ascii="Times New Roman" w:hAnsi="Times New Roman"/>
          <w:sz w:val="24"/>
          <w:szCs w:val="24"/>
          <w:lang w:val="en-CA"/>
        </w:rPr>
        <w:t xml:space="preserve"> Three Canadian provinces (Alberta, Ontario and British Colombia) are now part of a pilot project, and Québec is expected to soon join. To date, donors participating in the pilot project have travelled to the recipient’s transplant center. But before expanding this programme to all Canadian provinces, it is necessary to answer the following question: should we be “shipping” the donor or the kidney?</w:t>
      </w:r>
    </w:p>
    <w:p>
      <w:pPr>
        <w:pStyle w:val="Normal"/>
        <w:spacing w:lineRule="auto" w:line="480"/>
        <w:ind w:firstLine="708"/>
        <w:jc w:val="both"/>
        <w:rPr/>
      </w:pPr>
      <w:r>
        <w:rPr>
          <w:rFonts w:cs="Times New Roman" w:ascii="Times New Roman" w:hAnsi="Times New Roman"/>
          <w:sz w:val="24"/>
          <w:szCs w:val="24"/>
          <w:lang w:val="en-CA"/>
        </w:rPr>
        <w:t xml:space="preserve">Traditionally, most exchanges programmes have involved the donor travelling to the recipient’s transplant center in order to reduce cold ischemia time, one of the reasons evoked for the better long term outcomes of living as compared with cadaveric renal transplantation. However, recent US studies of chain kidney transplantation that involved shipping organs via commercial airlines showed positive medical outcomes for the recipient, despite the longer cold ischemia time. </w:t>
      </w:r>
      <w:r>
        <w:fldChar w:fldCharType="begin"/>
      </w:r>
      <w:r>
        <w:instrText> ADDIN EN.CITE </w:instrText>
      </w:r>
      <w:r>
        <w:fldChar w:fldCharType="separate"/>
      </w:r>
      <w:bookmarkStart w:id="4" w:name="__Fieldmark__353_1322453857"/>
      <w:r>
        <w:rPr>
          <w:rFonts w:cs="Times New Roman" w:ascii="Times New Roman" w:hAnsi="Times New Roman"/>
          <w:sz w:val="24"/>
          <w:szCs w:val="24"/>
          <w:lang w:val="en-CA"/>
        </w:rPr>
        <w:t>(5, 6)</w:t>
      </w:r>
      <w:r>
        <w:rPr>
          <w:rFonts w:cs="Times New Roman" w:ascii="Times New Roman" w:hAnsi="Times New Roman"/>
          <w:sz w:val="24"/>
          <w:szCs w:val="24"/>
          <w:lang w:val="en-CA"/>
        </w:rPr>
      </w:r>
      <w:r>
        <w:fldChar w:fldCharType="end"/>
      </w:r>
      <w:bookmarkEnd w:id="4"/>
      <w:r>
        <w:rPr>
          <w:rFonts w:cs="Times New Roman" w:ascii="Times New Roman" w:hAnsi="Times New Roman"/>
          <w:sz w:val="24"/>
          <w:szCs w:val="24"/>
          <w:lang w:val="en-CA"/>
        </w:rPr>
        <w:t xml:space="preserve"> </w:t>
      </w:r>
    </w:p>
    <w:p>
      <w:pPr>
        <w:pStyle w:val="Normal"/>
        <w:spacing w:lineRule="auto" w:line="480"/>
        <w:ind w:firstLine="708"/>
        <w:jc w:val="both"/>
        <w:rPr>
          <w:rFonts w:ascii="Times New Roman" w:hAnsi="Times New Roman" w:cs="Times New Roman"/>
          <w:sz w:val="24"/>
          <w:szCs w:val="24"/>
          <w:lang w:val="en-CA"/>
        </w:rPr>
      </w:pPr>
      <w:r>
        <w:rPr>
          <w:rFonts w:cs="Times New Roman" w:ascii="Times New Roman" w:hAnsi="Times New Roman"/>
          <w:sz w:val="24"/>
          <w:szCs w:val="24"/>
          <w:lang w:val="en-CA"/>
        </w:rPr>
        <w:t xml:space="preserve">There are some important advantages of shipping the kidney, instead of the donor. First, since the two incompatible pairs are in different hospitals, it is easier to maintain anonymity by shipping the organs. A study conducted in Netherlands showed that anonymity was an essential condition for potential incompatible pairs to participate in exchange programmes. </w:t>
      </w:r>
      <w:r>
        <w:fldChar w:fldCharType="begin"/>
      </w:r>
      <w:r>
        <w:instrText> ADDIN EN.CITE &lt;EndNote&gt;&lt;Cite&gt;&lt;Author&gt;de Klerk&lt;/Author&gt;&lt;Year&gt;2004&lt;/Year&gt;&lt;RecNum&gt;145&lt;/RecNum&gt;&lt;record&gt;&lt;rec-number&gt;145&lt;/rec-number&gt;&lt;foreign-keys&gt;&lt;key app="EN" db-id="9rvtsfefnzfz00etve1vp5ta2f5tttstdtrs"&gt;145&lt;/key&gt;&lt;/foreign-keys&gt;&lt;ref-type name="Book Section"&gt;5&lt;/ref-type&gt;&lt;contributors&gt;&lt;authors&gt;&lt;author&gt;de Klerk, Marry&lt;/author&gt;&lt;author&gt;Luchtenburt, A.E.&lt;/author&gt;&lt;author&gt;Zuidema, Willij&lt;/author&gt;&lt;author&gt;Kranenburg, Leonieke W.&lt;/author&gt;&lt;author&gt;Ijzermans, Jan N.&lt;/author&gt;&lt;author&gt;Claas, F.H.J.&lt;/author&gt;&lt;author&gt;Witvliet, M.&lt;/author&gt;&lt;author&gt;Weimar, Willem&lt;/author&gt;&lt;/authors&gt;&lt;secondary-authors&gt;&lt;author&gt;Gutmann, T.&lt;/author&gt;&lt;author&gt;Daar, A.S.&lt;/author&gt;&lt;author&gt;Sells, R.A.&lt;/author&gt;&lt;author&gt;LAnd, Walter&lt;/author&gt;&lt;/secondary-authors&gt;&lt;/contributors&gt;&lt;titles&gt;&lt;title&gt;Acceptability and feasibility of cross-over kidney transplantation&lt;/title&gt;&lt;secondary-title&gt;Ethical, legal and social issues in organ transplantation&lt;/secondary-title&gt;&lt;/titles&gt;&lt;pages&gt;255-262&lt;/pages&gt;&lt;dates&gt;&lt;year&gt;2004&lt;/year&gt;&lt;/dates&gt;&lt;pub-location&gt;Lengerich&lt;/pub-location&gt;&lt;publisher&gt;PABST&lt;/publisher&gt;&lt;urls&gt;&lt;/urls&gt;&lt;/record&gt;&lt;/Cite&gt;&lt;/EndNote&gt;</w:instrText>
      </w:r>
      <w:r>
        <w:fldChar w:fldCharType="separate"/>
      </w:r>
      <w:bookmarkStart w:id="5" w:name="__Fieldmark__354_1322453857"/>
      <w:r>
        <w:rPr>
          <w:rFonts w:cs="Times New Roman" w:ascii="Times New Roman" w:hAnsi="Times New Roman"/>
          <w:sz w:val="24"/>
          <w:szCs w:val="24"/>
          <w:lang w:val="en-CA"/>
        </w:rPr>
        <w:t>(7)</w:t>
      </w:r>
      <w:r>
        <w:rPr>
          <w:rFonts w:cs="Times New Roman" w:ascii="Times New Roman" w:hAnsi="Times New Roman"/>
          <w:sz w:val="24"/>
          <w:szCs w:val="24"/>
          <w:lang w:val="en-CA"/>
        </w:rPr>
      </w:r>
      <w:r>
        <w:fldChar w:fldCharType="end"/>
      </w:r>
      <w:bookmarkEnd w:id="5"/>
      <w:r>
        <w:rPr>
          <w:rFonts w:cs="Times New Roman" w:ascii="Times New Roman" w:hAnsi="Times New Roman"/>
          <w:sz w:val="24"/>
          <w:szCs w:val="24"/>
          <w:lang w:val="en-CA"/>
        </w:rPr>
        <w:t xml:space="preserve"> Second, by shipping the kidney to the recipient’s transplantation centre, the donor stays in a familiar setting, surrounded by family and friends, thus receiving support that is essential throughout the donation and transplantation process. </w:t>
      </w:r>
      <w:r>
        <w:fldChar w:fldCharType="begin"/>
      </w:r>
      <w:r>
        <w:instrText> ADDIN EN.CITE &lt;EndNote&gt;&lt;Cite&gt;&lt;Author&gt;Brown&lt;/Author&gt;&lt;Year&gt;2008&lt;/Year&gt;&lt;RecNum&gt;38&lt;/RecNum&gt;&lt;record&gt;&lt;rec-number&gt;38&lt;/rec-number&gt;&lt;foreign-keys&gt;&lt;key app="EN" db-id="2pw0vwp0s29rtkex9tkvxfwi92d5vef55r9z"&gt;38&lt;/key&gt;&lt;/foreign-keys&gt;&lt;ref-type name="Journal Article"&gt;17&lt;/ref-type&gt;&lt;contributors&gt;&lt;authors&gt;&lt;author&gt;Brown, Judith Belle&lt;/author&gt;&lt;author&gt;Karley, Mary Lou&lt;/author&gt;&lt;author&gt;Boudville, Neil&lt;/author&gt;&lt;author&gt;Bullas, Ruth&lt;/author&gt;&lt;author&gt;Gagr, Amit X.&lt;/author&gt;&lt;author&gt;Muirhead, Norman&lt;/author&gt;&lt;/authors&gt;&lt;/contributors&gt;&lt;titles&gt;&lt;title&gt;The Experience of Living Kidney Donors&lt;/title&gt;&lt;secondary-title&gt;Health and Social Work&lt;/secondary-title&gt;&lt;/titles&gt;&lt;periodical&gt;&lt;full-title&gt;Health and Social Work&lt;/full-title&gt;&lt;/periodical&gt;&lt;pages&gt;93-100&lt;/pages&gt;&lt;volume&gt;33&lt;/volume&gt;&lt;number&gt;2&lt;/number&gt;&lt;dates&gt;&lt;year&gt;2008&lt;/year&gt;&lt;/dates&gt;&lt;urls&gt;&lt;/urls&gt;&lt;/record&gt;&lt;/Cite&gt;&lt;/EndNote&gt;</w:instrText>
      </w:r>
      <w:r>
        <w:fldChar w:fldCharType="separate"/>
      </w:r>
      <w:bookmarkStart w:id="6" w:name="__Fieldmark__355_1322453857"/>
      <w:r>
        <w:rPr>
          <w:rFonts w:cs="Times New Roman" w:ascii="Times New Roman" w:hAnsi="Times New Roman"/>
          <w:sz w:val="24"/>
          <w:szCs w:val="24"/>
          <w:lang w:val="en-CA"/>
        </w:rPr>
        <w:t>(8)</w:t>
      </w:r>
      <w:bookmarkEnd w:id="6"/>
      <w:r>
        <w:rPr>
          <w:rFonts w:cs="Times New Roman" w:ascii="Times New Roman" w:hAnsi="Times New Roman"/>
          <w:sz w:val="24"/>
          <w:szCs w:val="24"/>
          <w:lang w:val="en-CA"/>
        </w:rPr>
      </w:r>
      <w:r>
        <w:fldChar w:fldCharType="end"/>
      </w:r>
    </w:p>
    <w:p>
      <w:pPr>
        <w:pStyle w:val="Normal"/>
        <w:spacing w:lineRule="auto" w:line="480"/>
        <w:ind w:firstLine="708"/>
        <w:jc w:val="both"/>
        <w:rPr/>
      </w:pPr>
      <w:r>
        <w:rPr>
          <w:rFonts w:cs="Times New Roman" w:ascii="Times New Roman" w:hAnsi="Times New Roman"/>
          <w:sz w:val="24"/>
          <w:szCs w:val="24"/>
          <w:lang w:val="en-CA"/>
        </w:rPr>
        <w:t xml:space="preserve">When Québec joins the Living Paired Exchange Donor Registry, language will also become an issue; 79% of the Québec population speaks French whereas English is the predominant language in the rest of Canada. </w:t>
      </w:r>
      <w:r>
        <w:fldChar w:fldCharType="begin"/>
      </w:r>
      <w:r>
        <w:instrText> ADDIN EN.CITE &lt;EndNote&gt;&lt;Cite&gt;&lt;Author&gt;Statistics Canada&lt;/Author&gt;&lt;Year&gt;2006&lt;/Year&gt;&lt;RecNum&gt;72&lt;/RecNum&gt;&lt;record&gt;&lt;rec-number&gt;72&lt;/rec-number&gt;&lt;foreign-keys&gt;&lt;key app="EN" db-id="2pw0vwp0s29rtkex9tkvxfwi92d5vef55r9z"&gt;72&lt;/key&gt;&lt;/foreign-keys&gt;&lt;ref-type name="Web Page"&gt;12&lt;/ref-type&gt;&lt;contributors&gt;&lt;authors&gt;&lt;author&gt;Statistics Canada,&lt;/author&gt;&lt;/authors&gt;&lt;/contributors&gt;&lt;titles&gt;&lt;title&gt;Population by mother tongue, by province and territory (2006 Census) (New Brunswick, Quebec, Ontario)&lt;/title&gt;&lt;/titles&gt;&lt;volume&gt;2010&lt;/volume&gt;&lt;number&gt;June 8&lt;/number&gt;&lt;dates&gt;&lt;year&gt;2006&lt;/year&gt;&lt;pub-dates&gt;&lt;date&gt;2007-12-11&lt;/date&gt;&lt;/pub-dates&gt;&lt;/dates&gt;&lt;urls&gt;&lt;related-urls&gt;&lt;url&gt;http://www40.statcan.gc.ca/l01/cst01/demo11b-eng.htm&lt;/url&gt;&lt;/related-urls&gt;&lt;/urls&gt;&lt;/record&gt;&lt;/Cite&gt;&lt;/EndNote&gt;</w:instrText>
      </w:r>
      <w:r>
        <w:fldChar w:fldCharType="separate"/>
      </w:r>
      <w:bookmarkStart w:id="7" w:name="__Fieldmark__356_1322453857"/>
      <w:r>
        <w:rPr>
          <w:rFonts w:cs="Times New Roman" w:ascii="Times New Roman" w:hAnsi="Times New Roman"/>
          <w:sz w:val="24"/>
          <w:szCs w:val="24"/>
          <w:lang w:val="en-CA"/>
        </w:rPr>
        <w:t>(9)</w:t>
      </w:r>
      <w:r>
        <w:rPr>
          <w:rFonts w:cs="Times New Roman" w:ascii="Times New Roman" w:hAnsi="Times New Roman"/>
          <w:sz w:val="24"/>
          <w:szCs w:val="24"/>
          <w:lang w:val="en-CA"/>
        </w:rPr>
      </w:r>
      <w:r>
        <w:fldChar w:fldCharType="end"/>
      </w:r>
      <w:bookmarkEnd w:id="7"/>
      <w:r>
        <w:rPr>
          <w:rFonts w:cs="Times New Roman" w:ascii="Times New Roman" w:hAnsi="Times New Roman"/>
          <w:sz w:val="24"/>
          <w:szCs w:val="24"/>
          <w:lang w:val="en-CA"/>
        </w:rPr>
        <w:t xml:space="preserve"> So, if a unilingual French speaking donor were to travel to a recipient’s transplant center outside of Québec, there might not be transplant professionals there able to speak French, potentially compromising the quality of the transplant experience. Some US studies have shown that having a limited knowledge of English was associated with dissatisfaction of medical care, longer hospital stays and increased risk of medical errors. </w:t>
      </w:r>
      <w:r>
        <w:fldChar w:fldCharType="begin"/>
      </w:r>
      <w:r>
        <w:instrText> ADDIN EN.CITE &lt;EndNote&gt;&lt;Cite&gt;&lt;Author&gt;Diamond&lt;/Author&gt;&lt;Year&gt;2009&lt;/Year&gt;&lt;RecNum&gt;73&lt;/RecNum&gt;&lt;record&gt;&lt;rec-number&gt;73&lt;/rec-number&gt;&lt;foreign-keys&gt;&lt;key app="EN" db-id="2pw0vwp0s29rtkex9tkvxfwi92d5vef55r9z"&gt;73&lt;/key&gt;&lt;/foreign-keys&gt;&lt;ref-type name="Journal Article"&gt;17&lt;/ref-type&gt;&lt;contributors&gt;&lt;authors&gt;&lt;author&gt;Diamond, Lisa C.&lt;/author&gt;&lt;author&gt;Jacobs, Elizabeth A.&lt;/author&gt;&lt;/authors&gt;&lt;/contributors&gt;&lt;titles&gt;&lt;title&gt;Let&amp;apos;s Not Contribute to Disparities: The Best Methods for Teaching Clinicians How to Overcome Language Barriers to Health CAre&lt;/title&gt;&lt;secondary-title&gt;Journal of General Internal Medicine&lt;/secondary-title&gt;&lt;/titles&gt;&lt;periodical&gt;&lt;full-title&gt;Journal of General Internal Medicine&lt;/full-title&gt;&lt;/periodical&gt;&lt;pages&gt;189-193&lt;/pages&gt;&lt;volume&gt;25&lt;/volume&gt;&lt;number&gt;Suppl 2&lt;/number&gt;&lt;dates&gt;&lt;year&gt;2009&lt;/year&gt;&lt;/dates&gt;&lt;urls&gt;&lt;/urls&gt;&lt;/record&gt;&lt;/Cite&gt;&lt;/EndNote&gt;</w:instrText>
      </w:r>
      <w:r>
        <w:fldChar w:fldCharType="separate"/>
      </w:r>
      <w:bookmarkStart w:id="8" w:name="__Fieldmark__357_1322453857"/>
      <w:r>
        <w:rPr>
          <w:rFonts w:cs="Times New Roman" w:ascii="Times New Roman" w:hAnsi="Times New Roman"/>
          <w:sz w:val="24"/>
          <w:szCs w:val="24"/>
          <w:lang w:val="en-CA"/>
        </w:rPr>
        <w:t>(10)</w:t>
      </w:r>
      <w:r>
        <w:rPr>
          <w:rFonts w:cs="Times New Roman" w:ascii="Times New Roman" w:hAnsi="Times New Roman"/>
          <w:sz w:val="24"/>
          <w:szCs w:val="24"/>
          <w:lang w:val="en-CA"/>
        </w:rPr>
      </w:r>
      <w:r>
        <w:fldChar w:fldCharType="end"/>
      </w:r>
      <w:bookmarkEnd w:id="8"/>
      <w:r>
        <w:rPr>
          <w:rFonts w:cs="Times New Roman" w:ascii="Times New Roman" w:hAnsi="Times New Roman"/>
          <w:sz w:val="24"/>
          <w:szCs w:val="24"/>
          <w:lang w:val="en-CA"/>
        </w:rPr>
        <w:t xml:space="preserve"> </w:t>
      </w:r>
    </w:p>
    <w:p>
      <w:pPr>
        <w:pStyle w:val="Normal"/>
        <w:spacing w:lineRule="auto" w:line="480"/>
        <w:ind w:firstLine="708"/>
        <w:jc w:val="both"/>
        <w:rPr/>
      </w:pPr>
      <w:r>
        <w:rPr>
          <w:rFonts w:cs="Times New Roman" w:ascii="Times New Roman" w:hAnsi="Times New Roman"/>
          <w:sz w:val="24"/>
          <w:szCs w:val="24"/>
          <w:lang w:val="en-CA"/>
        </w:rPr>
        <w:t xml:space="preserve">In emergency care contexts where time may be pressing, a lack of linguistic competency on the part of health professionals, while unfortunate, can be ethically justified based on principles of beneficence and duty to rescue. Living kidney donation, however, is not such an emergency situation and thus the language abilities of health care providers may become more ethically important. In kidney exchange programs, a healthy volunteer agrees to donate a kidney to a stranger in order that a loved one can in turn receive a kidney; this donation is a gift that likely involves a range of interests or values, including an interest in the health of the loved one in need, a desire to act altruistically, to contribute to a more caring society, etc. </w:t>
      </w:r>
      <w:r>
        <w:fldChar w:fldCharType="begin"/>
      </w:r>
      <w:r>
        <w:instrText> ADDIN EN.CITE &lt;EndNote&gt;&lt;Cite&gt;&lt;Author&gt;Ratner&lt;/Author&gt;&lt;Year&gt;2010&lt;/Year&gt;&lt;RecNum&gt;54&lt;/RecNum&gt;&lt;record&gt;&lt;rec-number&gt;54&lt;/rec-number&gt;&lt;foreign-keys&gt;&lt;key app="EN" db-id="2pw0vwp0s29rtkex9tkvxfwi92d5vef55r9z"&gt;54&lt;/key&gt;&lt;/foreign-keys&gt;&lt;ref-type name="Journal Article"&gt;17&lt;/ref-type&gt;&lt;contributors&gt;&lt;authors&gt;&lt;author&gt;Ratner, Lloyd E.&lt;/author&gt;&lt;author&gt;Rana, Abbas&lt;/author&gt;&lt;author&gt;Ratner, Emily R.&lt;/author&gt;&lt;author&gt;Ernst, Victoria&lt;/author&gt;&lt;author&gt;Kelly, Joan&lt;/author&gt;&lt;author&gt;Kornfeld, Donald&lt;/author&gt;&lt;author&gt;Cohen, David&lt;/author&gt;&lt;author&gt;Wiener, Ilona&lt;/author&gt;&lt;/authors&gt;&lt;/contributors&gt;&lt;titles&gt;&lt;title&gt;The Altruistic unbalanced Paired Kidney Exchange: Proof of Concept and Survey of Potential Donor and Recipient Attitudes&lt;/title&gt;&lt;secondary-title&gt;Transplantation&lt;/secondary-title&gt;&lt;/titles&gt;&lt;periodical&gt;&lt;full-title&gt;Transplantation&lt;/full-title&gt;&lt;/periodical&gt;&lt;volume&gt;89&lt;/volume&gt;&lt;number&gt;1&lt;/number&gt;&lt;section&gt;15-22&lt;/section&gt;&lt;dates&gt;&lt;year&gt;2010&lt;/year&gt;&lt;/dates&gt;&lt;urls&gt;&lt;/urls&gt;&lt;/record&gt;&lt;/Cite&gt;&lt;/EndNote&gt;</w:instrText>
      </w:r>
      <w:r>
        <w:fldChar w:fldCharType="separate"/>
      </w:r>
      <w:bookmarkStart w:id="9" w:name="__Fieldmark__358_1322453857"/>
      <w:r>
        <w:rPr>
          <w:rFonts w:cs="Times New Roman" w:ascii="Times New Roman" w:hAnsi="Times New Roman"/>
          <w:sz w:val="24"/>
          <w:szCs w:val="24"/>
          <w:lang w:val="en-CA"/>
        </w:rPr>
        <w:t>(11)</w:t>
      </w:r>
      <w:r>
        <w:rPr>
          <w:rFonts w:cs="Times New Roman" w:ascii="Times New Roman" w:hAnsi="Times New Roman"/>
          <w:sz w:val="24"/>
          <w:szCs w:val="24"/>
          <w:lang w:val="en-CA"/>
        </w:rPr>
      </w:r>
      <w:r>
        <w:fldChar w:fldCharType="end"/>
      </w:r>
      <w:bookmarkEnd w:id="9"/>
      <w:r>
        <w:rPr>
          <w:rFonts w:cs="Times New Roman" w:ascii="Times New Roman" w:hAnsi="Times New Roman"/>
          <w:sz w:val="24"/>
          <w:szCs w:val="24"/>
          <w:lang w:val="en-CA"/>
        </w:rPr>
        <w:t xml:space="preserve"> Thus ensuring that donors are cared for in their own language when possible – i.e., by staying in their home province – can be an important means for transplant professionals to acknowledge the magnitude of the donor’s gift, and also to facilitate and encourage participation in exchange programmes. </w:t>
      </w:r>
    </w:p>
    <w:p>
      <w:pPr>
        <w:pStyle w:val="Normal"/>
        <w:spacing w:lineRule="auto" w:line="480"/>
        <w:jc w:val="both"/>
        <w:rPr/>
      </w:pPr>
      <w:r>
        <w:rPr>
          <w:rFonts w:cs="Times New Roman" w:ascii="Times New Roman" w:hAnsi="Times New Roman"/>
          <w:sz w:val="24"/>
          <w:szCs w:val="24"/>
          <w:lang w:val="en-CA"/>
        </w:rPr>
        <w:tab/>
        <w:t xml:space="preserve">One should also not underestimate the importance of the trust relationship established between the donor and the transplant professionals that develops during living organ donor assessment. Deciding to donate an organ to a stranger, even when the result will be an organ made available for a loved one, is still an emotionally and psychologically difficult decision for many, and one that requires a supportive clinical environment. This does not mean that other transplant centres will not offer professional and supportive care. But when one considers that a transplantation team will be responsible for the long term and follow on care of the living organ donor, there is even more reason for the donor to remain in their home province with a team that they know and trust. A final argument in favour of shipping the organ instead of the donor relates to travel costs. In Québec, there is currently no reimbursement programme for living organ donors’ travel and living expenses. So if a Québec donor were to travel to Calgary, for example, to participate in an exchange programme, it is likely that they would also have to bear the financial costs of the donation. If the Québec donor travels to British Colombia or Manitoba, however, they will be reimbursed through the Living Organ Donor Reimbursement Programme of the Kidney Foundation of Canada; unfortunately, this programme has not yet been applied to all provinces. </w:t>
      </w:r>
      <w:r>
        <w:fldChar w:fldCharType="begin"/>
      </w:r>
      <w:r>
        <w:instrText> ADDIN EN.CITE &lt;EndNote&gt;&lt;Cite&gt;&lt;Author&gt;The Kidney Foundation of Canada&lt;/Author&gt;&lt;RecNum&gt;74&lt;/RecNum&gt;&lt;record&gt;&lt;rec-number&gt;74&lt;/rec-number&gt;&lt;foreign-keys&gt;&lt;key app="EN" db-id="2pw0vwp0s29rtkex9tkvxfwi92d5vef55r9z"&gt;74&lt;/key&gt;&lt;/foreign-keys&gt;&lt;ref-type name="Web Page"&gt;12&lt;/ref-type&gt;&lt;contributors&gt;&lt;authors&gt;&lt;author&gt;The Kidney Foundation of Canada,&lt;/author&gt;&lt;/authors&gt;&lt;/contributors&gt;&lt;titles&gt;&lt;title&gt;Financial Assistance&lt;/title&gt;&lt;/titles&gt;&lt;volume&gt;2010&lt;/volume&gt;&lt;number&gt;June 11&lt;/number&gt;&lt;dates&gt;&lt;/dates&gt;&lt;urls&gt;&lt;related-urls&gt;&lt;url&gt;http://www.kidney.ca/Page.aspx?pid=396&lt;/url&gt;&lt;/related-urls&gt;&lt;/urls&gt;&lt;/record&gt;&lt;/Cite&gt;&lt;/EndNote&gt;</w:instrText>
      </w:r>
      <w:r>
        <w:fldChar w:fldCharType="separate"/>
      </w:r>
      <w:bookmarkStart w:id="10" w:name="__Fieldmark__359_1322453857"/>
      <w:r>
        <w:rPr>
          <w:rFonts w:cs="Times New Roman" w:ascii="Times New Roman" w:hAnsi="Times New Roman"/>
          <w:sz w:val="24"/>
          <w:szCs w:val="24"/>
          <w:lang w:val="en-CA"/>
        </w:rPr>
        <w:t>(12)</w:t>
      </w:r>
      <w:r>
        <w:rPr>
          <w:rFonts w:cs="Times New Roman" w:ascii="Times New Roman" w:hAnsi="Times New Roman"/>
          <w:sz w:val="24"/>
          <w:szCs w:val="24"/>
          <w:lang w:val="en-CA"/>
        </w:rPr>
      </w:r>
      <w:r>
        <w:fldChar w:fldCharType="end"/>
      </w:r>
      <w:bookmarkEnd w:id="10"/>
      <w:r>
        <w:rPr>
          <w:rFonts w:cs="Times New Roman" w:ascii="Times New Roman" w:hAnsi="Times New Roman"/>
          <w:sz w:val="24"/>
          <w:szCs w:val="24"/>
          <w:lang w:val="en-CA"/>
        </w:rPr>
        <w:t xml:space="preserve"> So it may simply be more cost-effective – both for the public health care system and donors – to ship the organ instead of the donor.</w:t>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spacing w:lineRule="auto" w:line="480"/>
        <w:jc w:val="both"/>
        <w:rPr>
          <w:rFonts w:ascii="Times New Roman" w:hAnsi="Times New Roman" w:cs="Times New Roman"/>
          <w:b/>
          <w:b/>
          <w:sz w:val="24"/>
          <w:szCs w:val="24"/>
          <w:lang w:val="en-CA"/>
        </w:rPr>
      </w:pPr>
      <w:r>
        <w:rPr>
          <w:rFonts w:cs="Times New Roman" w:ascii="Times New Roman" w:hAnsi="Times New Roman"/>
          <w:b/>
          <w:sz w:val="24"/>
          <w:szCs w:val="24"/>
          <w:lang w:val="en-CA"/>
        </w:rPr>
        <w:t>Conclusion</w:t>
      </w:r>
    </w:p>
    <w:p>
      <w:pPr>
        <w:pStyle w:val="Normal"/>
        <w:spacing w:lineRule="auto" w:line="480"/>
        <w:jc w:val="both"/>
        <w:rPr/>
      </w:pPr>
      <w:r>
        <w:rPr>
          <w:rFonts w:cs="Times New Roman" w:ascii="Times New Roman" w:hAnsi="Times New Roman"/>
          <w:b/>
          <w:sz w:val="24"/>
          <w:szCs w:val="24"/>
          <w:lang w:val="en-CA"/>
        </w:rPr>
        <w:tab/>
      </w:r>
      <w:r>
        <w:rPr>
          <w:rFonts w:cs="Times New Roman" w:ascii="Times New Roman" w:hAnsi="Times New Roman"/>
          <w:sz w:val="24"/>
          <w:szCs w:val="24"/>
          <w:lang w:val="en-CA"/>
        </w:rPr>
        <w:t xml:space="preserve">The first domino exchanges in Canada involved the donor travelling to the recipient’s transplant center, and to date, there have been no reports of adverse events or dissatisfaction related to the donor’s travel. These results are similar to those in three countries – Netherlands, United States and South Korea – that have the most experience with exchanges programmes, although these countries do not have the linguistic or bilingual particularities of Canada. When Québec joins the Living Donor Paired Exchange Registry, it will be important to reconsider current practices. There are probably more advantages for the living organ donor to stay in their home province, be cared for at a transplant centre by a team they know and trust, and be close to their loved one-recipient, family and friends. Nonetheless, it is reasonable to think that some potential living organ donors will not be bothered by having to travel to another province in order to reduce cold ischemia time and maximise transplantation outcomes. Thus while we favour shipping the organ instead of the donor, the two options should still be offered to the potential living organ donors participating in exchange programmes. And if the potential donor chooses to travel, we believe that the transplantation community should ensure that travels expenses are reimbursed. </w:t>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r>
      <w:r>
        <w:br w:type="page"/>
      </w:r>
    </w:p>
    <w:p>
      <w:pPr>
        <w:pStyle w:val="Normal"/>
        <w:spacing w:lineRule="auto" w:line="480"/>
        <w:jc w:val="both"/>
        <w:rPr>
          <w:rFonts w:ascii="Times New Roman" w:hAnsi="Times New Roman" w:cs="Times New Roman"/>
          <w:sz w:val="24"/>
          <w:szCs w:val="24"/>
          <w:lang w:val="en-CA"/>
        </w:rPr>
      </w:pPr>
      <w:r>
        <w:rPr>
          <w:rFonts w:cs="Times New Roman" w:ascii="Times New Roman" w:hAnsi="Times New Roman"/>
          <w:sz w:val="24"/>
          <w:szCs w:val="24"/>
          <w:lang w:val="en-CA"/>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Arial Narrow Gras">
    <w:charset w:val="00"/>
    <w:family w:val="swiss"/>
    <w:pitch w:val="default"/>
  </w:font>
  <w:font w:name="Arial Narrow">
    <w:charset w:val="00"/>
    <w:family w:val="swiss"/>
    <w:pitch w:val="variable"/>
  </w:font>
  <w:font w:name="Wingdings">
    <w:charset w:val="02"/>
    <w:family w:val="auto"/>
    <w:pitch w:val="variable"/>
  </w:font>
  <w:font w:name="Lucida Grande">
    <w:charset w:val="00"/>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decimal"/>
      <w:lvlText w:val="%1."/>
      <w:lvlJc w:val="left"/>
      <w:pPr>
        <w:tabs>
          <w:tab w:val="num" w:pos="446"/>
        </w:tabs>
        <w:ind w:left="446" w:hanging="446"/>
      </w:pPr>
      <w:rPr>
        <w:sz w:val="22"/>
        <w:i w:val="false"/>
        <w:b/>
      </w:rPr>
    </w:lvl>
    <w:lvl w:ilvl="1">
      <w:start w:val="1"/>
      <w:numFmt w:val="decimal"/>
      <w:lvlText w:val="%1.%2"/>
      <w:lvlJc w:val="left"/>
      <w:pPr>
        <w:tabs>
          <w:tab w:val="num" w:pos="994"/>
        </w:tabs>
        <w:ind w:left="994" w:hanging="548"/>
      </w:pPr>
      <w:rPr>
        <w:sz w:val="22"/>
        <w:i w:val="false"/>
        <w:b/>
      </w:rPr>
    </w:lvl>
    <w:lvl w:ilvl="2">
      <w:start w:val="1"/>
      <w:numFmt w:val="decimal"/>
      <w:lvlText w:val="%1.%2.%3"/>
      <w:lvlJc w:val="left"/>
      <w:pPr>
        <w:tabs>
          <w:tab w:val="num" w:pos="1440"/>
        </w:tabs>
        <w:ind w:left="994" w:hanging="274"/>
      </w:pPr>
      <w:rPr>
        <w:sz w:val="22"/>
        <w:i w:val="false"/>
        <w:b/>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pPr>
    <w:rPr>
      <w:rFonts w:ascii="Arial" w:hAnsi="Arial" w:eastAsia="Times New Roman" w:cs="Arial"/>
      <w:color w:val="auto"/>
      <w:sz w:val="22"/>
      <w:szCs w:val="22"/>
      <w:lang w:val="fr-CA" w:bidi="ar-SA" w:eastAsia="zh-CN"/>
    </w:rPr>
  </w:style>
  <w:style w:type="paragraph" w:styleId="Heading1">
    <w:name w:val="Heading 1"/>
    <w:basedOn w:val="Normal"/>
    <w:next w:val="Texteniveau1"/>
    <w:qFormat/>
    <w:pPr>
      <w:keepNext/>
      <w:numPr>
        <w:ilvl w:val="0"/>
        <w:numId w:val="1"/>
      </w:numPr>
      <w:spacing w:before="240" w:after="240"/>
      <w:outlineLvl w:val="0"/>
      <w:outlineLvl w:val="0"/>
    </w:pPr>
    <w:rPr>
      <w:rFonts w:ascii="Arial Narrow Gras" w:hAnsi="Arial Narrow Gras" w:cs="Arial Narrow Gras"/>
      <w:b/>
      <w:bCs/>
      <w:caps/>
      <w:sz w:val="22"/>
      <w:szCs w:val="22"/>
    </w:rPr>
  </w:style>
  <w:style w:type="paragraph" w:styleId="Heading2">
    <w:name w:val="Heading 2"/>
    <w:basedOn w:val="Normal"/>
    <w:next w:val="Texteniveau2"/>
    <w:qFormat/>
    <w:pPr>
      <w:keepNext/>
      <w:numPr>
        <w:ilvl w:val="1"/>
        <w:numId w:val="1"/>
      </w:numPr>
      <w:spacing w:before="240" w:after="240"/>
      <w:outlineLvl w:val="1"/>
      <w:outlineLvl w:val="1"/>
    </w:pPr>
    <w:rPr>
      <w:rFonts w:ascii="Arial Narrow Gras" w:hAnsi="Arial Narrow Gras" w:cs="Arial Narrow Gras"/>
      <w:b/>
      <w:bCs/>
      <w:sz w:val="22"/>
      <w:szCs w:val="22"/>
    </w:rPr>
  </w:style>
  <w:style w:type="paragraph" w:styleId="Heading3">
    <w:name w:val="Heading 3"/>
    <w:basedOn w:val="Normal"/>
    <w:next w:val="Texteniveau3"/>
    <w:qFormat/>
    <w:pPr>
      <w:keepNext/>
      <w:numPr>
        <w:ilvl w:val="2"/>
        <w:numId w:val="1"/>
      </w:numPr>
      <w:spacing w:before="240" w:after="240"/>
      <w:outlineLvl w:val="2"/>
      <w:outlineLvl w:val="2"/>
    </w:pPr>
    <w:rPr>
      <w:rFonts w:ascii="Arial Narrow Gras" w:hAnsi="Arial Narrow Gras" w:cs="Arial Narrow Gras"/>
      <w:b/>
      <w:bCs/>
      <w:sz w:val="22"/>
      <w:szCs w:val="22"/>
    </w:rPr>
  </w:style>
  <w:style w:type="paragraph" w:styleId="Heading4">
    <w:name w:val="Heading 4"/>
    <w:basedOn w:val="Normal"/>
    <w:next w:val="Normal"/>
    <w:qFormat/>
    <w:pPr>
      <w:keepNext/>
      <w:numPr>
        <w:ilvl w:val="3"/>
        <w:numId w:val="1"/>
      </w:numPr>
      <w:spacing w:before="240" w:after="60"/>
      <w:outlineLvl w:val="3"/>
      <w:outlineLvl w:val="3"/>
    </w:pPr>
    <w:rPr>
      <w:rFonts w:ascii="Arial Narrow Gras" w:hAnsi="Arial Narrow Gras" w:cs="Arial Narrow Gras"/>
      <w:b/>
      <w:bCs/>
    </w:rPr>
  </w:style>
  <w:style w:type="paragraph" w:styleId="Heading5">
    <w:name w:val="Heading 5"/>
    <w:basedOn w:val="Normal"/>
    <w:next w:val="Normal"/>
    <w:qFormat/>
    <w:pPr>
      <w:numPr>
        <w:ilvl w:val="4"/>
        <w:numId w:val="1"/>
      </w:numPr>
      <w:spacing w:before="240" w:after="60"/>
      <w:outlineLvl w:val="4"/>
      <w:outlineLvl w:val="4"/>
    </w:pPr>
    <w:rPr>
      <w:rFonts w:ascii="Arial Narrow Gras" w:hAnsi="Arial Narrow Gras" w:cs="Arial Narrow Gras"/>
      <w:b/>
      <w:bCs/>
    </w:rPr>
  </w:style>
  <w:style w:type="paragraph" w:styleId="Heading6">
    <w:name w:val="Heading 6"/>
    <w:basedOn w:val="Normal"/>
    <w:next w:val="Normal"/>
    <w:qFormat/>
    <w:pPr>
      <w:numPr>
        <w:ilvl w:val="5"/>
        <w:numId w:val="1"/>
      </w:numPr>
      <w:spacing w:before="240" w:after="60"/>
      <w:outlineLvl w:val="5"/>
      <w:outlineLvl w:val="5"/>
    </w:pPr>
    <w:rPr>
      <w:rFonts w:ascii="Arial Narrow" w:hAnsi="Arial Narrow" w:cs="Arial Narrow"/>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rFonts w:ascii="Arial Narrow" w:hAnsi="Arial Narrow" w:cs="Arial Narrow"/>
      <w:sz w:val="18"/>
      <w:szCs w:val="18"/>
    </w:rPr>
  </w:style>
  <w:style w:type="paragraph" w:styleId="Heading9">
    <w:name w:val="Heading 9"/>
    <w:basedOn w:val="Normal"/>
    <w:next w:val="Normal"/>
    <w:qFormat/>
    <w:pPr>
      <w:numPr>
        <w:ilvl w:val="8"/>
        <w:numId w:val="1"/>
      </w:numPr>
      <w:spacing w:before="240" w:after="60"/>
      <w:outlineLvl w:val="8"/>
      <w:outlineLvl w:val="8"/>
    </w:pPr>
    <w:rPr>
      <w:rFonts w:ascii="Arial Narrow" w:hAnsi="Arial Narrow" w:cs="Arial Narrow"/>
      <w:sz w:val="18"/>
      <w:szCs w:val="18"/>
    </w:rPr>
  </w:style>
  <w:style w:type="character" w:styleId="WW8Num1z0">
    <w:name w:val="WW8Num1z0"/>
    <w:qFormat/>
    <w:rPr>
      <w:rFonts w:ascii="Wingdings" w:hAnsi="Wingdings" w:cs="Wingdings"/>
    </w:rPr>
  </w:style>
  <w:style w:type="character" w:styleId="WW8Num2z0">
    <w:name w:val="WW8Num2z0"/>
    <w:qFormat/>
    <w:rPr>
      <w:rFonts w:ascii="Arial Narrow Gras" w:hAnsi="Arial Narrow Gras" w:cs="Arial Narrow Gras"/>
      <w:b/>
      <w:i w:val="false"/>
      <w:sz w:val="22"/>
    </w:rPr>
  </w:style>
  <w:style w:type="character" w:styleId="WW8Num2z1">
    <w:name w:val="WW8Num2z1"/>
    <w:qFormat/>
    <w:rPr>
      <w:rFonts w:ascii="Arial Narrow Gras" w:hAnsi="Arial Narrow Gras" w:cs="Marlett"/>
      <w:b/>
      <w:i w:val="false"/>
      <w:sz w:val="22"/>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Policepardfaut">
    <w:name w:val="Police par défaut"/>
    <w:qFormat/>
    <w:rPr/>
  </w:style>
  <w:style w:type="character" w:styleId="PageNumber">
    <w:name w:val="Page Number"/>
    <w:basedOn w:val="Policepardfaut"/>
    <w:rPr>
      <w:rFonts w:ascii="Arial Narrow" w:hAnsi="Arial Narrow" w:cs="Arial Narrow"/>
      <w:sz w:val="16"/>
      <w:szCs w:val="16"/>
    </w:rPr>
  </w:style>
  <w:style w:type="character" w:styleId="InternetLink">
    <w:name w:val="Internet Link"/>
    <w:basedOn w:val="Policepardfaut"/>
    <w:rPr>
      <w:color w:val="0000FF"/>
      <w:u w:val="single"/>
    </w:rPr>
  </w:style>
  <w:style w:type="character" w:styleId="CarCar2">
    <w:name w:val=" Car Car2"/>
    <w:basedOn w:val="Policepardfaut"/>
    <w:qFormat/>
    <w:rPr>
      <w:rFonts w:ascii="Lucida Grande" w:hAnsi="Lucida Grande" w:cs="Lucida Grande"/>
      <w:sz w:val="18"/>
      <w:szCs w:val="18"/>
      <w:lang w:val="fr-CA"/>
    </w:rPr>
  </w:style>
  <w:style w:type="character" w:styleId="Marquedecommentaire">
    <w:name w:val="Marque de commentaire"/>
    <w:basedOn w:val="Policepardfaut"/>
    <w:qFormat/>
    <w:rPr>
      <w:sz w:val="18"/>
      <w:szCs w:val="18"/>
    </w:rPr>
  </w:style>
  <w:style w:type="character" w:styleId="CarCar1">
    <w:name w:val=" Car Car1"/>
    <w:basedOn w:val="Policepardfaut"/>
    <w:qFormat/>
    <w:rPr>
      <w:rFonts w:ascii="Arial" w:hAnsi="Arial" w:cs="Arial"/>
      <w:sz w:val="24"/>
      <w:szCs w:val="24"/>
      <w:lang w:val="fr-CA"/>
    </w:rPr>
  </w:style>
  <w:style w:type="character" w:styleId="CarCar">
    <w:name w:val=" Car Car"/>
    <w:basedOn w:val="CarCar1"/>
    <w:qForma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tLeast" w:line="320"/>
    </w:pPr>
    <w:rPr>
      <w:sz w:val="16"/>
      <w:szCs w:val="16"/>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320" w:leader="none"/>
        <w:tab w:val="right" w:pos="9180" w:leader="none"/>
      </w:tabs>
      <w:spacing w:lineRule="atLeast" w:line="320"/>
    </w:pPr>
    <w:rPr>
      <w:rFonts w:ascii="Arial Narrow" w:hAnsi="Arial Narrow" w:cs="Arial Narrow"/>
      <w:sz w:val="18"/>
      <w:szCs w:val="18"/>
    </w:rPr>
  </w:style>
  <w:style w:type="paragraph" w:styleId="Normalcentr">
    <w:name w:val="Normal centré"/>
    <w:basedOn w:val="Normal"/>
    <w:qFormat/>
    <w:pPr>
      <w:tabs>
        <w:tab w:val="left" w:pos="0" w:leader="none"/>
      </w:tabs>
      <w:spacing w:lineRule="auto" w:line="285"/>
      <w:ind w:left="2520" w:right="-720" w:hanging="2520"/>
    </w:pPr>
    <w:rPr>
      <w:rFonts w:ascii="Arial Narrow" w:hAnsi="Arial Narrow" w:cs="Arial Narrow"/>
    </w:rPr>
  </w:style>
  <w:style w:type="paragraph" w:styleId="Footer">
    <w:name w:val="Footer"/>
    <w:basedOn w:val="Normal"/>
    <w:pPr>
      <w:tabs>
        <w:tab w:val="center" w:pos="4320" w:leader="none"/>
        <w:tab w:val="right" w:pos="9270" w:leader="none"/>
      </w:tabs>
    </w:pPr>
    <w:rPr>
      <w:rFonts w:ascii="Arial Narrow" w:hAnsi="Arial Narrow" w:cs="Arial Narrow"/>
      <w:sz w:val="18"/>
      <w:szCs w:val="18"/>
    </w:rPr>
  </w:style>
  <w:style w:type="paragraph" w:styleId="PuceCHUM">
    <w:name w:val="Puce CHUM"/>
    <w:basedOn w:val="Normal"/>
    <w:qFormat/>
    <w:pPr>
      <w:numPr>
        <w:ilvl w:val="0"/>
        <w:numId w:val="2"/>
      </w:numPr>
      <w:spacing w:before="120" w:after="120"/>
    </w:pPr>
    <w:rPr/>
  </w:style>
  <w:style w:type="paragraph" w:styleId="TextBodyIndent">
    <w:name w:val="Text Body Indent"/>
    <w:basedOn w:val="Normal"/>
    <w:pPr>
      <w:ind w:left="705" w:hanging="0"/>
    </w:pPr>
    <w:rPr>
      <w:rFonts w:ascii="Arial Narrow" w:hAnsi="Arial Narrow" w:cs="Arial Narrow"/>
    </w:rPr>
  </w:style>
  <w:style w:type="paragraph" w:styleId="Retraitcorpsdetexte2">
    <w:name w:val="Retrait corps de texte 2"/>
    <w:basedOn w:val="Normal"/>
    <w:qFormat/>
    <w:pPr>
      <w:ind w:left="720" w:hanging="0"/>
    </w:pPr>
    <w:rPr/>
  </w:style>
  <w:style w:type="paragraph" w:styleId="Retraitcorpsdetexte3">
    <w:name w:val="Retrait corps de texte 3"/>
    <w:basedOn w:val="Normal"/>
    <w:qFormat/>
    <w:pPr>
      <w:spacing w:before="240" w:after="0"/>
      <w:ind w:left="360" w:hanging="0"/>
    </w:pPr>
    <w:rPr/>
  </w:style>
  <w:style w:type="paragraph" w:styleId="Texteniveau1">
    <w:name w:val="Texte niveau 1"/>
    <w:basedOn w:val="Normal"/>
    <w:qFormat/>
    <w:pPr>
      <w:spacing w:before="0" w:after="240"/>
      <w:ind w:left="446" w:hanging="0"/>
    </w:pPr>
    <w:rPr/>
  </w:style>
  <w:style w:type="paragraph" w:styleId="Texteniveau0">
    <w:name w:val="Texte niveau 0"/>
    <w:basedOn w:val="Texteniveau1"/>
    <w:qFormat/>
    <w:pPr>
      <w:ind w:left="0" w:hanging="0"/>
    </w:pPr>
    <w:rPr/>
  </w:style>
  <w:style w:type="paragraph" w:styleId="Texteniveau2">
    <w:name w:val="Texte niveau 2"/>
    <w:basedOn w:val="Normal"/>
    <w:qFormat/>
    <w:pPr>
      <w:spacing w:before="0" w:after="240"/>
      <w:ind w:left="990" w:hanging="0"/>
    </w:pPr>
    <w:rPr/>
  </w:style>
  <w:style w:type="paragraph" w:styleId="Texteniveau3">
    <w:name w:val="Texte niveau 3"/>
    <w:basedOn w:val="Normal"/>
    <w:qFormat/>
    <w:pPr>
      <w:tabs>
        <w:tab w:val="left" w:pos="1008" w:leader="none"/>
        <w:tab w:val="left" w:pos="1710" w:leader="none"/>
        <w:tab w:val="left" w:pos="2430" w:leader="none"/>
      </w:tabs>
      <w:spacing w:before="0" w:after="240"/>
      <w:ind w:left="994" w:hanging="0"/>
    </w:pPr>
    <w:rPr/>
  </w:style>
  <w:style w:type="paragraph" w:styleId="Titreniveau0">
    <w:name w:val="Titre niveau 0"/>
    <w:basedOn w:val="Heading1"/>
    <w:next w:val="Texteniveau0"/>
    <w:qFormat/>
    <w:pPr>
      <w:numPr>
        <w:ilvl w:val="0"/>
        <w:numId w:val="0"/>
      </w:numPr>
      <w:spacing w:before="360" w:after="240"/>
    </w:pPr>
    <w:rPr/>
  </w:style>
  <w:style w:type="paragraph" w:styleId="Titreniveau1">
    <w:name w:val="Titre niveau 1"/>
    <w:basedOn w:val="Normal"/>
    <w:next w:val="Texteniveau1"/>
    <w:qFormat/>
    <w:pPr>
      <w:numPr>
        <w:ilvl w:val="0"/>
        <w:numId w:val="3"/>
      </w:numPr>
      <w:spacing w:before="360" w:after="240"/>
    </w:pPr>
    <w:rPr>
      <w:rFonts w:ascii="Arial Narrow Gras" w:hAnsi="Arial Narrow Gras" w:cs="Arial Narrow Gras"/>
      <w:b/>
      <w:bCs/>
      <w:caps/>
      <w:sz w:val="22"/>
      <w:szCs w:val="22"/>
    </w:rPr>
  </w:style>
  <w:style w:type="paragraph" w:styleId="Titreniveau2">
    <w:name w:val="Titre niveau 2"/>
    <w:basedOn w:val="Titreniveau1"/>
    <w:next w:val="Texteniveau2"/>
    <w:qFormat/>
    <w:pPr>
      <w:keepNext/>
      <w:numPr>
        <w:ilvl w:val="0"/>
        <w:numId w:val="3"/>
      </w:numPr>
      <w:spacing w:before="240" w:after="120"/>
      <w:outlineLvl w:val="1"/>
    </w:pPr>
    <w:rPr>
      <w:caps w:val="false"/>
      <w:smallCaps w:val="false"/>
    </w:rPr>
  </w:style>
  <w:style w:type="paragraph" w:styleId="Titreniveau3">
    <w:name w:val="Titre niveau 3"/>
    <w:basedOn w:val="Titreniveau2"/>
    <w:next w:val="Texteniveau3"/>
    <w:qFormat/>
    <w:pPr>
      <w:numPr>
        <w:ilvl w:val="0"/>
        <w:numId w:val="3"/>
      </w:numPr>
      <w:outlineLvl w:val="2"/>
    </w:pPr>
    <w:rPr/>
  </w:style>
  <w:style w:type="paragraph" w:styleId="Titreniveau31">
    <w:name w:val="Titre niveau3"/>
    <w:basedOn w:val="Titreniveau2"/>
    <w:next w:val="Texteniveau3"/>
    <w:qFormat/>
    <w:pPr>
      <w:numPr>
        <w:ilvl w:val="0"/>
        <w:numId w:val="0"/>
      </w:numPr>
      <w:ind w:hanging="0"/>
      <w:outlineLvl w:val="2"/>
    </w:pPr>
    <w:rPr/>
  </w:style>
  <w:style w:type="paragraph" w:styleId="Titrespcial">
    <w:name w:val="Titre spécial"/>
    <w:basedOn w:val="Heading1"/>
    <w:qFormat/>
    <w:pPr>
      <w:numPr>
        <w:ilvl w:val="0"/>
        <w:numId w:val="0"/>
      </w:numPr>
      <w:spacing w:before="360" w:after="240"/>
      <w:jc w:val="center"/>
    </w:pPr>
    <w:rPr/>
  </w:style>
  <w:style w:type="paragraph" w:styleId="Contents1">
    <w:name w:val="Contents 1"/>
    <w:basedOn w:val="Normal"/>
    <w:next w:val="Normal"/>
    <w:pPr>
      <w:tabs>
        <w:tab w:val="left" w:pos="400" w:leader="none"/>
        <w:tab w:val="right" w:pos="9062" w:leader="dot"/>
      </w:tabs>
      <w:spacing w:before="120" w:after="0"/>
    </w:pPr>
    <w:rPr>
      <w:b/>
      <w:bCs/>
      <w:caps/>
      <w:sz w:val="18"/>
      <w:szCs w:val="18"/>
      <w:lang w:val="en-CA" w:eastAsia="en-CA"/>
    </w:rPr>
  </w:style>
  <w:style w:type="paragraph" w:styleId="Contents2">
    <w:name w:val="Contents 2"/>
    <w:basedOn w:val="Normal"/>
    <w:next w:val="Normal"/>
    <w:pPr>
      <w:tabs>
        <w:tab w:val="left" w:pos="810" w:leader="none"/>
        <w:tab w:val="right" w:pos="9062" w:leader="dot"/>
      </w:tabs>
      <w:ind w:left="448" w:hanging="0"/>
    </w:pPr>
    <w:rPr>
      <w:sz w:val="18"/>
      <w:szCs w:val="18"/>
      <w:lang w:val="en-CA" w:eastAsia="en-CA"/>
    </w:rPr>
  </w:style>
  <w:style w:type="paragraph" w:styleId="Contents3">
    <w:name w:val="Contents 3"/>
    <w:basedOn w:val="Contents2"/>
    <w:next w:val="Normal"/>
    <w:pPr>
      <w:tabs>
        <w:tab w:val="left" w:pos="1559" w:leader="none"/>
        <w:tab w:val="left" w:pos="1701" w:leader="none"/>
        <w:tab w:val="right" w:pos="9062" w:leader="dot"/>
      </w:tabs>
      <w:ind w:left="1134" w:hanging="0"/>
    </w:pPr>
    <w:rPr/>
  </w:style>
  <w:style w:type="paragraph" w:styleId="Contents4">
    <w:name w:val="Contents 4"/>
    <w:basedOn w:val="Normal"/>
    <w:next w:val="Normal"/>
    <w:pPr>
      <w:ind w:left="600" w:hanging="0"/>
    </w:pPr>
    <w:rPr/>
  </w:style>
  <w:style w:type="paragraph" w:styleId="Contents5">
    <w:name w:val="Contents 5"/>
    <w:basedOn w:val="Normal"/>
    <w:next w:val="Normal"/>
    <w:pPr>
      <w:ind w:left="800" w:hanging="0"/>
    </w:pPr>
    <w:rPr/>
  </w:style>
  <w:style w:type="paragraph" w:styleId="Contents6">
    <w:name w:val="Contents 6"/>
    <w:basedOn w:val="Normal"/>
    <w:next w:val="Normal"/>
    <w:pPr>
      <w:ind w:left="1000" w:hanging="0"/>
    </w:pPr>
    <w:rPr/>
  </w:style>
  <w:style w:type="paragraph" w:styleId="Contents7">
    <w:name w:val="Contents 7"/>
    <w:basedOn w:val="Normal"/>
    <w:next w:val="Normal"/>
    <w:pPr>
      <w:ind w:left="1200" w:hanging="0"/>
    </w:pPr>
    <w:rPr/>
  </w:style>
  <w:style w:type="paragraph" w:styleId="Contents8">
    <w:name w:val="Contents 8"/>
    <w:basedOn w:val="Normal"/>
    <w:next w:val="Normal"/>
    <w:pPr>
      <w:ind w:left="1400" w:hanging="0"/>
    </w:pPr>
    <w:rPr/>
  </w:style>
  <w:style w:type="paragraph" w:styleId="Contents9">
    <w:name w:val="Contents 9"/>
    <w:basedOn w:val="Normal"/>
    <w:next w:val="Normal"/>
    <w:pPr>
      <w:ind w:left="1600" w:hanging="0"/>
    </w:pPr>
    <w:rPr/>
  </w:style>
  <w:style w:type="paragraph" w:styleId="Textedebulles">
    <w:name w:val="Texte de bulles"/>
    <w:basedOn w:val="Normal"/>
    <w:qFormat/>
    <w:pPr/>
    <w:rPr>
      <w:rFonts w:ascii="Lucida Grande" w:hAnsi="Lucida Grande" w:cs="Lucida Grande"/>
      <w:sz w:val="18"/>
      <w:szCs w:val="18"/>
    </w:rPr>
  </w:style>
  <w:style w:type="paragraph" w:styleId="Commentaire">
    <w:name w:val="Commentaire"/>
    <w:basedOn w:val="Normal"/>
    <w:qFormat/>
    <w:pPr/>
    <w:rPr>
      <w:sz w:val="24"/>
      <w:szCs w:val="24"/>
    </w:rPr>
  </w:style>
  <w:style w:type="paragraph" w:styleId="Objetducommentaire">
    <w:name w:val="Objet du commentaire"/>
    <w:basedOn w:val="Commentaire"/>
    <w:next w:val="Commentaire"/>
    <w:qFormat/>
    <w:pPr/>
    <w:rPr>
      <w:b/>
      <w:bCs/>
      <w:sz w:val="20"/>
      <w:szCs w:val="20"/>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ie-chantal.fortin@sympatico.ca" TargetMode="External"/><Relationship Id="rId3" Type="http://schemas.openxmlformats.org/officeDocument/2006/relationships/hyperlink" Target="mailto:bryn.williams-jones@umontreal.c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2010-06-28T14:51:00Z</dcterms:created>
  <dc:creator>p0003006</dc:creator>
  <dc:language>en-CA</dc:language>
  <cp:lastModifiedBy>p0003006</cp:lastModifiedBy>
  <cp:lastPrinted>2010-06-03T13:53:00Z</cp:lastPrinted>
  <dcterms:modified xsi:type="dcterms:W3CDTF">2010-06-28T14:51:00Z</dcterms:modified>
  <cp:revision>2</cp:revision>
  <dc:title>THE KIDNEY OR THE PATIENT : WHO SHOULD TRAVEL IN EXCHANGE PROGRAMS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&lt;ENLayout&gt;&lt;Style&gt;NLM&lt;/Style&gt;&lt;LeftDelim&gt;{&lt;/LeftDelim&gt;&lt;RightDelim&gt;}&lt;/RightDelim&gt;&lt;FontName&gt;Courier New&lt;/FontName&gt;&lt;FontSize&gt;12&lt;/FontSize&gt;&lt;ReflistTitle&gt;Reference List&lt;/ReflistTitle&gt;&lt;StartingRefnum&gt;1&lt;/StartingRefnum&gt;&lt;FirstLineIndent&gt;0&lt;/FirstLineIndent&gt;&lt;HangingIndent&gt;720&lt;/HangingIndent&gt;&lt;LineSpacing&gt;0&lt;/LineSpacing&gt;&lt;SpaceAfter&gt;0&lt;/SpaceAfter&gt;&lt;/ENLayout&gt;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&lt;ENLibraries&gt;&lt;Libraries&gt;&lt;item&gt;don entre vifs.enl&lt;/item&gt;&lt;/Libraries&gt;&lt;/ENLibraries&gt;</vt:lpwstr>
  </property>
</Properties>
</file>