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media/image4.wmf" ContentType="image/x-wmf"/>
  <Override PartName="/word/media/image3.wmf" ContentType="image/x-wmf"/>
  <Override PartName="/word/media/image2.wmf" ContentType="image/x-wmf"/>
  <Override PartName="/word/media/image1.wmf" ContentType="image/x-wmf"/>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Arial" w:hAnsi="Arial" w:cs="Arial"/>
          <w:b/>
          <w:b/>
        </w:rPr>
      </w:pPr>
      <w:r>
        <w:rPr>
          <w:rFonts w:cs="Arial" w:ascii="Arial" w:hAnsi="Arial"/>
        </w:rPr>
        <w:t xml:space="preserve">Title:  </w:t>
      </w:r>
      <w:r>
        <w:rPr>
          <w:rFonts w:cs="Arial" w:ascii="Arial" w:hAnsi="Arial"/>
          <w:b/>
        </w:rPr>
        <w:t>Multidimensional pre-post evaluation of two academic alternate relationship plans for Internal Medicine:  A lever for health care transformation</w:t>
      </w:r>
    </w:p>
    <w:p>
      <w:pPr>
        <w:pStyle w:val="Normal"/>
        <w:spacing w:lineRule="auto" w:line="480"/>
        <w:rPr>
          <w:rFonts w:ascii="Arial" w:hAnsi="Arial" w:cs="Arial"/>
          <w:b/>
          <w:b/>
          <w:sz w:val="10"/>
        </w:rPr>
      </w:pPr>
      <w:r>
        <w:rPr>
          <w:rFonts w:cs="Arial" w:ascii="Arial" w:hAnsi="Arial"/>
          <w:b/>
          <w:sz w:val="10"/>
        </w:rPr>
      </w:r>
    </w:p>
    <w:p>
      <w:pPr>
        <w:pStyle w:val="Normal"/>
        <w:spacing w:lineRule="auto" w:line="480"/>
        <w:rPr>
          <w:rFonts w:ascii="Arial" w:hAnsi="Arial" w:cs="Arial"/>
          <w:vertAlign w:val="superscript"/>
        </w:rPr>
      </w:pPr>
      <w:r>
        <w:rPr>
          <w:rFonts w:cs="Arial" w:ascii="Arial" w:hAnsi="Arial"/>
          <w:b/>
        </w:rPr>
        <w:t>Authors:</w:t>
      </w:r>
      <w:r>
        <w:rPr>
          <w:rFonts w:cs="Arial" w:ascii="Arial" w:hAnsi="Arial"/>
        </w:rPr>
        <w:t xml:space="preserve"> Allison Bichel MPH MBA , Maria Bacchus MD , Jon Meddings MD, John Conly MD</w:t>
      </w:r>
      <w:r>
        <w:rPr>
          <w:rFonts w:cs="Arial" w:ascii="Arial" w:hAnsi="Arial"/>
          <w:vertAlign w:val="superscript"/>
        </w:rPr>
        <w:t xml:space="preserve"> </w:t>
      </w:r>
    </w:p>
    <w:p>
      <w:pPr>
        <w:pStyle w:val="Normal"/>
        <w:spacing w:lineRule="auto" w:line="480"/>
        <w:rPr>
          <w:rFonts w:ascii="Arial" w:hAnsi="Arial" w:cs="Arial"/>
          <w:sz w:val="12"/>
          <w:vertAlign w:val="superscript"/>
        </w:rPr>
      </w:pPr>
      <w:r>
        <w:rPr>
          <w:rFonts w:cs="Arial" w:ascii="Arial" w:hAnsi="Arial"/>
          <w:sz w:val="12"/>
          <w:vertAlign w:val="superscript"/>
        </w:rPr>
      </w:r>
    </w:p>
    <w:p>
      <w:pPr>
        <w:pStyle w:val="Normal"/>
        <w:spacing w:lineRule="auto" w:line="480" w:before="0" w:after="0"/>
        <w:rPr>
          <w:rFonts w:ascii="Arial" w:hAnsi="Arial" w:cs="Arial"/>
          <w:lang w:val="en-US"/>
        </w:rPr>
      </w:pPr>
      <w:r>
        <w:rPr>
          <w:rFonts w:cs="Arial" w:ascii="Arial" w:hAnsi="Arial"/>
          <w:b/>
          <w:lang w:val="en-US"/>
        </w:rPr>
        <w:t>Affiliations:</w:t>
      </w:r>
      <w:r>
        <w:rPr>
          <w:rFonts w:cs="Arial" w:ascii="Arial" w:hAnsi="Arial"/>
          <w:lang w:val="en-US"/>
        </w:rPr>
        <w:t xml:space="preserve"> Allison Bichel (</w:t>
      </w:r>
      <w:hyperlink r:id="rId2">
        <w:r>
          <w:rPr>
            <w:rStyle w:val="InternetLink"/>
            <w:rFonts w:cs="Arial" w:ascii="Arial" w:hAnsi="Arial"/>
            <w:lang w:val="en-US"/>
          </w:rPr>
          <w:t>bichels@platinum.ca</w:t>
        </w:r>
      </w:hyperlink>
      <w:r>
        <w:rPr>
          <w:rFonts w:cs="Arial" w:ascii="Arial" w:hAnsi="Arial"/>
          <w:lang w:val="en-US"/>
        </w:rPr>
        <w:t xml:space="preserve">) was the Project Manager for Innovations for the Department of Medicine for the University of Calgary and Calgary Health Region, Calgary, Alberta. Dr Maria Bacchus (maria.bacchus@albertahealthservices.ca) was Associate Professor and Deputy Head of the Department of Medicine for the University of Calgary and Calgary Health Region, Calgary, Alberta.  Dr Jon Meddings( currently </w:t>
      </w:r>
      <w:hyperlink r:id="rId3">
        <w:r>
          <w:rPr>
            <w:rStyle w:val="InternetLink"/>
            <w:rFonts w:cs="Arial" w:ascii="Arial" w:hAnsi="Arial"/>
            <w:lang w:val="en-US"/>
          </w:rPr>
          <w:t>meddings@ucalgary.ca</w:t>
        </w:r>
      </w:hyperlink>
      <w:r>
        <w:rPr>
          <w:rFonts w:cs="Arial" w:ascii="Arial" w:hAnsi="Arial"/>
          <w:lang w:val="en-US"/>
        </w:rPr>
        <w:t>)  was Professor and Head of the  Department of Medicine at the  University of Alberta , Edmonton, Alberta. Dr John Conly</w:t>
      </w:r>
    </w:p>
    <w:p>
      <w:pPr>
        <w:pStyle w:val="Normal"/>
        <w:spacing w:lineRule="auto" w:line="480" w:before="0" w:after="0"/>
        <w:rPr/>
      </w:pPr>
      <w:r>
        <w:rPr>
          <w:rFonts w:eastAsia="Arial" w:cs="Arial" w:ascii="Arial" w:hAnsi="Arial"/>
          <w:lang w:val="en-US"/>
        </w:rPr>
        <w:t xml:space="preserve"> </w:t>
      </w:r>
      <w:r>
        <w:rPr>
          <w:rFonts w:cs="Arial" w:ascii="Arial" w:hAnsi="Arial"/>
          <w:lang w:val="en-US"/>
        </w:rPr>
        <w:t xml:space="preserve">(john.conly@albertahealthservices.ca) was Professor and Head of the Department of Medicine for the University of Calgary and Calgary Health Region Calgary, Alberta. </w:t>
      </w:r>
    </w:p>
    <w:p>
      <w:pPr>
        <w:pStyle w:val="Normal"/>
        <w:spacing w:lineRule="auto" w:line="480" w:before="0" w:after="0"/>
        <w:rPr>
          <w:rFonts w:ascii="Arial" w:hAnsi="Arial" w:cs="Arial"/>
          <w:sz w:val="12"/>
          <w:lang w:val="en-US"/>
        </w:rPr>
      </w:pPr>
      <w:r>
        <w:rPr>
          <w:rFonts w:cs="Arial" w:ascii="Arial" w:hAnsi="Arial"/>
          <w:sz w:val="12"/>
          <w:lang w:val="en-US"/>
        </w:rPr>
      </w:r>
    </w:p>
    <w:p>
      <w:pPr>
        <w:pStyle w:val="Normal"/>
        <w:spacing w:lineRule="auto" w:line="480" w:before="0" w:after="0"/>
        <w:rPr>
          <w:rFonts w:ascii="Arial" w:hAnsi="Arial" w:cs="Arial"/>
          <w:lang w:val="en-US"/>
        </w:rPr>
      </w:pPr>
      <w:r>
        <w:rPr>
          <w:rFonts w:cs="Arial" w:ascii="Arial" w:hAnsi="Arial"/>
          <w:b/>
          <w:lang w:val="en-US"/>
        </w:rPr>
        <w:t>Correspondence:</w:t>
      </w:r>
      <w:r>
        <w:rPr>
          <w:rFonts w:cs="Arial" w:ascii="Arial" w:hAnsi="Arial"/>
          <w:lang w:val="en-US"/>
        </w:rPr>
        <w:t xml:space="preserve"> </w:t>
      </w:r>
    </w:p>
    <w:p>
      <w:pPr>
        <w:pStyle w:val="Normal"/>
        <w:spacing w:lineRule="auto" w:line="480"/>
        <w:rPr/>
      </w:pPr>
      <w:r>
        <w:rPr>
          <w:rFonts w:cs="Arial" w:ascii="Arial" w:hAnsi="Arial"/>
          <w:lang w:val="en-US"/>
        </w:rPr>
        <w:t>Dr. John Conly, Department of Medicine, University of Calgary, Foothills Medical Center, 9th Floor North Tower 1403 29th Street NW Calgary, Alberta</w:t>
      </w:r>
      <w:r>
        <w:rPr/>
        <w:t xml:space="preserve"> </w:t>
      </w:r>
      <w:r>
        <w:rPr>
          <w:rFonts w:cs="Arial" w:ascii="Arial" w:hAnsi="Arial"/>
          <w:lang w:val="en-US"/>
        </w:rPr>
        <w:t xml:space="preserve">T2N 2T9; john.conly@albertahealthservices.ca </w:t>
      </w:r>
    </w:p>
    <w:p>
      <w:pPr>
        <w:pStyle w:val="Normal"/>
        <w:spacing w:lineRule="auto" w:line="480"/>
        <w:rPr>
          <w:rFonts w:ascii="Arial" w:hAnsi="Arial" w:cs="Arial"/>
          <w:lang w:val="en-US"/>
        </w:rPr>
      </w:pPr>
      <w:r>
        <w:rPr>
          <w:rFonts w:cs="Arial" w:ascii="Arial" w:hAnsi="Arial"/>
          <w:lang w:val="en-US"/>
        </w:rPr>
        <w:t>Dr. Jon Meddings, Faculty of Medicine, University of Calgary; Teaching Research Wellness Building 3280 Hospital Drive. N.W Calgary Alberta T2N 4Z6; meddings@ucalgary.ca.</w:t>
      </w:r>
    </w:p>
    <w:p>
      <w:pPr>
        <w:pStyle w:val="Normal"/>
        <w:spacing w:lineRule="auto" w:line="480"/>
        <w:rPr>
          <w:rFonts w:ascii="Arial" w:hAnsi="Arial" w:cs="Arial"/>
          <w:b/>
          <w:b/>
          <w:lang w:val="en-US"/>
        </w:rPr>
      </w:pPr>
      <w:r>
        <w:rPr>
          <w:rFonts w:cs="Arial" w:ascii="Arial" w:hAnsi="Arial"/>
          <w:b/>
          <w:lang w:val="en-US"/>
        </w:rPr>
        <w:t>Abstract Word Count: 247</w:t>
      </w:r>
    </w:p>
    <w:p>
      <w:pPr>
        <w:pStyle w:val="Normal"/>
        <w:spacing w:lineRule="auto" w:line="480"/>
        <w:rPr>
          <w:rFonts w:ascii="Arial" w:hAnsi="Arial" w:cs="Arial"/>
          <w:b/>
          <w:b/>
          <w:lang w:val="en-US"/>
        </w:rPr>
      </w:pPr>
      <w:r>
        <w:rPr>
          <w:rFonts w:cs="Arial" w:ascii="Arial" w:hAnsi="Arial"/>
          <w:b/>
          <w:lang w:val="en-US"/>
        </w:rPr>
        <w:t>Text Word Count: 2492</w:t>
      </w:r>
    </w:p>
    <w:p>
      <w:pPr>
        <w:pStyle w:val="Normal"/>
        <w:spacing w:lineRule="auto" w:line="480"/>
        <w:rPr>
          <w:rFonts w:ascii="Arial" w:hAnsi="Arial" w:cs="Arial"/>
          <w:lang w:val="en-US"/>
        </w:rPr>
      </w:pPr>
      <w:r>
        <w:rPr>
          <w:rFonts w:cs="Arial" w:ascii="Arial" w:hAnsi="Arial"/>
          <w:b/>
          <w:lang w:val="en-US"/>
        </w:rPr>
        <w:t>Contributors:</w:t>
      </w:r>
      <w:r>
        <w:rPr>
          <w:rFonts w:cs="Arial" w:ascii="Arial" w:hAnsi="Arial"/>
          <w:lang w:val="en-US"/>
        </w:rPr>
        <w:t xml:space="preserve"> Allison Bichel was a consultant to the Calgary Health Region, responsible for the implementation of the health service innovations for the Academic Alternate Relationship Plan in the Department of Medicine in Calgary and was responsible for the design and implementation of the evaluation of the innovations in Calgary and preliminary collation of the data for this article. She drafted the initial draft of the manuscript. John Conly, Maria Bacchus and Jon Meddings initiated the concept for this article, arranged for the provision of the full evaluation data of the Academic Alternate Relationship Plans from their respective sites from Alberta Health and Wellness and were responsible for the final interpretation and disposition of the contents. All of the authors reviewed and revised the manuscript for critical content and approved the final version to be published. John Conly will act as guarantor for the manuscript. </w:t>
      </w:r>
    </w:p>
    <w:p>
      <w:pPr>
        <w:pStyle w:val="Normal"/>
        <w:spacing w:lineRule="auto" w:line="480"/>
        <w:rPr>
          <w:rFonts w:ascii="Arial" w:hAnsi="Arial" w:cs="Arial"/>
          <w:lang w:val="en-US"/>
        </w:rPr>
      </w:pPr>
      <w:r>
        <w:rPr>
          <w:rFonts w:cs="Arial" w:ascii="Arial" w:hAnsi="Arial"/>
          <w:lang w:val="en-US"/>
        </w:rPr>
      </w:r>
    </w:p>
    <w:p>
      <w:pPr>
        <w:pStyle w:val="Normal"/>
        <w:spacing w:lineRule="auto" w:line="480"/>
        <w:rPr>
          <w:rFonts w:ascii="Arial" w:hAnsi="Arial" w:cs="Arial"/>
          <w:lang w:val="en-US"/>
        </w:rPr>
      </w:pPr>
      <w:r>
        <w:rPr>
          <w:rFonts w:cs="Arial" w:ascii="Arial" w:hAnsi="Arial"/>
          <w:b/>
          <w:lang w:val="en-US"/>
        </w:rPr>
        <w:t>Competing Interests:</w:t>
      </w:r>
      <w:r>
        <w:rPr>
          <w:rFonts w:cs="Arial" w:ascii="Arial" w:hAnsi="Arial"/>
          <w:lang w:val="en-US"/>
        </w:rPr>
        <w:t xml:space="preserve"> None of the authors has a competing interest related to the conduct of this material presented in this manuscript</w:t>
      </w:r>
    </w:p>
    <w:p>
      <w:pPr>
        <w:pStyle w:val="Normal"/>
        <w:spacing w:lineRule="auto" w:line="480"/>
        <w:rPr>
          <w:rFonts w:ascii="Arial" w:hAnsi="Arial" w:cs="Arial"/>
          <w:lang w:val="en-US"/>
        </w:rPr>
      </w:pPr>
      <w:r>
        <w:rPr>
          <w:rFonts w:cs="Arial" w:ascii="Arial" w:hAnsi="Arial"/>
          <w:b/>
          <w:lang w:val="en-US"/>
        </w:rPr>
        <w:t xml:space="preserve">Acknowledgements: </w:t>
      </w:r>
      <w:r>
        <w:rPr>
          <w:rFonts w:cs="Arial" w:ascii="Arial" w:hAnsi="Arial"/>
          <w:lang w:val="en-US"/>
        </w:rPr>
        <w:t>The authors wish to thank Dr William Ghali and Dr Thomas Lynch for critical review of this manuscript.</w:t>
      </w:r>
    </w:p>
    <w:p>
      <w:pPr>
        <w:pStyle w:val="Normal"/>
        <w:spacing w:lineRule="auto" w:line="480"/>
        <w:rPr/>
      </w:pPr>
      <w:r>
        <w:rPr>
          <w:rFonts w:cs="Arial" w:ascii="Arial" w:hAnsi="Arial"/>
          <w:b/>
          <w:lang w:val="en-US"/>
        </w:rPr>
        <w:t>Running Head:</w:t>
      </w:r>
      <w:r>
        <w:rPr>
          <w:rFonts w:cs="Arial" w:ascii="Arial" w:hAnsi="Arial"/>
          <w:lang w:val="en-US"/>
        </w:rPr>
        <w:t xml:space="preserve"> Academic Alternate Relationship Plans as a lever in health care transformation </w:t>
      </w:r>
    </w:p>
    <w:p>
      <w:pPr>
        <w:pStyle w:val="Normal"/>
        <w:spacing w:lineRule="auto" w:line="480"/>
        <w:rPr>
          <w:rFonts w:ascii="Arial" w:hAnsi="Arial" w:cs="Arial"/>
          <w:lang w:val="en-US"/>
        </w:rPr>
      </w:pPr>
      <w:r>
        <w:rPr>
          <w:rFonts w:cs="Arial" w:ascii="Arial" w:hAnsi="Arial"/>
          <w:b/>
          <w:lang w:val="en-US"/>
        </w:rPr>
        <w:t>Keywords :</w:t>
      </w:r>
      <w:r>
        <w:rPr>
          <w:rFonts w:cs="Arial" w:ascii="Arial" w:hAnsi="Arial"/>
          <w:lang w:val="en-US"/>
        </w:rPr>
        <w:t xml:space="preserve"> Academic Alternate Relationship Plan </w:t>
      </w:r>
    </w:p>
    <w:p>
      <w:pPr>
        <w:pStyle w:val="Normal"/>
        <w:spacing w:lineRule="auto" w:line="480"/>
        <w:rPr>
          <w:rFonts w:ascii="Arial" w:hAnsi="Arial" w:cs="Arial"/>
          <w:lang w:val="en-US"/>
        </w:rPr>
      </w:pPr>
      <w:r>
        <w:rPr>
          <w:rFonts w:eastAsia="Arial" w:cs="Arial" w:ascii="Arial" w:hAnsi="Arial"/>
          <w:lang w:val="en-US"/>
        </w:rPr>
        <w:t xml:space="preserve">                    </w:t>
      </w:r>
      <w:r>
        <w:rPr>
          <w:rFonts w:cs="Arial" w:ascii="Arial" w:hAnsi="Arial"/>
          <w:lang w:val="en-US"/>
        </w:rPr>
        <w:t xml:space="preserve">Innovations </w:t>
      </w:r>
    </w:p>
    <w:p>
      <w:pPr>
        <w:pStyle w:val="Normal"/>
        <w:spacing w:lineRule="auto" w:line="480"/>
        <w:rPr>
          <w:rFonts w:ascii="Arial" w:hAnsi="Arial" w:cs="Arial"/>
          <w:lang w:val="en-US"/>
        </w:rPr>
      </w:pPr>
      <w:r>
        <w:rPr>
          <w:rFonts w:eastAsia="Arial" w:cs="Arial" w:ascii="Arial" w:hAnsi="Arial"/>
          <w:lang w:val="en-US"/>
        </w:rPr>
        <w:t xml:space="preserve">                    </w:t>
      </w:r>
      <w:r>
        <w:rPr>
          <w:rFonts w:cs="Arial" w:ascii="Arial" w:hAnsi="Arial"/>
          <w:lang w:val="en-US"/>
        </w:rPr>
        <w:t xml:space="preserve">Workforce challenges </w:t>
      </w:r>
    </w:p>
    <w:p>
      <w:pPr>
        <w:pStyle w:val="Normal"/>
        <w:spacing w:lineRule="auto" w:line="480"/>
        <w:rPr>
          <w:rFonts w:ascii="Arial" w:hAnsi="Arial" w:cs="Arial"/>
          <w:lang w:val="en-US"/>
        </w:rPr>
      </w:pPr>
      <w:r>
        <w:rPr>
          <w:rFonts w:eastAsia="Arial" w:cs="Arial" w:ascii="Arial" w:hAnsi="Arial"/>
          <w:lang w:val="en-US"/>
        </w:rPr>
        <w:t xml:space="preserve">                    </w:t>
      </w:r>
      <w:r>
        <w:rPr>
          <w:rFonts w:cs="Arial" w:ascii="Arial" w:hAnsi="Arial"/>
          <w:lang w:val="en-US"/>
        </w:rPr>
        <w:t>Recruitment</w:t>
      </w:r>
    </w:p>
    <w:p>
      <w:pPr>
        <w:pStyle w:val="Normal"/>
        <w:spacing w:lineRule="auto" w:line="480"/>
        <w:rPr>
          <w:rFonts w:ascii="Arial" w:hAnsi="Arial" w:cs="Arial"/>
          <w:lang w:val="en-US"/>
        </w:rPr>
      </w:pPr>
      <w:r>
        <w:rPr>
          <w:rFonts w:eastAsia="Arial" w:cs="Arial" w:ascii="Arial" w:hAnsi="Arial"/>
          <w:lang w:val="en-US"/>
        </w:rPr>
        <w:t xml:space="preserve">                    </w:t>
      </w:r>
      <w:r>
        <w:rPr>
          <w:rFonts w:cs="Arial" w:ascii="Arial" w:hAnsi="Arial"/>
          <w:lang w:val="en-US"/>
        </w:rPr>
        <w:t xml:space="preserve">Contractual </w:t>
      </w:r>
    </w:p>
    <w:p>
      <w:pPr>
        <w:pStyle w:val="Normal"/>
        <w:spacing w:lineRule="auto" w:line="480"/>
        <w:rPr>
          <w:rFonts w:ascii="Arial" w:hAnsi="Arial" w:cs="Arial"/>
          <w:lang w:val="en-US"/>
        </w:rPr>
      </w:pPr>
      <w:r>
        <w:rPr>
          <w:rFonts w:eastAsia="Arial" w:cs="Arial" w:ascii="Arial" w:hAnsi="Arial"/>
          <w:lang w:val="en-US"/>
        </w:rPr>
        <w:t xml:space="preserve">                    </w:t>
      </w:r>
      <w:r>
        <w:rPr>
          <w:rFonts w:cs="Arial" w:ascii="Arial" w:hAnsi="Arial"/>
          <w:lang w:val="en-US"/>
        </w:rPr>
        <w:t xml:space="preserve">Health care services </w:t>
      </w:r>
    </w:p>
    <w:p>
      <w:pPr>
        <w:pStyle w:val="Normal"/>
        <w:spacing w:lineRule="auto" w:line="480"/>
        <w:rPr>
          <w:rFonts w:ascii="Arial" w:hAnsi="Arial" w:cs="Arial"/>
          <w:lang w:val="en-US"/>
        </w:rPr>
      </w:pPr>
      <w:r>
        <w:rPr>
          <w:rFonts w:eastAsia="Arial" w:cs="Arial" w:ascii="Arial" w:hAnsi="Arial"/>
          <w:lang w:val="en-US"/>
        </w:rPr>
        <w:t xml:space="preserve">                    </w:t>
      </w:r>
      <w:r>
        <w:rPr>
          <w:rFonts w:cs="Arial" w:ascii="Arial" w:hAnsi="Arial"/>
          <w:lang w:val="en-US"/>
        </w:rPr>
        <w:t xml:space="preserve">Medical education </w:t>
      </w:r>
    </w:p>
    <w:p>
      <w:pPr>
        <w:pStyle w:val="Normal"/>
        <w:spacing w:lineRule="auto" w:line="480"/>
        <w:rPr>
          <w:rFonts w:ascii="Arial" w:hAnsi="Arial" w:cs="Arial"/>
          <w:lang w:val="en-US"/>
        </w:rPr>
      </w:pPr>
      <w:r>
        <w:rPr>
          <w:rFonts w:eastAsia="Arial" w:cs="Arial" w:ascii="Arial" w:hAnsi="Arial"/>
          <w:lang w:val="en-US"/>
        </w:rPr>
        <w:t xml:space="preserve">                    </w:t>
      </w:r>
      <w:r>
        <w:rPr>
          <w:rFonts w:cs="Arial" w:ascii="Arial" w:hAnsi="Arial"/>
          <w:lang w:val="en-US"/>
        </w:rPr>
        <w:t xml:space="preserve">Research </w:t>
      </w:r>
    </w:p>
    <w:p>
      <w:pPr>
        <w:pStyle w:val="Normal"/>
        <w:spacing w:lineRule="auto" w:line="480"/>
        <w:rPr>
          <w:rFonts w:ascii="Arial" w:hAnsi="Arial" w:cs="Arial"/>
          <w:lang w:val="en-US"/>
        </w:rPr>
      </w:pPr>
      <w:r>
        <w:rPr>
          <w:rFonts w:eastAsia="Arial" w:cs="Arial" w:ascii="Arial" w:hAnsi="Arial"/>
          <w:lang w:val="en-US"/>
        </w:rPr>
        <w:t xml:space="preserve">                    </w:t>
      </w:r>
      <w:r>
        <w:rPr>
          <w:rFonts w:cs="Arial" w:ascii="Arial" w:hAnsi="Arial"/>
          <w:lang w:val="en-US"/>
        </w:rPr>
        <w:t xml:space="preserve">Access </w:t>
      </w:r>
    </w:p>
    <w:p>
      <w:pPr>
        <w:pStyle w:val="Normal"/>
        <w:spacing w:lineRule="auto" w:line="480"/>
        <w:rPr/>
      </w:pPr>
      <w:r>
        <w:rPr>
          <w:rFonts w:eastAsia="Arial" w:cs="Arial" w:ascii="Arial" w:hAnsi="Arial"/>
          <w:lang w:val="en-US"/>
        </w:rPr>
        <w:t xml:space="preserve">                    </w:t>
      </w:r>
      <w:r>
        <w:rPr>
          <w:rFonts w:cs="Arial" w:ascii="Arial" w:hAnsi="Arial"/>
          <w:lang w:val="en-US"/>
        </w:rPr>
        <w:t>Quality</w:t>
      </w:r>
    </w:p>
    <w:p>
      <w:pPr>
        <w:pStyle w:val="Normal"/>
        <w:spacing w:lineRule="auto" w:line="480"/>
        <w:rPr>
          <w:rFonts w:ascii="Arial" w:hAnsi="Arial" w:cs="Arial"/>
          <w:lang w:val="en-US"/>
        </w:rPr>
      </w:pPr>
      <w:r>
        <w:rPr>
          <w:rFonts w:cs="Arial" w:ascii="Arial" w:hAnsi="Arial"/>
          <w:b/>
          <w:lang w:val="en-US"/>
        </w:rPr>
        <w:t>Number of Tables:</w:t>
      </w:r>
      <w:r>
        <w:rPr>
          <w:rFonts w:cs="Arial" w:ascii="Arial" w:hAnsi="Arial"/>
          <w:lang w:val="en-US"/>
        </w:rPr>
        <w:t xml:space="preserve"> 6</w:t>
      </w:r>
    </w:p>
    <w:p>
      <w:pPr>
        <w:pStyle w:val="Normal"/>
        <w:spacing w:lineRule="auto" w:line="480"/>
        <w:rPr>
          <w:rFonts w:ascii="Arial" w:hAnsi="Arial" w:cs="Arial"/>
          <w:lang w:val="en-US"/>
        </w:rPr>
      </w:pPr>
      <w:r>
        <w:rPr>
          <w:rFonts w:cs="Arial" w:ascii="Arial" w:hAnsi="Arial"/>
          <w:b/>
          <w:lang w:val="en-US"/>
        </w:rPr>
        <w:t>Number of Figures:</w:t>
      </w:r>
      <w:r>
        <w:rPr>
          <w:rFonts w:cs="Arial" w:ascii="Arial" w:hAnsi="Arial"/>
          <w:lang w:val="en-US"/>
        </w:rPr>
        <w:t xml:space="preserve"> 1</w:t>
      </w:r>
    </w:p>
    <w:p>
      <w:pPr>
        <w:pStyle w:val="Normal"/>
        <w:spacing w:lineRule="auto" w:line="480"/>
        <w:rPr>
          <w:rFonts w:ascii="Arial" w:hAnsi="Arial" w:eastAsia="Arial" w:cs="Arial"/>
          <w:lang w:val="en-US"/>
        </w:rPr>
      </w:pPr>
      <w:r>
        <w:rPr>
          <w:rFonts w:eastAsia="Arial" w:cs="Arial" w:ascii="Arial" w:hAnsi="Arial"/>
          <w:lang w:val="en-US"/>
        </w:rPr>
        <w:t xml:space="preserve">                   </w:t>
      </w:r>
    </w:p>
    <w:p>
      <w:pPr>
        <w:pStyle w:val="Normal"/>
        <w:spacing w:lineRule="auto" w:line="480"/>
        <w:rPr>
          <w:rFonts w:ascii="Arial" w:hAnsi="Arial" w:cs="Arial"/>
          <w:lang w:val="en-US"/>
        </w:rPr>
      </w:pPr>
      <w:r>
        <w:rPr>
          <w:rFonts w:cs="Arial" w:ascii="Arial" w:hAnsi="Arial"/>
          <w:lang w:val="en-US"/>
        </w:rPr>
      </w:r>
      <w:r>
        <w:br w:type="page"/>
      </w:r>
    </w:p>
    <w:p>
      <w:pPr>
        <w:pStyle w:val="Normal"/>
        <w:spacing w:lineRule="auto" w:line="480"/>
        <w:rPr>
          <w:rFonts w:ascii="Arial" w:hAnsi="Arial" w:cs="Arial"/>
          <w:b/>
          <w:b/>
          <w:sz w:val="28"/>
        </w:rPr>
      </w:pPr>
      <w:r>
        <w:rPr>
          <w:rFonts w:cs="Arial" w:ascii="Arial" w:hAnsi="Arial"/>
          <w:b/>
          <w:sz w:val="28"/>
        </w:rPr>
        <w:t>Abstract</w:t>
      </w:r>
    </w:p>
    <w:p>
      <w:pPr>
        <w:pStyle w:val="Normal"/>
        <w:spacing w:lineRule="auto" w:line="480"/>
        <w:rPr>
          <w:rFonts w:ascii="Arial" w:hAnsi="Arial" w:cs="Arial"/>
        </w:rPr>
      </w:pPr>
      <w:r>
        <w:rPr>
          <w:rFonts w:cs="Arial" w:ascii="Arial" w:hAnsi="Arial"/>
        </w:rPr>
        <w:t xml:space="preserve">Introduction: Given significant clinical and academic challenges, the Departments of Medicine </w:t>
      </w:r>
      <w:r>
        <w:rPr>
          <w:rFonts w:cs="Arial" w:ascii="Arial" w:hAnsi="Arial"/>
          <w:lang w:val="en-US"/>
        </w:rPr>
        <w:t xml:space="preserve">at the Universities of Alberta </w:t>
      </w:r>
      <w:r>
        <w:rPr>
          <w:rFonts w:cs="Arial" w:ascii="Arial" w:hAnsi="Arial"/>
        </w:rPr>
        <w:t xml:space="preserve">and Calgary and the Capital and Calgary Health Regions respectively, implemented Academic Alternate Relationship Plans (AARP) compensating physicians on a contractual vs. fee-for-service basis.  </w:t>
      </w:r>
    </w:p>
    <w:p>
      <w:pPr>
        <w:pStyle w:val="Normal"/>
        <w:spacing w:lineRule="auto" w:line="480"/>
        <w:rPr>
          <w:rFonts w:ascii="Arial" w:hAnsi="Arial" w:cs="Arial"/>
          <w:lang w:val="en-US"/>
        </w:rPr>
      </w:pPr>
      <w:r>
        <w:rPr>
          <w:rFonts w:cs="Arial" w:ascii="Arial" w:hAnsi="Arial"/>
        </w:rPr>
        <w:t>Methods: A before-after analysis of pre and post AARP implementation survey data was conducted . E</w:t>
      </w:r>
      <w:r>
        <w:rPr>
          <w:rFonts w:cs="Arial" w:ascii="Arial" w:hAnsi="Arial"/>
          <w:lang w:val="en-US"/>
        </w:rPr>
        <w:t xml:space="preserve">valuation methodologies were planned conjointly by the Departments using the same external evaluator, similar data sources and methodologies. Differences between pre and post AARP indicators were examined using a Poisson distribution. </w:t>
      </w:r>
    </w:p>
    <w:p>
      <w:pPr>
        <w:pStyle w:val="Normal"/>
        <w:spacing w:lineRule="auto" w:line="480"/>
        <w:rPr>
          <w:rFonts w:ascii="Arial" w:hAnsi="Arial" w:cs="Arial"/>
          <w:lang w:val="en-US"/>
        </w:rPr>
      </w:pPr>
      <w:r>
        <w:rPr>
          <w:rFonts w:cs="Arial" w:ascii="Arial" w:hAnsi="Arial"/>
          <w:lang w:val="en-US"/>
        </w:rPr>
        <w:t>Results: There was a significant increase (p&lt; 0.05) in recruitment with increases of 28 (31.1%) and 29.5</w:t>
      </w:r>
      <w:r>
        <w:rPr>
          <w:rFonts w:cs="Arial" w:ascii="Arial" w:hAnsi="Arial"/>
        </w:rPr>
        <w:t xml:space="preserve"> (38 %) FTE for Edmonton and Calgary respectively, compared to historical trends of which would have been 1-5% in Edmonton and 4.3% in Calgary.  In Edmonton, clinical service episodes increased by 23% excluding those provided by alternate care providers. In Calgary, clinical service episodes  including inpatient and outpatient encounters, visits to alternate care providers and telehealth contacts, increased by 50%. Pre and post AARP, combined clinical and classroom teaching hours in Edmonton increased by 22%. and by 25% in Calgary.  Research performance also improved on most measures of output and productivity.</w:t>
      </w:r>
    </w:p>
    <w:p>
      <w:pPr>
        <w:pStyle w:val="Normal"/>
        <w:spacing w:lineRule="auto" w:line="480" w:before="0" w:after="360"/>
        <w:rPr>
          <w:rFonts w:ascii="Arial" w:hAnsi="Arial" w:cs="Arial"/>
        </w:rPr>
      </w:pPr>
      <w:r>
        <w:rPr>
          <w:rFonts w:cs="Arial" w:ascii="Arial" w:hAnsi="Arial"/>
          <w:lang w:val="en-US"/>
        </w:rPr>
        <w:t>Interpretation:</w:t>
      </w:r>
      <w:r>
        <w:rPr>
          <w:rFonts w:cs="Arial" w:ascii="Arial" w:hAnsi="Arial"/>
        </w:rPr>
        <w:t xml:space="preserve"> The implementation of an AARP in Internal Medicine in both Edmonton and Calgary impacted recruitment and retention goals, and strengthened the ability to deliver on the clinical, research and education missions of the Departments.  This provincial experience supports the use of alternate physician remuneration models as an enabler to health care reform. </w:t>
      </w:r>
    </w:p>
    <w:p>
      <w:pPr>
        <w:pStyle w:val="Normal"/>
        <w:spacing w:lineRule="auto" w:line="480" w:before="0" w:after="360"/>
        <w:rPr>
          <w:rFonts w:ascii="Arial" w:hAnsi="Arial" w:cs="Arial"/>
          <w:lang w:val="en-US"/>
        </w:rPr>
      </w:pPr>
      <w:r>
        <w:rPr>
          <w:rFonts w:cs="Arial" w:ascii="Arial" w:hAnsi="Arial"/>
          <w:lang w:val="en-US"/>
        </w:rPr>
      </w:r>
    </w:p>
    <w:p>
      <w:pPr>
        <w:pStyle w:val="Normal"/>
        <w:spacing w:before="0" w:after="240"/>
        <w:rPr>
          <w:rFonts w:ascii="Arial" w:hAnsi="Arial" w:cs="Arial"/>
          <w:b/>
          <w:b/>
          <w:sz w:val="28"/>
          <w:lang w:val="en-US"/>
        </w:rPr>
      </w:pPr>
      <w:r>
        <w:rPr>
          <w:rFonts w:cs="Arial" w:ascii="Arial" w:hAnsi="Arial"/>
          <w:b/>
          <w:sz w:val="28"/>
          <w:lang w:val="en-US"/>
        </w:rPr>
      </w:r>
    </w:p>
    <w:p>
      <w:pPr>
        <w:pStyle w:val="Normal"/>
        <w:spacing w:before="0" w:after="240"/>
        <w:rPr>
          <w:rFonts w:ascii="Arial" w:hAnsi="Arial" w:cs="Arial"/>
          <w:b/>
          <w:b/>
          <w:sz w:val="28"/>
        </w:rPr>
      </w:pPr>
      <w:r>
        <w:rPr>
          <w:rFonts w:cs="Arial" w:ascii="Arial" w:hAnsi="Arial"/>
          <w:b/>
          <w:sz w:val="28"/>
        </w:rPr>
        <w:t>Introduction</w:t>
      </w:r>
    </w:p>
    <w:p>
      <w:pPr>
        <w:pStyle w:val="Normal"/>
        <w:spacing w:lineRule="auto" w:line="480"/>
        <w:ind w:firstLine="720"/>
        <w:rPr/>
      </w:pPr>
      <w:r>
        <w:rPr>
          <w:rFonts w:cs="Arial" w:ascii="Arial" w:hAnsi="Arial"/>
        </w:rPr>
        <w:t>Since the mid-1990s provincial and federal agencies have examined ways to reform the delivery of health services.  Several national and provincial reports, including the Romanow</w:t>
      </w:r>
      <w:r>
        <w:rPr>
          <w:rStyle w:val="EndnoteCharacters"/>
          <w:rStyle w:val="EndnoteAnchor"/>
          <w:rFonts w:cs="Arial" w:ascii="Arial" w:hAnsi="Arial"/>
        </w:rPr>
        <w:endnoteReference w:id="2"/>
      </w:r>
      <w:r>
        <w:rPr>
          <w:rFonts w:cs="Arial" w:ascii="Arial" w:hAnsi="Arial"/>
        </w:rPr>
        <w:t>, Kirby</w:t>
      </w:r>
      <w:r>
        <w:rPr>
          <w:rStyle w:val="EndnoteCharacters"/>
          <w:rStyle w:val="EndnoteAnchor"/>
          <w:rFonts w:cs="Arial" w:ascii="Arial" w:hAnsi="Arial"/>
        </w:rPr>
        <w:endnoteReference w:id="3"/>
      </w:r>
      <w:r>
        <w:rPr>
          <w:rFonts w:cs="Arial" w:ascii="Arial" w:hAnsi="Arial"/>
        </w:rPr>
        <w:t>, and Mazankowski</w:t>
      </w:r>
      <w:r>
        <w:rPr>
          <w:rStyle w:val="EndnoteCharacters"/>
          <w:rStyle w:val="EndnoteAnchor"/>
          <w:rFonts w:cs="Arial" w:ascii="Arial" w:hAnsi="Arial"/>
        </w:rPr>
        <w:endnoteReference w:id="4"/>
      </w:r>
      <w:r>
        <w:rPr>
          <w:rFonts w:cs="Arial" w:ascii="Arial" w:hAnsi="Arial"/>
        </w:rPr>
        <w:t xml:space="preserve"> reports, suggested the need to reframe and refocus the health system to ensure access, quality and sustainability.  These reports recommended alternate mechanisms to remunerate the physician workforce in an effort to encourage different modalities of care delivery.</w:t>
      </w:r>
    </w:p>
    <w:p>
      <w:pPr>
        <w:pStyle w:val="Normal"/>
        <w:spacing w:lineRule="auto" w:line="480"/>
        <w:ind w:firstLine="720"/>
        <w:rPr>
          <w:rFonts w:ascii="Arial" w:hAnsi="Arial" w:cs="Arial"/>
        </w:rPr>
      </w:pPr>
      <w:r>
        <w:rPr>
          <w:rFonts w:cs="Arial" w:ascii="Arial" w:hAnsi="Arial"/>
        </w:rPr>
        <w:t xml:space="preserve">This article describes how the implementation of departmental Academic Alternate Relationship Plans (AARP) has been a fundamental enabler of change to improve patient outcomes, health care provider satisfaction, and health system sustainability.  An AARP compensates physicians on a contractual instead of a fee for service basis. The Department of Medicine, within the Faculty of Medicine and Dentistry at the University of Alberta implemented an Alternate Funding Plan (subsequently renamed an Academic Alternate Relationship Plan) in July 2002.  In Calgary, the Department of Medicine AARP commenced in August 2004.  The divisions represented in the AARP for both sites included:  Cardiology, Dermatology, Endocrinology and Metabolism, Gastroenterology, General Internal Medicine, Geriatric Medicine, Hematology, Infectious Disease, Nephrology, Respiratory Medicine, and Rheumatology.  In Edmonton, Neurology is also included.  </w:t>
      </w:r>
    </w:p>
    <w:p>
      <w:pPr>
        <w:pStyle w:val="Normal"/>
        <w:spacing w:lineRule="auto" w:line="480"/>
        <w:ind w:firstLine="720"/>
        <w:rPr>
          <w:rFonts w:ascii="Arial" w:hAnsi="Arial" w:cs="Arial"/>
        </w:rPr>
      </w:pPr>
      <w:r>
        <w:rPr>
          <w:rFonts w:cs="Arial" w:ascii="Arial" w:hAnsi="Arial"/>
        </w:rPr>
        <w:t>Prior to the inception of the AARP, both health systems and Departments of Medicine were experiencing similar challenges, including significant  population growth, access difficulties for specialist services</w:t>
      </w:r>
      <w:r>
        <w:rPr>
          <w:rStyle w:val="EndnoteCharacters"/>
          <w:rStyle w:val="EndnoteAnchor"/>
          <w:rFonts w:cs="Arial" w:ascii="Arial" w:hAnsi="Arial"/>
        </w:rPr>
        <w:endnoteReference w:id="5"/>
      </w:r>
      <w:r>
        <w:rPr>
          <w:rFonts w:cs="Arial" w:ascii="Arial" w:hAnsi="Arial"/>
        </w:rPr>
        <w:t>, existing and forecasted workforce deficits to meet clinical and academic demands</w:t>
      </w:r>
      <w:r>
        <w:rPr>
          <w:rStyle w:val="EndnoteCharacters"/>
          <w:rStyle w:val="EndnoteAnchor"/>
          <w:rFonts w:cs="Arial" w:ascii="Arial" w:hAnsi="Arial"/>
        </w:rPr>
        <w:endnoteReference w:id="6"/>
      </w:r>
      <w:r>
        <w:rPr>
          <w:rFonts w:cs="Arial" w:ascii="Arial" w:hAnsi="Arial"/>
        </w:rPr>
        <w:t>, concerns regarding physician burnout</w:t>
      </w:r>
      <w:r>
        <w:rPr>
          <w:rStyle w:val="EndnoteCharacters"/>
          <w:rStyle w:val="EndnoteAnchor"/>
          <w:rFonts w:cs="Arial" w:ascii="Arial" w:hAnsi="Arial"/>
        </w:rPr>
        <w:endnoteReference w:id="7"/>
      </w:r>
      <w:r>
        <w:rPr>
          <w:rFonts w:cs="Arial" w:ascii="Arial" w:hAnsi="Arial"/>
        </w:rPr>
        <w:t>, and the need for innovative health care service delivery models</w:t>
      </w:r>
      <w:r>
        <w:rPr>
          <w:rStyle w:val="EndnoteCharacters"/>
          <w:rStyle w:val="EndnoteAnchor"/>
          <w:rFonts w:cs="Arial" w:ascii="Arial" w:hAnsi="Arial"/>
        </w:rPr>
        <w:endnoteReference w:id="8"/>
      </w:r>
      <w:r>
        <w:rPr>
          <w:rFonts w:cs="Arial" w:ascii="Arial" w:hAnsi="Arial"/>
        </w:rPr>
        <w:t xml:space="preserve">.  </w:t>
      </w:r>
    </w:p>
    <w:p>
      <w:pPr>
        <w:pStyle w:val="Normal"/>
        <w:spacing w:lineRule="auto" w:line="480"/>
        <w:ind w:firstLine="720"/>
        <w:rPr>
          <w:rFonts w:ascii="Arial" w:hAnsi="Arial" w:cs="Arial"/>
        </w:rPr>
      </w:pPr>
      <w:r>
        <w:rPr>
          <w:rFonts w:cs="Arial" w:ascii="Arial" w:hAnsi="Arial"/>
        </w:rPr>
        <w:t>Given this background, the implementation of AARPs was seen as a critical strategy to support innovation in clinical care, to improve access, to place a higher value and provide support for medical research and education, and to enable workforce sustainability and administrative leadership. Final evaluations were completed in 2005 and 2007 for Edmonton and Calgary, respectively. We report here the Alberta Internal Medicine AARP experience based on these evaluations. ..</w:t>
      </w:r>
    </w:p>
    <w:p>
      <w:pPr>
        <w:pStyle w:val="Normal"/>
        <w:spacing w:lineRule="auto" w:line="480"/>
        <w:rPr>
          <w:rFonts w:ascii="Arial" w:hAnsi="Arial" w:cs="Arial"/>
          <w:b/>
          <w:b/>
          <w:sz w:val="28"/>
        </w:rPr>
      </w:pPr>
      <w:r>
        <w:rPr>
          <w:rFonts w:cs="Arial" w:ascii="Arial" w:hAnsi="Arial"/>
          <w:b/>
          <w:sz w:val="28"/>
        </w:rPr>
        <w:t>Methods</w:t>
      </w:r>
    </w:p>
    <w:p>
      <w:pPr>
        <w:pStyle w:val="Normal"/>
        <w:spacing w:lineRule="auto" w:line="480"/>
        <w:ind w:firstLine="720"/>
        <w:rPr>
          <w:rFonts w:ascii="Arial" w:hAnsi="Arial" w:cs="Arial"/>
        </w:rPr>
      </w:pPr>
      <w:r>
        <w:rPr>
          <w:rFonts w:cs="Arial" w:ascii="Arial" w:hAnsi="Arial"/>
        </w:rPr>
        <w:t>A before-after analysis of pre and post AARP implementation survey data was employed comparing data from multiple sources. Evaluation of the programs in both Edmonton and Calgary was conducted by the same external evaluator, BearingPoint Consulting, using the same methodology. The evaluation process was planned through consultation with the Academic Medicine Unit, Alberta Health and Wellness, the senior leadership of the respective Departments, and the respective AARP Management Committees. A framework was developed to analyze inputs, processes, outputs and impact (Figure 1). It was structured to provide measurement in seven key areas including:  access, quality of health care, health care delivery innovation, staff retention and recruitment, quality of medical education and training, research excellence, and governance and management.  Specific indicators were developed to track progress in each key area of the activities in the traditional CARE pillars: clinical care, administration, research and education.</w:t>
      </w:r>
    </w:p>
    <w:p>
      <w:pPr>
        <w:pStyle w:val="Normal"/>
        <w:spacing w:lineRule="auto" w:line="480"/>
        <w:ind w:firstLine="720"/>
        <w:rPr>
          <w:rFonts w:ascii="Arial" w:hAnsi="Arial" w:cs="Arial"/>
        </w:rPr>
      </w:pPr>
      <w:r>
        <w:rPr>
          <w:rFonts w:cs="Arial" w:ascii="Arial" w:hAnsi="Arial"/>
        </w:rPr>
        <w:t>Multiple sources of data (Table 1) were used to inform the evaluations including: analysis of shadow billing; financial databases; wait times; clinical (inpatient and outpatient) and job description databases; analyses of Department of Medicine databases; surveys of patients, referring physicians, and member physicians; and interviews with key stakeholders</w:t>
      </w:r>
      <w:r>
        <w:rPr>
          <w:rStyle w:val="EndnoteCharacters"/>
          <w:rStyle w:val="EndnoteAnchor"/>
          <w:rFonts w:cs="Arial" w:ascii="Arial" w:hAnsi="Arial"/>
        </w:rPr>
        <w:endnoteReference w:id="9"/>
      </w:r>
      <w:r>
        <w:rPr>
          <w:rFonts w:cs="Arial" w:ascii="Arial" w:hAnsi="Arial"/>
        </w:rPr>
        <w:t xml:space="preserve">. Descriptive epidemiologic analyses were used for the pre and post implementation data and comparisons of observed and expected events were analyzed using Poisson distribution, with a p value of &lt;0.05 considered significant.  </w:t>
      </w:r>
    </w:p>
    <w:p>
      <w:pPr>
        <w:pStyle w:val="Normal"/>
        <w:spacing w:lineRule="auto" w:line="480"/>
        <w:rPr>
          <w:rFonts w:ascii="Arial" w:hAnsi="Arial" w:cs="Arial"/>
          <w:b/>
          <w:b/>
          <w:sz w:val="28"/>
        </w:rPr>
      </w:pPr>
      <w:r>
        <w:rPr>
          <w:rFonts w:cs="Arial" w:ascii="Arial" w:hAnsi="Arial"/>
          <w:b/>
          <w:sz w:val="28"/>
        </w:rPr>
        <w:t>Results</w:t>
      </w:r>
    </w:p>
    <w:p>
      <w:pPr>
        <w:pStyle w:val="Normal"/>
        <w:spacing w:lineRule="auto" w:line="480"/>
        <w:ind w:firstLine="720"/>
        <w:rPr>
          <w:rFonts w:ascii="Arial" w:hAnsi="Arial" w:cs="Arial"/>
          <w:b/>
          <w:b/>
          <w:sz w:val="28"/>
        </w:rPr>
      </w:pPr>
      <w:r>
        <w:rPr>
          <w:rFonts w:cs="Arial" w:ascii="Arial" w:hAnsi="Arial"/>
        </w:rPr>
        <w:t xml:space="preserve">In some instances evaluation indicators varied slightly between Edmonton and Calgary depending on available data.  However similar conclusions can be drawn across both sites. </w:t>
      </w:r>
    </w:p>
    <w:p>
      <w:pPr>
        <w:pStyle w:val="Normal"/>
        <w:spacing w:lineRule="auto" w:line="480"/>
        <w:rPr>
          <w:rFonts w:ascii="Arial" w:hAnsi="Arial" w:cs="Arial"/>
          <w:b/>
          <w:b/>
          <w:i/>
          <w:i/>
          <w:sz w:val="24"/>
        </w:rPr>
      </w:pPr>
      <w:r>
        <w:rPr>
          <w:rFonts w:cs="Arial" w:ascii="Arial" w:hAnsi="Arial"/>
          <w:b/>
          <w:i/>
          <w:sz w:val="24"/>
        </w:rPr>
        <w:t>Clinical Impact: Access, Quality, Innovation</w:t>
      </w:r>
    </w:p>
    <w:p>
      <w:pPr>
        <w:pStyle w:val="Normal"/>
        <w:spacing w:lineRule="auto" w:line="480"/>
        <w:ind w:firstLine="720"/>
        <w:rPr/>
      </w:pPr>
      <w:r>
        <w:rPr>
          <w:rFonts w:cs="Arial" w:ascii="Arial" w:hAnsi="Arial"/>
        </w:rPr>
        <w:t xml:space="preserve">Access to specialist medical care was measured using a number of dimensions. In Edmonton, the greatest increase in job description was observed in the clinical portfolio: from 30.5 FTEs (Full Time Equivalents) in 2001 to 41.4 FTEs in 2004, an increase of 35%. Clinical service volumes based on shadow billing data increased by 23% (Table 2). This number excluded episodes provided by alternate care providers (e.g. nurse practitioners) supervised by AARP funded physicians. The data also excluded services where a shadow billing event did not occur, an event that was perceived to be common either due to issues in the billing department or secondary to the impression that physician remuneration was no longer dependent upon submitting a billing invoice. The number of service episodes per clinical FTE declined by 9.6%.  This relative decline may reflect limitations of the underlying data as described above. In addition to these considerations the denominator of this ratio was planned FTEs from job descriptions and not actual FTEs.  Some physicians may have actually spent more time in clinical activities pre-AARP than their job description as there was a financial incentive to do so.  Physicians who were on a leave of absence or sabbatical were included in this analysis as there was no way to remove this source within the dataset.  Furthermore, a decrease in the number of patient service episodes per FTE can also be viewed as a positive intended impact.  If the intent is to promote more appropriate utilization of specialist service for the most complex patients, and develop primary care or alternate care provider capacity to deal with less complex patients, then the trend should be toward fewer patient care episodes per clinical FTE.  In support of this, acuity of the outpatient population increased by 8.3% </w:t>
      </w:r>
      <w:r>
        <w:rPr>
          <w:rStyle w:val="EndnoteCharacters"/>
          <w:rStyle w:val="EndnoteAnchor"/>
          <w:rFonts w:cs="Arial" w:ascii="Arial" w:hAnsi="Arial"/>
        </w:rPr>
        <w:endnoteReference w:id="10"/>
      </w:r>
      <w:r>
        <w:rPr>
          <w:rFonts w:cs="Arial" w:ascii="Arial" w:hAnsi="Arial"/>
        </w:rPr>
        <w:t xml:space="preserve">. From a patient perspective, 91% (n=808) of patients seeing an AARP specialist in an outpatient clinic somewhat (24.6%) or strongly (66.3%) agreed that the timing to receipt of care/service was acceptable. </w:t>
      </w:r>
    </w:p>
    <w:p>
      <w:pPr>
        <w:pStyle w:val="Normal"/>
        <w:spacing w:lineRule="auto" w:line="480"/>
        <w:ind w:firstLine="720"/>
        <w:rPr>
          <w:rFonts w:ascii="Arial" w:hAnsi="Arial" w:cs="Arial"/>
        </w:rPr>
      </w:pPr>
      <w:r>
        <w:rPr>
          <w:rFonts w:cs="Arial" w:ascii="Arial" w:hAnsi="Arial"/>
        </w:rPr>
        <w:t>In Calgary, clinical workload, measured by inpatient and outpatient physician encounters, visits to alternate care providers and telehealth contacts, increased by 50% from 2003/04 and encounters per total FTE increased by 8% (Table 3).  In addition a physician survey conducted of AARP members</w:t>
      </w:r>
      <w:r>
        <w:rPr>
          <w:rStyle w:val="EndnoteCharacters"/>
          <w:rStyle w:val="EndnoteAnchor"/>
          <w:rFonts w:cs="Arial" w:ascii="Arial" w:hAnsi="Arial"/>
        </w:rPr>
        <w:endnoteReference w:id="11"/>
      </w:r>
      <w:r>
        <w:rPr>
          <w:rFonts w:cs="Arial" w:ascii="Arial" w:hAnsi="Arial"/>
        </w:rPr>
        <w:t xml:space="preserve"> (n=135) supported the notion that the AARP had a positive impact on clinical activities where 63%, 64%, and 56% of physicians indicated that the AARP had a somewhat or significantly positive effect on: the ability to spend more time with complex patients, develop, test and implement innovations, and implement interdisciplinary care models, respectively.   </w:t>
      </w:r>
    </w:p>
    <w:p>
      <w:pPr>
        <w:pStyle w:val="Normal"/>
        <w:spacing w:lineRule="auto" w:line="480"/>
        <w:ind w:firstLine="720"/>
        <w:rPr>
          <w:rFonts w:ascii="Arial" w:hAnsi="Arial" w:cs="Arial"/>
        </w:rPr>
      </w:pPr>
      <w:r>
        <w:rPr>
          <w:rFonts w:cs="Arial" w:ascii="Arial" w:hAnsi="Arial"/>
        </w:rPr>
        <w:t xml:space="preserve">Separate innovation funding, linked to the implementation of the AARP in both Edmonton and Calgary was also an enabler of change (Table 4).  Strategies included: enhancing linkages with primary care physicians, centralizing referral and triage processes, developing models of care supported by alternate care providers working to full scope of practice, application of clinical practice guidelines, and enhancing or creating new specialty clinics.  </w:t>
      </w:r>
    </w:p>
    <w:p>
      <w:pPr>
        <w:pStyle w:val="Normal"/>
        <w:spacing w:lineRule="auto" w:line="480"/>
        <w:rPr>
          <w:rFonts w:ascii="Arial" w:hAnsi="Arial" w:cs="Arial"/>
          <w:b/>
          <w:b/>
          <w:i/>
          <w:i/>
          <w:sz w:val="24"/>
        </w:rPr>
      </w:pPr>
      <w:r>
        <w:rPr>
          <w:rFonts w:cs="Arial" w:ascii="Arial" w:hAnsi="Arial"/>
          <w:b/>
          <w:i/>
          <w:sz w:val="24"/>
        </w:rPr>
        <w:t xml:space="preserve">Recruitment and Retention </w:t>
      </w:r>
    </w:p>
    <w:p>
      <w:pPr>
        <w:pStyle w:val="Normal"/>
        <w:spacing w:lineRule="auto" w:line="480"/>
        <w:ind w:firstLine="720"/>
        <w:rPr/>
      </w:pPr>
      <w:r>
        <w:rPr>
          <w:rFonts w:cs="Arial" w:ascii="Arial" w:hAnsi="Arial"/>
        </w:rPr>
        <w:t>One of the primary objectives of the AARP was to meet recruitment and retention targets and ensure the ability to meet clinical and academic demands.  Increases in recruitment specifically related to the AARPs are illustrated in Table 2 and 3. Increases in recruitment were 31.1 % and 38 %, respectively, for Edmonton and Calgary overall. This is a significant increase compared to historical trends which would have been 1-5% in Edmonton and 4.3% in Calgary.  In Calgary approximately 54% of the total Regional Department of Medicine and over 95% of the full time academic specialists were a part of the AARP. In Edmonton there is not a Regional Department of Medicine, but over 90% of the members of the Department of Medicine at the University of Alberta Hospital site are members of the AARP and an increasing number located at other sites have joined the AARP.  Furthermore, some specialties are more encompassed within the AARP, including:  Endocrinology and Metabolism, Geriatric Medicine, Hematology, Infectious Disease, Rheumatology and Respiratory Medicine.  Fee for service remuneration is typically more attractive to procedure based specialties such as Cardiology, Gastroenterology, Nephrology and Dermatology.</w:t>
      </w:r>
    </w:p>
    <w:p>
      <w:pPr>
        <w:pStyle w:val="Normal"/>
        <w:spacing w:lineRule="auto" w:line="480" w:before="0" w:after="240"/>
        <w:ind w:firstLine="720"/>
        <w:rPr>
          <w:rFonts w:ascii="Arial" w:hAnsi="Arial" w:eastAsia="Times New Roman" w:cs="Arial"/>
          <w:lang w:val="en-US"/>
        </w:rPr>
      </w:pPr>
      <w:r>
        <w:rPr>
          <w:rFonts w:cs="Arial" w:ascii="Arial" w:hAnsi="Arial"/>
        </w:rPr>
        <w:t>The AARP also had a positive impact on the careers of individuals responding to the Calgary member survey (n=135)</w:t>
      </w:r>
      <w:r>
        <w:rPr>
          <w:rStyle w:val="EndnoteCharacters"/>
          <w:rStyle w:val="EndnoteAnchor"/>
          <w:rFonts w:cs="Arial" w:ascii="Arial" w:hAnsi="Arial"/>
        </w:rPr>
        <w:endnoteReference w:id="12"/>
      </w:r>
      <w:r>
        <w:rPr>
          <w:rFonts w:cs="Arial" w:ascii="Arial" w:hAnsi="Arial"/>
        </w:rPr>
        <w:t xml:space="preserve">. Satisfaction was particularly high with personal career factors related to compensation, quality of professional life, the ability to develop and participate in innovations, and the ability to pursue an academic career, with </w:t>
      </w:r>
      <w:r>
        <w:rPr>
          <w:rFonts w:eastAsia="Times New Roman" w:cs="Arial" w:ascii="Arial" w:hAnsi="Arial"/>
          <w:lang w:val="en-US"/>
        </w:rPr>
        <w:t>80% of respondents somewhat or significantly satisfied</w:t>
      </w:r>
      <w:r>
        <w:rPr>
          <w:rFonts w:cs="Arial" w:ascii="Arial" w:hAnsi="Arial"/>
        </w:rPr>
        <w:t xml:space="preserve"> </w:t>
      </w:r>
      <w:r>
        <w:rPr>
          <w:rFonts w:eastAsia="Times New Roman" w:cs="Arial" w:ascii="Arial" w:hAnsi="Arial"/>
          <w:lang w:val="en-US"/>
        </w:rPr>
        <w:t>with their jobs followed closely by career satisfaction at 78%.</w:t>
      </w:r>
    </w:p>
    <w:p>
      <w:pPr>
        <w:pStyle w:val="Normal"/>
        <w:spacing w:lineRule="auto" w:line="480"/>
        <w:rPr>
          <w:rFonts w:ascii="Arial" w:hAnsi="Arial" w:cs="Arial"/>
          <w:b/>
          <w:b/>
          <w:i/>
          <w:i/>
          <w:sz w:val="24"/>
        </w:rPr>
      </w:pPr>
      <w:r>
        <w:rPr>
          <w:rFonts w:cs="Arial" w:ascii="Arial" w:hAnsi="Arial"/>
          <w:b/>
          <w:i/>
          <w:sz w:val="24"/>
        </w:rPr>
        <w:t>Medical Education and Training</w:t>
      </w:r>
    </w:p>
    <w:p>
      <w:pPr>
        <w:pStyle w:val="Normal"/>
        <w:spacing w:lineRule="auto" w:line="480"/>
        <w:ind w:firstLine="720"/>
        <w:rPr>
          <w:rFonts w:ascii="Arial" w:hAnsi="Arial" w:cs="Arial"/>
        </w:rPr>
      </w:pPr>
      <w:r>
        <w:rPr>
          <w:rFonts w:cs="Arial" w:ascii="Arial" w:hAnsi="Arial"/>
        </w:rPr>
        <w:t>The AARP was intended to support increased undergraduate enrolment and expanded residency programs. The AARP has allowed members to protect time for education and to be reimbursed for this activity (Table 5).   Combined clinical and classroom teaching hours in Edmonton increased by 22% pre and post AARP.  In Calgary, teaching hours increased by 25%, compared to the pre AARP era. In both Edmonton and Calgary AARP members gave their highest rating for the positive impact of the AARP on teaching in a clinical setting.  In Edmonton, 68% of respondents (n=25) indicated the AARP had a somewhat or significantly positive impact on clinical teaching</w:t>
      </w:r>
      <w:r>
        <w:rPr>
          <w:rStyle w:val="EndnoteCharacters"/>
          <w:rStyle w:val="EndnoteAnchor"/>
          <w:rFonts w:cs="Arial" w:ascii="Arial" w:hAnsi="Arial"/>
        </w:rPr>
        <w:endnoteReference w:id="13"/>
      </w:r>
      <w:r>
        <w:rPr>
          <w:rFonts w:cs="Arial" w:ascii="Arial" w:hAnsi="Arial"/>
        </w:rPr>
        <w:t>. In Calgary, both new and existing physicians had the highest ratings for the AARP impact on clinical teaching with a mean score of 3.81 out of 5.</w:t>
      </w:r>
    </w:p>
    <w:p>
      <w:pPr>
        <w:pStyle w:val="Normal"/>
        <w:spacing w:lineRule="auto" w:line="480"/>
        <w:ind w:firstLine="720"/>
        <w:rPr>
          <w:rFonts w:ascii="Arial" w:hAnsi="Arial" w:cs="Arial"/>
        </w:rPr>
      </w:pPr>
      <w:r>
        <w:rPr>
          <w:rFonts w:cs="Arial" w:ascii="Arial" w:hAnsi="Arial"/>
        </w:rPr>
        <w:t>Quantitatively, it was also apparent that following the introduction of an AARP the number of teaching hours increased at a greater rate than the number of recruits. Normalizing the data per educational FTE demonstrates this and in each year following the introduction of the AARP a 5-10% increase in reported teaching hours/educational FTE was observed (Table 5).</w:t>
      </w:r>
    </w:p>
    <w:p>
      <w:pPr>
        <w:pStyle w:val="Normal"/>
        <w:spacing w:lineRule="auto" w:line="480"/>
        <w:rPr>
          <w:rFonts w:ascii="Arial" w:hAnsi="Arial" w:cs="Arial"/>
          <w:b/>
          <w:b/>
          <w:i/>
          <w:i/>
          <w:sz w:val="24"/>
        </w:rPr>
      </w:pPr>
      <w:r>
        <w:rPr>
          <w:rFonts w:cs="Arial" w:ascii="Arial" w:hAnsi="Arial"/>
          <w:b/>
          <w:i/>
          <w:sz w:val="24"/>
        </w:rPr>
        <w:t>Research</w:t>
      </w:r>
    </w:p>
    <w:p>
      <w:pPr>
        <w:pStyle w:val="Normal"/>
        <w:spacing w:lineRule="auto" w:line="480"/>
        <w:ind w:firstLine="720"/>
        <w:rPr>
          <w:rFonts w:ascii="Arial" w:hAnsi="Arial" w:cs="Arial"/>
        </w:rPr>
      </w:pPr>
      <w:r>
        <w:rPr>
          <w:rFonts w:cs="Arial" w:ascii="Arial" w:hAnsi="Arial"/>
        </w:rPr>
        <w:t>The AARP was positioned to protect time for physicians to pursue research activities.  Research performance improved on most measures of output and productivity (Table 6).  In Edmonton, the AARP supported recruitment of physicians who have an interest in research with an overall increase of 39% in research FTEs.  Overall the increase in peer reviewed operating funds/research FTE has increased by 32%. There are more research FTEs with an AARP in place and they were more effective in obtaining operating support and external salary support (which increased by 24%). The positive outcomes of this funding in terms of increased productivity were not observed over this time frame. In Edmonton, the number of graduate or research trainees students per research FTE increased by 11%.</w:t>
      </w:r>
    </w:p>
    <w:p>
      <w:pPr>
        <w:pStyle w:val="Normal"/>
        <w:spacing w:lineRule="auto" w:line="480"/>
        <w:ind w:firstLine="720"/>
        <w:rPr>
          <w:rFonts w:ascii="Arial" w:hAnsi="Arial" w:cs="Arial"/>
        </w:rPr>
      </w:pPr>
      <w:r>
        <w:rPr>
          <w:rFonts w:cs="Arial" w:ascii="Arial" w:hAnsi="Arial"/>
        </w:rPr>
        <w:t>In Calgary, the percent of member’s time dedicated to research has increased from 15% in 2003 to 21% in 2006. Protected research capacity has increased by 6.7 FTEs since the inception of the ARP. Funding to AARP principle investigators increased by 28% and offset a 52% decrease in funding to non-AARP members. Research funding increased by 8% from $18.8M in 2004/05 to $20.2M in 2006/07.</w:t>
      </w:r>
    </w:p>
    <w:p>
      <w:pPr>
        <w:pStyle w:val="Normal"/>
        <w:spacing w:lineRule="auto" w:line="480"/>
        <w:ind w:firstLine="720"/>
        <w:rPr>
          <w:rFonts w:ascii="Arial" w:hAnsi="Arial" w:cs="Arial"/>
        </w:rPr>
      </w:pPr>
      <w:r>
        <w:rPr>
          <w:rFonts w:cs="Arial" w:ascii="Arial" w:hAnsi="Arial"/>
        </w:rPr>
        <w:t>For both Edmonton and Calgary, sources of funding and consequently the mix of types of research projects have evolved during the AARP. Industry funding has declined and funding from AHFMR and CIHR has remained constant or grown.  The major growth has been driven by research funds from societies, associations, and foundations, other granting agencies, and a variety of hospital and university sources across Canada. The number of papers per research FTE did not increase (data not shown) but was not unexpected given the lag period of the scientific publication process.</w:t>
      </w:r>
    </w:p>
    <w:p>
      <w:pPr>
        <w:pStyle w:val="Normal"/>
        <w:spacing w:lineRule="auto" w:line="480"/>
        <w:rPr>
          <w:rFonts w:ascii="Arial" w:hAnsi="Arial" w:cs="Arial"/>
          <w:b/>
          <w:b/>
          <w:i/>
          <w:i/>
        </w:rPr>
      </w:pPr>
      <w:r>
        <w:rPr>
          <w:rFonts w:cs="Arial" w:ascii="Arial" w:hAnsi="Arial"/>
          <w:b/>
          <w:i/>
        </w:rPr>
        <w:t xml:space="preserve">Administration and Leadership </w:t>
      </w:r>
    </w:p>
    <w:p>
      <w:pPr>
        <w:pStyle w:val="Normal"/>
        <w:spacing w:lineRule="auto" w:line="480"/>
        <w:ind w:firstLine="720"/>
        <w:rPr>
          <w:rFonts w:ascii="Arial" w:hAnsi="Arial" w:cs="Arial"/>
        </w:rPr>
      </w:pPr>
      <w:r>
        <w:rPr>
          <w:rFonts w:cs="Arial" w:ascii="Arial" w:hAnsi="Arial"/>
        </w:rPr>
        <w:t>One of the explicit goals of the AARP was to encourage members to assume positions of leadership in the medical community and in partnership with health care administration. Physician involvement in health care innovation is critical to successful change, and the AARP protected physician time to assume leadership roles.  In Edmonton the AARP has supported the inception of a number of administrative innovations including a transcription pool, information management steering committee, and centralized divisional administration.  In addition administrative economies of scale have been achieved by the increased membership in the AARP and subsequently larger size of the Department of Medicine.  In Calgary, the 2007 membership survey indicates that only 15.7% of physician time is spent in administrative activities compared to 21.3% in 2003.</w:t>
      </w:r>
    </w:p>
    <w:p>
      <w:pPr>
        <w:pStyle w:val="Normal"/>
        <w:spacing w:lineRule="auto" w:line="480"/>
        <w:ind w:firstLine="720"/>
        <w:rPr>
          <w:rFonts w:ascii="Arial" w:hAnsi="Arial" w:cs="Arial"/>
        </w:rPr>
      </w:pPr>
      <w:r>
        <w:rPr>
          <w:rFonts w:cs="Arial" w:ascii="Arial" w:hAnsi="Arial"/>
        </w:rPr>
      </w:r>
    </w:p>
    <w:p>
      <w:pPr>
        <w:pStyle w:val="Normal"/>
        <w:spacing w:lineRule="auto" w:line="480" w:before="240" w:after="120"/>
        <w:rPr>
          <w:rFonts w:ascii="Arial" w:hAnsi="Arial" w:cs="Arial"/>
          <w:b/>
          <w:b/>
        </w:rPr>
      </w:pPr>
      <w:r>
        <w:rPr>
          <w:rFonts w:cs="Arial" w:ascii="Arial" w:hAnsi="Arial"/>
          <w:b/>
          <w:sz w:val="28"/>
        </w:rPr>
        <w:t>Interpretation</w:t>
      </w:r>
    </w:p>
    <w:p>
      <w:pPr>
        <w:pStyle w:val="Normal"/>
        <w:spacing w:lineRule="auto" w:line="480"/>
        <w:ind w:firstLine="720"/>
        <w:rPr>
          <w:rFonts w:ascii="Arial" w:hAnsi="Arial" w:cs="Arial"/>
        </w:rPr>
      </w:pPr>
      <w:r>
        <w:rPr>
          <w:rFonts w:cs="Arial" w:ascii="Arial" w:hAnsi="Arial"/>
        </w:rPr>
        <w:t>There is considerable literature regarding the effect of physician payment models on the efficiency and quality of care.  For example, studies have examined remuneration effect on volume of patient visits</w:t>
      </w:r>
      <w:r>
        <w:rPr>
          <w:rStyle w:val="EndnoteCharacters"/>
          <w:rStyle w:val="EndnoteAnchor"/>
          <w:rFonts w:cs="Arial" w:ascii="Arial" w:hAnsi="Arial"/>
        </w:rPr>
        <w:endnoteReference w:id="14"/>
      </w:r>
      <w:r>
        <w:rPr>
          <w:rFonts w:cs="Arial" w:ascii="Arial" w:hAnsi="Arial"/>
        </w:rPr>
        <w:t xml:space="preserve"> </w:t>
      </w:r>
      <w:r>
        <w:rPr>
          <w:rStyle w:val="EndnoteCharacters"/>
          <w:rStyle w:val="EndnoteAnchor"/>
          <w:rFonts w:cs="Arial" w:ascii="Arial" w:hAnsi="Arial"/>
        </w:rPr>
        <w:endnoteReference w:id="15"/>
      </w:r>
      <w:r>
        <w:rPr>
          <w:rFonts w:cs="Arial" w:ascii="Arial" w:hAnsi="Arial"/>
        </w:rPr>
        <w:t xml:space="preserve">  antibiotic prescription rates</w:t>
      </w:r>
      <w:r>
        <w:rPr>
          <w:rStyle w:val="EndnoteCharacters"/>
          <w:rStyle w:val="EndnoteAnchor"/>
          <w:rFonts w:cs="Arial" w:ascii="Arial" w:hAnsi="Arial"/>
        </w:rPr>
        <w:endnoteReference w:id="16"/>
      </w:r>
      <w:r>
        <w:rPr>
          <w:rFonts w:cs="Arial" w:ascii="Arial" w:hAnsi="Arial"/>
        </w:rPr>
        <w:t>, and patient trust</w:t>
      </w:r>
      <w:r>
        <w:rPr>
          <w:rStyle w:val="EndnoteCharacters"/>
          <w:rStyle w:val="EndnoteAnchor"/>
          <w:rFonts w:cs="Arial" w:ascii="Arial" w:hAnsi="Arial"/>
        </w:rPr>
        <w:endnoteReference w:id="17"/>
      </w:r>
      <w:r>
        <w:rPr>
          <w:rFonts w:cs="Arial" w:ascii="Arial" w:hAnsi="Arial"/>
        </w:rPr>
        <w:t>. One review suggests that “little data are available to support the claim that one system- capitation, salary or contract’ is more effective and efficient than fee-for service or that it delivers better value for money quality of care”</w:t>
      </w:r>
      <w:r>
        <w:rPr>
          <w:rStyle w:val="EndnoteCharacters"/>
          <w:rStyle w:val="EndnoteAnchor"/>
          <w:rFonts w:cs="Arial" w:ascii="Arial" w:hAnsi="Arial"/>
        </w:rPr>
        <w:endnoteReference w:id="18"/>
      </w:r>
      <w:r>
        <w:rPr>
          <w:rFonts w:cs="Arial" w:ascii="Arial" w:hAnsi="Arial"/>
        </w:rPr>
        <w:t>.  Alberta has the highest fee for service rates and the lowest use of Alternate Relationship Plans in Canada. In 2005–2006, the proportion of payments made through alternative clinical payment programs varied considerably across jurisdictions, ranging from 12.3% in Alberta to 42.8% in Nova Scotia and 96.1% in the Northwest Territories</w:t>
      </w:r>
      <w:r>
        <w:rPr>
          <w:rStyle w:val="EndnoteCharacters"/>
          <w:rStyle w:val="EndnoteAnchor"/>
          <w:rFonts w:cs="Arial" w:ascii="Arial" w:hAnsi="Arial"/>
        </w:rPr>
        <w:endnoteReference w:id="19"/>
      </w:r>
      <w:r>
        <w:rPr>
          <w:rFonts w:cs="Arial" w:ascii="Arial" w:hAnsi="Arial"/>
        </w:rPr>
        <w:t xml:space="preserve">.  </w:t>
      </w:r>
    </w:p>
    <w:p>
      <w:pPr>
        <w:pStyle w:val="Normal"/>
        <w:spacing w:lineRule="auto" w:line="480"/>
        <w:ind w:firstLine="720"/>
        <w:rPr>
          <w:rFonts w:ascii="Arial" w:hAnsi="Arial" w:cs="Arial"/>
        </w:rPr>
      </w:pPr>
      <w:r>
        <w:rPr>
          <w:rFonts w:cs="Arial" w:ascii="Arial" w:hAnsi="Arial"/>
        </w:rPr>
        <w:t>However, in terms of our Department of Medicine AARPs our experiences differ. We observed a significant increase in our ability to recruit following the introduction of an AARP, coupled with an increased ability to provide clinical care, improved access, introduction of innovation in health service delivery, an increase in the efficiency of teaching, teaching per educational FTE, and an increase in research effectiveness per research FTE. Overall, the movement to an AARP resulted in a measurable improvement in academic outputs and was considered a great enabler to health care transformation. Although not reviewed by an external auditor it is apparent from the Edmonton experience that these improvements persist beyond the 3 year mark and evidence of increased productivity in the research field has now become manifest.</w:t>
      </w:r>
    </w:p>
    <w:p>
      <w:pPr>
        <w:pStyle w:val="Normal"/>
        <w:spacing w:lineRule="auto" w:line="480"/>
        <w:ind w:firstLine="720"/>
        <w:rPr>
          <w:rFonts w:ascii="Arial" w:hAnsi="Arial" w:cs="Arial"/>
        </w:rPr>
      </w:pPr>
      <w:r>
        <w:rPr>
          <w:rFonts w:cs="Arial" w:ascii="Arial" w:hAnsi="Arial"/>
        </w:rPr>
        <w:t xml:space="preserve">Implementing an AARP was not without its challenges and the most significant was creating a comprehensive AARP funding philosophy.  The impact of the AARP was the result of attention to all aspects: increasing recruitment, clinical, academic, and research activities. The AARP made explicit a tension that exists between autonomy of the individual, and  the accountability to the system. Achieving the most appropriate balance between autonomy and accountability will continue to evolve and underscores the need for measurement and evaluation. Due to a perceived economic disadvantage, participation of procedural, high billing specialties was initially lower in the AARPs.  However participation has increased over time as new graduates join the workforce.   Finally, the preservation of  a partnership model that balances the interests of the university, the health region, the medical association and the government is important and requires ongoing attention. </w:t>
      </w:r>
    </w:p>
    <w:p>
      <w:pPr>
        <w:pStyle w:val="Normal"/>
        <w:spacing w:lineRule="auto" w:line="480"/>
        <w:ind w:firstLine="720"/>
        <w:rPr>
          <w:rFonts w:ascii="Arial" w:hAnsi="Arial" w:cs="Arial"/>
        </w:rPr>
      </w:pPr>
      <w:r>
        <w:rPr>
          <w:rFonts w:cs="Arial" w:ascii="Arial" w:hAnsi="Arial"/>
        </w:rPr>
        <w:t xml:space="preserve">There are limitations to our study. Evaluation of a construct like an Academic Alternate Relationship Plan is complex as there are many variables impacting intended outcomes.  Some differences existed between the two sites with respect to the data collected but we sought to standardize data to reduce any bias from differing collection methodologies.  Pre and post measurement required extensive collaboration between the evaluator, to ensure the intervention and outcomes were fully understood, and to utilize existing data sources.  In light of this, we cannot rule out the possibility of bias in the collection and analysis of data.  Finally, the time periods evaluated were relatively short and changes to the data might be incorrectly attributed to the AARP intervention.  </w:t>
      </w:r>
    </w:p>
    <w:p>
      <w:pPr>
        <w:pStyle w:val="Normal"/>
        <w:spacing w:lineRule="auto" w:line="480"/>
        <w:ind w:firstLine="720"/>
        <w:rPr/>
      </w:pPr>
      <w:r>
        <w:rPr>
          <w:rFonts w:cs="Arial" w:ascii="Arial" w:hAnsi="Arial"/>
        </w:rPr>
        <w:t xml:space="preserve">This provincial experience supports that a comprehensive strategy for a successful AARP involves attention to clinical innovation, academic and research excellence, and workforce and administrative leadership.  The opportunities for continued innovation are significant and impacted by many factors, including physician remuneration. It is fair to say that we believe that the introduction of AARP’s has been the single largest contributor to the academic and clinical success of our departments. </w:t>
      </w:r>
      <w:r>
        <w:br w:type="page"/>
      </w:r>
    </w:p>
    <w:p>
      <w:pPr>
        <w:pStyle w:val="Normal"/>
        <w:autoSpaceDE w:val="false"/>
        <w:spacing w:before="0" w:after="0"/>
        <w:rPr>
          <w:rFonts w:ascii="Arial" w:hAnsi="Arial" w:cs="Arial"/>
        </w:rPr>
      </w:pPr>
      <w:r>
        <w:rPr>
          <w:rFonts w:cs="Arial" w:ascii="Arial" w:hAnsi="Arial"/>
          <w:b/>
        </w:rPr>
        <w:t>Figure 1:</w:t>
      </w:r>
      <w:r>
        <w:rPr>
          <w:b/>
        </w:rPr>
        <w:t xml:space="preserve"> </w:t>
      </w:r>
      <w:r>
        <w:rPr>
          <w:rFonts w:cs="Arial" w:ascii="Arial" w:hAnsi="Arial"/>
          <w:b/>
        </w:rPr>
        <w:t>Framework of inputs, processes, outputs and impact</w:t>
      </w:r>
      <w:r>
        <w:rPr>
          <w:rStyle w:val="EndnoteCharacters"/>
          <w:rStyle w:val="EndnoteAnchor"/>
          <w:rFonts w:cs="Arial" w:ascii="Arial" w:hAnsi="Arial"/>
        </w:rPr>
        <w:endnoteReference w:id="20"/>
      </w:r>
    </w:p>
    <w:p>
      <w:pPr>
        <w:pStyle w:val="Normal"/>
        <w:autoSpaceDE w:val="false"/>
        <w:spacing w:before="0" w:after="0"/>
        <w:rPr>
          <w:rFonts w:ascii="Arial" w:hAnsi="Arial" w:cs="Arial"/>
        </w:rPr>
      </w:pPr>
      <w:r>
        <w:rPr>
          <w:rFonts w:cs="Arial" w:ascii="Arial" w:hAnsi="Arial"/>
        </w:rPr>
      </w:r>
    </w:p>
    <w:p>
      <w:pPr>
        <w:pStyle w:val="Normal"/>
        <w:autoSpaceDE w:val="false"/>
        <w:spacing w:before="0" w:after="0"/>
        <w:rPr>
          <w:lang w:val="en-CA" w:eastAsia="en-CA"/>
        </w:rPr>
      </w:pPr>
      <w:r>
        <w:rPr>
          <w:lang w:val="en-CA" w:eastAsia="en-CA"/>
        </w:rPr>
        <mc:AlternateContent>
          <mc:Choice Requires="wpg">
            <w:drawing>
              <wp:anchor behindDoc="0" distT="0" distB="0" distL="114935" distR="114935" simplePos="0" locked="0" layoutInCell="1" allowOverlap="1" relativeHeight="7">
                <wp:simplePos x="0" y="0"/>
                <wp:positionH relativeFrom="column">
                  <wp:posOffset>-76835</wp:posOffset>
                </wp:positionH>
                <wp:positionV relativeFrom="paragraph">
                  <wp:posOffset>34925</wp:posOffset>
                </wp:positionV>
                <wp:extent cx="6392545" cy="5066665"/>
                <wp:effectExtent l="0" t="0" r="0" b="0"/>
                <wp:wrapNone/>
                <wp:docPr id="1" name=""/>
                <a:graphic xmlns:a="http://schemas.openxmlformats.org/drawingml/2006/main">
                  <a:graphicData uri="http://schemas.microsoft.com/office/word/2010/wordprocessingGroup">
                    <wpg:wgp>
                      <wpg:cNvGrpSpPr/>
                      <wpg:grpSpPr>
                        <a:xfrm>
                          <a:off x="0" y="0"/>
                          <a:ext cx="6391800" cy="5065920"/>
                        </a:xfrm>
                      </wpg:grpSpPr>
                      <wps:wsp>
                        <wps:cNvSpPr txBox="1"/>
                        <wps:spPr>
                          <a:xfrm>
                            <a:off x="77400" y="0"/>
                            <a:ext cx="6314400" cy="283320"/>
                          </a:xfrm>
                          <a:prstGeom prst="rect">
                            <a:avLst/>
                          </a:prstGeom>
                          <a:gradFill>
                            <a:gsLst>
                              <a:gs pos="0">
                                <a:srgbClr val="95b3d7"/>
                              </a:gs>
                              <a:gs pos="50000">
                                <a:srgbClr val="dbe5f1"/>
                              </a:gs>
                              <a:gs pos="100000">
                                <a:srgbClr val="95b3d7"/>
                              </a:gs>
                            </a:gsLst>
                            <a:lin ang="8100000"/>
                          </a:gradFill>
                          <a:ln w="12600">
                            <a:solidFill>
                              <a:srgbClr val="95b3d7"/>
                            </a:solidFill>
                            <a:miter/>
                          </a:ln>
                        </wps:spPr>
                        <wps:txbx>
                          <w:txbxContent>
                            <w:p>
                              <w:pPr>
                                <w:bidi w:val="0"/>
                                <w:spacing w:before="0" w:after="120"/>
                                <w:jc w:val="center"/>
                                <w:rPr/>
                              </w:pPr>
                              <w:r>
                                <w:rPr>
                                  <w:sz w:val="22"/>
                                  <w:szCs w:val="22"/>
                                  <w:rFonts w:ascii="Calibri" w:hAnsi="Calibri" w:eastAsia="Calibri" w:cs="Times New Roman"/>
                                  <w:color w:val="auto"/>
                                  <w:lang w:val="en-CA" w:bidi="ar-SA"/>
                                </w:rPr>
                                <w:t>Funding Sources</w:t>
                              </w:r>
                            </w:p>
                          </w:txbxContent>
                        </wps:txbx>
                        <wps:bodyPr wrap="square">
                          <a:noAutofit/>
                        </wps:bodyPr>
                      </wps:wsp>
                      <wps:wsp>
                        <wps:cNvSpPr txBox="1"/>
                        <wps:spPr>
                          <a:xfrm>
                            <a:off x="77400" y="354240"/>
                            <a:ext cx="975240" cy="708840"/>
                          </a:xfrm>
                          <a:prstGeom prst="rect">
                            <a:avLst/>
                          </a:prstGeom>
                          <a:gradFill>
                            <a:gsLst>
                              <a:gs pos="0">
                                <a:srgbClr val="95b3d7"/>
                              </a:gs>
                              <a:gs pos="50000">
                                <a:srgbClr val="dbe5f1"/>
                              </a:gs>
                              <a:gs pos="100000">
                                <a:srgbClr val="95b3d7"/>
                              </a:gs>
                            </a:gsLst>
                            <a:lin ang="8100000"/>
                          </a:gradFill>
                          <a:ln w="12600">
                            <a:solidFill>
                              <a:srgbClr val="95b3d7"/>
                            </a:solidFill>
                            <a:miter/>
                          </a:ln>
                        </wps:spPr>
                        <wps:txbx>
                          <w:txbxContent>
                            <w:p>
                              <w:pPr>
                                <w:bidi w:val="0"/>
                                <w:spacing w:before="0" w:after="120"/>
                                <w:jc w:val="center"/>
                                <w:rPr/>
                              </w:pPr>
                              <w:r>
                                <w:rPr>
                                  <w:sz w:val="20"/>
                                  <w:szCs w:val="22"/>
                                  <w:rFonts w:ascii="Calibri" w:hAnsi="Calibri" w:eastAsia="Calibri" w:cs="Times New Roman"/>
                                  <w:color w:val="auto"/>
                                  <w:lang w:val="en-CA" w:bidi="ar-SA"/>
                                </w:rPr>
                                <w:t>Alberta Advanced Education</w:t>
                              </w:r>
                            </w:p>
                          </w:txbxContent>
                        </wps:txbx>
                        <wps:bodyPr wrap="square">
                          <a:noAutofit/>
                        </wps:bodyPr>
                      </wps:wsp>
                      <wps:wsp>
                        <wps:cNvSpPr txBox="1"/>
                        <wps:spPr>
                          <a:xfrm>
                            <a:off x="1114560" y="354240"/>
                            <a:ext cx="975240" cy="708840"/>
                          </a:xfrm>
                          <a:prstGeom prst="rect">
                            <a:avLst/>
                          </a:prstGeom>
                          <a:gradFill>
                            <a:gsLst>
                              <a:gs pos="0">
                                <a:srgbClr val="95b3d7"/>
                              </a:gs>
                              <a:gs pos="50000">
                                <a:srgbClr val="dbe5f1"/>
                              </a:gs>
                              <a:gs pos="100000">
                                <a:srgbClr val="95b3d7"/>
                              </a:gs>
                            </a:gsLst>
                            <a:lin ang="8100000"/>
                          </a:gradFill>
                          <a:ln w="12600">
                            <a:solidFill>
                              <a:srgbClr val="95b3d7"/>
                            </a:solidFill>
                            <a:miter/>
                          </a:ln>
                        </wps:spPr>
                        <wps:txbx>
                          <w:txbxContent>
                            <w:p>
                              <w:pPr>
                                <w:bidi w:val="0"/>
                                <w:spacing w:before="240" w:after="120"/>
                                <w:jc w:val="center"/>
                                <w:rPr/>
                              </w:pPr>
                              <w:r>
                                <w:rPr>
                                  <w:sz w:val="20"/>
                                  <w:szCs w:val="22"/>
                                  <w:rFonts w:ascii="Calibri" w:hAnsi="Calibri" w:eastAsia="Calibri" w:cs="Times New Roman"/>
                                  <w:color w:val="auto"/>
                                  <w:lang w:val="en-CA" w:bidi="ar-SA"/>
                                </w:rPr>
                                <w:t>Alberta Health &amp; Wellness</w:t>
                              </w:r>
                            </w:p>
                          </w:txbxContent>
                        </wps:txbx>
                        <wps:bodyPr wrap="square">
                          <a:noAutofit/>
                        </wps:bodyPr>
                      </wps:wsp>
                      <wps:wsp>
                        <wps:cNvSpPr txBox="1"/>
                        <wps:spPr>
                          <a:xfrm>
                            <a:off x="2166120" y="354240"/>
                            <a:ext cx="975240" cy="708840"/>
                          </a:xfrm>
                          <a:prstGeom prst="rect">
                            <a:avLst/>
                          </a:prstGeom>
                          <a:gradFill>
                            <a:gsLst>
                              <a:gs pos="0">
                                <a:srgbClr val="95b3d7"/>
                              </a:gs>
                              <a:gs pos="50000">
                                <a:srgbClr val="dbe5f1"/>
                              </a:gs>
                              <a:gs pos="100000">
                                <a:srgbClr val="95b3d7"/>
                              </a:gs>
                            </a:gsLst>
                            <a:lin ang="8100000"/>
                          </a:gradFill>
                          <a:ln w="12600">
                            <a:solidFill>
                              <a:srgbClr val="95b3d7"/>
                            </a:solidFill>
                            <a:miter/>
                          </a:ln>
                        </wps:spPr>
                        <wps:txbx>
                          <w:txbxContent>
                            <w:p>
                              <w:pPr>
                                <w:bidi w:val="0"/>
                                <w:spacing w:before="0" w:after="120"/>
                                <w:jc w:val="center"/>
                                <w:rPr/>
                              </w:pPr>
                              <w:r>
                                <w:rPr>
                                  <w:sz w:val="20"/>
                                  <w:szCs w:val="22"/>
                                  <w:rFonts w:ascii="Calibri" w:hAnsi="Calibri" w:eastAsia="Calibri" w:cs="Times New Roman"/>
                                  <w:color w:val="auto"/>
                                  <w:lang w:val="en-CA" w:bidi="ar-SA"/>
                                </w:rPr>
                                <w:t>Alberta Medical Association</w:t>
                              </w:r>
                            </w:p>
                          </w:txbxContent>
                        </wps:txbx>
                        <wps:bodyPr wrap="square">
                          <a:noAutofit/>
                        </wps:bodyPr>
                      </wps:wsp>
                      <wps:wsp>
                        <wps:cNvSpPr txBox="1"/>
                        <wps:spPr>
                          <a:xfrm>
                            <a:off x="5416560" y="354240"/>
                            <a:ext cx="975240" cy="708840"/>
                          </a:xfrm>
                          <a:prstGeom prst="rect">
                            <a:avLst/>
                          </a:prstGeom>
                          <a:gradFill>
                            <a:gsLst>
                              <a:gs pos="0">
                                <a:srgbClr val="95b3d7"/>
                              </a:gs>
                              <a:gs pos="50000">
                                <a:srgbClr val="dbe5f1"/>
                              </a:gs>
                              <a:gs pos="100000">
                                <a:srgbClr val="95b3d7"/>
                              </a:gs>
                            </a:gsLst>
                            <a:lin ang="8100000"/>
                          </a:gradFill>
                          <a:ln w="12600">
                            <a:solidFill>
                              <a:srgbClr val="95b3d7"/>
                            </a:solidFill>
                            <a:miter/>
                          </a:ln>
                        </wps:spPr>
                        <wps:txbx>
                          <w:txbxContent>
                            <w:p>
                              <w:pPr>
                                <w:bidi w:val="0"/>
                                <w:spacing w:before="240" w:after="120"/>
                                <w:jc w:val="center"/>
                                <w:rPr/>
                              </w:pPr>
                              <w:r>
                                <w:rPr>
                                  <w:sz w:val="20"/>
                                  <w:szCs w:val="22"/>
                                  <w:rFonts w:ascii="Calibri" w:hAnsi="Calibri" w:eastAsia="Calibri" w:cs="Times New Roman"/>
                                  <w:color w:val="auto"/>
                                  <w:lang w:val="en-CA" w:bidi="ar-SA"/>
                                </w:rPr>
                                <w:t>Grant Agencies</w:t>
                              </w:r>
                            </w:p>
                          </w:txbxContent>
                        </wps:txbx>
                        <wps:bodyPr wrap="square">
                          <a:noAutofit/>
                        </wps:bodyPr>
                      </wps:wsp>
                      <wps:wsp>
                        <wps:cNvSpPr txBox="1"/>
                        <wps:spPr>
                          <a:xfrm>
                            <a:off x="4343400" y="354240"/>
                            <a:ext cx="975240" cy="708840"/>
                          </a:xfrm>
                          <a:prstGeom prst="rect">
                            <a:avLst/>
                          </a:prstGeom>
                          <a:gradFill>
                            <a:gsLst>
                              <a:gs pos="0">
                                <a:srgbClr val="95b3d7"/>
                              </a:gs>
                              <a:gs pos="50000">
                                <a:srgbClr val="dbe5f1"/>
                              </a:gs>
                              <a:gs pos="100000">
                                <a:srgbClr val="95b3d7"/>
                              </a:gs>
                            </a:gsLst>
                            <a:lin ang="8100000"/>
                          </a:gradFill>
                          <a:ln w="12600">
                            <a:solidFill>
                              <a:srgbClr val="95b3d7"/>
                            </a:solidFill>
                            <a:miter/>
                          </a:ln>
                        </wps:spPr>
                        <wps:txbx>
                          <w:txbxContent>
                            <w:p>
                              <w:pPr>
                                <w:bidi w:val="0"/>
                                <w:spacing w:before="0" w:after="120"/>
                                <w:jc w:val="center"/>
                                <w:rPr/>
                              </w:pPr>
                              <w:r>
                                <w:rPr>
                                  <w:sz w:val="20"/>
                                  <w:szCs w:val="22"/>
                                  <w:rFonts w:ascii="Calibri" w:hAnsi="Calibri" w:eastAsia="Calibri" w:cs="Times New Roman"/>
                                  <w:color w:val="auto"/>
                                  <w:lang w:val="en-CA" w:bidi="ar-SA"/>
                                </w:rPr>
                                <w:t>Capital Health Region  Calgary Health Region</w:t>
                              </w:r>
                            </w:p>
                          </w:txbxContent>
                        </wps:txbx>
                        <wps:bodyPr wrap="square">
                          <a:noAutofit/>
                        </wps:bodyPr>
                      </wps:wsp>
                      <wps:wsp>
                        <wps:cNvSpPr txBox="1"/>
                        <wps:spPr>
                          <a:xfrm>
                            <a:off x="3267000" y="354240"/>
                            <a:ext cx="975240" cy="708840"/>
                          </a:xfrm>
                          <a:prstGeom prst="rect">
                            <a:avLst/>
                          </a:prstGeom>
                          <a:gradFill>
                            <a:gsLst>
                              <a:gs pos="0">
                                <a:srgbClr val="95b3d7"/>
                              </a:gs>
                              <a:gs pos="50000">
                                <a:srgbClr val="dbe5f1"/>
                              </a:gs>
                              <a:gs pos="100000">
                                <a:srgbClr val="95b3d7"/>
                              </a:gs>
                            </a:gsLst>
                            <a:lin ang="8100000"/>
                          </a:gradFill>
                          <a:ln w="12600">
                            <a:solidFill>
                              <a:srgbClr val="95b3d7"/>
                            </a:solidFill>
                            <a:miter/>
                          </a:ln>
                        </wps:spPr>
                        <wps:txbx>
                          <w:txbxContent>
                            <w:p>
                              <w:pPr>
                                <w:bidi w:val="0"/>
                                <w:spacing w:before="0" w:after="120"/>
                                <w:jc w:val="center"/>
                                <w:rPr/>
                              </w:pPr>
                              <w:r>
                                <w:rPr>
                                  <w:sz w:val="20"/>
                                  <w:szCs w:val="22"/>
                                  <w:rFonts w:ascii="Calibri" w:hAnsi="Calibri" w:eastAsia="Calibri" w:cs="Times New Roman"/>
                                  <w:color w:val="auto"/>
                                  <w:lang w:val="en-CA" w:bidi="ar-SA"/>
                                </w:rPr>
                                <w:t>University of Alberta &amp; University of Calgary</w:t>
                              </w:r>
                            </w:p>
                          </w:txbxContent>
                        </wps:txbx>
                        <wps:bodyPr wrap="square">
                          <a:noAutofit/>
                        </wps:bodyPr>
                      </wps:wsp>
                      <wps:wsp>
                        <wps:cNvSpPr txBox="1"/>
                        <wps:spPr>
                          <a:xfrm>
                            <a:off x="2045880" y="1365840"/>
                            <a:ext cx="2360880" cy="347400"/>
                          </a:xfrm>
                          <a:prstGeom prst="rect">
                            <a:avLst/>
                          </a:prstGeom>
                          <a:solidFill>
                            <a:srgbClr val="ffffff"/>
                          </a:solidFill>
                          <a:ln>
                            <a:noFill/>
                          </a:ln>
                        </wps:spPr>
                        <wps:txbx>
                          <w:txbxContent>
                            <w:p>
                              <w:pPr>
                                <w:bidi w:val="0"/>
                                <w:spacing w:before="0" w:after="120"/>
                                <w:jc w:val="center"/>
                                <w:rPr/>
                              </w:pPr>
                              <w:r>
                                <w:rPr>
                                  <w:sz w:val="22"/>
                                  <w:szCs w:val="22"/>
                                  <w:rFonts w:ascii="Calibri" w:hAnsi="Calibri" w:eastAsia="Calibri" w:cs="Times New Roman"/>
                                  <w:color w:val="auto"/>
                                  <w:lang w:val="en-CA" w:bidi="ar-SA"/>
                                </w:rPr>
                                <w:t>Funding &amp; Plan</w:t>
                              </w:r>
                            </w:p>
                          </w:txbxContent>
                        </wps:txbx>
                        <wps:bodyPr wrap="square">
                          <a:noAutofit/>
                        </wps:bodyPr>
                      </wps:wsp>
                      <wps:wsp>
                        <wps:cNvSpPr txBox="1"/>
                        <wps:spPr>
                          <a:xfrm>
                            <a:off x="76680" y="1365840"/>
                            <a:ext cx="645840" cy="248400"/>
                          </a:xfrm>
                          <a:prstGeom prst="rect">
                            <a:avLst/>
                          </a:prstGeom>
                          <a:solidFill>
                            <a:srgbClr val="ffffff"/>
                          </a:solidFill>
                          <a:ln>
                            <a:noFill/>
                          </a:ln>
                        </wps:spPr>
                        <wps:txbx>
                          <w:txbxContent>
                            <w:p>
                              <w:pPr>
                                <w:bidi w:val="0"/>
                                <w:spacing w:before="0" w:after="120"/>
                                <w:rPr/>
                              </w:pPr>
                              <w:r>
                                <w:rPr>
                                  <w:sz w:val="22"/>
                                  <w:b/>
                                  <w:szCs w:val="22"/>
                                  <w:rFonts w:ascii="Calibri" w:hAnsi="Calibri" w:eastAsia="Calibri" w:cs="Times New Roman"/>
                                  <w:color w:val="auto"/>
                                  <w:lang w:val="en-CA" w:bidi="ar-SA"/>
                                </w:rPr>
                                <w:t>Inputs</w:t>
                              </w:r>
                            </w:p>
                          </w:txbxContent>
                        </wps:txbx>
                        <wps:bodyPr wrap="square">
                          <a:noAutofit/>
                        </wps:bodyPr>
                      </wps:wsp>
                      <wps:wsp>
                        <wps:cNvSpPr txBox="1"/>
                        <wps:spPr>
                          <a:xfrm>
                            <a:off x="807840" y="1891080"/>
                            <a:ext cx="2748960" cy="502920"/>
                          </a:xfrm>
                          <a:prstGeom prst="rect">
                            <a:avLst/>
                          </a:prstGeom>
                          <a:solidFill>
                            <a:srgbClr val="ffffff"/>
                          </a:solidFill>
                          <a:ln w="31680">
                            <a:solidFill>
                              <a:srgbClr val="9bbb59"/>
                            </a:solidFill>
                            <a:miter/>
                          </a:ln>
                        </wps:spPr>
                        <wps:txbx>
                          <w:txbxContent>
                            <w:p>
                              <w:pPr>
                                <w:bidi w:val="0"/>
                                <w:spacing w:before="0" w:after="120"/>
                                <w:jc w:val="center"/>
                                <w:rPr/>
                              </w:pPr>
                              <w:r>
                                <w:rPr>
                                  <w:sz w:val="20"/>
                                  <w:b/>
                                  <w:szCs w:val="22"/>
                                  <w:rFonts w:ascii="Calibri" w:hAnsi="Calibri" w:eastAsia="Calibri" w:cs="Times New Roman"/>
                                  <w:color w:val="auto"/>
                                  <w:lang w:val="en-CA" w:bidi="ar-SA"/>
                                </w:rPr>
                                <w:t>Edmonton*</w:t>
                              </w:r>
                            </w:p>
                            <w:p>
                              <w:pPr>
                                <w:bidi w:val="0"/>
                                <w:spacing w:before="0" w:after="120"/>
                                <w:jc w:val="center"/>
                                <w:rPr/>
                              </w:pPr>
                              <w:r>
                                <w:rPr>
                                  <w:sz w:val="20"/>
                                  <w:szCs w:val="22"/>
                                  <w:rFonts w:ascii="Calibri" w:hAnsi="Calibri" w:eastAsia="Calibri" w:cs="Times New Roman"/>
                                  <w:color w:val="auto"/>
                                  <w:lang w:val="en-CA" w:bidi="ar-SA"/>
                                </w:rPr>
                                <w:t>100 FTE’s in 12 divisions</w:t>
                              </w:r>
                            </w:p>
                          </w:txbxContent>
                        </wps:txbx>
                        <wps:bodyPr wrap="square">
                          <a:noAutofit/>
                        </wps:bodyPr>
                      </wps:wsp>
                      <wps:wsp>
                        <wps:cNvSpPr txBox="1"/>
                        <wps:spPr>
                          <a:xfrm>
                            <a:off x="3576240" y="1891080"/>
                            <a:ext cx="2802240" cy="502920"/>
                          </a:xfrm>
                          <a:prstGeom prst="rect">
                            <a:avLst/>
                          </a:prstGeom>
                          <a:solidFill>
                            <a:srgbClr val="ffffff"/>
                          </a:solidFill>
                          <a:ln w="31680">
                            <a:solidFill>
                              <a:srgbClr val="c0504d"/>
                            </a:solidFill>
                            <a:miter/>
                          </a:ln>
                        </wps:spPr>
                        <wps:txbx>
                          <w:txbxContent>
                            <w:p>
                              <w:pPr>
                                <w:bidi w:val="0"/>
                                <w:spacing w:before="0" w:after="120"/>
                                <w:jc w:val="center"/>
                                <w:rPr/>
                              </w:pPr>
                              <w:r>
                                <w:rPr>
                                  <w:sz w:val="20"/>
                                  <w:b/>
                                  <w:szCs w:val="22"/>
                                  <w:rFonts w:ascii="Calibri" w:hAnsi="Calibri" w:eastAsia="Calibri" w:cs="Times New Roman"/>
                                  <w:color w:val="auto"/>
                                  <w:lang w:val="en-CA" w:bidi="ar-SA"/>
                                </w:rPr>
                                <w:t>Calgary*</w:t>
                              </w:r>
                            </w:p>
                            <w:p>
                              <w:pPr>
                                <w:bidi w:val="0"/>
                                <w:spacing w:before="0" w:after="120"/>
                                <w:jc w:val="center"/>
                                <w:rPr/>
                              </w:pPr>
                              <w:r>
                                <w:rPr>
                                  <w:sz w:val="20"/>
                                  <w:szCs w:val="22"/>
                                  <w:rFonts w:ascii="Calibri" w:hAnsi="Calibri" w:eastAsia="Calibri" w:cs="Times New Roman"/>
                                  <w:color w:val="auto"/>
                                  <w:lang w:val="en-CA" w:bidi="ar-SA"/>
                                </w:rPr>
                                <w:t>149 FTE’s in 11 divisions</w:t>
                              </w:r>
                            </w:p>
                          </w:txbxContent>
                        </wps:txbx>
                        <wps:bodyPr wrap="square">
                          <a:noAutofit/>
                        </wps:bodyPr>
                      </wps:wsp>
                      <wps:wsp>
                        <wps:cNvSpPr txBox="1"/>
                        <wps:spPr>
                          <a:xfrm>
                            <a:off x="807840" y="2390760"/>
                            <a:ext cx="649440" cy="503640"/>
                          </a:xfrm>
                          <a:prstGeom prst="rect">
                            <a:avLst/>
                          </a:prstGeom>
                          <a:solidFill>
                            <a:srgbClr val="ffffff"/>
                          </a:solidFill>
                          <a:ln w="31680">
                            <a:solidFill>
                              <a:srgbClr val="9bbb59"/>
                            </a:solidFill>
                            <a:miter/>
                          </a:ln>
                        </wps:spPr>
                        <wps:txbx>
                          <w:txbxContent>
                            <w:p>
                              <w:pPr>
                                <w:bidi w:val="0"/>
                                <w:spacing w:before="0" w:after="120"/>
                                <w:jc w:val="center"/>
                                <w:rPr/>
                              </w:pPr>
                              <w:r>
                                <w:rPr>
                                  <w:sz w:val="20"/>
                                  <w:b/>
                                  <w:szCs w:val="20"/>
                                  <w:rFonts w:ascii="Calibri" w:hAnsi="Calibri" w:eastAsia="Calibri" w:cs="Times New Roman"/>
                                  <w:color w:val="auto"/>
                                  <w:lang w:val="en-CA" w:bidi="ar-SA"/>
                                </w:rPr>
                                <w:t>Clinical</w:t>
                              </w:r>
                            </w:p>
                            <w:p>
                              <w:pPr>
                                <w:bidi w:val="0"/>
                                <w:spacing w:before="0" w:after="120"/>
                                <w:jc w:val="center"/>
                                <w:rPr/>
                              </w:pPr>
                              <w:r>
                                <w:rPr>
                                  <w:sz w:val="20"/>
                                  <w:szCs w:val="20"/>
                                  <w:rFonts w:ascii="Calibri" w:hAnsi="Calibri" w:eastAsia="Calibri" w:cs="Times New Roman"/>
                                  <w:color w:val="auto"/>
                                  <w:lang w:val="en-CA" w:bidi="ar-SA"/>
                                </w:rPr>
                                <w:t>35%</w:t>
                              </w:r>
                            </w:p>
                          </w:txbxContent>
                        </wps:txbx>
                        <wps:bodyPr wrap="square">
                          <a:noAutofit/>
                        </wps:bodyPr>
                      </wps:wsp>
                      <wps:wsp>
                        <wps:cNvSpPr txBox="1"/>
                        <wps:spPr>
                          <a:xfrm>
                            <a:off x="3576960" y="2394720"/>
                            <a:ext cx="666720" cy="501480"/>
                          </a:xfrm>
                          <a:prstGeom prst="rect">
                            <a:avLst/>
                          </a:prstGeom>
                          <a:solidFill>
                            <a:srgbClr val="ffffff"/>
                          </a:solidFill>
                          <a:ln w="31680">
                            <a:solidFill>
                              <a:srgbClr val="c0504d"/>
                            </a:solidFill>
                            <a:miter/>
                          </a:ln>
                        </wps:spPr>
                        <wps:txbx>
                          <w:txbxContent>
                            <w:p>
                              <w:pPr>
                                <w:bidi w:val="0"/>
                                <w:spacing w:before="0" w:after="120"/>
                                <w:jc w:val="center"/>
                                <w:rPr/>
                              </w:pPr>
                              <w:r>
                                <w:rPr>
                                  <w:sz w:val="20"/>
                                  <w:b/>
                                  <w:szCs w:val="20"/>
                                  <w:rFonts w:ascii="Calibri" w:hAnsi="Calibri" w:eastAsia="Calibri" w:cs="Times New Roman"/>
                                  <w:color w:val="auto"/>
                                  <w:lang w:val="en-CA" w:bidi="ar-SA"/>
                                </w:rPr>
                                <w:t>Clinical</w:t>
                              </w:r>
                            </w:p>
                            <w:p>
                              <w:pPr>
                                <w:bidi w:val="0"/>
                                <w:spacing w:before="0" w:after="120"/>
                                <w:jc w:val="center"/>
                                <w:rPr/>
                              </w:pPr>
                              <w:r>
                                <w:rPr>
                                  <w:sz w:val="20"/>
                                  <w:szCs w:val="20"/>
                                  <w:rFonts w:ascii="Calibri" w:hAnsi="Calibri" w:eastAsia="Calibri" w:cs="Times New Roman"/>
                                  <w:color w:val="auto"/>
                                  <w:lang w:val="en-CA" w:bidi="ar-SA"/>
                                </w:rPr>
                                <w:t>48%</w:t>
                              </w:r>
                            </w:p>
                          </w:txbxContent>
                        </wps:txbx>
                        <wps:bodyPr wrap="square">
                          <a:noAutofit/>
                        </wps:bodyPr>
                      </wps:wsp>
                      <wps:wsp>
                        <wps:cNvSpPr txBox="1"/>
                        <wps:spPr>
                          <a:xfrm>
                            <a:off x="5712480" y="2393280"/>
                            <a:ext cx="666720" cy="502920"/>
                          </a:xfrm>
                          <a:prstGeom prst="rect">
                            <a:avLst/>
                          </a:prstGeom>
                          <a:solidFill>
                            <a:srgbClr val="ffffff"/>
                          </a:solidFill>
                          <a:ln w="31680">
                            <a:solidFill>
                              <a:srgbClr val="c0504d"/>
                            </a:solidFill>
                            <a:miter/>
                          </a:ln>
                        </wps:spPr>
                        <wps:txbx>
                          <w:txbxContent>
                            <w:p>
                              <w:pPr>
                                <w:bidi w:val="0"/>
                                <w:spacing w:before="0" w:after="120"/>
                                <w:jc w:val="center"/>
                                <w:rPr/>
                              </w:pPr>
                              <w:r>
                                <w:rPr>
                                  <w:sz w:val="20"/>
                                  <w:b/>
                                  <w:szCs w:val="22"/>
                                  <w:rFonts w:ascii="Calibri" w:hAnsi="Calibri" w:eastAsia="Calibri" w:cs="Times New Roman"/>
                                  <w:color w:val="auto"/>
                                  <w:lang w:val="en-CA" w:bidi="ar-SA"/>
                                </w:rPr>
                                <w:t>Admin</w:t>
                              </w:r>
                            </w:p>
                            <w:p>
                              <w:pPr>
                                <w:bidi w:val="0"/>
                                <w:spacing w:before="0" w:after="120"/>
                                <w:jc w:val="center"/>
                                <w:rPr/>
                              </w:pPr>
                              <w:r>
                                <w:rPr>
                                  <w:sz w:val="22"/>
                                  <w:szCs w:val="22"/>
                                  <w:rFonts w:ascii="Calibri" w:hAnsi="Calibri" w:eastAsia="Calibri" w:cs="Times New Roman"/>
                                  <w:color w:val="auto"/>
                                  <w:lang w:val="en-CA" w:bidi="ar-SA"/>
                                </w:rPr>
                                <w:t>13%</w:t>
                              </w:r>
                            </w:p>
                          </w:txbxContent>
                        </wps:txbx>
                        <wps:bodyPr wrap="square">
                          <a:noAutofit/>
                        </wps:bodyPr>
                      </wps:wsp>
                      <wps:wsp>
                        <wps:cNvSpPr txBox="1"/>
                        <wps:spPr>
                          <a:xfrm>
                            <a:off x="5002560" y="2404800"/>
                            <a:ext cx="709200" cy="494640"/>
                          </a:xfrm>
                          <a:prstGeom prst="rect">
                            <a:avLst/>
                          </a:prstGeom>
                          <a:solidFill>
                            <a:srgbClr val="ffffff"/>
                          </a:solidFill>
                          <a:ln w="31680">
                            <a:solidFill>
                              <a:srgbClr val="c0504d"/>
                            </a:solidFill>
                            <a:miter/>
                          </a:ln>
                        </wps:spPr>
                        <wps:txbx>
                          <w:txbxContent>
                            <w:p>
                              <w:pPr>
                                <w:bidi w:val="0"/>
                                <w:spacing w:before="0" w:after="120"/>
                                <w:jc w:val="center"/>
                                <w:rPr/>
                              </w:pPr>
                              <w:r>
                                <w:rPr>
                                  <w:sz w:val="20"/>
                                  <w:b/>
                                  <w:szCs w:val="20"/>
                                  <w:rFonts w:ascii="Calibri" w:hAnsi="Calibri" w:eastAsia="Calibri" w:cs="Times New Roman"/>
                                  <w:color w:val="auto"/>
                                  <w:lang w:val="en-CA" w:bidi="ar-SA"/>
                                </w:rPr>
                                <w:t>Research</w:t>
                              </w:r>
                            </w:p>
                            <w:p>
                              <w:pPr>
                                <w:bidi w:val="0"/>
                                <w:spacing w:before="0" w:after="120"/>
                                <w:jc w:val="center"/>
                                <w:rPr/>
                              </w:pPr>
                              <w:r>
                                <w:rPr>
                                  <w:sz w:val="20"/>
                                  <w:szCs w:val="20"/>
                                  <w:rFonts w:ascii="Calibri" w:hAnsi="Calibri" w:eastAsia="Calibri" w:cs="Times New Roman"/>
                                  <w:color w:val="auto"/>
                                  <w:lang w:val="en-CA" w:bidi="ar-SA"/>
                                </w:rPr>
                                <w:t>24%</w:t>
                              </w:r>
                            </w:p>
                          </w:txbxContent>
                        </wps:txbx>
                        <wps:bodyPr wrap="square">
                          <a:noAutofit/>
                        </wps:bodyPr>
                      </wps:wsp>
                      <wps:wsp>
                        <wps:cNvSpPr txBox="1"/>
                        <wps:spPr>
                          <a:xfrm>
                            <a:off x="4242600" y="2393280"/>
                            <a:ext cx="742320" cy="502920"/>
                          </a:xfrm>
                          <a:prstGeom prst="rect">
                            <a:avLst/>
                          </a:prstGeom>
                          <a:solidFill>
                            <a:srgbClr val="ffffff"/>
                          </a:solidFill>
                          <a:ln w="31680">
                            <a:solidFill>
                              <a:srgbClr val="c0504d"/>
                            </a:solidFill>
                            <a:miter/>
                          </a:ln>
                        </wps:spPr>
                        <wps:txbx>
                          <w:txbxContent>
                            <w:p>
                              <w:pPr>
                                <w:bidi w:val="0"/>
                                <w:spacing w:before="0" w:after="120"/>
                                <w:jc w:val="center"/>
                                <w:rPr/>
                              </w:pPr>
                              <w:r>
                                <w:rPr>
                                  <w:sz w:val="20"/>
                                  <w:b/>
                                  <w:szCs w:val="20"/>
                                  <w:rFonts w:ascii="Calibri" w:hAnsi="Calibri" w:eastAsia="Calibri" w:cs="Times New Roman"/>
                                  <w:color w:val="auto"/>
                                  <w:lang w:val="en-CA" w:bidi="ar-SA"/>
                                </w:rPr>
                                <w:t>Teaching</w:t>
                              </w:r>
                            </w:p>
                            <w:p>
                              <w:pPr>
                                <w:bidi w:val="0"/>
                                <w:spacing w:before="0" w:after="120"/>
                                <w:jc w:val="center"/>
                                <w:rPr/>
                              </w:pPr>
                              <w:r>
                                <w:rPr>
                                  <w:sz w:val="20"/>
                                  <w:szCs w:val="20"/>
                                  <w:rFonts w:ascii="Calibri" w:hAnsi="Calibri" w:eastAsia="Calibri" w:cs="Times New Roman"/>
                                  <w:color w:val="auto"/>
                                  <w:lang w:val="en-CA" w:bidi="ar-SA"/>
                                </w:rPr>
                                <w:t>15%</w:t>
                              </w:r>
                            </w:p>
                          </w:txbxContent>
                        </wps:txbx>
                        <wps:bodyPr wrap="square">
                          <a:noAutofit/>
                        </wps:bodyPr>
                      </wps:wsp>
                      <wps:wsp>
                        <wps:cNvSpPr txBox="1"/>
                        <wps:spPr>
                          <a:xfrm>
                            <a:off x="1468800" y="2392200"/>
                            <a:ext cx="703080" cy="503640"/>
                          </a:xfrm>
                          <a:prstGeom prst="rect">
                            <a:avLst/>
                          </a:prstGeom>
                          <a:solidFill>
                            <a:srgbClr val="ffffff"/>
                          </a:solidFill>
                          <a:ln w="31680">
                            <a:solidFill>
                              <a:srgbClr val="9bbb59"/>
                            </a:solidFill>
                            <a:miter/>
                          </a:ln>
                        </wps:spPr>
                        <wps:txbx>
                          <w:txbxContent>
                            <w:p>
                              <w:pPr>
                                <w:bidi w:val="0"/>
                                <w:spacing w:before="0" w:after="120"/>
                                <w:jc w:val="center"/>
                                <w:rPr/>
                              </w:pPr>
                              <w:r>
                                <w:rPr>
                                  <w:sz w:val="18"/>
                                  <w:b/>
                                  <w:szCs w:val="22"/>
                                  <w:rFonts w:ascii="Calibri" w:hAnsi="Calibri" w:eastAsia="Calibri" w:cs="Times New Roman"/>
                                  <w:color w:val="auto"/>
                                  <w:lang w:val="en-CA" w:bidi="ar-SA"/>
                                </w:rPr>
                                <w:t>Teaching</w:t>
                              </w:r>
                            </w:p>
                            <w:p>
                              <w:pPr>
                                <w:bidi w:val="0"/>
                                <w:spacing w:before="0" w:after="120"/>
                                <w:jc w:val="center"/>
                                <w:rPr/>
                              </w:pPr>
                              <w:r>
                                <w:rPr>
                                  <w:sz w:val="20"/>
                                  <w:szCs w:val="22"/>
                                  <w:rFonts w:ascii="Calibri" w:hAnsi="Calibri" w:eastAsia="Calibri" w:cs="Times New Roman"/>
                                  <w:color w:val="auto"/>
                                  <w:lang w:val="en-CA" w:bidi="ar-SA"/>
                                </w:rPr>
                                <w:t>22%</w:t>
                              </w:r>
                            </w:p>
                          </w:txbxContent>
                        </wps:txbx>
                        <wps:bodyPr wrap="square">
                          <a:noAutofit/>
                        </wps:bodyPr>
                      </wps:wsp>
                      <wps:wsp>
                        <wps:cNvSpPr txBox="1"/>
                        <wps:spPr>
                          <a:xfrm>
                            <a:off x="2172240" y="2392200"/>
                            <a:ext cx="703440" cy="503640"/>
                          </a:xfrm>
                          <a:prstGeom prst="rect">
                            <a:avLst/>
                          </a:prstGeom>
                          <a:solidFill>
                            <a:srgbClr val="ffffff"/>
                          </a:solidFill>
                          <a:ln w="31680">
                            <a:solidFill>
                              <a:srgbClr val="9bbb59"/>
                            </a:solidFill>
                            <a:miter/>
                          </a:ln>
                        </wps:spPr>
                        <wps:txbx>
                          <w:txbxContent>
                            <w:p>
                              <w:pPr>
                                <w:bidi w:val="0"/>
                                <w:spacing w:before="0" w:after="120"/>
                                <w:jc w:val="center"/>
                                <w:rPr/>
                              </w:pPr>
                              <w:r>
                                <w:rPr>
                                  <w:sz w:val="20"/>
                                  <w:b/>
                                  <w:szCs w:val="20"/>
                                  <w:rFonts w:ascii="Calibri" w:hAnsi="Calibri" w:eastAsia="Calibri" w:cs="Times New Roman"/>
                                  <w:color w:val="auto"/>
                                  <w:lang w:val="en-CA" w:bidi="ar-SA"/>
                                </w:rPr>
                                <w:t>Research</w:t>
                              </w:r>
                            </w:p>
                            <w:p>
                              <w:pPr>
                                <w:bidi w:val="0"/>
                                <w:spacing w:before="0" w:after="120"/>
                                <w:jc w:val="center"/>
                                <w:rPr/>
                              </w:pPr>
                              <w:r>
                                <w:rPr>
                                  <w:sz w:val="20"/>
                                  <w:szCs w:val="20"/>
                                  <w:rFonts w:ascii="Calibri" w:hAnsi="Calibri" w:eastAsia="Calibri" w:cs="Times New Roman"/>
                                  <w:color w:val="auto"/>
                                  <w:lang w:val="en-CA" w:bidi="ar-SA"/>
                                </w:rPr>
                                <w:t>29%</w:t>
                              </w:r>
                            </w:p>
                          </w:txbxContent>
                        </wps:txbx>
                        <wps:bodyPr wrap="square">
                          <a:noAutofit/>
                        </wps:bodyPr>
                      </wps:wsp>
                      <wps:wsp>
                        <wps:cNvSpPr txBox="1"/>
                        <wps:spPr>
                          <a:xfrm>
                            <a:off x="2876040" y="2393280"/>
                            <a:ext cx="681480" cy="501480"/>
                          </a:xfrm>
                          <a:prstGeom prst="rect">
                            <a:avLst/>
                          </a:prstGeom>
                          <a:solidFill>
                            <a:srgbClr val="ffffff"/>
                          </a:solidFill>
                          <a:ln w="31680">
                            <a:solidFill>
                              <a:srgbClr val="9bbb59"/>
                            </a:solidFill>
                            <a:miter/>
                          </a:ln>
                        </wps:spPr>
                        <wps:txbx>
                          <w:txbxContent>
                            <w:p>
                              <w:pPr>
                                <w:bidi w:val="0"/>
                                <w:spacing w:before="0" w:after="120"/>
                                <w:jc w:val="center"/>
                                <w:rPr/>
                              </w:pPr>
                              <w:r>
                                <w:rPr>
                                  <w:sz w:val="18"/>
                                  <w:b/>
                                  <w:szCs w:val="22"/>
                                  <w:rFonts w:ascii="Calibri" w:hAnsi="Calibri" w:eastAsia="Calibri" w:cs="Times New Roman"/>
                                  <w:color w:val="auto"/>
                                  <w:lang w:val="en-CA" w:bidi="ar-SA"/>
                                </w:rPr>
                                <w:t>Admin</w:t>
                              </w:r>
                            </w:p>
                            <w:p>
                              <w:pPr>
                                <w:bidi w:val="0"/>
                                <w:spacing w:before="0" w:after="120"/>
                                <w:jc w:val="center"/>
                                <w:rPr/>
                              </w:pPr>
                              <w:r>
                                <w:rPr>
                                  <w:sz w:val="20"/>
                                  <w:szCs w:val="22"/>
                                  <w:rFonts w:ascii="Calibri" w:hAnsi="Calibri" w:eastAsia="Calibri" w:cs="Times New Roman"/>
                                  <w:color w:val="auto"/>
                                  <w:lang w:val="en-CA" w:bidi="ar-SA"/>
                                </w:rPr>
                                <w:t>14%</w:t>
                              </w:r>
                            </w:p>
                          </w:txbxContent>
                        </wps:txbx>
                        <wps:bodyPr wrap="square">
                          <a:noAutofit/>
                        </wps:bodyPr>
                      </wps:wsp>
                      <wps:wsp>
                        <wps:cNvSpPr txBox="1"/>
                        <wps:spPr>
                          <a:xfrm>
                            <a:off x="14040" y="2019960"/>
                            <a:ext cx="645840" cy="248400"/>
                          </a:xfrm>
                          <a:prstGeom prst="rect">
                            <a:avLst/>
                          </a:prstGeom>
                          <a:solidFill>
                            <a:srgbClr val="ffffff"/>
                          </a:solidFill>
                          <a:ln>
                            <a:noFill/>
                          </a:ln>
                        </wps:spPr>
                        <wps:txbx>
                          <w:txbxContent>
                            <w:p>
                              <w:pPr>
                                <w:bidi w:val="0"/>
                                <w:spacing w:before="0" w:after="120"/>
                                <w:rPr/>
                              </w:pPr>
                              <w:r>
                                <w:rPr>
                                  <w:sz w:val="22"/>
                                  <w:b/>
                                  <w:szCs w:val="22"/>
                                  <w:rFonts w:ascii="Calibri" w:hAnsi="Calibri" w:eastAsia="Calibri" w:cs="Times New Roman"/>
                                  <w:color w:val="auto"/>
                                  <w:lang w:val="en-CA" w:bidi="ar-SA"/>
                                </w:rPr>
                                <w:t>Processes ss</w:t>
                              </w:r>
                            </w:p>
                          </w:txbxContent>
                        </wps:txbx>
                        <wps:bodyPr wrap="square">
                          <a:noAutofit/>
                        </wps:bodyPr>
                      </wps:wsp>
                      <wps:wsp>
                        <wps:cNvSpPr txBox="1"/>
                        <wps:spPr>
                          <a:xfrm>
                            <a:off x="0" y="3472200"/>
                            <a:ext cx="702360" cy="248400"/>
                          </a:xfrm>
                          <a:prstGeom prst="rect">
                            <a:avLst/>
                          </a:prstGeom>
                          <a:solidFill>
                            <a:srgbClr val="ffffff"/>
                          </a:solidFill>
                          <a:ln>
                            <a:noFill/>
                          </a:ln>
                        </wps:spPr>
                        <wps:txbx>
                          <w:txbxContent>
                            <w:p>
                              <w:pPr>
                                <w:bidi w:val="0"/>
                                <w:spacing w:before="0" w:after="120"/>
                                <w:rPr/>
                              </w:pPr>
                              <w:r>
                                <w:rPr>
                                  <w:sz w:val="22"/>
                                  <w:b/>
                                  <w:szCs w:val="22"/>
                                  <w:rFonts w:ascii="Calibri" w:hAnsi="Calibri" w:eastAsia="Calibri" w:cs="Times New Roman"/>
                                  <w:color w:val="auto"/>
                                  <w:lang w:val="en-CA" w:bidi="ar-SA"/>
                                </w:rPr>
                                <w:t>Outputss</w:t>
                              </w:r>
                            </w:p>
                          </w:txbxContent>
                        </wps:txbx>
                        <wps:bodyPr wrap="square">
                          <a:noAutofit/>
                        </wps:bodyPr>
                      </wps:wsp>
                      <wps:wsp>
                        <wps:cNvSpPr txBox="1"/>
                        <wps:spPr>
                          <a:xfrm>
                            <a:off x="808200" y="3025080"/>
                            <a:ext cx="1019880" cy="829440"/>
                          </a:xfrm>
                          <a:prstGeom prst="rect">
                            <a:avLst/>
                          </a:prstGeom>
                          <a:solidFill>
                            <a:srgbClr val="ffffff"/>
                          </a:solidFill>
                          <a:ln w="9360">
                            <a:solidFill>
                              <a:srgbClr val="000000"/>
                            </a:solidFill>
                            <a:miter/>
                          </a:ln>
                        </wps:spPr>
                        <wps:txbx>
                          <w:txbxContent>
                            <w:p>
                              <w:pPr>
                                <w:bidi w:val="0"/>
                                <w:spacing w:before="0" w:after="120"/>
                                <w:jc w:val="center"/>
                                <w:rPr/>
                              </w:pPr>
                              <w:r>
                                <w:rPr>
                                  <w:sz w:val="20"/>
                                  <w:szCs w:val="22"/>
                                  <w:rFonts w:ascii="Calibri" w:hAnsi="Calibri" w:eastAsia="Calibri" w:cs="Times New Roman"/>
                                  <w:color w:val="auto"/>
                                  <w:lang w:val="en-CA" w:bidi="ar-SA"/>
                                </w:rPr>
                                <w:t>Inpatient Cases and days</w:t>
                              </w:r>
                            </w:p>
                            <w:p>
                              <w:pPr>
                                <w:bidi w:val="0"/>
                                <w:spacing w:before="0" w:after="120"/>
                                <w:jc w:val="center"/>
                                <w:rPr/>
                              </w:pPr>
                              <w:r>
                                <w:rPr>
                                  <w:sz w:val="20"/>
                                  <w:szCs w:val="22"/>
                                  <w:rFonts w:ascii="Calibri" w:hAnsi="Calibri" w:eastAsia="Calibri" w:cs="Times New Roman"/>
                                  <w:color w:val="auto"/>
                                  <w:lang w:val="en-CA" w:bidi="ar-SA"/>
                                </w:rPr>
                                <w:t>Outpatient contacts etc</w:t>
                              </w:r>
                            </w:p>
                          </w:txbxContent>
                        </wps:txbx>
                        <wps:bodyPr wrap="square">
                          <a:noAutofit/>
                        </wps:bodyPr>
                      </wps:wsp>
                      <wps:wsp>
                        <wps:cNvSpPr txBox="1"/>
                        <wps:spPr>
                          <a:xfrm>
                            <a:off x="2247120" y="3025080"/>
                            <a:ext cx="1019880" cy="829440"/>
                          </a:xfrm>
                          <a:prstGeom prst="rect">
                            <a:avLst/>
                          </a:prstGeom>
                          <a:solidFill>
                            <a:srgbClr val="ffffff"/>
                          </a:solidFill>
                          <a:ln w="9360">
                            <a:solidFill>
                              <a:srgbClr val="000000"/>
                            </a:solidFill>
                            <a:miter/>
                          </a:ln>
                        </wps:spPr>
                        <wps:txbx>
                          <w:txbxContent>
                            <w:p>
                              <w:pPr>
                                <w:bidi w:val="0"/>
                                <w:spacing w:before="0" w:after="120"/>
                                <w:jc w:val="center"/>
                                <w:rPr/>
                              </w:pPr>
                              <w:r>
                                <w:rPr>
                                  <w:sz w:val="20"/>
                                  <w:szCs w:val="22"/>
                                  <w:rFonts w:ascii="Calibri" w:hAnsi="Calibri" w:eastAsia="Calibri" w:cs="Times New Roman"/>
                                  <w:color w:val="auto"/>
                                  <w:lang w:val="en-CA" w:bidi="ar-SA"/>
                                </w:rPr>
                                <w:t>Undergraduate &amp; Graduate Students Residents etc.</w:t>
                              </w:r>
                            </w:p>
                          </w:txbxContent>
                        </wps:txbx>
                        <wps:bodyPr wrap="square">
                          <a:noAutofit/>
                        </wps:bodyPr>
                      </wps:wsp>
                      <wps:wsp>
                        <wps:cNvSpPr txBox="1"/>
                        <wps:spPr>
                          <a:xfrm>
                            <a:off x="3816360" y="3025080"/>
                            <a:ext cx="1019880" cy="829440"/>
                          </a:xfrm>
                          <a:prstGeom prst="rect">
                            <a:avLst/>
                          </a:prstGeom>
                          <a:solidFill>
                            <a:srgbClr val="ffffff"/>
                          </a:solidFill>
                          <a:ln w="9360">
                            <a:solidFill>
                              <a:srgbClr val="000000"/>
                            </a:solidFill>
                            <a:miter/>
                          </a:ln>
                        </wps:spPr>
                        <wps:txbx>
                          <w:txbxContent>
                            <w:p>
                              <w:pPr>
                                <w:bidi w:val="0"/>
                                <w:spacing w:before="0" w:after="120"/>
                                <w:jc w:val="center"/>
                                <w:rPr/>
                              </w:pPr>
                              <w:r>
                                <w:rPr>
                                  <w:sz w:val="20"/>
                                  <w:szCs w:val="22"/>
                                  <w:rFonts w:ascii="Calibri" w:hAnsi="Calibri" w:eastAsia="Calibri" w:cs="Times New Roman"/>
                                  <w:color w:val="auto"/>
                                  <w:lang w:val="en-CA" w:bidi="ar-SA"/>
                                </w:rPr>
                                <w:t>Applications</w:t>
                              </w:r>
                            </w:p>
                            <w:p>
                              <w:pPr>
                                <w:bidi w:val="0"/>
                                <w:spacing w:before="0" w:after="120"/>
                                <w:jc w:val="center"/>
                                <w:rPr/>
                              </w:pPr>
                              <w:r>
                                <w:rPr>
                                  <w:sz w:val="20"/>
                                  <w:szCs w:val="22"/>
                                  <w:rFonts w:ascii="Calibri" w:hAnsi="Calibri" w:eastAsia="Calibri" w:cs="Times New Roman"/>
                                  <w:color w:val="auto"/>
                                  <w:lang w:val="en-CA" w:bidi="ar-SA"/>
                                </w:rPr>
                                <w:t>Awards</w:t>
                              </w:r>
                            </w:p>
                            <w:p>
                              <w:pPr>
                                <w:bidi w:val="0"/>
                                <w:spacing w:before="0" w:after="120"/>
                                <w:jc w:val="center"/>
                                <w:rPr/>
                              </w:pPr>
                              <w:r>
                                <w:rPr>
                                  <w:sz w:val="20"/>
                                  <w:szCs w:val="22"/>
                                  <w:rFonts w:ascii="Calibri" w:hAnsi="Calibri" w:eastAsia="Calibri" w:cs="Times New Roman"/>
                                  <w:color w:val="auto"/>
                                  <w:lang w:val="en-CA" w:bidi="ar-SA"/>
                                </w:rPr>
                                <w:t>Papers</w:t>
                              </w:r>
                            </w:p>
                          </w:txbxContent>
                        </wps:txbx>
                        <wps:bodyPr wrap="square">
                          <a:noAutofit/>
                        </wps:bodyPr>
                      </wps:wsp>
                      <wps:wsp>
                        <wps:cNvSpPr txBox="1"/>
                        <wps:spPr>
                          <a:xfrm>
                            <a:off x="5338440" y="3025080"/>
                            <a:ext cx="1019880" cy="829440"/>
                          </a:xfrm>
                          <a:prstGeom prst="rect">
                            <a:avLst/>
                          </a:prstGeom>
                          <a:solidFill>
                            <a:srgbClr val="ffffff"/>
                          </a:solidFill>
                          <a:ln w="9360">
                            <a:solidFill>
                              <a:srgbClr val="000000"/>
                            </a:solidFill>
                            <a:miter/>
                          </a:ln>
                        </wps:spPr>
                        <wps:txbx>
                          <w:txbxContent>
                            <w:p>
                              <w:pPr>
                                <w:bidi w:val="0"/>
                                <w:spacing w:before="0" w:after="60"/>
                                <w:jc w:val="center"/>
                                <w:rPr/>
                              </w:pPr>
                              <w:r>
                                <w:rPr>
                                  <w:sz w:val="20"/>
                                  <w:szCs w:val="22"/>
                                  <w:rFonts w:ascii="Calibri" w:hAnsi="Calibri" w:eastAsia="Calibri" w:cs="Times New Roman"/>
                                  <w:color w:val="auto"/>
                                  <w:lang w:val="en-CA" w:bidi="ar-SA"/>
                                </w:rPr>
                                <w:t>Governance</w:t>
                              </w:r>
                            </w:p>
                            <w:p>
                              <w:pPr>
                                <w:bidi w:val="0"/>
                                <w:spacing w:before="0" w:after="60"/>
                                <w:jc w:val="center"/>
                                <w:rPr/>
                              </w:pPr>
                              <w:r>
                                <w:rPr>
                                  <w:sz w:val="20"/>
                                  <w:szCs w:val="22"/>
                                  <w:rFonts w:ascii="Calibri" w:hAnsi="Calibri" w:eastAsia="Calibri" w:cs="Times New Roman"/>
                                  <w:color w:val="auto"/>
                                  <w:lang w:val="en-CA" w:bidi="ar-SA"/>
                                </w:rPr>
                                <w:t>Financial</w:t>
                              </w:r>
                            </w:p>
                            <w:p>
                              <w:pPr>
                                <w:bidi w:val="0"/>
                                <w:spacing w:before="0" w:after="60"/>
                                <w:jc w:val="center"/>
                                <w:rPr/>
                              </w:pPr>
                              <w:r>
                                <w:rPr>
                                  <w:sz w:val="20"/>
                                  <w:szCs w:val="22"/>
                                  <w:rFonts w:ascii="Calibri" w:hAnsi="Calibri" w:eastAsia="Calibri" w:cs="Times New Roman"/>
                                  <w:color w:val="auto"/>
                                  <w:lang w:val="en-CA" w:bidi="ar-SA"/>
                                </w:rPr>
                                <w:t>HR/Pay</w:t>
                              </w:r>
                            </w:p>
                            <w:p>
                              <w:pPr>
                                <w:bidi w:val="0"/>
                                <w:spacing w:before="0" w:after="60"/>
                                <w:jc w:val="center"/>
                                <w:rPr/>
                              </w:pPr>
                              <w:r>
                                <w:rPr>
                                  <w:sz w:val="20"/>
                                  <w:szCs w:val="22"/>
                                  <w:rFonts w:ascii="Calibri" w:hAnsi="Calibri" w:eastAsia="Calibri" w:cs="Times New Roman"/>
                                  <w:color w:val="auto"/>
                                  <w:lang w:val="en-CA" w:bidi="ar-SA"/>
                                </w:rPr>
                                <w:t>Leadership</w:t>
                              </w:r>
                            </w:p>
                          </w:txbxContent>
                        </wps:txbx>
                        <wps:bodyPr wrap="square">
                          <a:noAutofit/>
                        </wps:bodyPr>
                      </wps:wsp>
                      <wps:wsp>
                        <wps:cNvSpPr txBox="1"/>
                        <wps:spPr>
                          <a:xfrm>
                            <a:off x="20160" y="4133880"/>
                            <a:ext cx="911880" cy="248400"/>
                          </a:xfrm>
                          <a:prstGeom prst="rect">
                            <a:avLst/>
                          </a:prstGeom>
                          <a:solidFill>
                            <a:srgbClr val="ffffff"/>
                          </a:solidFill>
                          <a:ln>
                            <a:noFill/>
                          </a:ln>
                        </wps:spPr>
                        <wps:txbx>
                          <w:txbxContent>
                            <w:p>
                              <w:pPr>
                                <w:bidi w:val="0"/>
                                <w:spacing w:before="0" w:after="120"/>
                                <w:rPr/>
                              </w:pPr>
                              <w:r>
                                <w:rPr>
                                  <w:sz w:val="22"/>
                                  <w:b/>
                                  <w:szCs w:val="22"/>
                                  <w:rFonts w:ascii="Calibri" w:hAnsi="Calibri" w:eastAsia="Calibri" w:cs="Times New Roman"/>
                                  <w:color w:val="auto"/>
                                  <w:lang w:val="en-CA" w:bidi="ar-SA"/>
                                </w:rPr>
                                <w:t>Outcomes</w:t>
                              </w:r>
                            </w:p>
                          </w:txbxContent>
                        </wps:txbx>
                        <wps:bodyPr wrap="square">
                          <a:noAutofit/>
                        </wps:bodyPr>
                      </wps:wsp>
                      <wps:wsp>
                        <wps:cNvSpPr txBox="1"/>
                        <wps:spPr>
                          <a:xfrm>
                            <a:off x="807840" y="4028400"/>
                            <a:ext cx="5583600" cy="248400"/>
                          </a:xfrm>
                          <a:prstGeom prst="rect">
                            <a:avLst/>
                          </a:prstGeom>
                          <a:gradFill>
                            <a:gsLst>
                              <a:gs pos="0">
                                <a:srgbClr val="ffffff"/>
                              </a:gs>
                              <a:gs pos="100000">
                                <a:srgbClr val="b8cce4"/>
                              </a:gs>
                            </a:gsLst>
                            <a:lin ang="5400000"/>
                          </a:gradFill>
                          <a:ln w="12600">
                            <a:solidFill>
                              <a:srgbClr val="95b3d7"/>
                            </a:solidFill>
                            <a:miter/>
                          </a:ln>
                        </wps:spPr>
                        <wps:txbx>
                          <w:txbxContent>
                            <w:p>
                              <w:pPr>
                                <w:bidi w:val="0"/>
                                <w:spacing w:before="0" w:after="120"/>
                                <w:jc w:val="center"/>
                                <w:rPr/>
                              </w:pPr>
                              <w:r>
                                <w:rPr>
                                  <w:sz w:val="22"/>
                                  <w:b/>
                                  <w:szCs w:val="22"/>
                                  <w:rFonts w:ascii="Calibri" w:hAnsi="Calibri" w:eastAsia="Calibri" w:cs="Times New Roman"/>
                                  <w:color w:val="auto"/>
                                  <w:lang w:val="en-CA" w:bidi="ar-SA"/>
                                </w:rPr>
                                <w:t>Intended and unintended impact on seven goals</w:t>
                              </w:r>
                            </w:p>
                          </w:txbxContent>
                        </wps:txbx>
                        <wps:bodyPr wrap="square">
                          <a:noAutofit/>
                        </wps:bodyPr>
                      </wps:wsp>
                      <wps:wsp>
                        <wps:cNvSpPr txBox="1"/>
                        <wps:spPr>
                          <a:xfrm>
                            <a:off x="807840" y="4298400"/>
                            <a:ext cx="818640" cy="767880"/>
                          </a:xfrm>
                          <a:prstGeom prst="rect">
                            <a:avLst/>
                          </a:prstGeom>
                          <a:gradFill>
                            <a:gsLst>
                              <a:gs pos="0">
                                <a:srgbClr val="ffffff"/>
                              </a:gs>
                              <a:gs pos="100000">
                                <a:srgbClr val="b8cce4"/>
                              </a:gs>
                            </a:gsLst>
                            <a:lin ang="5400000"/>
                          </a:gradFill>
                          <a:ln w="12600">
                            <a:solidFill>
                              <a:srgbClr val="95b3d7"/>
                            </a:solidFill>
                            <a:miter/>
                          </a:ln>
                        </wps:spPr>
                        <wps:txbx>
                          <w:txbxContent>
                            <w:p>
                              <w:pPr>
                                <w:bidi w:val="0"/>
                                <w:spacing w:before="0" w:after="120"/>
                                <w:jc w:val="center"/>
                                <w:rPr/>
                              </w:pPr>
                              <w:r>
                                <w:rPr>
                                  <w:sz w:val="20"/>
                                  <w:szCs w:val="22"/>
                                  <w:rFonts w:ascii="Calibri" w:hAnsi="Calibri" w:eastAsia="Calibri" w:cs="Times New Roman"/>
                                  <w:color w:val="auto"/>
                                  <w:lang w:val="en-CA" w:bidi="ar-SA"/>
                                </w:rPr>
                                <w:t>#1</w:t>
                              </w:r>
                            </w:p>
                            <w:p>
                              <w:pPr>
                                <w:bidi w:val="0"/>
                                <w:spacing w:before="0" w:after="120"/>
                                <w:jc w:val="center"/>
                                <w:rPr/>
                              </w:pPr>
                              <w:r>
                                <w:rPr>
                                  <w:sz w:val="18"/>
                                  <w:szCs w:val="22"/>
                                  <w:rFonts w:ascii="Calibri" w:hAnsi="Calibri" w:eastAsia="Calibri" w:cs="Times New Roman"/>
                                  <w:color w:val="auto"/>
                                  <w:lang w:val="en-CA" w:bidi="ar-SA"/>
                                </w:rPr>
                                <w:t>Appropriate staff compliment</w:t>
                              </w:r>
                            </w:p>
                          </w:txbxContent>
                        </wps:txbx>
                        <wps:bodyPr wrap="square">
                          <a:noAutofit/>
                        </wps:bodyPr>
                      </wps:wsp>
                      <wps:wsp>
                        <wps:cNvSpPr txBox="1"/>
                        <wps:spPr>
                          <a:xfrm>
                            <a:off x="1626840" y="4298400"/>
                            <a:ext cx="818640" cy="767880"/>
                          </a:xfrm>
                          <a:prstGeom prst="rect">
                            <a:avLst/>
                          </a:prstGeom>
                          <a:gradFill>
                            <a:gsLst>
                              <a:gs pos="0">
                                <a:srgbClr val="ffffff"/>
                              </a:gs>
                              <a:gs pos="100000">
                                <a:srgbClr val="b8cce4"/>
                              </a:gs>
                            </a:gsLst>
                            <a:lin ang="5400000"/>
                          </a:gradFill>
                          <a:ln w="12600">
                            <a:solidFill>
                              <a:srgbClr val="95b3d7"/>
                            </a:solidFill>
                            <a:miter/>
                          </a:ln>
                        </wps:spPr>
                        <wps:txbx>
                          <w:txbxContent>
                            <w:p>
                              <w:pPr>
                                <w:bidi w:val="0"/>
                                <w:spacing w:before="0" w:after="120"/>
                                <w:jc w:val="center"/>
                                <w:rPr/>
                              </w:pPr>
                              <w:r>
                                <w:rPr>
                                  <w:sz w:val="20"/>
                                  <w:szCs w:val="22"/>
                                  <w:rFonts w:ascii="Calibri" w:hAnsi="Calibri" w:eastAsia="Calibri" w:cs="Times New Roman"/>
                                  <w:color w:val="auto"/>
                                  <w:lang w:val="en-CA" w:bidi="ar-SA"/>
                                </w:rPr>
                                <w:t>#2</w:t>
                              </w:r>
                            </w:p>
                            <w:p>
                              <w:pPr>
                                <w:bidi w:val="0"/>
                                <w:spacing w:before="0" w:after="120"/>
                                <w:jc w:val="center"/>
                                <w:rPr/>
                              </w:pPr>
                              <w:r>
                                <w:rPr>
                                  <w:sz w:val="18"/>
                                  <w:szCs w:val="22"/>
                                  <w:rFonts w:ascii="Calibri" w:hAnsi="Calibri" w:eastAsia="Calibri" w:cs="Times New Roman"/>
                                  <w:color w:val="auto"/>
                                  <w:lang w:val="en-CA" w:bidi="ar-SA"/>
                                </w:rPr>
                                <w:t>Accessible Specialist Medical Care</w:t>
                              </w:r>
                            </w:p>
                          </w:txbxContent>
                        </wps:txbx>
                        <wps:bodyPr wrap="square">
                          <a:noAutofit/>
                        </wps:bodyPr>
                      </wps:wsp>
                      <wps:wsp>
                        <wps:cNvSpPr txBox="1"/>
                        <wps:spPr>
                          <a:xfrm>
                            <a:off x="2448000" y="4298400"/>
                            <a:ext cx="818640" cy="767880"/>
                          </a:xfrm>
                          <a:prstGeom prst="rect">
                            <a:avLst/>
                          </a:prstGeom>
                          <a:gradFill>
                            <a:gsLst>
                              <a:gs pos="0">
                                <a:srgbClr val="ffffff"/>
                              </a:gs>
                              <a:gs pos="100000">
                                <a:srgbClr val="b8cce4"/>
                              </a:gs>
                            </a:gsLst>
                            <a:lin ang="5400000"/>
                          </a:gradFill>
                          <a:ln w="12600">
                            <a:solidFill>
                              <a:srgbClr val="95b3d7"/>
                            </a:solidFill>
                            <a:miter/>
                          </a:ln>
                        </wps:spPr>
                        <wps:txbx>
                          <w:txbxContent>
                            <w:p>
                              <w:pPr>
                                <w:bidi w:val="0"/>
                                <w:spacing w:before="0" w:after="120"/>
                                <w:jc w:val="center"/>
                                <w:rPr/>
                              </w:pPr>
                              <w:r>
                                <w:rPr>
                                  <w:sz w:val="20"/>
                                  <w:szCs w:val="22"/>
                                  <w:rFonts w:ascii="Calibri" w:hAnsi="Calibri" w:eastAsia="Calibri" w:cs="Times New Roman"/>
                                  <w:color w:val="auto"/>
                                  <w:lang w:val="en-CA" w:bidi="ar-SA"/>
                                </w:rPr>
                                <w:t>#3</w:t>
                              </w:r>
                            </w:p>
                            <w:p>
                              <w:pPr>
                                <w:bidi w:val="0"/>
                                <w:spacing w:before="0" w:after="120"/>
                                <w:jc w:val="center"/>
                                <w:rPr/>
                              </w:pPr>
                              <w:r>
                                <w:rPr>
                                  <w:sz w:val="18"/>
                                  <w:szCs w:val="22"/>
                                  <w:rFonts w:ascii="Calibri" w:hAnsi="Calibri" w:eastAsia="Calibri" w:cs="Times New Roman"/>
                                  <w:color w:val="auto"/>
                                  <w:lang w:val="en-CA" w:bidi="ar-SA"/>
                                </w:rPr>
                                <w:t>Quality Medical Education</w:t>
                              </w:r>
                            </w:p>
                          </w:txbxContent>
                        </wps:txbx>
                        <wps:bodyPr wrap="square">
                          <a:noAutofit/>
                        </wps:bodyPr>
                      </wps:wsp>
                      <wps:wsp>
                        <wps:cNvSpPr txBox="1"/>
                        <wps:spPr>
                          <a:xfrm>
                            <a:off x="3280320" y="4298400"/>
                            <a:ext cx="749160" cy="767880"/>
                          </a:xfrm>
                          <a:prstGeom prst="rect">
                            <a:avLst/>
                          </a:prstGeom>
                          <a:gradFill>
                            <a:gsLst>
                              <a:gs pos="0">
                                <a:srgbClr val="ffffff"/>
                              </a:gs>
                              <a:gs pos="100000">
                                <a:srgbClr val="b8cce4"/>
                              </a:gs>
                            </a:gsLst>
                            <a:lin ang="5400000"/>
                          </a:gradFill>
                          <a:ln w="12600">
                            <a:solidFill>
                              <a:srgbClr val="95b3d7"/>
                            </a:solidFill>
                            <a:miter/>
                          </a:ln>
                        </wps:spPr>
                        <wps:txbx>
                          <w:txbxContent>
                            <w:p>
                              <w:pPr>
                                <w:bidi w:val="0"/>
                                <w:spacing w:before="0" w:after="120"/>
                                <w:jc w:val="center"/>
                                <w:rPr/>
                              </w:pPr>
                              <w:r>
                                <w:rPr>
                                  <w:sz w:val="20"/>
                                  <w:szCs w:val="22"/>
                                  <w:rFonts w:ascii="Calibri" w:hAnsi="Calibri" w:eastAsia="Calibri" w:cs="Times New Roman"/>
                                  <w:color w:val="auto"/>
                                  <w:lang w:val="en-CA" w:bidi="ar-SA"/>
                                </w:rPr>
                                <w:t>#4</w:t>
                              </w:r>
                            </w:p>
                            <w:p>
                              <w:pPr>
                                <w:bidi w:val="0"/>
                                <w:spacing w:before="0" w:after="120"/>
                                <w:jc w:val="center"/>
                                <w:rPr/>
                              </w:pPr>
                              <w:r>
                                <w:rPr>
                                  <w:sz w:val="18"/>
                                  <w:szCs w:val="22"/>
                                  <w:rFonts w:ascii="Calibri" w:hAnsi="Calibri" w:eastAsia="Calibri" w:cs="Times New Roman"/>
                                  <w:color w:val="auto"/>
                                  <w:lang w:val="en-CA" w:bidi="ar-SA"/>
                                </w:rPr>
                                <w:t>Research Excellence</w:t>
                              </w:r>
                            </w:p>
                          </w:txbxContent>
                        </wps:txbx>
                        <wps:bodyPr wrap="square">
                          <a:noAutofit/>
                        </wps:bodyPr>
                      </wps:wsp>
                      <wps:wsp>
                        <wps:cNvSpPr txBox="1"/>
                        <wps:spPr>
                          <a:xfrm>
                            <a:off x="4029120" y="4298400"/>
                            <a:ext cx="711720" cy="767880"/>
                          </a:xfrm>
                          <a:prstGeom prst="rect">
                            <a:avLst/>
                          </a:prstGeom>
                          <a:gradFill>
                            <a:gsLst>
                              <a:gs pos="0">
                                <a:srgbClr val="ffffff"/>
                              </a:gs>
                              <a:gs pos="100000">
                                <a:srgbClr val="b8cce4"/>
                              </a:gs>
                            </a:gsLst>
                            <a:lin ang="5400000"/>
                          </a:gradFill>
                          <a:ln w="12600">
                            <a:solidFill>
                              <a:srgbClr val="95b3d7"/>
                            </a:solidFill>
                            <a:miter/>
                          </a:ln>
                        </wps:spPr>
                        <wps:txbx>
                          <w:txbxContent>
                            <w:p>
                              <w:pPr>
                                <w:bidi w:val="0"/>
                                <w:spacing w:before="0" w:after="120"/>
                                <w:jc w:val="center"/>
                                <w:rPr/>
                              </w:pPr>
                              <w:r>
                                <w:rPr>
                                  <w:sz w:val="20"/>
                                  <w:szCs w:val="22"/>
                                  <w:rFonts w:ascii="Calibri" w:hAnsi="Calibri" w:eastAsia="Calibri" w:cs="Times New Roman"/>
                                  <w:color w:val="auto"/>
                                  <w:lang w:val="en-CA" w:bidi="ar-SA"/>
                                </w:rPr>
                                <w:t>#5</w:t>
                              </w:r>
                            </w:p>
                            <w:p>
                              <w:pPr>
                                <w:bidi w:val="0"/>
                                <w:spacing w:before="0" w:after="120"/>
                                <w:jc w:val="center"/>
                                <w:rPr/>
                              </w:pPr>
                              <w:r>
                                <w:rPr>
                                  <w:sz w:val="18"/>
                                  <w:szCs w:val="22"/>
                                  <w:rFonts w:ascii="Calibri" w:hAnsi="Calibri" w:eastAsia="Calibri" w:cs="Times New Roman"/>
                                  <w:color w:val="auto"/>
                                  <w:lang w:val="en-CA" w:bidi="ar-SA"/>
                                </w:rPr>
                                <w:t>Quality Health Care</w:t>
                              </w:r>
                            </w:p>
                          </w:txbxContent>
                        </wps:txbx>
                        <wps:bodyPr wrap="square">
                          <a:noAutofit/>
                        </wps:bodyPr>
                      </wps:wsp>
                      <wps:wsp>
                        <wps:cNvSpPr txBox="1"/>
                        <wps:spPr>
                          <a:xfrm>
                            <a:off x="4741560" y="4298400"/>
                            <a:ext cx="818640" cy="767880"/>
                          </a:xfrm>
                          <a:prstGeom prst="rect">
                            <a:avLst/>
                          </a:prstGeom>
                          <a:gradFill>
                            <a:gsLst>
                              <a:gs pos="0">
                                <a:srgbClr val="ffffff"/>
                              </a:gs>
                              <a:gs pos="100000">
                                <a:srgbClr val="b8cce4"/>
                              </a:gs>
                            </a:gsLst>
                            <a:lin ang="5400000"/>
                          </a:gradFill>
                          <a:ln w="12600">
                            <a:solidFill>
                              <a:srgbClr val="95b3d7"/>
                            </a:solidFill>
                            <a:miter/>
                          </a:ln>
                        </wps:spPr>
                        <wps:txbx>
                          <w:txbxContent>
                            <w:p>
                              <w:pPr>
                                <w:bidi w:val="0"/>
                                <w:spacing w:before="0" w:after="120"/>
                                <w:jc w:val="center"/>
                                <w:rPr/>
                              </w:pPr>
                              <w:r>
                                <w:rPr>
                                  <w:sz w:val="20"/>
                                  <w:szCs w:val="22"/>
                                  <w:rFonts w:ascii="Calibri" w:hAnsi="Calibri" w:eastAsia="Calibri" w:cs="Times New Roman"/>
                                  <w:color w:val="auto"/>
                                  <w:lang w:val="en-CA" w:bidi="ar-SA"/>
                                </w:rPr>
                                <w:t>#6</w:t>
                              </w:r>
                            </w:p>
                            <w:p>
                              <w:pPr>
                                <w:bidi w:val="0"/>
                                <w:spacing w:before="0" w:after="120"/>
                                <w:jc w:val="center"/>
                                <w:rPr/>
                              </w:pPr>
                              <w:r>
                                <w:rPr>
                                  <w:sz w:val="18"/>
                                  <w:szCs w:val="22"/>
                                  <w:rFonts w:ascii="Calibri" w:hAnsi="Calibri" w:eastAsia="Calibri" w:cs="Times New Roman"/>
                                  <w:color w:val="auto"/>
                                  <w:lang w:val="en-CA" w:bidi="ar-SA"/>
                                </w:rPr>
                                <w:t xml:space="preserve">Effective Governance </w:t>
                              </w:r>
                            </w:p>
                          </w:txbxContent>
                        </wps:txbx>
                        <wps:bodyPr wrap="square">
                          <a:noAutofit/>
                        </wps:bodyPr>
                      </wps:wsp>
                      <wps:wsp>
                        <wps:cNvSpPr txBox="1"/>
                        <wps:spPr>
                          <a:xfrm>
                            <a:off x="5572800" y="4298400"/>
                            <a:ext cx="818640" cy="767880"/>
                          </a:xfrm>
                          <a:prstGeom prst="rect">
                            <a:avLst/>
                          </a:prstGeom>
                          <a:gradFill>
                            <a:gsLst>
                              <a:gs pos="0">
                                <a:srgbClr val="ffffff"/>
                              </a:gs>
                              <a:gs pos="100000">
                                <a:srgbClr val="b8cce4"/>
                              </a:gs>
                            </a:gsLst>
                            <a:lin ang="5400000"/>
                          </a:gradFill>
                          <a:ln w="12600">
                            <a:solidFill>
                              <a:srgbClr val="95b3d7"/>
                            </a:solidFill>
                            <a:miter/>
                          </a:ln>
                        </wps:spPr>
                        <wps:txbx>
                          <w:txbxContent>
                            <w:p>
                              <w:pPr>
                                <w:bidi w:val="0"/>
                                <w:spacing w:before="0" w:after="120"/>
                                <w:jc w:val="center"/>
                                <w:rPr/>
                              </w:pPr>
                              <w:r>
                                <w:rPr>
                                  <w:sz w:val="20"/>
                                  <w:szCs w:val="22"/>
                                  <w:rFonts w:ascii="Calibri" w:hAnsi="Calibri" w:eastAsia="Calibri" w:cs="Times New Roman"/>
                                  <w:color w:val="auto"/>
                                  <w:lang w:val="en-CA" w:bidi="ar-SA"/>
                                </w:rPr>
                                <w:t>#7</w:t>
                              </w:r>
                            </w:p>
                            <w:p>
                              <w:pPr>
                                <w:bidi w:val="0"/>
                                <w:spacing w:before="0" w:after="120"/>
                                <w:jc w:val="center"/>
                                <w:rPr/>
                              </w:pPr>
                              <w:r>
                                <w:rPr>
                                  <w:sz w:val="18"/>
                                  <w:szCs w:val="22"/>
                                  <w:rFonts w:ascii="Calibri" w:hAnsi="Calibri" w:eastAsia="Calibri" w:cs="Times New Roman"/>
                                  <w:color w:val="auto"/>
                                  <w:lang w:val="en-CA" w:bidi="ar-SA"/>
                                </w:rPr>
                                <w:t>Innovation in Health care delivery</w:t>
                              </w:r>
                            </w:p>
                          </w:txbxContent>
                        </wps:txbx>
                        <wps:bodyPr wrap="square">
                          <a:noAutofit/>
                        </wps:bodyPr>
                      </wps:wsp>
                    </wpg:wgp>
                  </a:graphicData>
                </a:graphic>
              </wp:anchor>
            </w:drawing>
          </mc:Choice>
          <mc:Fallback>
            <w:pict>
              <v:group id="shape_0" style="position:absolute;margin-left:-6.05pt;margin-top:2.75pt;width:503.3pt;height:398.9pt" coordorigin="-121,55" coordsize="10066,7978">
                <v:shapetype id="shapetype_202" coordsize="21600,21600" o:spt="202" path="m,l,21600l21600,21600l21600,xe">
                  <v:stroke joinstyle="miter"/>
                  <v:path gradientshapeok="t" o:connecttype="rect"/>
                </v:shapetype>
                <v:shape id="shape_0" fillcolor="#95b3d7" stroked="t" style="position:absolute;left:1;top:55;width:9943;height:445" type="shapetype_202">
                  <v:textbox>
                    <w:txbxContent>
                      <w:p>
                        <w:pPr>
                          <w:bidi w:val="0"/>
                          <w:spacing w:before="0" w:after="120"/>
                          <w:jc w:val="center"/>
                          <w:rPr/>
                        </w:pPr>
                        <w:r>
                          <w:rPr>
                            <w:sz w:val="22"/>
                            <w:szCs w:val="22"/>
                            <w:rFonts w:ascii="Calibri" w:hAnsi="Calibri" w:eastAsia="Calibri" w:cs="Times New Roman"/>
                            <w:color w:val="auto"/>
                            <w:lang w:val="en-CA" w:bidi="ar-SA"/>
                          </w:rPr>
                          <w:t>Funding Sources</w:t>
                        </w:r>
                      </w:p>
                    </w:txbxContent>
                  </v:textbox>
                  <w10:wrap type="square"/>
                  <v:fill color2="#dbe5f1" o:detectmouseclick="t"/>
                  <v:stroke color="#95b3d7" weight="12600" joinstyle="miter" endcap="square"/>
                  <v:shadow on="t" obscured="f" color="#243f60"/>
                </v:shape>
                <v:shape id="shape_0" fillcolor="#95b3d7" stroked="t" style="position:absolute;left:1;top:613;width:1535;height:1115" type="shapetype_202">
                  <v:textbox>
                    <w:txbxContent>
                      <w:p>
                        <w:pPr>
                          <w:bidi w:val="0"/>
                          <w:spacing w:before="0" w:after="120"/>
                          <w:jc w:val="center"/>
                          <w:rPr/>
                        </w:pPr>
                        <w:r>
                          <w:rPr>
                            <w:sz w:val="20"/>
                            <w:szCs w:val="22"/>
                            <w:rFonts w:ascii="Calibri" w:hAnsi="Calibri" w:eastAsia="Calibri" w:cs="Times New Roman"/>
                            <w:color w:val="auto"/>
                            <w:lang w:val="en-CA" w:bidi="ar-SA"/>
                          </w:rPr>
                          <w:t>Alberta Advanced Education</w:t>
                        </w:r>
                      </w:p>
                    </w:txbxContent>
                  </v:textbox>
                  <w10:wrap type="square"/>
                  <v:fill color2="#dbe5f1" o:detectmouseclick="t"/>
                  <v:stroke color="#95b3d7" weight="12600" joinstyle="miter" endcap="square"/>
                  <v:shadow on="t" obscured="f" color="#243f60"/>
                </v:shape>
                <v:shape id="shape_0" fillcolor="#95b3d7" stroked="t" style="position:absolute;left:1634;top:613;width:1535;height:1115" type="shapetype_202">
                  <v:textbox>
                    <w:txbxContent>
                      <w:p>
                        <w:pPr>
                          <w:bidi w:val="0"/>
                          <w:spacing w:before="240" w:after="120"/>
                          <w:jc w:val="center"/>
                          <w:rPr/>
                        </w:pPr>
                        <w:r>
                          <w:rPr>
                            <w:sz w:val="20"/>
                            <w:szCs w:val="22"/>
                            <w:rFonts w:ascii="Calibri" w:hAnsi="Calibri" w:eastAsia="Calibri" w:cs="Times New Roman"/>
                            <w:color w:val="auto"/>
                            <w:lang w:val="en-CA" w:bidi="ar-SA"/>
                          </w:rPr>
                          <w:t>Alberta Health &amp; Wellness</w:t>
                        </w:r>
                      </w:p>
                    </w:txbxContent>
                  </v:textbox>
                  <w10:wrap type="square"/>
                  <v:fill color2="#dbe5f1" o:detectmouseclick="t"/>
                  <v:stroke color="#95b3d7" weight="12600" joinstyle="miter" endcap="square"/>
                  <v:shadow on="t" obscured="f" color="#243f60"/>
                </v:shape>
                <v:shape id="shape_0" fillcolor="#95b3d7" stroked="t" style="position:absolute;left:3290;top:613;width:1535;height:1115" type="shapetype_202">
                  <v:textbox>
                    <w:txbxContent>
                      <w:p>
                        <w:pPr>
                          <w:bidi w:val="0"/>
                          <w:spacing w:before="0" w:after="120"/>
                          <w:jc w:val="center"/>
                          <w:rPr/>
                        </w:pPr>
                        <w:r>
                          <w:rPr>
                            <w:sz w:val="20"/>
                            <w:szCs w:val="22"/>
                            <w:rFonts w:ascii="Calibri" w:hAnsi="Calibri" w:eastAsia="Calibri" w:cs="Times New Roman"/>
                            <w:color w:val="auto"/>
                            <w:lang w:val="en-CA" w:bidi="ar-SA"/>
                          </w:rPr>
                          <w:t>Alberta Medical Association</w:t>
                        </w:r>
                      </w:p>
                    </w:txbxContent>
                  </v:textbox>
                  <w10:wrap type="square"/>
                  <v:fill color2="#dbe5f1" o:detectmouseclick="t"/>
                  <v:stroke color="#95b3d7" weight="12600" joinstyle="miter" endcap="square"/>
                  <v:shadow on="t" obscured="f" color="#243f60"/>
                </v:shape>
                <v:shape id="shape_0" fillcolor="#95b3d7" stroked="t" style="position:absolute;left:8409;top:613;width:1535;height:1115" type="shapetype_202">
                  <v:textbox>
                    <w:txbxContent>
                      <w:p>
                        <w:pPr>
                          <w:bidi w:val="0"/>
                          <w:spacing w:before="240" w:after="120"/>
                          <w:jc w:val="center"/>
                          <w:rPr/>
                        </w:pPr>
                        <w:r>
                          <w:rPr>
                            <w:sz w:val="20"/>
                            <w:szCs w:val="22"/>
                            <w:rFonts w:ascii="Calibri" w:hAnsi="Calibri" w:eastAsia="Calibri" w:cs="Times New Roman"/>
                            <w:color w:val="auto"/>
                            <w:lang w:val="en-CA" w:bidi="ar-SA"/>
                          </w:rPr>
                          <w:t>Grant Agencies</w:t>
                        </w:r>
                      </w:p>
                    </w:txbxContent>
                  </v:textbox>
                  <w10:wrap type="square"/>
                  <v:fill color2="#dbe5f1" o:detectmouseclick="t"/>
                  <v:stroke color="#95b3d7" weight="12600" joinstyle="miter" endcap="square"/>
                  <v:shadow on="t" obscured="f" color="#243f60"/>
                </v:shape>
                <v:shape id="shape_0" fillcolor="#95b3d7" stroked="t" style="position:absolute;left:6719;top:613;width:1535;height:1115" type="shapetype_202">
                  <v:textbox>
                    <w:txbxContent>
                      <w:p>
                        <w:pPr>
                          <w:bidi w:val="0"/>
                          <w:spacing w:before="0" w:after="120"/>
                          <w:jc w:val="center"/>
                          <w:rPr/>
                        </w:pPr>
                        <w:r>
                          <w:rPr>
                            <w:sz w:val="20"/>
                            <w:szCs w:val="22"/>
                            <w:rFonts w:ascii="Calibri" w:hAnsi="Calibri" w:eastAsia="Calibri" w:cs="Times New Roman"/>
                            <w:color w:val="auto"/>
                            <w:lang w:val="en-CA" w:bidi="ar-SA"/>
                          </w:rPr>
                          <w:t>Capital Health Region  Calgary Health Region</w:t>
                        </w:r>
                      </w:p>
                    </w:txbxContent>
                  </v:textbox>
                  <w10:wrap type="square"/>
                  <v:fill color2="#dbe5f1" o:detectmouseclick="t"/>
                  <v:stroke color="#95b3d7" weight="12600" joinstyle="miter" endcap="square"/>
                  <v:shadow on="t" obscured="f" color="#243f60"/>
                </v:shape>
                <v:shape id="shape_0" fillcolor="#95b3d7" stroked="t" style="position:absolute;left:5024;top:613;width:1535;height:1115" type="shapetype_202">
                  <v:textbox>
                    <w:txbxContent>
                      <w:p>
                        <w:pPr>
                          <w:bidi w:val="0"/>
                          <w:spacing w:before="0" w:after="120"/>
                          <w:jc w:val="center"/>
                          <w:rPr/>
                        </w:pPr>
                        <w:r>
                          <w:rPr>
                            <w:sz w:val="20"/>
                            <w:szCs w:val="22"/>
                            <w:rFonts w:ascii="Calibri" w:hAnsi="Calibri" w:eastAsia="Calibri" w:cs="Times New Roman"/>
                            <w:color w:val="auto"/>
                            <w:lang w:val="en-CA" w:bidi="ar-SA"/>
                          </w:rPr>
                          <w:t>University of Alberta &amp; University of Calgary</w:t>
                        </w:r>
                      </w:p>
                    </w:txbxContent>
                  </v:textbox>
                  <w10:wrap type="square"/>
                  <v:fill color2="#dbe5f1" o:detectmouseclick="t"/>
                  <v:stroke color="#95b3d7" weight="12600" joinstyle="miter" endcap="square"/>
                  <v:shadow on="t" obscured="f" color="#243f60"/>
                </v:shape>
                <v:shape id="shape_0" fillcolor="white" stroked="f" style="position:absolute;left:3101;top:2206;width:3717;height:546" type="shapetype_202">
                  <v:textbox>
                    <w:txbxContent>
                      <w:p>
                        <w:pPr>
                          <w:bidi w:val="0"/>
                          <w:spacing w:before="0" w:after="120"/>
                          <w:jc w:val="center"/>
                          <w:rPr/>
                        </w:pPr>
                        <w:r>
                          <w:rPr>
                            <w:sz w:val="22"/>
                            <w:szCs w:val="22"/>
                            <w:rFonts w:ascii="Calibri" w:hAnsi="Calibri" w:eastAsia="Calibri" w:cs="Times New Roman"/>
                            <w:color w:val="auto"/>
                            <w:lang w:val="en-CA" w:bidi="ar-SA"/>
                          </w:rPr>
                          <w:t>Funding &amp; Plan</w:t>
                        </w:r>
                      </w:p>
                    </w:txbxContent>
                  </v:textbox>
                  <w10:wrap type="square"/>
                  <v:fill type="solid" color2="black" o:detectmouseclick="t"/>
                  <v:stroke color="#3465a4" joinstyle="round" endcap="flat"/>
                </v:shape>
                <v:shape id="shape_0" fillcolor="white" stroked="f" style="position:absolute;left:0;top:2206;width:1016;height:390" type="shapetype_202">
                  <v:textbox>
                    <w:txbxContent>
                      <w:p>
                        <w:pPr>
                          <w:bidi w:val="0"/>
                          <w:spacing w:before="0" w:after="120"/>
                          <w:rPr/>
                        </w:pPr>
                        <w:r>
                          <w:rPr>
                            <w:sz w:val="22"/>
                            <w:b/>
                            <w:szCs w:val="22"/>
                            <w:rFonts w:ascii="Calibri" w:hAnsi="Calibri" w:eastAsia="Calibri" w:cs="Times New Roman"/>
                            <w:color w:val="auto"/>
                            <w:lang w:val="en-CA" w:bidi="ar-SA"/>
                          </w:rPr>
                          <w:t>Inputs</w:t>
                        </w:r>
                      </w:p>
                    </w:txbxContent>
                  </v:textbox>
                  <w10:wrap type="square"/>
                  <v:fill type="solid" color2="black" o:detectmouseclick="t"/>
                  <v:stroke color="#3465a4" joinstyle="round" endcap="flat"/>
                </v:shape>
                <v:shape id="shape_0" fillcolor="white" stroked="t" style="position:absolute;left:1151;top:3033;width:4328;height:791" type="shapetype_202">
                  <v:textbox>
                    <w:txbxContent>
                      <w:p>
                        <w:pPr>
                          <w:bidi w:val="0"/>
                          <w:spacing w:before="0" w:after="120"/>
                          <w:jc w:val="center"/>
                          <w:rPr/>
                        </w:pPr>
                        <w:r>
                          <w:rPr>
                            <w:sz w:val="20"/>
                            <w:b/>
                            <w:szCs w:val="22"/>
                            <w:rFonts w:ascii="Calibri" w:hAnsi="Calibri" w:eastAsia="Calibri" w:cs="Times New Roman"/>
                            <w:color w:val="auto"/>
                            <w:lang w:val="en-CA" w:bidi="ar-SA"/>
                          </w:rPr>
                          <w:t>Edmonton*</w:t>
                        </w:r>
                      </w:p>
                      <w:p>
                        <w:pPr>
                          <w:bidi w:val="0"/>
                          <w:spacing w:before="0" w:after="120"/>
                          <w:jc w:val="center"/>
                          <w:rPr/>
                        </w:pPr>
                        <w:r>
                          <w:rPr>
                            <w:sz w:val="20"/>
                            <w:szCs w:val="22"/>
                            <w:rFonts w:ascii="Calibri" w:hAnsi="Calibri" w:eastAsia="Calibri" w:cs="Times New Roman"/>
                            <w:color w:val="auto"/>
                            <w:lang w:val="en-CA" w:bidi="ar-SA"/>
                          </w:rPr>
                          <w:t>100 FTE’s in 12 divisions</w:t>
                        </w:r>
                      </w:p>
                    </w:txbxContent>
                  </v:textbox>
                  <w10:wrap type="square"/>
                  <v:fill type="solid" color2="black" o:detectmouseclick="t"/>
                  <v:stroke color="#9bbb59" weight="31680" joinstyle="miter" endcap="square"/>
                </v:shape>
                <v:shape id="shape_0" fillcolor="white" stroked="t" style="position:absolute;left:5511;top:3033;width:4412;height:791" type="shapetype_202">
                  <v:textbox>
                    <w:txbxContent>
                      <w:p>
                        <w:pPr>
                          <w:bidi w:val="0"/>
                          <w:spacing w:before="0" w:after="120"/>
                          <w:jc w:val="center"/>
                          <w:rPr/>
                        </w:pPr>
                        <w:r>
                          <w:rPr>
                            <w:sz w:val="20"/>
                            <w:b/>
                            <w:szCs w:val="22"/>
                            <w:rFonts w:ascii="Calibri" w:hAnsi="Calibri" w:eastAsia="Calibri" w:cs="Times New Roman"/>
                            <w:color w:val="auto"/>
                            <w:lang w:val="en-CA" w:bidi="ar-SA"/>
                          </w:rPr>
                          <w:t>Calgary*</w:t>
                        </w:r>
                      </w:p>
                      <w:p>
                        <w:pPr>
                          <w:bidi w:val="0"/>
                          <w:spacing w:before="0" w:after="120"/>
                          <w:jc w:val="center"/>
                          <w:rPr/>
                        </w:pPr>
                        <w:r>
                          <w:rPr>
                            <w:sz w:val="20"/>
                            <w:szCs w:val="22"/>
                            <w:rFonts w:ascii="Calibri" w:hAnsi="Calibri" w:eastAsia="Calibri" w:cs="Times New Roman"/>
                            <w:color w:val="auto"/>
                            <w:lang w:val="en-CA" w:bidi="ar-SA"/>
                          </w:rPr>
                          <w:t>149 FTE’s in 11 divisions</w:t>
                        </w:r>
                      </w:p>
                    </w:txbxContent>
                  </v:textbox>
                  <w10:wrap type="square"/>
                  <v:fill type="solid" color2="black" o:detectmouseclick="t"/>
                  <v:stroke color="#c0504d" weight="31680" joinstyle="miter" endcap="square"/>
                </v:shape>
                <v:shape id="shape_0" fillcolor="white" stroked="t" style="position:absolute;left:1151;top:3820;width:1022;height:792" type="shapetype_202">
                  <v:textbox>
                    <w:txbxContent>
                      <w:p>
                        <w:pPr>
                          <w:bidi w:val="0"/>
                          <w:spacing w:before="0" w:after="120"/>
                          <w:jc w:val="center"/>
                          <w:rPr/>
                        </w:pPr>
                        <w:r>
                          <w:rPr>
                            <w:sz w:val="20"/>
                            <w:b/>
                            <w:szCs w:val="20"/>
                            <w:rFonts w:ascii="Calibri" w:hAnsi="Calibri" w:eastAsia="Calibri" w:cs="Times New Roman"/>
                            <w:color w:val="auto"/>
                            <w:lang w:val="en-CA" w:bidi="ar-SA"/>
                          </w:rPr>
                          <w:t>Clinical</w:t>
                        </w:r>
                      </w:p>
                      <w:p>
                        <w:pPr>
                          <w:bidi w:val="0"/>
                          <w:spacing w:before="0" w:after="120"/>
                          <w:jc w:val="center"/>
                          <w:rPr/>
                        </w:pPr>
                        <w:r>
                          <w:rPr>
                            <w:sz w:val="20"/>
                            <w:szCs w:val="20"/>
                            <w:rFonts w:ascii="Calibri" w:hAnsi="Calibri" w:eastAsia="Calibri" w:cs="Times New Roman"/>
                            <w:color w:val="auto"/>
                            <w:lang w:val="en-CA" w:bidi="ar-SA"/>
                          </w:rPr>
                          <w:t>35%</w:t>
                        </w:r>
                      </w:p>
                    </w:txbxContent>
                  </v:textbox>
                  <w10:wrap type="square"/>
                  <v:fill type="solid" color2="black" o:detectmouseclick="t"/>
                  <v:stroke color="#9bbb59" weight="31680" joinstyle="miter" endcap="square"/>
                </v:shape>
                <v:shape id="shape_0" fillcolor="white" stroked="t" style="position:absolute;left:5512;top:3826;width:1049;height:789" type="shapetype_202">
                  <v:textbox>
                    <w:txbxContent>
                      <w:p>
                        <w:pPr>
                          <w:bidi w:val="0"/>
                          <w:spacing w:before="0" w:after="120"/>
                          <w:jc w:val="center"/>
                          <w:rPr/>
                        </w:pPr>
                        <w:r>
                          <w:rPr>
                            <w:sz w:val="20"/>
                            <w:b/>
                            <w:szCs w:val="20"/>
                            <w:rFonts w:ascii="Calibri" w:hAnsi="Calibri" w:eastAsia="Calibri" w:cs="Times New Roman"/>
                            <w:color w:val="auto"/>
                            <w:lang w:val="en-CA" w:bidi="ar-SA"/>
                          </w:rPr>
                          <w:t>Clinical</w:t>
                        </w:r>
                      </w:p>
                      <w:p>
                        <w:pPr>
                          <w:bidi w:val="0"/>
                          <w:spacing w:before="0" w:after="120"/>
                          <w:jc w:val="center"/>
                          <w:rPr/>
                        </w:pPr>
                        <w:r>
                          <w:rPr>
                            <w:sz w:val="20"/>
                            <w:szCs w:val="20"/>
                            <w:rFonts w:ascii="Calibri" w:hAnsi="Calibri" w:eastAsia="Calibri" w:cs="Times New Roman"/>
                            <w:color w:val="auto"/>
                            <w:lang w:val="en-CA" w:bidi="ar-SA"/>
                          </w:rPr>
                          <w:t>48%</w:t>
                        </w:r>
                      </w:p>
                    </w:txbxContent>
                  </v:textbox>
                  <w10:wrap type="square"/>
                  <v:fill type="solid" color2="black" o:detectmouseclick="t"/>
                  <v:stroke color="#c0504d" weight="31680" joinstyle="miter" endcap="square"/>
                </v:shape>
                <v:shape id="shape_0" fillcolor="white" stroked="t" style="position:absolute;left:8875;top:3824;width:1049;height:791" type="shapetype_202">
                  <v:textbox>
                    <w:txbxContent>
                      <w:p>
                        <w:pPr>
                          <w:bidi w:val="0"/>
                          <w:spacing w:before="0" w:after="120"/>
                          <w:jc w:val="center"/>
                          <w:rPr/>
                        </w:pPr>
                        <w:r>
                          <w:rPr>
                            <w:sz w:val="20"/>
                            <w:b/>
                            <w:szCs w:val="22"/>
                            <w:rFonts w:ascii="Calibri" w:hAnsi="Calibri" w:eastAsia="Calibri" w:cs="Times New Roman"/>
                            <w:color w:val="auto"/>
                            <w:lang w:val="en-CA" w:bidi="ar-SA"/>
                          </w:rPr>
                          <w:t>Admin</w:t>
                        </w:r>
                      </w:p>
                      <w:p>
                        <w:pPr>
                          <w:bidi w:val="0"/>
                          <w:spacing w:before="0" w:after="120"/>
                          <w:jc w:val="center"/>
                          <w:rPr/>
                        </w:pPr>
                        <w:r>
                          <w:rPr>
                            <w:sz w:val="22"/>
                            <w:szCs w:val="22"/>
                            <w:rFonts w:ascii="Calibri" w:hAnsi="Calibri" w:eastAsia="Calibri" w:cs="Times New Roman"/>
                            <w:color w:val="auto"/>
                            <w:lang w:val="en-CA" w:bidi="ar-SA"/>
                          </w:rPr>
                          <w:t>13%</w:t>
                        </w:r>
                      </w:p>
                    </w:txbxContent>
                  </v:textbox>
                  <w10:wrap type="square"/>
                  <v:fill type="solid" color2="black" o:detectmouseclick="t"/>
                  <v:stroke color="#c0504d" weight="31680" joinstyle="miter" endcap="square"/>
                </v:shape>
                <v:shape id="shape_0" fillcolor="white" stroked="t" style="position:absolute;left:7757;top:3842;width:1116;height:778" type="shapetype_202">
                  <v:textbox>
                    <w:txbxContent>
                      <w:p>
                        <w:pPr>
                          <w:bidi w:val="0"/>
                          <w:spacing w:before="0" w:after="120"/>
                          <w:jc w:val="center"/>
                          <w:rPr/>
                        </w:pPr>
                        <w:r>
                          <w:rPr>
                            <w:sz w:val="20"/>
                            <w:b/>
                            <w:szCs w:val="20"/>
                            <w:rFonts w:ascii="Calibri" w:hAnsi="Calibri" w:eastAsia="Calibri" w:cs="Times New Roman"/>
                            <w:color w:val="auto"/>
                            <w:lang w:val="en-CA" w:bidi="ar-SA"/>
                          </w:rPr>
                          <w:t>Research</w:t>
                        </w:r>
                      </w:p>
                      <w:p>
                        <w:pPr>
                          <w:bidi w:val="0"/>
                          <w:spacing w:before="0" w:after="120"/>
                          <w:jc w:val="center"/>
                          <w:rPr/>
                        </w:pPr>
                        <w:r>
                          <w:rPr>
                            <w:sz w:val="20"/>
                            <w:szCs w:val="20"/>
                            <w:rFonts w:ascii="Calibri" w:hAnsi="Calibri" w:eastAsia="Calibri" w:cs="Times New Roman"/>
                            <w:color w:val="auto"/>
                            <w:lang w:val="en-CA" w:bidi="ar-SA"/>
                          </w:rPr>
                          <w:t>24%</w:t>
                        </w:r>
                      </w:p>
                    </w:txbxContent>
                  </v:textbox>
                  <w10:wrap type="square"/>
                  <v:fill type="solid" color2="black" o:detectmouseclick="t"/>
                  <v:stroke color="#c0504d" weight="31680" joinstyle="miter" endcap="square"/>
                </v:shape>
                <v:shape id="shape_0" fillcolor="white" stroked="t" style="position:absolute;left:6561;top:3824;width:1168;height:791" type="shapetype_202">
                  <v:textbox>
                    <w:txbxContent>
                      <w:p>
                        <w:pPr>
                          <w:bidi w:val="0"/>
                          <w:spacing w:before="0" w:after="120"/>
                          <w:jc w:val="center"/>
                          <w:rPr/>
                        </w:pPr>
                        <w:r>
                          <w:rPr>
                            <w:sz w:val="20"/>
                            <w:b/>
                            <w:szCs w:val="20"/>
                            <w:rFonts w:ascii="Calibri" w:hAnsi="Calibri" w:eastAsia="Calibri" w:cs="Times New Roman"/>
                            <w:color w:val="auto"/>
                            <w:lang w:val="en-CA" w:bidi="ar-SA"/>
                          </w:rPr>
                          <w:t>Teaching</w:t>
                        </w:r>
                      </w:p>
                      <w:p>
                        <w:pPr>
                          <w:bidi w:val="0"/>
                          <w:spacing w:before="0" w:after="120"/>
                          <w:jc w:val="center"/>
                          <w:rPr/>
                        </w:pPr>
                        <w:r>
                          <w:rPr>
                            <w:sz w:val="20"/>
                            <w:szCs w:val="20"/>
                            <w:rFonts w:ascii="Calibri" w:hAnsi="Calibri" w:eastAsia="Calibri" w:cs="Times New Roman"/>
                            <w:color w:val="auto"/>
                            <w:lang w:val="en-CA" w:bidi="ar-SA"/>
                          </w:rPr>
                          <w:t>15%</w:t>
                        </w:r>
                      </w:p>
                    </w:txbxContent>
                  </v:textbox>
                  <w10:wrap type="square"/>
                  <v:fill type="solid" color2="black" o:detectmouseclick="t"/>
                  <v:stroke color="#c0504d" weight="31680" joinstyle="miter" endcap="square"/>
                </v:shape>
                <v:shape id="shape_0" fillcolor="white" stroked="t" style="position:absolute;left:2192;top:3822;width:1106;height:792" type="shapetype_202">
                  <v:textbox>
                    <w:txbxContent>
                      <w:p>
                        <w:pPr>
                          <w:bidi w:val="0"/>
                          <w:spacing w:before="0" w:after="120"/>
                          <w:jc w:val="center"/>
                          <w:rPr/>
                        </w:pPr>
                        <w:r>
                          <w:rPr>
                            <w:sz w:val="18"/>
                            <w:b/>
                            <w:szCs w:val="22"/>
                            <w:rFonts w:ascii="Calibri" w:hAnsi="Calibri" w:eastAsia="Calibri" w:cs="Times New Roman"/>
                            <w:color w:val="auto"/>
                            <w:lang w:val="en-CA" w:bidi="ar-SA"/>
                          </w:rPr>
                          <w:t>Teaching</w:t>
                        </w:r>
                      </w:p>
                      <w:p>
                        <w:pPr>
                          <w:bidi w:val="0"/>
                          <w:spacing w:before="0" w:after="120"/>
                          <w:jc w:val="center"/>
                          <w:rPr/>
                        </w:pPr>
                        <w:r>
                          <w:rPr>
                            <w:sz w:val="20"/>
                            <w:szCs w:val="22"/>
                            <w:rFonts w:ascii="Calibri" w:hAnsi="Calibri" w:eastAsia="Calibri" w:cs="Times New Roman"/>
                            <w:color w:val="auto"/>
                            <w:lang w:val="en-CA" w:bidi="ar-SA"/>
                          </w:rPr>
                          <w:t>22%</w:t>
                        </w:r>
                      </w:p>
                    </w:txbxContent>
                  </v:textbox>
                  <w10:wrap type="square"/>
                  <v:fill type="solid" color2="black" o:detectmouseclick="t"/>
                  <v:stroke color="#9bbb59" weight="31680" joinstyle="miter" endcap="square"/>
                </v:shape>
                <v:shape id="shape_0" fillcolor="white" stroked="t" style="position:absolute;left:3300;top:3822;width:1107;height:792" type="shapetype_202">
                  <v:textbox>
                    <w:txbxContent>
                      <w:p>
                        <w:pPr>
                          <w:bidi w:val="0"/>
                          <w:spacing w:before="0" w:after="120"/>
                          <w:jc w:val="center"/>
                          <w:rPr/>
                        </w:pPr>
                        <w:r>
                          <w:rPr>
                            <w:sz w:val="20"/>
                            <w:b/>
                            <w:szCs w:val="20"/>
                            <w:rFonts w:ascii="Calibri" w:hAnsi="Calibri" w:eastAsia="Calibri" w:cs="Times New Roman"/>
                            <w:color w:val="auto"/>
                            <w:lang w:val="en-CA" w:bidi="ar-SA"/>
                          </w:rPr>
                          <w:t>Research</w:t>
                        </w:r>
                      </w:p>
                      <w:p>
                        <w:pPr>
                          <w:bidi w:val="0"/>
                          <w:spacing w:before="0" w:after="120"/>
                          <w:jc w:val="center"/>
                          <w:rPr/>
                        </w:pPr>
                        <w:r>
                          <w:rPr>
                            <w:sz w:val="20"/>
                            <w:szCs w:val="20"/>
                            <w:rFonts w:ascii="Calibri" w:hAnsi="Calibri" w:eastAsia="Calibri" w:cs="Times New Roman"/>
                            <w:color w:val="auto"/>
                            <w:lang w:val="en-CA" w:bidi="ar-SA"/>
                          </w:rPr>
                          <w:t>29%</w:t>
                        </w:r>
                      </w:p>
                    </w:txbxContent>
                  </v:textbox>
                  <w10:wrap type="square"/>
                  <v:fill type="solid" color2="black" o:detectmouseclick="t"/>
                  <v:stroke color="#9bbb59" weight="31680" joinstyle="miter" endcap="square"/>
                </v:shape>
                <v:shape id="shape_0" fillcolor="white" stroked="t" style="position:absolute;left:4408;top:3824;width:1072;height:789" type="shapetype_202">
                  <v:textbox>
                    <w:txbxContent>
                      <w:p>
                        <w:pPr>
                          <w:bidi w:val="0"/>
                          <w:spacing w:before="0" w:after="120"/>
                          <w:jc w:val="center"/>
                          <w:rPr/>
                        </w:pPr>
                        <w:r>
                          <w:rPr>
                            <w:sz w:val="18"/>
                            <w:b/>
                            <w:szCs w:val="22"/>
                            <w:rFonts w:ascii="Calibri" w:hAnsi="Calibri" w:eastAsia="Calibri" w:cs="Times New Roman"/>
                            <w:color w:val="auto"/>
                            <w:lang w:val="en-CA" w:bidi="ar-SA"/>
                          </w:rPr>
                          <w:t>Admin</w:t>
                        </w:r>
                      </w:p>
                      <w:p>
                        <w:pPr>
                          <w:bidi w:val="0"/>
                          <w:spacing w:before="0" w:after="120"/>
                          <w:jc w:val="center"/>
                          <w:rPr/>
                        </w:pPr>
                        <w:r>
                          <w:rPr>
                            <w:sz w:val="20"/>
                            <w:szCs w:val="22"/>
                            <w:rFonts w:ascii="Calibri" w:hAnsi="Calibri" w:eastAsia="Calibri" w:cs="Times New Roman"/>
                            <w:color w:val="auto"/>
                            <w:lang w:val="en-CA" w:bidi="ar-SA"/>
                          </w:rPr>
                          <w:t>14%</w:t>
                        </w:r>
                      </w:p>
                    </w:txbxContent>
                  </v:textbox>
                  <w10:wrap type="square"/>
                  <v:fill type="solid" color2="black" o:detectmouseclick="t"/>
                  <v:stroke color="#9bbb59" weight="31680" joinstyle="miter" endcap="square"/>
                </v:shape>
                <v:shape id="shape_0" fillcolor="white" stroked="f" style="position:absolute;left:-99;top:3236;width:1016;height:390" type="shapetype_202">
                  <v:textbox>
                    <w:txbxContent>
                      <w:p>
                        <w:pPr>
                          <w:bidi w:val="0"/>
                          <w:spacing w:before="0" w:after="120"/>
                          <w:rPr/>
                        </w:pPr>
                        <w:r>
                          <w:rPr>
                            <w:sz w:val="22"/>
                            <w:b/>
                            <w:szCs w:val="22"/>
                            <w:rFonts w:ascii="Calibri" w:hAnsi="Calibri" w:eastAsia="Calibri" w:cs="Times New Roman"/>
                            <w:color w:val="auto"/>
                            <w:lang w:val="en-CA" w:bidi="ar-SA"/>
                          </w:rPr>
                          <w:t>Processes ss</w:t>
                        </w:r>
                      </w:p>
                    </w:txbxContent>
                  </v:textbox>
                  <w10:wrap type="square"/>
                  <v:fill type="solid" color2="black" o:detectmouseclick="t"/>
                  <v:stroke color="#3465a4" joinstyle="round" endcap="flat"/>
                </v:shape>
                <v:shape id="shape_0" fillcolor="white" stroked="f" style="position:absolute;left:-121;top:5523;width:1105;height:390" type="shapetype_202">
                  <v:textbox>
                    <w:txbxContent>
                      <w:p>
                        <w:pPr>
                          <w:bidi w:val="0"/>
                          <w:spacing w:before="0" w:after="120"/>
                          <w:rPr/>
                        </w:pPr>
                        <w:r>
                          <w:rPr>
                            <w:sz w:val="22"/>
                            <w:b/>
                            <w:szCs w:val="22"/>
                            <w:rFonts w:ascii="Calibri" w:hAnsi="Calibri" w:eastAsia="Calibri" w:cs="Times New Roman"/>
                            <w:color w:val="auto"/>
                            <w:lang w:val="en-CA" w:bidi="ar-SA"/>
                          </w:rPr>
                          <w:t>Outputss</w:t>
                        </w:r>
                      </w:p>
                    </w:txbxContent>
                  </v:textbox>
                  <w10:wrap type="square"/>
                  <v:fill type="solid" color2="black" o:detectmouseclick="t"/>
                  <v:stroke color="#3465a4" joinstyle="round" endcap="flat"/>
                </v:shape>
                <v:shape id="shape_0" fillcolor="white" stroked="t" style="position:absolute;left:1152;top:4819;width:1605;height:1305" type="shapetype_202">
                  <v:textbox>
                    <w:txbxContent>
                      <w:p>
                        <w:pPr>
                          <w:bidi w:val="0"/>
                          <w:spacing w:before="0" w:after="120"/>
                          <w:jc w:val="center"/>
                          <w:rPr/>
                        </w:pPr>
                        <w:r>
                          <w:rPr>
                            <w:sz w:val="20"/>
                            <w:szCs w:val="22"/>
                            <w:rFonts w:ascii="Calibri" w:hAnsi="Calibri" w:eastAsia="Calibri" w:cs="Times New Roman"/>
                            <w:color w:val="auto"/>
                            <w:lang w:val="en-CA" w:bidi="ar-SA"/>
                          </w:rPr>
                          <w:t>Inpatient Cases and days</w:t>
                        </w:r>
                      </w:p>
                      <w:p>
                        <w:pPr>
                          <w:bidi w:val="0"/>
                          <w:spacing w:before="0" w:after="120"/>
                          <w:jc w:val="center"/>
                          <w:rPr/>
                        </w:pPr>
                        <w:r>
                          <w:rPr>
                            <w:sz w:val="20"/>
                            <w:szCs w:val="22"/>
                            <w:rFonts w:ascii="Calibri" w:hAnsi="Calibri" w:eastAsia="Calibri" w:cs="Times New Roman"/>
                            <w:color w:val="auto"/>
                            <w:lang w:val="en-CA" w:bidi="ar-SA"/>
                          </w:rPr>
                          <w:t>Outpatient contacts etc</w:t>
                        </w:r>
                      </w:p>
                    </w:txbxContent>
                  </v:textbox>
                  <w10:wrap type="square"/>
                  <v:fill type="solid" color2="black" o:detectmouseclick="t"/>
                  <v:stroke color="black" weight="9360" joinstyle="miter" endcap="square"/>
                </v:shape>
                <v:shape id="shape_0" fillcolor="white" stroked="t" style="position:absolute;left:3418;top:4819;width:1605;height:1305" type="shapetype_202">
                  <v:textbox>
                    <w:txbxContent>
                      <w:p>
                        <w:pPr>
                          <w:bidi w:val="0"/>
                          <w:spacing w:before="0" w:after="120"/>
                          <w:jc w:val="center"/>
                          <w:rPr/>
                        </w:pPr>
                        <w:r>
                          <w:rPr>
                            <w:sz w:val="20"/>
                            <w:szCs w:val="22"/>
                            <w:rFonts w:ascii="Calibri" w:hAnsi="Calibri" w:eastAsia="Calibri" w:cs="Times New Roman"/>
                            <w:color w:val="auto"/>
                            <w:lang w:val="en-CA" w:bidi="ar-SA"/>
                          </w:rPr>
                          <w:t>Undergraduate &amp; Graduate Students Residents etc.</w:t>
                        </w:r>
                      </w:p>
                    </w:txbxContent>
                  </v:textbox>
                  <w10:wrap type="square"/>
                  <v:fill type="solid" color2="black" o:detectmouseclick="t"/>
                  <v:stroke color="black" weight="9360" joinstyle="miter" endcap="square"/>
                </v:shape>
                <v:shape id="shape_0" fillcolor="white" stroked="t" style="position:absolute;left:5889;top:4819;width:1605;height:1305" type="shapetype_202">
                  <v:textbox>
                    <w:txbxContent>
                      <w:p>
                        <w:pPr>
                          <w:bidi w:val="0"/>
                          <w:spacing w:before="0" w:after="120"/>
                          <w:jc w:val="center"/>
                          <w:rPr/>
                        </w:pPr>
                        <w:r>
                          <w:rPr>
                            <w:sz w:val="20"/>
                            <w:szCs w:val="22"/>
                            <w:rFonts w:ascii="Calibri" w:hAnsi="Calibri" w:eastAsia="Calibri" w:cs="Times New Roman"/>
                            <w:color w:val="auto"/>
                            <w:lang w:val="en-CA" w:bidi="ar-SA"/>
                          </w:rPr>
                          <w:t>Applications</w:t>
                        </w:r>
                      </w:p>
                      <w:p>
                        <w:pPr>
                          <w:bidi w:val="0"/>
                          <w:spacing w:before="0" w:after="120"/>
                          <w:jc w:val="center"/>
                          <w:rPr/>
                        </w:pPr>
                        <w:r>
                          <w:rPr>
                            <w:sz w:val="20"/>
                            <w:szCs w:val="22"/>
                            <w:rFonts w:ascii="Calibri" w:hAnsi="Calibri" w:eastAsia="Calibri" w:cs="Times New Roman"/>
                            <w:color w:val="auto"/>
                            <w:lang w:val="en-CA" w:bidi="ar-SA"/>
                          </w:rPr>
                          <w:t>Awards</w:t>
                        </w:r>
                      </w:p>
                      <w:p>
                        <w:pPr>
                          <w:bidi w:val="0"/>
                          <w:spacing w:before="0" w:after="120"/>
                          <w:jc w:val="center"/>
                          <w:rPr/>
                        </w:pPr>
                        <w:r>
                          <w:rPr>
                            <w:sz w:val="20"/>
                            <w:szCs w:val="22"/>
                            <w:rFonts w:ascii="Calibri" w:hAnsi="Calibri" w:eastAsia="Calibri" w:cs="Times New Roman"/>
                            <w:color w:val="auto"/>
                            <w:lang w:val="en-CA" w:bidi="ar-SA"/>
                          </w:rPr>
                          <w:t>Papers</w:t>
                        </w:r>
                      </w:p>
                    </w:txbxContent>
                  </v:textbox>
                  <w10:wrap type="square"/>
                  <v:fill type="solid" color2="black" o:detectmouseclick="t"/>
                  <v:stroke color="black" weight="9360" joinstyle="miter" endcap="square"/>
                </v:shape>
                <v:shape id="shape_0" fillcolor="white" stroked="t" style="position:absolute;left:8286;top:4819;width:1605;height:1305" type="shapetype_202">
                  <v:textbox>
                    <w:txbxContent>
                      <w:p>
                        <w:pPr>
                          <w:bidi w:val="0"/>
                          <w:spacing w:before="0" w:after="60"/>
                          <w:jc w:val="center"/>
                          <w:rPr/>
                        </w:pPr>
                        <w:r>
                          <w:rPr>
                            <w:sz w:val="20"/>
                            <w:szCs w:val="22"/>
                            <w:rFonts w:ascii="Calibri" w:hAnsi="Calibri" w:eastAsia="Calibri" w:cs="Times New Roman"/>
                            <w:color w:val="auto"/>
                            <w:lang w:val="en-CA" w:bidi="ar-SA"/>
                          </w:rPr>
                          <w:t>Governance</w:t>
                        </w:r>
                      </w:p>
                      <w:p>
                        <w:pPr>
                          <w:bidi w:val="0"/>
                          <w:spacing w:before="0" w:after="60"/>
                          <w:jc w:val="center"/>
                          <w:rPr/>
                        </w:pPr>
                        <w:r>
                          <w:rPr>
                            <w:sz w:val="20"/>
                            <w:szCs w:val="22"/>
                            <w:rFonts w:ascii="Calibri" w:hAnsi="Calibri" w:eastAsia="Calibri" w:cs="Times New Roman"/>
                            <w:color w:val="auto"/>
                            <w:lang w:val="en-CA" w:bidi="ar-SA"/>
                          </w:rPr>
                          <w:t>Financial</w:t>
                        </w:r>
                      </w:p>
                      <w:p>
                        <w:pPr>
                          <w:bidi w:val="0"/>
                          <w:spacing w:before="0" w:after="60"/>
                          <w:jc w:val="center"/>
                          <w:rPr/>
                        </w:pPr>
                        <w:r>
                          <w:rPr>
                            <w:sz w:val="20"/>
                            <w:szCs w:val="22"/>
                            <w:rFonts w:ascii="Calibri" w:hAnsi="Calibri" w:eastAsia="Calibri" w:cs="Times New Roman"/>
                            <w:color w:val="auto"/>
                            <w:lang w:val="en-CA" w:bidi="ar-SA"/>
                          </w:rPr>
                          <w:t>HR/Pay</w:t>
                        </w:r>
                      </w:p>
                      <w:p>
                        <w:pPr>
                          <w:bidi w:val="0"/>
                          <w:spacing w:before="0" w:after="60"/>
                          <w:jc w:val="center"/>
                          <w:rPr/>
                        </w:pPr>
                        <w:r>
                          <w:rPr>
                            <w:sz w:val="20"/>
                            <w:szCs w:val="22"/>
                            <w:rFonts w:ascii="Calibri" w:hAnsi="Calibri" w:eastAsia="Calibri" w:cs="Times New Roman"/>
                            <w:color w:val="auto"/>
                            <w:lang w:val="en-CA" w:bidi="ar-SA"/>
                          </w:rPr>
                          <w:t>Leadership</w:t>
                        </w:r>
                      </w:p>
                    </w:txbxContent>
                  </v:textbox>
                  <w10:wrap type="square"/>
                  <v:fill type="solid" color2="black" o:detectmouseclick="t"/>
                  <v:stroke color="black" weight="9360" joinstyle="miter" endcap="square"/>
                </v:shape>
                <v:shape id="shape_0" fillcolor="white" stroked="f" style="position:absolute;left:-89;top:6565;width:1435;height:390" type="shapetype_202">
                  <v:textbox>
                    <w:txbxContent>
                      <w:p>
                        <w:pPr>
                          <w:bidi w:val="0"/>
                          <w:spacing w:before="0" w:after="120"/>
                          <w:rPr/>
                        </w:pPr>
                        <w:r>
                          <w:rPr>
                            <w:sz w:val="22"/>
                            <w:b/>
                            <w:szCs w:val="22"/>
                            <w:rFonts w:ascii="Calibri" w:hAnsi="Calibri" w:eastAsia="Calibri" w:cs="Times New Roman"/>
                            <w:color w:val="auto"/>
                            <w:lang w:val="en-CA" w:bidi="ar-SA"/>
                          </w:rPr>
                          <w:t>Outcomes</w:t>
                        </w:r>
                      </w:p>
                    </w:txbxContent>
                  </v:textbox>
                  <w10:wrap type="square"/>
                  <v:fill type="solid" color2="black" o:detectmouseclick="t"/>
                  <v:stroke color="#3465a4" joinstyle="round" endcap="flat"/>
                </v:shape>
                <v:shape id="shape_0" fillcolor="white" stroked="t" style="position:absolute;left:1151;top:6399;width:8792;height:390" type="shapetype_202">
                  <v:textbox>
                    <w:txbxContent>
                      <w:p>
                        <w:pPr>
                          <w:bidi w:val="0"/>
                          <w:spacing w:before="0" w:after="120"/>
                          <w:jc w:val="center"/>
                          <w:rPr/>
                        </w:pPr>
                        <w:r>
                          <w:rPr>
                            <w:sz w:val="22"/>
                            <w:b/>
                            <w:szCs w:val="22"/>
                            <w:rFonts w:ascii="Calibri" w:hAnsi="Calibri" w:eastAsia="Calibri" w:cs="Times New Roman"/>
                            <w:color w:val="auto"/>
                            <w:lang w:val="en-CA" w:bidi="ar-SA"/>
                          </w:rPr>
                          <w:t>Intended and unintended impact on seven goals</w:t>
                        </w:r>
                      </w:p>
                    </w:txbxContent>
                  </v:textbox>
                  <w10:wrap type="square"/>
                  <v:fill color2="#b8cce4" o:detectmouseclick="t"/>
                  <v:stroke color="#95b3d7" weight="12600" joinstyle="miter" endcap="square"/>
                  <v:shadow on="t" obscured="f" color="#243f60"/>
                </v:shape>
                <v:shape id="shape_0" fillcolor="white" stroked="t" style="position:absolute;left:1151;top:6824;width:1288;height:1208" type="shapetype_202">
                  <v:textbox>
                    <w:txbxContent>
                      <w:p>
                        <w:pPr>
                          <w:bidi w:val="0"/>
                          <w:spacing w:before="0" w:after="120"/>
                          <w:jc w:val="center"/>
                          <w:rPr/>
                        </w:pPr>
                        <w:r>
                          <w:rPr>
                            <w:sz w:val="20"/>
                            <w:szCs w:val="22"/>
                            <w:rFonts w:ascii="Calibri" w:hAnsi="Calibri" w:eastAsia="Calibri" w:cs="Times New Roman"/>
                            <w:color w:val="auto"/>
                            <w:lang w:val="en-CA" w:bidi="ar-SA"/>
                          </w:rPr>
                          <w:t>#1</w:t>
                        </w:r>
                      </w:p>
                      <w:p>
                        <w:pPr>
                          <w:bidi w:val="0"/>
                          <w:spacing w:before="0" w:after="120"/>
                          <w:jc w:val="center"/>
                          <w:rPr/>
                        </w:pPr>
                        <w:r>
                          <w:rPr>
                            <w:sz w:val="18"/>
                            <w:szCs w:val="22"/>
                            <w:rFonts w:ascii="Calibri" w:hAnsi="Calibri" w:eastAsia="Calibri" w:cs="Times New Roman"/>
                            <w:color w:val="auto"/>
                            <w:lang w:val="en-CA" w:bidi="ar-SA"/>
                          </w:rPr>
                          <w:t>Appropriate staff compliment</w:t>
                        </w:r>
                      </w:p>
                    </w:txbxContent>
                  </v:textbox>
                  <w10:wrap type="square"/>
                  <v:fill color2="#b8cce4" o:detectmouseclick="t"/>
                  <v:stroke color="#95b3d7" weight="12600" joinstyle="miter" endcap="square"/>
                  <v:shadow on="t" obscured="f" color="#243f60"/>
                </v:shape>
                <v:shape id="shape_0" fillcolor="white" stroked="t" style="position:absolute;left:2441;top:6824;width:1288;height:1208" type="shapetype_202">
                  <v:textbox>
                    <w:txbxContent>
                      <w:p>
                        <w:pPr>
                          <w:bidi w:val="0"/>
                          <w:spacing w:before="0" w:after="120"/>
                          <w:jc w:val="center"/>
                          <w:rPr/>
                        </w:pPr>
                        <w:r>
                          <w:rPr>
                            <w:sz w:val="20"/>
                            <w:szCs w:val="22"/>
                            <w:rFonts w:ascii="Calibri" w:hAnsi="Calibri" w:eastAsia="Calibri" w:cs="Times New Roman"/>
                            <w:color w:val="auto"/>
                            <w:lang w:val="en-CA" w:bidi="ar-SA"/>
                          </w:rPr>
                          <w:t>#2</w:t>
                        </w:r>
                      </w:p>
                      <w:p>
                        <w:pPr>
                          <w:bidi w:val="0"/>
                          <w:spacing w:before="0" w:after="120"/>
                          <w:jc w:val="center"/>
                          <w:rPr/>
                        </w:pPr>
                        <w:r>
                          <w:rPr>
                            <w:sz w:val="18"/>
                            <w:szCs w:val="22"/>
                            <w:rFonts w:ascii="Calibri" w:hAnsi="Calibri" w:eastAsia="Calibri" w:cs="Times New Roman"/>
                            <w:color w:val="auto"/>
                            <w:lang w:val="en-CA" w:bidi="ar-SA"/>
                          </w:rPr>
                          <w:t>Accessible Specialist Medical Care</w:t>
                        </w:r>
                      </w:p>
                    </w:txbxContent>
                  </v:textbox>
                  <w10:wrap type="square"/>
                  <v:fill color2="#b8cce4" o:detectmouseclick="t"/>
                  <v:stroke color="#95b3d7" weight="12600" joinstyle="miter" endcap="square"/>
                  <v:shadow on="t" obscured="f" color="#243f60"/>
                </v:shape>
                <v:shape id="shape_0" fillcolor="white" stroked="t" style="position:absolute;left:3734;top:6824;width:1288;height:1208" type="shapetype_202">
                  <v:textbox>
                    <w:txbxContent>
                      <w:p>
                        <w:pPr>
                          <w:bidi w:val="0"/>
                          <w:spacing w:before="0" w:after="120"/>
                          <w:jc w:val="center"/>
                          <w:rPr/>
                        </w:pPr>
                        <w:r>
                          <w:rPr>
                            <w:sz w:val="20"/>
                            <w:szCs w:val="22"/>
                            <w:rFonts w:ascii="Calibri" w:hAnsi="Calibri" w:eastAsia="Calibri" w:cs="Times New Roman"/>
                            <w:color w:val="auto"/>
                            <w:lang w:val="en-CA" w:bidi="ar-SA"/>
                          </w:rPr>
                          <w:t>#3</w:t>
                        </w:r>
                      </w:p>
                      <w:p>
                        <w:pPr>
                          <w:bidi w:val="0"/>
                          <w:spacing w:before="0" w:after="120"/>
                          <w:jc w:val="center"/>
                          <w:rPr/>
                        </w:pPr>
                        <w:r>
                          <w:rPr>
                            <w:sz w:val="18"/>
                            <w:szCs w:val="22"/>
                            <w:rFonts w:ascii="Calibri" w:hAnsi="Calibri" w:eastAsia="Calibri" w:cs="Times New Roman"/>
                            <w:color w:val="auto"/>
                            <w:lang w:val="en-CA" w:bidi="ar-SA"/>
                          </w:rPr>
                          <w:t>Quality Medical Education</w:t>
                        </w:r>
                      </w:p>
                    </w:txbxContent>
                  </v:textbox>
                  <w10:wrap type="square"/>
                  <v:fill color2="#b8cce4" o:detectmouseclick="t"/>
                  <v:stroke color="#95b3d7" weight="12600" joinstyle="miter" endcap="square"/>
                  <v:shadow on="t" obscured="f" color="#243f60"/>
                </v:shape>
                <v:shape id="shape_0" fillcolor="white" stroked="t" style="position:absolute;left:5045;top:6824;width:1179;height:1208" type="shapetype_202">
                  <v:textbox>
                    <w:txbxContent>
                      <w:p>
                        <w:pPr>
                          <w:bidi w:val="0"/>
                          <w:spacing w:before="0" w:after="120"/>
                          <w:jc w:val="center"/>
                          <w:rPr/>
                        </w:pPr>
                        <w:r>
                          <w:rPr>
                            <w:sz w:val="20"/>
                            <w:szCs w:val="22"/>
                            <w:rFonts w:ascii="Calibri" w:hAnsi="Calibri" w:eastAsia="Calibri" w:cs="Times New Roman"/>
                            <w:color w:val="auto"/>
                            <w:lang w:val="en-CA" w:bidi="ar-SA"/>
                          </w:rPr>
                          <w:t>#4</w:t>
                        </w:r>
                      </w:p>
                      <w:p>
                        <w:pPr>
                          <w:bidi w:val="0"/>
                          <w:spacing w:before="0" w:after="120"/>
                          <w:jc w:val="center"/>
                          <w:rPr/>
                        </w:pPr>
                        <w:r>
                          <w:rPr>
                            <w:sz w:val="18"/>
                            <w:szCs w:val="22"/>
                            <w:rFonts w:ascii="Calibri" w:hAnsi="Calibri" w:eastAsia="Calibri" w:cs="Times New Roman"/>
                            <w:color w:val="auto"/>
                            <w:lang w:val="en-CA" w:bidi="ar-SA"/>
                          </w:rPr>
                          <w:t>Research Excellence</w:t>
                        </w:r>
                      </w:p>
                    </w:txbxContent>
                  </v:textbox>
                  <w10:wrap type="square"/>
                  <v:fill color2="#b8cce4" o:detectmouseclick="t"/>
                  <v:stroke color="#95b3d7" weight="12600" joinstyle="miter" endcap="square"/>
                  <v:shadow on="t" obscured="f" color="#243f60"/>
                </v:shape>
                <v:shape id="shape_0" fillcolor="white" stroked="t" style="position:absolute;left:6224;top:6824;width:1120;height:1208" type="shapetype_202">
                  <v:textbox>
                    <w:txbxContent>
                      <w:p>
                        <w:pPr>
                          <w:bidi w:val="0"/>
                          <w:spacing w:before="0" w:after="120"/>
                          <w:jc w:val="center"/>
                          <w:rPr/>
                        </w:pPr>
                        <w:r>
                          <w:rPr>
                            <w:sz w:val="20"/>
                            <w:szCs w:val="22"/>
                            <w:rFonts w:ascii="Calibri" w:hAnsi="Calibri" w:eastAsia="Calibri" w:cs="Times New Roman"/>
                            <w:color w:val="auto"/>
                            <w:lang w:val="en-CA" w:bidi="ar-SA"/>
                          </w:rPr>
                          <w:t>#5</w:t>
                        </w:r>
                      </w:p>
                      <w:p>
                        <w:pPr>
                          <w:bidi w:val="0"/>
                          <w:spacing w:before="0" w:after="120"/>
                          <w:jc w:val="center"/>
                          <w:rPr/>
                        </w:pPr>
                        <w:r>
                          <w:rPr>
                            <w:sz w:val="18"/>
                            <w:szCs w:val="22"/>
                            <w:rFonts w:ascii="Calibri" w:hAnsi="Calibri" w:eastAsia="Calibri" w:cs="Times New Roman"/>
                            <w:color w:val="auto"/>
                            <w:lang w:val="en-CA" w:bidi="ar-SA"/>
                          </w:rPr>
                          <w:t>Quality Health Care</w:t>
                        </w:r>
                      </w:p>
                    </w:txbxContent>
                  </v:textbox>
                  <w10:wrap type="square"/>
                  <v:fill color2="#b8cce4" o:detectmouseclick="t"/>
                  <v:stroke color="#95b3d7" weight="12600" joinstyle="miter" endcap="square"/>
                  <v:shadow on="t" obscured="f" color="#243f60"/>
                </v:shape>
                <v:shape id="shape_0" fillcolor="white" stroked="t" style="position:absolute;left:7346;top:6824;width:1288;height:1208" type="shapetype_202">
                  <v:textbox>
                    <w:txbxContent>
                      <w:p>
                        <w:pPr>
                          <w:bidi w:val="0"/>
                          <w:spacing w:before="0" w:after="120"/>
                          <w:jc w:val="center"/>
                          <w:rPr/>
                        </w:pPr>
                        <w:r>
                          <w:rPr>
                            <w:sz w:val="20"/>
                            <w:szCs w:val="22"/>
                            <w:rFonts w:ascii="Calibri" w:hAnsi="Calibri" w:eastAsia="Calibri" w:cs="Times New Roman"/>
                            <w:color w:val="auto"/>
                            <w:lang w:val="en-CA" w:bidi="ar-SA"/>
                          </w:rPr>
                          <w:t>#6</w:t>
                        </w:r>
                      </w:p>
                      <w:p>
                        <w:pPr>
                          <w:bidi w:val="0"/>
                          <w:spacing w:before="0" w:after="120"/>
                          <w:jc w:val="center"/>
                          <w:rPr/>
                        </w:pPr>
                        <w:r>
                          <w:rPr>
                            <w:sz w:val="18"/>
                            <w:szCs w:val="22"/>
                            <w:rFonts w:ascii="Calibri" w:hAnsi="Calibri" w:eastAsia="Calibri" w:cs="Times New Roman"/>
                            <w:color w:val="auto"/>
                            <w:lang w:val="en-CA" w:bidi="ar-SA"/>
                          </w:rPr>
                          <w:t xml:space="preserve">Effective Governance </w:t>
                        </w:r>
                      </w:p>
                    </w:txbxContent>
                  </v:textbox>
                  <w10:wrap type="square"/>
                  <v:fill color2="#b8cce4" o:detectmouseclick="t"/>
                  <v:stroke color="#95b3d7" weight="12600" joinstyle="miter" endcap="square"/>
                  <v:shadow on="t" obscured="f" color="#243f60"/>
                </v:shape>
                <v:shape id="shape_0" fillcolor="white" stroked="t" style="position:absolute;left:8655;top:6824;width:1288;height:1208" type="shapetype_202">
                  <v:textbox>
                    <w:txbxContent>
                      <w:p>
                        <w:pPr>
                          <w:bidi w:val="0"/>
                          <w:spacing w:before="0" w:after="120"/>
                          <w:jc w:val="center"/>
                          <w:rPr/>
                        </w:pPr>
                        <w:r>
                          <w:rPr>
                            <w:sz w:val="20"/>
                            <w:szCs w:val="22"/>
                            <w:rFonts w:ascii="Calibri" w:hAnsi="Calibri" w:eastAsia="Calibri" w:cs="Times New Roman"/>
                            <w:color w:val="auto"/>
                            <w:lang w:val="en-CA" w:bidi="ar-SA"/>
                          </w:rPr>
                          <w:t>#7</w:t>
                        </w:r>
                      </w:p>
                      <w:p>
                        <w:pPr>
                          <w:bidi w:val="0"/>
                          <w:spacing w:before="0" w:after="120"/>
                          <w:jc w:val="center"/>
                          <w:rPr/>
                        </w:pPr>
                        <w:r>
                          <w:rPr>
                            <w:sz w:val="18"/>
                            <w:szCs w:val="22"/>
                            <w:rFonts w:ascii="Calibri" w:hAnsi="Calibri" w:eastAsia="Calibri" w:cs="Times New Roman"/>
                            <w:color w:val="auto"/>
                            <w:lang w:val="en-CA" w:bidi="ar-SA"/>
                          </w:rPr>
                          <w:t>Innovation in Health care delivery</w:t>
                        </w:r>
                      </w:p>
                    </w:txbxContent>
                  </v:textbox>
                  <w10:wrap type="square"/>
                  <v:fill color2="#b8cce4" o:detectmouseclick="t"/>
                  <v:stroke color="#95b3d7" weight="12600" joinstyle="miter" endcap="square"/>
                  <v:shadow on="t" obscured="f" color="#243f60"/>
                </v:shape>
              </v:group>
            </w:pict>
          </mc:Fallback>
        </mc:AlternateContent>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lang w:val="en-CA" w:eastAsia="en-CA"/>
        </w:rPr>
      </w:pPr>
      <w:r>
        <w:rPr>
          <w:lang w:val="en-CA" w:eastAsia="en-CA"/>
        </w:rPr>
        <mc:AlternateContent>
          <mc:Choice Requires="wps">
            <w:drawing>
              <wp:anchor behindDoc="0" distT="0" distB="0" distL="114935" distR="114935" simplePos="0" locked="0" layoutInCell="1" allowOverlap="1" relativeHeight="6">
                <wp:simplePos x="0" y="0"/>
                <wp:positionH relativeFrom="column">
                  <wp:posOffset>772795</wp:posOffset>
                </wp:positionH>
                <wp:positionV relativeFrom="paragraph">
                  <wp:posOffset>96520</wp:posOffset>
                </wp:positionV>
                <wp:extent cx="4933950" cy="495935"/>
                <wp:effectExtent l="0" t="0" r="0" b="0"/>
                <wp:wrapNone/>
                <wp:docPr id="2" name=""/>
                <a:graphic xmlns:a="http://schemas.openxmlformats.org/drawingml/2006/main">
                  <a:graphicData uri="http://schemas.microsoft.com/office/word/2010/wordprocessingShape">
                    <wps:wsp>
                      <wps:cNvSpPr/>
                      <wps:spPr>
                        <a:xfrm>
                          <a:off x="0" y="0"/>
                          <a:ext cx="4933440" cy="4953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fillcolor="white" stroked="t" style="position:absolute;margin-left:60.85pt;margin-top:7.6pt;width:388.4pt;height:38.95pt">
                <w10:wrap type="none"/>
                <v:fill type="solid" color2="black" o:detectmouseclick="t"/>
                <v:stroke color="black" weight="12600" joinstyle="miter" endcap="square"/>
              </v:oval>
            </w:pict>
          </mc:Fallback>
        </mc:AlternateContent>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t>*Post AARP implementation numbers</w:t>
      </w:r>
      <w:r>
        <w:br w:type="page"/>
      </w:r>
    </w:p>
    <w:p>
      <w:pPr>
        <w:pStyle w:val="Normal"/>
        <w:spacing w:before="0" w:after="240"/>
        <w:rPr/>
      </w:pPr>
      <w:r>
        <w:rPr>
          <w:rFonts w:cs="Arial" w:ascii="Arial" w:hAnsi="Arial"/>
          <w:b/>
          <w:lang w:eastAsia="en-CA"/>
        </w:rPr>
        <w:t>Table 1: Key evaluation questions and sources of i</w:t>
      </w:r>
      <w:r>
        <w:rPr/>
        <w:t>nformation</w:t>
      </w:r>
    </w:p>
    <w:tbl>
      <w:tblPr>
        <w:tblW w:w="950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67"/>
        <w:gridCol w:w="5812"/>
        <w:gridCol w:w="3129"/>
      </w:tblGrid>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rPr>
                <w:rFonts w:ascii="Arial" w:hAnsi="Arial" w:cs="Arial"/>
              </w:rPr>
            </w:pPr>
            <w:r>
              <w:rPr>
                <w:rFonts w:cs="Arial" w:ascii="Arial" w:hAnsi="Arial"/>
              </w:rPr>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rFonts w:ascii="Arial" w:hAnsi="Arial" w:cs="Arial"/>
              </w:rPr>
            </w:pPr>
            <w:r>
              <w:rPr>
                <w:rFonts w:cs="Arial" w:ascii="Arial" w:hAnsi="Arial"/>
              </w:rPr>
              <w:t>Key Evaluation Questions</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rFonts w:ascii="Arial" w:hAnsi="Arial" w:cs="Arial"/>
              </w:rPr>
            </w:pPr>
            <w:r>
              <w:rPr>
                <w:rFonts w:cs="Arial" w:ascii="Arial" w:hAnsi="Arial"/>
              </w:rPr>
              <w:t>Source of Information</w:t>
            </w:r>
          </w:p>
        </w:tc>
      </w:tr>
      <w:tr>
        <w:trPr>
          <w:trHeight w:val="1134" w:hRule="atLeast"/>
          <w:cantSplit w:val="true"/>
        </w:trPr>
        <w:tc>
          <w:tcPr>
            <w:tcW w:w="56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120"/>
              <w:rPr>
                <w:rFonts w:ascii="Arial" w:hAnsi="Arial" w:cs="Arial"/>
              </w:rPr>
            </w:pPr>
            <w:r>
              <w:rPr>
                <w:rFonts w:cs="Arial" w:ascii="Arial" w:hAnsi="Arial"/>
              </w:rPr>
              <w:t>Inputs</w:t>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What are the expectations of key stakeholders?</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Stakeholder interviews</w:t>
            </w:r>
          </w:p>
          <w:p>
            <w:pPr>
              <w:pStyle w:val="Normal"/>
              <w:spacing w:before="0" w:after="0"/>
              <w:rPr/>
            </w:pPr>
            <w:r>
              <w:rPr>
                <w:rFonts w:cs="Arial" w:ascii="Arial" w:hAnsi="Arial"/>
                <w:sz w:val="20"/>
                <w:szCs w:val="20"/>
              </w:rPr>
              <w:t>AARP proposal</w:t>
            </w:r>
          </w:p>
          <w:p>
            <w:pPr>
              <w:pStyle w:val="Normal"/>
              <w:spacing w:before="0" w:after="0"/>
              <w:rPr>
                <w:rFonts w:ascii="Arial" w:hAnsi="Arial" w:cs="Arial"/>
                <w:sz w:val="20"/>
                <w:szCs w:val="20"/>
              </w:rPr>
            </w:pPr>
            <w:r>
              <w:rPr>
                <w:rFonts w:cs="Arial" w:ascii="Arial" w:hAnsi="Arial"/>
                <w:sz w:val="20"/>
                <w:szCs w:val="20"/>
              </w:rPr>
              <w:t>Conditional Grant</w:t>
            </w:r>
          </w:p>
          <w:p>
            <w:pPr>
              <w:pStyle w:val="Normal"/>
              <w:spacing w:before="0" w:after="0"/>
              <w:rPr>
                <w:rFonts w:ascii="Arial" w:hAnsi="Arial" w:cs="Arial"/>
                <w:sz w:val="20"/>
                <w:szCs w:val="20"/>
              </w:rPr>
            </w:pPr>
            <w:r>
              <w:rPr>
                <w:rFonts w:cs="Arial" w:ascii="Arial" w:hAnsi="Arial"/>
                <w:sz w:val="20"/>
                <w:szCs w:val="20"/>
              </w:rPr>
              <w:t>Accountability Framework</w:t>
            </w:r>
          </w:p>
        </w:tc>
      </w:tr>
      <w:tr>
        <w:trPr>
          <w:trHeight w:val="1134" w:hRule="atLeast"/>
          <w:cantSplit w:val="true"/>
        </w:trPr>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napToGrid w:val="false"/>
              <w:spacing w:before="0" w:after="120"/>
              <w:rPr>
                <w:rFonts w:ascii="Arial" w:hAnsi="Arial" w:cs="Arial"/>
                <w:sz w:val="20"/>
                <w:szCs w:val="20"/>
              </w:rPr>
            </w:pPr>
            <w:r>
              <w:rPr>
                <w:rFonts w:cs="Arial" w:ascii="Arial" w:hAnsi="Arial"/>
                <w:sz w:val="20"/>
                <w:szCs w:val="20"/>
              </w:rPr>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pPr>
            <w:r>
              <w:rPr>
                <w:rFonts w:cs="Arial" w:ascii="Arial" w:hAnsi="Arial"/>
                <w:sz w:val="20"/>
                <w:szCs w:val="20"/>
              </w:rPr>
              <w:t>How were the AARP funds used?</w:t>
            </w:r>
          </w:p>
          <w:p>
            <w:pPr>
              <w:pStyle w:val="Normal"/>
              <w:spacing w:before="0" w:after="0"/>
              <w:rPr>
                <w:rFonts w:ascii="Arial" w:hAnsi="Arial" w:cs="Arial"/>
                <w:sz w:val="20"/>
                <w:szCs w:val="20"/>
              </w:rPr>
            </w:pPr>
            <w:r>
              <w:rPr>
                <w:rFonts w:cs="Arial" w:ascii="Arial" w:hAnsi="Arial"/>
                <w:sz w:val="20"/>
                <w:szCs w:val="20"/>
              </w:rPr>
              <w:t>Which staff in which divisions?</w:t>
            </w:r>
          </w:p>
          <w:p>
            <w:pPr>
              <w:pStyle w:val="Normal"/>
              <w:spacing w:before="0" w:after="0"/>
              <w:rPr/>
            </w:pPr>
            <w:r>
              <w:rPr>
                <w:rFonts w:cs="Arial" w:ascii="Arial" w:hAnsi="Arial"/>
                <w:sz w:val="20"/>
                <w:szCs w:val="20"/>
              </w:rPr>
              <w:t>AARP management &amp; administration</w:t>
            </w:r>
          </w:p>
          <w:p>
            <w:pPr>
              <w:pStyle w:val="Normal"/>
              <w:spacing w:before="0" w:after="0"/>
              <w:rPr>
                <w:rFonts w:ascii="Arial" w:hAnsi="Arial" w:cs="Arial"/>
                <w:sz w:val="20"/>
                <w:szCs w:val="20"/>
              </w:rPr>
            </w:pPr>
            <w:r>
              <w:rPr>
                <w:rFonts w:cs="Arial" w:ascii="Arial" w:hAnsi="Arial"/>
                <w:sz w:val="20"/>
                <w:szCs w:val="20"/>
              </w:rPr>
              <w:t>Comparison of actual to budge?</w:t>
            </w:r>
          </w:p>
          <w:p>
            <w:pPr>
              <w:pStyle w:val="Normal"/>
              <w:spacing w:before="0" w:after="0"/>
              <w:rPr>
                <w:rFonts w:ascii="Arial" w:hAnsi="Arial" w:cs="Arial"/>
                <w:sz w:val="20"/>
                <w:szCs w:val="20"/>
              </w:rPr>
            </w:pPr>
            <w:r>
              <w:rPr>
                <w:rFonts w:cs="Arial" w:ascii="Arial" w:hAnsi="Arial"/>
                <w:sz w:val="20"/>
                <w:szCs w:val="20"/>
              </w:rPr>
              <w:t>Year over year spending per FTE?</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pPr>
            <w:r>
              <w:rPr>
                <w:rFonts w:cs="Arial" w:ascii="Arial" w:hAnsi="Arial"/>
                <w:sz w:val="20"/>
                <w:szCs w:val="20"/>
              </w:rPr>
              <w:t>Department of Medicine financial reports</w:t>
            </w:r>
          </w:p>
          <w:p>
            <w:pPr>
              <w:pStyle w:val="Normal"/>
              <w:spacing w:before="0" w:after="0"/>
              <w:rPr>
                <w:rFonts w:ascii="Arial" w:hAnsi="Arial" w:cs="Arial"/>
                <w:sz w:val="20"/>
                <w:szCs w:val="20"/>
              </w:rPr>
            </w:pPr>
            <w:r>
              <w:rPr>
                <w:rFonts w:cs="Arial" w:ascii="Arial" w:hAnsi="Arial"/>
                <w:sz w:val="20"/>
                <w:szCs w:val="20"/>
              </w:rPr>
            </w:r>
          </w:p>
        </w:tc>
      </w:tr>
      <w:tr>
        <w:trPr>
          <w:trHeight w:val="1134" w:hRule="atLeast"/>
          <w:cantSplit w:val="true"/>
        </w:trPr>
        <w:tc>
          <w:tcPr>
            <w:tcW w:w="56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120"/>
              <w:rPr>
                <w:rFonts w:ascii="Arial" w:hAnsi="Arial" w:cs="Arial"/>
              </w:rPr>
            </w:pPr>
            <w:r>
              <w:rPr>
                <w:rFonts w:cs="Arial" w:ascii="Arial" w:hAnsi="Arial"/>
              </w:rPr>
              <w:t>Process</w:t>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pPr>
            <w:r>
              <w:rPr>
                <w:rFonts w:cs="Arial" w:ascii="Arial" w:hAnsi="Arial"/>
                <w:sz w:val="20"/>
                <w:szCs w:val="20"/>
              </w:rPr>
              <w:t>Where was time spent (clinical, teaching, research, administration)?</w:t>
            </w:r>
          </w:p>
          <w:p>
            <w:pPr>
              <w:pStyle w:val="Normal"/>
              <w:spacing w:before="0" w:after="0"/>
              <w:rPr>
                <w:rFonts w:ascii="Arial" w:hAnsi="Arial" w:cs="Arial"/>
                <w:sz w:val="20"/>
                <w:szCs w:val="20"/>
              </w:rPr>
            </w:pPr>
            <w:r>
              <w:rPr>
                <w:rFonts w:cs="Arial" w:ascii="Arial" w:hAnsi="Arial"/>
                <w:sz w:val="20"/>
                <w:szCs w:val="20"/>
              </w:rPr>
              <w:t>How does this compare to the job description?</w:t>
            </w:r>
          </w:p>
          <w:p>
            <w:pPr>
              <w:pStyle w:val="Normal"/>
              <w:spacing w:before="0" w:after="0"/>
              <w:rPr>
                <w:rFonts w:ascii="Arial" w:hAnsi="Arial" w:cs="Arial"/>
                <w:sz w:val="20"/>
                <w:szCs w:val="20"/>
              </w:rPr>
            </w:pPr>
            <w:r>
              <w:rPr>
                <w:rFonts w:cs="Arial" w:ascii="Arial" w:hAnsi="Arial"/>
                <w:sz w:val="20"/>
                <w:szCs w:val="20"/>
              </w:rPr>
              <w:t>Did the activity capacities change?</w:t>
            </w:r>
          </w:p>
          <w:p>
            <w:pPr>
              <w:pStyle w:val="Normal"/>
              <w:spacing w:before="0" w:after="0"/>
              <w:rPr>
                <w:rFonts w:ascii="Arial" w:hAnsi="Arial" w:cs="Arial"/>
                <w:sz w:val="20"/>
                <w:szCs w:val="20"/>
              </w:rPr>
            </w:pPr>
            <w:r>
              <w:rPr>
                <w:rFonts w:cs="Arial" w:ascii="Arial" w:hAnsi="Arial"/>
                <w:sz w:val="20"/>
                <w:szCs w:val="20"/>
              </w:rPr>
              <w:t>Did the mix of activities change?</w:t>
            </w:r>
          </w:p>
          <w:p>
            <w:pPr>
              <w:pStyle w:val="Normal"/>
              <w:spacing w:before="0" w:after="0"/>
              <w:rPr>
                <w:rFonts w:ascii="Arial" w:hAnsi="Arial" w:cs="Arial"/>
                <w:sz w:val="20"/>
                <w:szCs w:val="20"/>
              </w:rPr>
            </w:pPr>
            <w:r>
              <w:rPr>
                <w:rFonts w:cs="Arial" w:ascii="Arial" w:hAnsi="Arial"/>
                <w:sz w:val="20"/>
                <w:szCs w:val="20"/>
              </w:rPr>
              <w:t>What innovations were designed into activities?</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Job descriptions</w:t>
            </w:r>
          </w:p>
          <w:p>
            <w:pPr>
              <w:pStyle w:val="Normal"/>
              <w:spacing w:before="0" w:after="0"/>
              <w:rPr>
                <w:rFonts w:ascii="Arial" w:hAnsi="Arial" w:cs="Arial"/>
                <w:sz w:val="20"/>
                <w:szCs w:val="20"/>
              </w:rPr>
            </w:pPr>
            <w:r>
              <w:rPr>
                <w:rFonts w:cs="Arial" w:ascii="Arial" w:hAnsi="Arial"/>
                <w:sz w:val="20"/>
                <w:szCs w:val="20"/>
              </w:rPr>
            </w:r>
          </w:p>
          <w:p>
            <w:pPr>
              <w:pStyle w:val="Normal"/>
              <w:spacing w:before="0" w:after="0"/>
              <w:rPr>
                <w:rFonts w:ascii="Arial" w:hAnsi="Arial" w:cs="Arial"/>
                <w:sz w:val="20"/>
                <w:szCs w:val="20"/>
              </w:rPr>
            </w:pPr>
            <w:r>
              <w:rPr>
                <w:rFonts w:cs="Arial" w:ascii="Arial" w:hAnsi="Arial"/>
                <w:sz w:val="20"/>
                <w:szCs w:val="20"/>
              </w:rPr>
            </w:r>
          </w:p>
          <w:p>
            <w:pPr>
              <w:pStyle w:val="Normal"/>
              <w:spacing w:before="0" w:after="0"/>
              <w:rPr>
                <w:rFonts w:ascii="Arial" w:hAnsi="Arial" w:cs="Arial"/>
                <w:sz w:val="20"/>
                <w:szCs w:val="20"/>
              </w:rPr>
            </w:pPr>
            <w:r>
              <w:rPr>
                <w:rFonts w:cs="Arial" w:ascii="Arial" w:hAnsi="Arial"/>
                <w:sz w:val="20"/>
                <w:szCs w:val="20"/>
              </w:rPr>
            </w:r>
          </w:p>
          <w:p>
            <w:pPr>
              <w:pStyle w:val="Normal"/>
              <w:spacing w:before="0" w:after="0"/>
              <w:rPr>
                <w:rFonts w:ascii="Arial" w:hAnsi="Arial" w:cs="Arial"/>
                <w:sz w:val="20"/>
                <w:szCs w:val="20"/>
              </w:rPr>
            </w:pPr>
            <w:r>
              <w:rPr>
                <w:rFonts w:cs="Arial" w:ascii="Arial" w:hAnsi="Arial"/>
                <w:sz w:val="20"/>
                <w:szCs w:val="20"/>
              </w:rPr>
            </w:r>
          </w:p>
          <w:p>
            <w:pPr>
              <w:pStyle w:val="Normal"/>
              <w:spacing w:before="0" w:after="0"/>
              <w:rPr>
                <w:rFonts w:ascii="Arial" w:hAnsi="Arial" w:cs="Arial"/>
                <w:sz w:val="20"/>
                <w:szCs w:val="20"/>
              </w:rPr>
            </w:pPr>
            <w:r>
              <w:rPr>
                <w:rFonts w:cs="Arial" w:ascii="Arial" w:hAnsi="Arial"/>
                <w:sz w:val="20"/>
                <w:szCs w:val="20"/>
              </w:rPr>
              <w:t>Innovation evaluation report</w:t>
            </w:r>
          </w:p>
        </w:tc>
      </w:tr>
      <w:tr>
        <w:trPr>
          <w:cantSplit w:val="true"/>
        </w:trPr>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rPr>
                <w:rFonts w:ascii="Arial" w:hAnsi="Arial" w:cs="Arial"/>
                <w:sz w:val="20"/>
                <w:szCs w:val="20"/>
              </w:rPr>
            </w:pPr>
            <w:r>
              <w:rPr>
                <w:rFonts w:cs="Arial" w:ascii="Arial" w:hAnsi="Arial"/>
                <w:sz w:val="20"/>
                <w:szCs w:val="20"/>
              </w:rPr>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How is the program governed and managed?</w:t>
            </w:r>
          </w:p>
          <w:p>
            <w:pPr>
              <w:pStyle w:val="Normal"/>
              <w:spacing w:before="0" w:after="0"/>
              <w:rPr>
                <w:rFonts w:ascii="Arial" w:hAnsi="Arial" w:cs="Arial"/>
                <w:sz w:val="20"/>
                <w:szCs w:val="20"/>
              </w:rPr>
            </w:pPr>
            <w:r>
              <w:rPr>
                <w:rFonts w:cs="Arial" w:ascii="Arial" w:hAnsi="Arial"/>
                <w:sz w:val="20"/>
                <w:szCs w:val="20"/>
              </w:rPr>
              <w:t>What structures and practices are in place to govern and manage the AARP?</w:t>
            </w:r>
          </w:p>
          <w:p>
            <w:pPr>
              <w:pStyle w:val="Normal"/>
              <w:spacing w:before="0" w:after="0"/>
              <w:rPr>
                <w:rFonts w:ascii="Arial" w:hAnsi="Arial" w:cs="Arial"/>
                <w:sz w:val="20"/>
                <w:szCs w:val="20"/>
              </w:rPr>
            </w:pPr>
            <w:r>
              <w:rPr>
                <w:rFonts w:cs="Arial" w:ascii="Arial" w:hAnsi="Arial"/>
                <w:sz w:val="20"/>
                <w:szCs w:val="20"/>
              </w:rPr>
              <w:t>What project management structures and processes were used?</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Organizational structures, terms of reference</w:t>
            </w:r>
          </w:p>
          <w:p>
            <w:pPr>
              <w:pStyle w:val="Normal"/>
              <w:spacing w:before="0" w:after="0"/>
              <w:rPr>
                <w:rFonts w:ascii="Arial" w:hAnsi="Arial" w:cs="Arial"/>
                <w:sz w:val="20"/>
                <w:szCs w:val="20"/>
              </w:rPr>
            </w:pPr>
            <w:r>
              <w:rPr>
                <w:rFonts w:cs="Arial" w:ascii="Arial" w:hAnsi="Arial"/>
                <w:sz w:val="20"/>
                <w:szCs w:val="20"/>
              </w:rPr>
            </w:r>
          </w:p>
          <w:p>
            <w:pPr>
              <w:pStyle w:val="Normal"/>
              <w:spacing w:before="0" w:after="0"/>
              <w:rPr/>
            </w:pPr>
            <w:r>
              <w:rPr>
                <w:rFonts w:cs="Arial" w:ascii="Arial" w:hAnsi="Arial"/>
                <w:sz w:val="20"/>
                <w:szCs w:val="20"/>
              </w:rPr>
              <w:t>AARP Management</w:t>
            </w:r>
          </w:p>
        </w:tc>
      </w:tr>
      <w:tr>
        <w:trPr>
          <w:trHeight w:val="1134" w:hRule="atLeast"/>
          <w:cantSplit w:val="true"/>
        </w:trPr>
        <w:tc>
          <w:tcPr>
            <w:tcW w:w="56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120"/>
              <w:rPr>
                <w:rFonts w:ascii="Arial" w:hAnsi="Arial" w:cs="Arial"/>
              </w:rPr>
            </w:pPr>
            <w:r>
              <w:rPr>
                <w:rFonts w:cs="Arial" w:ascii="Arial" w:hAnsi="Arial"/>
              </w:rPr>
              <w:t>Outputs</w:t>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What volume of outputs were produced in each activity area?</w:t>
            </w:r>
          </w:p>
          <w:p>
            <w:pPr>
              <w:pStyle w:val="Normal"/>
              <w:spacing w:before="0" w:after="0"/>
              <w:rPr/>
            </w:pPr>
            <w:r>
              <w:rPr>
                <w:rFonts w:cs="Arial" w:ascii="Arial" w:hAnsi="Arial"/>
                <w:sz w:val="20"/>
                <w:szCs w:val="20"/>
              </w:rPr>
              <w:t xml:space="preserve">What was the year by year change? </w:t>
            </w:r>
          </w:p>
          <w:p>
            <w:pPr>
              <w:pStyle w:val="Normal"/>
              <w:spacing w:before="0" w:after="0"/>
              <w:rPr>
                <w:rFonts w:ascii="Arial" w:hAnsi="Arial" w:cs="Arial"/>
                <w:sz w:val="20"/>
                <w:szCs w:val="20"/>
              </w:rPr>
            </w:pPr>
            <w:r>
              <w:rPr>
                <w:rFonts w:cs="Arial" w:ascii="Arial" w:hAnsi="Arial"/>
                <w:sz w:val="20"/>
                <w:szCs w:val="20"/>
              </w:rPr>
              <w:t xml:space="preserve">In volume ? </w:t>
            </w:r>
          </w:p>
          <w:p>
            <w:pPr>
              <w:pStyle w:val="Normal"/>
              <w:spacing w:before="0" w:after="0"/>
              <w:rPr>
                <w:rFonts w:ascii="Arial" w:hAnsi="Arial" w:cs="Arial"/>
                <w:sz w:val="20"/>
                <w:szCs w:val="20"/>
              </w:rPr>
            </w:pPr>
            <w:r>
              <w:rPr>
                <w:rFonts w:cs="Arial" w:ascii="Arial" w:hAnsi="Arial"/>
                <w:sz w:val="20"/>
                <w:szCs w:val="20"/>
              </w:rPr>
              <w:t>In Mix?</w:t>
            </w:r>
          </w:p>
          <w:p>
            <w:pPr>
              <w:pStyle w:val="Normal"/>
              <w:spacing w:before="0" w:after="0"/>
              <w:rPr>
                <w:rFonts w:ascii="Arial" w:hAnsi="Arial" w:cs="Arial"/>
                <w:sz w:val="20"/>
                <w:szCs w:val="20"/>
              </w:rPr>
            </w:pPr>
            <w:r>
              <w:rPr>
                <w:rFonts w:cs="Arial" w:ascii="Arial" w:hAnsi="Arial"/>
                <w:sz w:val="20"/>
                <w:szCs w:val="20"/>
              </w:rPr>
              <w:t>In Acuity?</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0"/>
              <w:rPr>
                <w:rFonts w:ascii="Arial" w:hAnsi="Arial" w:cs="Arial"/>
                <w:sz w:val="20"/>
                <w:szCs w:val="20"/>
              </w:rPr>
            </w:pPr>
            <w:r>
              <w:rPr>
                <w:rFonts w:cs="Arial" w:ascii="Arial" w:hAnsi="Arial"/>
                <w:sz w:val="20"/>
                <w:szCs w:val="20"/>
              </w:rPr>
            </w:r>
          </w:p>
          <w:p>
            <w:pPr>
              <w:pStyle w:val="Normal"/>
              <w:spacing w:before="0" w:after="0"/>
              <w:rPr>
                <w:rFonts w:ascii="Arial" w:hAnsi="Arial" w:cs="Arial"/>
                <w:sz w:val="20"/>
                <w:szCs w:val="20"/>
              </w:rPr>
            </w:pPr>
            <w:r>
              <w:rPr>
                <w:rFonts w:cs="Arial" w:ascii="Arial" w:hAnsi="Arial"/>
                <w:sz w:val="20"/>
                <w:szCs w:val="20"/>
              </w:rPr>
            </w:r>
          </w:p>
          <w:p>
            <w:pPr>
              <w:pStyle w:val="Normal"/>
              <w:spacing w:before="0" w:after="0"/>
              <w:rPr>
                <w:rFonts w:ascii="Arial" w:hAnsi="Arial" w:cs="Arial"/>
                <w:sz w:val="20"/>
                <w:szCs w:val="20"/>
              </w:rPr>
            </w:pPr>
            <w:r>
              <w:rPr>
                <w:rFonts w:cs="Arial" w:ascii="Arial" w:hAnsi="Arial"/>
                <w:sz w:val="20"/>
                <w:szCs w:val="20"/>
              </w:rPr>
              <w:t>Shadow billing system</w:t>
            </w:r>
          </w:p>
          <w:p>
            <w:pPr>
              <w:pStyle w:val="Normal"/>
              <w:spacing w:before="0" w:after="0"/>
              <w:rPr/>
            </w:pPr>
            <w:r>
              <w:rPr>
                <w:rFonts w:cs="Arial" w:ascii="Arial" w:hAnsi="Arial"/>
                <w:sz w:val="20"/>
                <w:szCs w:val="20"/>
              </w:rPr>
              <w:t>Regional Inpatient(IP) and Outpatient(OP) abstracts</w:t>
            </w:r>
          </w:p>
        </w:tc>
      </w:tr>
      <w:tr>
        <w:trPr>
          <w:cantSplit w:val="true"/>
        </w:trPr>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rPr>
                <w:rFonts w:ascii="Arial" w:hAnsi="Arial" w:cs="Arial"/>
                <w:sz w:val="20"/>
                <w:szCs w:val="20"/>
              </w:rPr>
            </w:pPr>
            <w:r>
              <w:rPr>
                <w:rFonts w:cs="Arial" w:ascii="Arial" w:hAnsi="Arial"/>
                <w:sz w:val="20"/>
                <w:szCs w:val="20"/>
              </w:rPr>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How efficiently were the services provided</w:t>
            </w:r>
          </w:p>
          <w:p>
            <w:pPr>
              <w:pStyle w:val="Normal"/>
              <w:spacing w:before="0" w:after="0"/>
              <w:rPr>
                <w:rFonts w:ascii="Arial" w:hAnsi="Arial" w:cs="Arial"/>
                <w:sz w:val="20"/>
                <w:szCs w:val="20"/>
              </w:rPr>
            </w:pPr>
            <w:r>
              <w:rPr>
                <w:rFonts w:cs="Arial" w:ascii="Arial" w:hAnsi="Arial"/>
                <w:sz w:val="20"/>
                <w:szCs w:val="20"/>
              </w:rPr>
              <w:t>What year by year trend did we see in:</w:t>
            </w:r>
          </w:p>
          <w:p>
            <w:pPr>
              <w:pStyle w:val="Normal"/>
              <w:spacing w:before="0" w:after="0"/>
              <w:rPr>
                <w:rFonts w:ascii="Arial" w:hAnsi="Arial" w:cs="Arial"/>
                <w:sz w:val="20"/>
                <w:szCs w:val="20"/>
              </w:rPr>
            </w:pPr>
            <w:r>
              <w:rPr>
                <w:rFonts w:cs="Arial" w:ascii="Arial" w:hAnsi="Arial"/>
                <w:sz w:val="20"/>
                <w:szCs w:val="20"/>
              </w:rPr>
              <w:t>Unit of output per unit of input?</w:t>
            </w:r>
          </w:p>
          <w:p>
            <w:pPr>
              <w:pStyle w:val="Normal"/>
              <w:spacing w:before="0" w:after="0"/>
              <w:rPr>
                <w:rFonts w:ascii="Arial" w:hAnsi="Arial" w:cs="Arial"/>
                <w:sz w:val="20"/>
                <w:szCs w:val="20"/>
              </w:rPr>
            </w:pPr>
            <w:r>
              <w:rPr>
                <w:rFonts w:cs="Arial" w:ascii="Arial" w:hAnsi="Arial"/>
                <w:sz w:val="20"/>
                <w:szCs w:val="20"/>
              </w:rPr>
              <w:t>Cost per unit of output?</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0"/>
              <w:rPr>
                <w:rFonts w:ascii="Arial" w:hAnsi="Arial" w:cs="Arial"/>
                <w:sz w:val="20"/>
                <w:szCs w:val="20"/>
              </w:rPr>
            </w:pPr>
            <w:r>
              <w:rPr>
                <w:rFonts w:cs="Arial" w:ascii="Arial" w:hAnsi="Arial"/>
                <w:sz w:val="20"/>
                <w:szCs w:val="20"/>
              </w:rPr>
            </w:r>
          </w:p>
          <w:p>
            <w:pPr>
              <w:pStyle w:val="Normal"/>
              <w:spacing w:before="0" w:after="0"/>
              <w:rPr>
                <w:rFonts w:ascii="Arial" w:hAnsi="Arial" w:cs="Arial"/>
                <w:sz w:val="20"/>
                <w:szCs w:val="20"/>
              </w:rPr>
            </w:pPr>
            <w:r>
              <w:rPr>
                <w:rFonts w:cs="Arial" w:ascii="Arial" w:hAnsi="Arial"/>
                <w:sz w:val="20"/>
                <w:szCs w:val="20"/>
              </w:rPr>
              <w:t xml:space="preserve">Ratio of results </w:t>
            </w:r>
          </w:p>
        </w:tc>
      </w:tr>
      <w:tr>
        <w:trPr>
          <w:cantSplit w:val="true"/>
        </w:trPr>
        <w:tc>
          <w:tcPr>
            <w:tcW w:w="56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120"/>
              <w:rPr>
                <w:rFonts w:ascii="Arial" w:hAnsi="Arial" w:cs="Arial"/>
              </w:rPr>
            </w:pPr>
            <w:r>
              <w:rPr>
                <w:rFonts w:cs="Arial" w:ascii="Arial" w:hAnsi="Arial"/>
              </w:rPr>
              <w:t>Outcome</w:t>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Impact on appropriate staff complement:</w:t>
            </w:r>
          </w:p>
          <w:p>
            <w:pPr>
              <w:pStyle w:val="Normal"/>
              <w:spacing w:before="0" w:after="0"/>
              <w:rPr>
                <w:rFonts w:ascii="Arial" w:hAnsi="Arial" w:cs="Arial"/>
                <w:sz w:val="20"/>
                <w:szCs w:val="20"/>
              </w:rPr>
            </w:pPr>
            <w:r>
              <w:rPr>
                <w:rFonts w:cs="Arial" w:ascii="Arial" w:hAnsi="Arial"/>
                <w:sz w:val="20"/>
                <w:szCs w:val="20"/>
              </w:rPr>
              <w:t>What we the impact on recruitment?</w:t>
            </w:r>
          </w:p>
          <w:p>
            <w:pPr>
              <w:pStyle w:val="Normal"/>
              <w:spacing w:before="0" w:after="0"/>
              <w:rPr/>
            </w:pPr>
            <w:r>
              <w:rPr>
                <w:rFonts w:cs="Arial" w:ascii="Arial" w:hAnsi="Arial"/>
                <w:sz w:val="20"/>
                <w:szCs w:val="20"/>
              </w:rPr>
              <w:t>Were AARP members satisfied?</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0"/>
              <w:rPr>
                <w:rFonts w:ascii="Arial" w:hAnsi="Arial" w:cs="Arial"/>
                <w:sz w:val="20"/>
                <w:szCs w:val="20"/>
              </w:rPr>
            </w:pPr>
            <w:r>
              <w:rPr>
                <w:rFonts w:cs="Arial" w:ascii="Arial" w:hAnsi="Arial"/>
                <w:sz w:val="20"/>
                <w:szCs w:val="20"/>
              </w:rPr>
            </w:r>
          </w:p>
          <w:p>
            <w:pPr>
              <w:pStyle w:val="Normal"/>
              <w:spacing w:before="0" w:after="0"/>
              <w:rPr>
                <w:rFonts w:ascii="Arial" w:hAnsi="Arial" w:cs="Arial"/>
                <w:sz w:val="20"/>
                <w:szCs w:val="20"/>
              </w:rPr>
            </w:pPr>
            <w:r>
              <w:rPr>
                <w:rFonts w:cs="Arial" w:ascii="Arial" w:hAnsi="Arial"/>
                <w:sz w:val="20"/>
                <w:szCs w:val="20"/>
              </w:rPr>
              <w:t>Actual to plan</w:t>
            </w:r>
          </w:p>
          <w:p>
            <w:pPr>
              <w:pStyle w:val="Normal"/>
              <w:spacing w:before="0" w:after="0"/>
              <w:rPr>
                <w:rFonts w:ascii="Arial" w:hAnsi="Arial" w:cs="Arial"/>
                <w:sz w:val="20"/>
                <w:szCs w:val="20"/>
              </w:rPr>
            </w:pPr>
            <w:r>
              <w:rPr>
                <w:rFonts w:cs="Arial" w:ascii="Arial" w:hAnsi="Arial"/>
                <w:sz w:val="20"/>
                <w:szCs w:val="20"/>
              </w:rPr>
              <w:t>Member survey</w:t>
            </w:r>
          </w:p>
        </w:tc>
      </w:tr>
      <w:tr>
        <w:trPr>
          <w:cantSplit w:val="true"/>
        </w:trPr>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rPr>
                <w:rFonts w:ascii="Arial" w:hAnsi="Arial" w:cs="Arial"/>
                <w:sz w:val="20"/>
                <w:szCs w:val="20"/>
              </w:rPr>
            </w:pPr>
            <w:r>
              <w:rPr>
                <w:rFonts w:cs="Arial" w:ascii="Arial" w:hAnsi="Arial"/>
                <w:sz w:val="20"/>
                <w:szCs w:val="20"/>
              </w:rPr>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Impact on access to specialist medical care:</w:t>
            </w:r>
          </w:p>
          <w:p>
            <w:pPr>
              <w:pStyle w:val="Normal"/>
              <w:spacing w:before="0" w:after="0"/>
              <w:rPr>
                <w:rFonts w:ascii="Arial" w:hAnsi="Arial" w:cs="Arial"/>
                <w:sz w:val="20"/>
                <w:szCs w:val="20"/>
              </w:rPr>
            </w:pPr>
            <w:r>
              <w:rPr>
                <w:rFonts w:cs="Arial" w:ascii="Arial" w:hAnsi="Arial"/>
                <w:sz w:val="20"/>
                <w:szCs w:val="20"/>
              </w:rPr>
              <w:t>How was clinical capacity increased?</w:t>
            </w:r>
          </w:p>
          <w:p>
            <w:pPr>
              <w:pStyle w:val="Normal"/>
              <w:spacing w:before="0" w:after="0"/>
              <w:rPr/>
            </w:pPr>
            <w:r>
              <w:rPr>
                <w:rFonts w:cs="Arial" w:ascii="Arial" w:hAnsi="Arial"/>
                <w:sz w:val="20"/>
                <w:szCs w:val="20"/>
              </w:rPr>
              <w:t>Did clinical service volumes increase?</w:t>
            </w:r>
          </w:p>
          <w:p>
            <w:pPr>
              <w:pStyle w:val="Normal"/>
              <w:spacing w:before="0" w:after="0"/>
              <w:rPr>
                <w:rFonts w:ascii="Arial" w:hAnsi="Arial" w:cs="Arial"/>
                <w:sz w:val="20"/>
                <w:szCs w:val="20"/>
              </w:rPr>
            </w:pPr>
            <w:r>
              <w:rPr>
                <w:rFonts w:cs="Arial" w:ascii="Arial" w:hAnsi="Arial"/>
                <w:sz w:val="20"/>
                <w:szCs w:val="20"/>
              </w:rPr>
              <w:t>What new programs were implemented?</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pPr>
            <w:r>
              <w:rPr>
                <w:rFonts w:cs="Arial" w:ascii="Arial" w:hAnsi="Arial"/>
                <w:sz w:val="20"/>
                <w:szCs w:val="20"/>
              </w:rPr>
              <w:t>Department of Medicine FTEs, budget data, FTEs IP, OP and telehealth statistics</w:t>
            </w:r>
          </w:p>
          <w:p>
            <w:pPr>
              <w:pStyle w:val="Normal"/>
              <w:spacing w:before="0" w:after="0"/>
              <w:rPr>
                <w:rFonts w:ascii="Arial" w:hAnsi="Arial" w:cs="Arial"/>
                <w:sz w:val="20"/>
                <w:szCs w:val="20"/>
              </w:rPr>
            </w:pPr>
            <w:r>
              <w:rPr>
                <w:rFonts w:cs="Arial" w:ascii="Arial" w:hAnsi="Arial"/>
                <w:sz w:val="20"/>
                <w:szCs w:val="20"/>
              </w:rPr>
              <w:t>Innovation evaluation report</w:t>
            </w:r>
          </w:p>
        </w:tc>
      </w:tr>
      <w:tr>
        <w:trPr>
          <w:cantSplit w:val="true"/>
        </w:trPr>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rPr>
                <w:rFonts w:ascii="Arial" w:hAnsi="Arial" w:cs="Arial"/>
                <w:sz w:val="20"/>
                <w:szCs w:val="20"/>
              </w:rPr>
            </w:pPr>
            <w:r>
              <w:rPr>
                <w:rFonts w:cs="Arial" w:ascii="Arial" w:hAnsi="Arial"/>
                <w:sz w:val="20"/>
                <w:szCs w:val="20"/>
              </w:rPr>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Impact on quality medical education and training</w:t>
            </w:r>
          </w:p>
          <w:p>
            <w:pPr>
              <w:pStyle w:val="Normal"/>
              <w:spacing w:before="0" w:after="0"/>
              <w:rPr>
                <w:rFonts w:ascii="Arial" w:hAnsi="Arial" w:cs="Arial"/>
                <w:sz w:val="20"/>
                <w:szCs w:val="20"/>
              </w:rPr>
            </w:pPr>
            <w:r>
              <w:rPr>
                <w:rFonts w:cs="Arial" w:ascii="Arial" w:hAnsi="Arial"/>
                <w:sz w:val="20"/>
                <w:szCs w:val="20"/>
              </w:rPr>
              <w:t>Impact on various indicators</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Individual service reports</w:t>
            </w:r>
          </w:p>
        </w:tc>
      </w:tr>
      <w:tr>
        <w:trPr>
          <w:cantSplit w:val="true"/>
        </w:trPr>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rPr>
                <w:rFonts w:ascii="Arial" w:hAnsi="Arial" w:cs="Arial"/>
                <w:sz w:val="20"/>
                <w:szCs w:val="20"/>
              </w:rPr>
            </w:pPr>
            <w:r>
              <w:rPr>
                <w:rFonts w:cs="Arial" w:ascii="Arial" w:hAnsi="Arial"/>
                <w:sz w:val="20"/>
                <w:szCs w:val="20"/>
              </w:rPr>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Impact on research excellence</w:t>
            </w:r>
          </w:p>
          <w:p>
            <w:pPr>
              <w:pStyle w:val="Normal"/>
              <w:spacing w:before="0" w:after="0"/>
              <w:rPr>
                <w:rFonts w:ascii="Arial" w:hAnsi="Arial" w:cs="Arial"/>
                <w:sz w:val="20"/>
                <w:szCs w:val="20"/>
              </w:rPr>
            </w:pPr>
            <w:r>
              <w:rPr>
                <w:rFonts w:cs="Arial" w:ascii="Arial" w:hAnsi="Arial"/>
                <w:sz w:val="20"/>
                <w:szCs w:val="20"/>
              </w:rPr>
              <w:t>Impact on various indicators</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Individual service reports</w:t>
            </w:r>
          </w:p>
        </w:tc>
      </w:tr>
      <w:tr>
        <w:trPr>
          <w:cantSplit w:val="true"/>
        </w:trPr>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rPr>
                <w:rFonts w:ascii="Arial" w:hAnsi="Arial" w:cs="Arial"/>
                <w:sz w:val="20"/>
                <w:szCs w:val="20"/>
              </w:rPr>
            </w:pPr>
            <w:r>
              <w:rPr>
                <w:rFonts w:cs="Arial" w:ascii="Arial" w:hAnsi="Arial"/>
                <w:sz w:val="20"/>
                <w:szCs w:val="20"/>
              </w:rPr>
            </w:r>
          </w:p>
        </w:tc>
        <w:tc>
          <w:tcPr>
            <w:tcW w:w="58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Impact on quality health care:</w:t>
            </w:r>
          </w:p>
          <w:p>
            <w:pPr>
              <w:pStyle w:val="Normal"/>
              <w:spacing w:before="0" w:after="0"/>
              <w:rPr>
                <w:rFonts w:ascii="Arial" w:hAnsi="Arial" w:cs="Arial"/>
                <w:sz w:val="20"/>
                <w:szCs w:val="20"/>
              </w:rPr>
            </w:pPr>
            <w:r>
              <w:rPr>
                <w:rFonts w:cs="Arial" w:ascii="Arial" w:hAnsi="Arial"/>
                <w:sz w:val="20"/>
                <w:szCs w:val="20"/>
              </w:rPr>
              <w:t>How long did patients have to wait?</w:t>
            </w:r>
          </w:p>
          <w:p>
            <w:pPr>
              <w:pStyle w:val="Normal"/>
              <w:spacing w:before="0" w:after="0"/>
              <w:rPr>
                <w:rFonts w:ascii="Arial" w:hAnsi="Arial" w:cs="Arial"/>
                <w:sz w:val="20"/>
                <w:szCs w:val="20"/>
              </w:rPr>
            </w:pPr>
            <w:r>
              <w:rPr>
                <w:rFonts w:cs="Arial" w:ascii="Arial" w:hAnsi="Arial"/>
                <w:sz w:val="20"/>
                <w:szCs w:val="20"/>
              </w:rPr>
              <w:t>Were referring physicians satisfied?</w:t>
            </w:r>
          </w:p>
          <w:p>
            <w:pPr>
              <w:pStyle w:val="Normal"/>
              <w:spacing w:before="0" w:after="0"/>
              <w:rPr>
                <w:rFonts w:ascii="Arial" w:hAnsi="Arial" w:cs="Arial"/>
                <w:sz w:val="20"/>
                <w:szCs w:val="20"/>
              </w:rPr>
            </w:pPr>
            <w:r>
              <w:rPr>
                <w:rFonts w:cs="Arial" w:ascii="Arial" w:hAnsi="Arial"/>
                <w:sz w:val="20"/>
                <w:szCs w:val="20"/>
              </w:rPr>
              <w:t>Were patients satisfied?</w:t>
            </w:r>
          </w:p>
        </w:tc>
        <w:tc>
          <w:tcPr>
            <w:tcW w:w="3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rFonts w:ascii="Arial" w:hAnsi="Arial" w:cs="Arial"/>
                <w:sz w:val="20"/>
                <w:szCs w:val="20"/>
              </w:rPr>
            </w:pPr>
            <w:r>
              <w:rPr>
                <w:rFonts w:cs="Arial" w:ascii="Arial" w:hAnsi="Arial"/>
                <w:sz w:val="20"/>
                <w:szCs w:val="20"/>
              </w:rPr>
              <w:t>Innovation evaluation report</w:t>
            </w:r>
          </w:p>
          <w:p>
            <w:pPr>
              <w:pStyle w:val="Normal"/>
              <w:spacing w:before="0" w:after="0"/>
              <w:rPr>
                <w:rFonts w:ascii="Arial" w:hAnsi="Arial" w:cs="Arial"/>
                <w:sz w:val="20"/>
                <w:szCs w:val="20"/>
              </w:rPr>
            </w:pPr>
            <w:r>
              <w:rPr>
                <w:rFonts w:cs="Arial" w:ascii="Arial" w:hAnsi="Arial"/>
                <w:sz w:val="20"/>
                <w:szCs w:val="20"/>
              </w:rPr>
              <w:t>Referring physician survey</w:t>
            </w:r>
          </w:p>
          <w:p>
            <w:pPr>
              <w:pStyle w:val="Normal"/>
              <w:spacing w:before="0" w:after="0"/>
              <w:rPr/>
            </w:pPr>
            <w:r>
              <w:rPr>
                <w:rFonts w:cs="Arial" w:ascii="Arial" w:hAnsi="Arial"/>
                <w:sz w:val="20"/>
                <w:szCs w:val="20"/>
              </w:rPr>
              <w:t>H-CAHPS (Hospital Consumer Assessment of Healthcare Providers and Systems) surveys</w:t>
            </w:r>
          </w:p>
        </w:tc>
      </w:tr>
    </w:tbl>
    <w:p>
      <w:pPr>
        <w:pStyle w:val="Normal"/>
        <w:autoSpaceDE w:val="false"/>
        <w:spacing w:before="0" w:after="0"/>
        <w:rPr/>
      </w:pPr>
      <w:r>
        <w:rPr/>
      </w:r>
    </w:p>
    <w:p>
      <w:pPr>
        <w:pStyle w:val="Normal"/>
        <w:autoSpaceDE w:val="false"/>
        <w:spacing w:before="0" w:after="0"/>
        <w:rPr/>
      </w:pPr>
      <w:r>
        <w:rPr/>
      </w:r>
      <w:r>
        <w:br w:type="page"/>
      </w:r>
    </w:p>
    <w:p>
      <w:pPr>
        <w:pStyle w:val="Normal"/>
        <w:autoSpaceDE w:val="false"/>
        <w:spacing w:before="0" w:after="0"/>
        <w:rPr/>
      </w:pPr>
      <w:r>
        <w:rPr/>
      </w:r>
    </w:p>
    <w:p>
      <w:pPr>
        <w:pStyle w:val="Normal"/>
        <w:rPr>
          <w:rFonts w:ascii="Arial" w:hAnsi="Arial" w:cs="Arial"/>
          <w:i/>
          <w:i/>
        </w:rPr>
      </w:pPr>
      <w:r>
        <w:rPr>
          <w:rFonts w:cs="Arial" w:ascii="Arial" w:hAnsi="Arial"/>
          <w:b/>
        </w:rPr>
        <w:t>Table 2: Edmonton AARP physician clinical workload</w:t>
      </w:r>
      <w:r>
        <w:rPr>
          <w:rFonts w:cs="Arial" w:ascii="Arial" w:hAnsi="Arial"/>
        </w:rPr>
        <w:t xml:space="preserve"> </w:t>
      </w:r>
      <w:r>
        <w:rPr>
          <w:rStyle w:val="EndnoteCharacters"/>
          <w:rStyle w:val="EndnoteAnchor"/>
          <w:rFonts w:cs="Arial" w:ascii="Arial" w:hAnsi="Arial"/>
          <w:b/>
        </w:rPr>
        <w:endnoteReference w:id="21"/>
      </w:r>
    </w:p>
    <w:p>
      <w:pPr>
        <w:pStyle w:val="Normal"/>
        <w:rPr>
          <w:rFonts w:ascii="Arial" w:hAnsi="Arial" w:cs="Arial"/>
          <w:i/>
          <w:i/>
        </w:rPr>
      </w:pPr>
      <w:r>
        <w:rPr>
          <w:rFonts w:cs="Arial" w:ascii="Arial" w:hAnsi="Arial"/>
          <w:i/>
        </w:rPr>
      </w:r>
    </w:p>
    <w:p>
      <w:pPr>
        <w:pStyle w:val="Normal"/>
        <w:rPr>
          <w:rFonts w:ascii="Arial" w:hAnsi="Arial" w:cs="Arial"/>
        </w:rPr>
      </w:pPr>
      <w:bookmarkStart w:id="0" w:name="_1292926883"/>
      <w:bookmarkEnd w:id="0"/>
      <w:r>
        <w:rPr>
          <w:rFonts w:cs="Arial" w:ascii="Arial" w:hAnsi="Arial"/>
        </w:rPr>
        <w:object>
          <v:shape id="ole_rId4" style="width:493.55pt;height:370.15pt" o:ole="">
            <v:imagedata r:id="rId5" o:title=""/>
          </v:shape>
          <o:OLEObject Type="Embed" ProgID="" ShapeID="ole_rId4" DrawAspect="Content" ObjectID="_355132199" r:id="rId4"/>
        </w:object>
      </w:r>
    </w:p>
    <w:p>
      <w:pPr>
        <w:pStyle w:val="Normal"/>
        <w:rPr>
          <w:rFonts w:ascii="Arial" w:hAnsi="Arial" w:cs="Arial"/>
          <w:i/>
          <w:i/>
        </w:rPr>
      </w:pPr>
      <w:r>
        <w:rPr>
          <w:rFonts w:cs="Arial" w:ascii="Arial" w:hAnsi="Arial"/>
          <w:i/>
        </w:rPr>
      </w:r>
      <w:r>
        <w:br w:type="page"/>
      </w:r>
    </w:p>
    <w:p>
      <w:pPr>
        <w:pStyle w:val="Normal"/>
        <w:autoSpaceDE w:val="false"/>
        <w:spacing w:before="0" w:after="0"/>
        <w:rPr>
          <w:rFonts w:ascii="Arial" w:hAnsi="Arial" w:eastAsia="Times New Roman" w:cs="Arial"/>
        </w:rPr>
      </w:pPr>
      <w:r>
        <w:rPr>
          <w:rFonts w:eastAsia="Times New Roman" w:cs="Arial" w:ascii="Arial" w:hAnsi="Arial"/>
          <w:b/>
        </w:rPr>
        <w:t>Table 3: Calgary AARP physician clinical workload</w:t>
      </w:r>
      <w:r>
        <w:rPr>
          <w:rFonts w:eastAsia="Times New Roman" w:cs="Arial" w:ascii="Arial" w:hAnsi="Arial"/>
        </w:rPr>
        <w:t xml:space="preserve"> </w:t>
      </w:r>
      <w:r>
        <w:rPr>
          <w:rStyle w:val="EndnoteCharacters"/>
          <w:rStyle w:val="EndnoteAnchor"/>
          <w:rFonts w:cs="Arial" w:ascii="Arial" w:hAnsi="Arial"/>
          <w:b/>
        </w:rPr>
        <w:endnoteReference w:id="22"/>
      </w:r>
      <w:r>
        <w:rPr>
          <w:rFonts w:eastAsia="Times New Roman" w:cs="Arial" w:ascii="Arial" w:hAnsi="Arial"/>
        </w:rPr>
        <w:t xml:space="preserve"> </w:t>
      </w:r>
    </w:p>
    <w:p>
      <w:pPr>
        <w:pStyle w:val="Normal"/>
        <w:autoSpaceDE w:val="false"/>
        <w:spacing w:before="0" w:after="0"/>
        <w:rPr>
          <w:rFonts w:ascii="Arial" w:hAnsi="Arial" w:eastAsia="Times New Roman" w:cs="Arial"/>
        </w:rPr>
      </w:pPr>
      <w:r>
        <w:rPr>
          <w:rFonts w:eastAsia="Times New Roman" w:cs="Arial" w:ascii="Arial" w:hAnsi="Arial"/>
        </w:rPr>
      </w:r>
    </w:p>
    <w:p>
      <w:pPr>
        <w:pStyle w:val="Normal"/>
        <w:autoSpaceDE w:val="false"/>
        <w:spacing w:before="0" w:after="0"/>
        <w:rPr>
          <w:rFonts w:ascii="Arial" w:hAnsi="Arial" w:eastAsia="Times New Roman" w:cs="Arial"/>
        </w:rPr>
      </w:pPr>
      <w:bookmarkStart w:id="1" w:name="_1292926910"/>
      <w:bookmarkStart w:id="2" w:name="_1292926904"/>
      <w:bookmarkEnd w:id="1"/>
      <w:bookmarkEnd w:id="2"/>
      <w:r>
        <w:rPr>
          <w:rFonts w:eastAsia="Times New Roman" w:cs="Arial" w:ascii="Arial" w:hAnsi="Arial"/>
        </w:rPr>
        <w:object>
          <v:shape id="ole_rId6" style="width:499.95pt;height:243.2pt" o:ole="">
            <v:imagedata r:id="rId7" o:title=""/>
          </v:shape>
          <o:OLEObject Type="Embed" ProgID="" ShapeID="ole_rId6" DrawAspect="Content" ObjectID="_637592799" r:id="rId6"/>
        </w:object>
      </w:r>
    </w:p>
    <w:p>
      <w:pPr>
        <w:pStyle w:val="Normal"/>
        <w:autoSpaceDE w:val="false"/>
        <w:spacing w:before="0" w:after="0"/>
        <w:rPr>
          <w:rFonts w:ascii="Arial" w:hAnsi="Arial" w:eastAsia="Times New Roman" w:cs="Arial"/>
        </w:rPr>
      </w:pPr>
      <w:r>
        <w:rPr>
          <w:rFonts w:eastAsia="Times New Roman" w:cs="Arial" w:ascii="Arial" w:hAnsi="Arial"/>
        </w:rPr>
      </w:r>
    </w:p>
    <w:p>
      <w:pPr>
        <w:pStyle w:val="Normal"/>
        <w:rPr/>
      </w:pPr>
      <w:r>
        <w:rPr>
          <w:rFonts w:eastAsia="Times New Roman" w:cs="Arial" w:ascii="Arial" w:hAnsi="Arial"/>
          <w:vertAlign w:val="superscript"/>
        </w:rPr>
        <w:t xml:space="preserve">1 </w:t>
      </w:r>
      <w:r>
        <w:rPr>
          <w:rFonts w:eastAsia="Times New Roman" w:cs="Arial" w:ascii="Arial" w:hAnsi="Arial"/>
          <w:sz w:val="20"/>
        </w:rPr>
        <w:t>Count of all physician types adjusted by Resource Intensity Weight</w:t>
      </w:r>
    </w:p>
    <w:p>
      <w:pPr>
        <w:pStyle w:val="Normal"/>
        <w:rPr/>
      </w:pPr>
      <w:r>
        <w:rPr>
          <w:rFonts w:eastAsia="Times New Roman" w:cs="Arial" w:ascii="Arial" w:hAnsi="Arial"/>
          <w:sz w:val="20"/>
          <w:vertAlign w:val="superscript"/>
        </w:rPr>
        <w:t>2</w:t>
      </w:r>
      <w:r>
        <w:rPr>
          <w:rFonts w:eastAsia="Times New Roman" w:cs="Arial" w:ascii="Arial" w:hAnsi="Arial"/>
          <w:sz w:val="20"/>
        </w:rPr>
        <w:t xml:space="preserve"> Face to face contact with physician</w:t>
      </w:r>
    </w:p>
    <w:p>
      <w:pPr>
        <w:pStyle w:val="Normal"/>
        <w:rPr/>
      </w:pPr>
      <w:r>
        <w:rPr>
          <w:rFonts w:eastAsia="Times New Roman" w:cs="Arial" w:ascii="Arial" w:hAnsi="Arial"/>
          <w:sz w:val="20"/>
          <w:vertAlign w:val="superscript"/>
        </w:rPr>
        <w:t>3</w:t>
      </w:r>
      <w:r>
        <w:rPr>
          <w:rFonts w:eastAsia="Times New Roman" w:cs="Arial" w:ascii="Arial" w:hAnsi="Arial"/>
          <w:sz w:val="20"/>
        </w:rPr>
        <w:t xml:space="preserve"> Additional outpatient face-to face- contacts with alternate care providers using 2004/05 as base year</w:t>
      </w:r>
    </w:p>
    <w:p>
      <w:pPr>
        <w:pStyle w:val="Normal"/>
        <w:rPr>
          <w:rFonts w:ascii="Arial" w:hAnsi="Arial" w:eastAsia="Times New Roman" w:cs="Arial"/>
          <w:sz w:val="20"/>
        </w:rPr>
      </w:pPr>
      <w:r>
        <w:rPr>
          <w:rFonts w:eastAsia="Times New Roman" w:cs="Arial" w:ascii="Arial" w:hAnsi="Arial"/>
          <w:sz w:val="20"/>
          <w:vertAlign w:val="superscript"/>
        </w:rPr>
        <w:t>4</w:t>
      </w:r>
      <w:r>
        <w:rPr>
          <w:rFonts w:eastAsia="Times New Roman" w:cs="Arial" w:ascii="Arial" w:hAnsi="Arial"/>
          <w:sz w:val="20"/>
        </w:rPr>
        <w:t xml:space="preserve"> Telehealth hours with patient present multiplied by 4 to convert to typical 15 minute visit</w:t>
      </w:r>
    </w:p>
    <w:p>
      <w:pPr>
        <w:pStyle w:val="Normal"/>
        <w:autoSpaceDE w:val="false"/>
        <w:spacing w:before="0" w:after="0"/>
        <w:rPr>
          <w:rFonts w:ascii="Arial" w:hAnsi="Arial" w:cs="Arial"/>
          <w:sz w:val="20"/>
        </w:rPr>
      </w:pPr>
      <w:r>
        <w:rPr>
          <w:rFonts w:cs="Arial" w:ascii="Arial" w:hAnsi="Arial"/>
          <w:sz w:val="20"/>
        </w:rPr>
        <w:t xml:space="preserve">* Historical mean increase over previous 6 years was 4.1 FTEs/annum </w:t>
      </w:r>
    </w:p>
    <w:p>
      <w:pPr>
        <w:pStyle w:val="Normal"/>
        <w:autoSpaceDE w:val="false"/>
        <w:spacing w:before="0" w:after="0"/>
        <w:rPr>
          <w:rFonts w:ascii="Arial" w:hAnsi="Arial" w:cs="Arial"/>
          <w:sz w:val="20"/>
        </w:rPr>
      </w:pPr>
      <w:r>
        <w:rPr>
          <w:rFonts w:cs="Arial" w:ascii="Arial" w:hAnsi="Arial"/>
          <w:sz w:val="20"/>
        </w:rPr>
      </w:r>
    </w:p>
    <w:p>
      <w:pPr>
        <w:pStyle w:val="Normal"/>
        <w:autoSpaceDE w:val="false"/>
        <w:spacing w:before="0" w:after="0"/>
        <w:rPr/>
      </w:pPr>
      <w:r>
        <w:rPr/>
      </w:r>
    </w:p>
    <w:p>
      <w:pPr>
        <w:pStyle w:val="Normal"/>
        <w:autoSpaceDE w:val="false"/>
        <w:spacing w:before="0" w:after="0"/>
        <w:rPr/>
      </w:pPr>
      <w:r>
        <w:rPr/>
      </w:r>
    </w:p>
    <w:p>
      <w:pPr>
        <w:pStyle w:val="Normal"/>
        <w:autoSpaceDE w:val="false"/>
        <w:spacing w:before="0" w:after="0"/>
        <w:rPr/>
      </w:pPr>
      <w:r>
        <w:rPr/>
      </w:r>
      <w:r>
        <w:br w:type="page"/>
      </w:r>
    </w:p>
    <w:p>
      <w:pPr>
        <w:pStyle w:val="Normal"/>
        <w:spacing w:before="0" w:after="240"/>
        <w:rPr>
          <w:rFonts w:ascii="Arial" w:hAnsi="Arial" w:cs="Arial"/>
          <w:b/>
          <w:b/>
        </w:rPr>
      </w:pPr>
      <w:r>
        <w:rPr>
          <w:rFonts w:cs="Arial" w:ascii="Arial" w:hAnsi="Arial"/>
          <w:b/>
        </w:rPr>
        <w:t>Table 4: AARP Innovation projects outcomes evaluation</w:t>
      </w:r>
    </w:p>
    <w:tbl>
      <w:tblPr>
        <w:tblW w:w="9747" w:type="dxa"/>
        <w:jc w:val="left"/>
        <w:tblInd w:w="0" w:type="dxa"/>
        <w:tblBorders>
          <w:top w:val="single" w:sz="8" w:space="0" w:color="4F81BD"/>
          <w:bottom w:val="single" w:sz="8" w:space="0" w:color="4F81BD"/>
          <w:insideH w:val="single" w:sz="8" w:space="0" w:color="4F81BD"/>
        </w:tblBorders>
        <w:tblCellMar>
          <w:top w:w="0" w:type="dxa"/>
          <w:left w:w="108" w:type="dxa"/>
          <w:bottom w:w="0" w:type="dxa"/>
          <w:right w:w="108" w:type="dxa"/>
        </w:tblCellMar>
      </w:tblPr>
      <w:tblGrid>
        <w:gridCol w:w="1809"/>
        <w:gridCol w:w="7938"/>
      </w:tblGrid>
      <w:tr>
        <w:trPr/>
        <w:tc>
          <w:tcPr>
            <w:tcW w:w="1809" w:type="dxa"/>
            <w:tcBorders>
              <w:top w:val="single" w:sz="8" w:space="0" w:color="4F81BD"/>
              <w:bottom w:val="single" w:sz="8" w:space="0" w:color="4F81BD"/>
              <w:insideH w:val="single" w:sz="8" w:space="0" w:color="4F81BD"/>
            </w:tcBorders>
            <w:shd w:fill="auto" w:val="clear"/>
          </w:tcPr>
          <w:p>
            <w:pPr>
              <w:pStyle w:val="Normal"/>
              <w:spacing w:before="60" w:after="60"/>
              <w:rPr>
                <w:rFonts w:ascii="Arial" w:hAnsi="Arial" w:eastAsia="Times New Roman" w:cs="Arial"/>
                <w:b/>
                <w:b/>
                <w:bCs/>
              </w:rPr>
            </w:pPr>
            <w:r>
              <w:rPr>
                <w:rFonts w:eastAsia="Times New Roman" w:cs="Arial" w:ascii="Arial" w:hAnsi="Arial"/>
                <w:b/>
                <w:bCs/>
              </w:rPr>
              <w:t>Project</w:t>
            </w:r>
          </w:p>
        </w:tc>
        <w:tc>
          <w:tcPr>
            <w:tcW w:w="7938" w:type="dxa"/>
            <w:tcBorders>
              <w:top w:val="single" w:sz="8" w:space="0" w:color="4F81BD"/>
              <w:bottom w:val="single" w:sz="8" w:space="0" w:color="4F81BD"/>
              <w:insideH w:val="single" w:sz="8" w:space="0" w:color="4F81BD"/>
            </w:tcBorders>
            <w:shd w:fill="auto" w:val="clear"/>
          </w:tcPr>
          <w:p>
            <w:pPr>
              <w:pStyle w:val="Normal"/>
              <w:spacing w:before="60" w:after="60"/>
              <w:rPr>
                <w:rFonts w:ascii="Arial" w:hAnsi="Arial" w:eastAsia="Times New Roman" w:cs="Arial"/>
                <w:b/>
                <w:b/>
                <w:bCs/>
              </w:rPr>
            </w:pPr>
            <w:r>
              <w:rPr>
                <w:rFonts w:eastAsia="Times New Roman" w:cs="Arial" w:ascii="Arial" w:hAnsi="Arial"/>
                <w:b/>
                <w:bCs/>
              </w:rPr>
              <w:t>Results</w:t>
            </w:r>
          </w:p>
        </w:tc>
      </w:tr>
      <w:tr>
        <w:trPr/>
        <w:tc>
          <w:tcPr>
            <w:tcW w:w="1809" w:type="dxa"/>
            <w:tcBorders/>
            <w:shd w:fill="D3DFEE" w:val="clear"/>
          </w:tcPr>
          <w:p>
            <w:pPr>
              <w:pStyle w:val="Normal"/>
              <w:rPr>
                <w:rFonts w:ascii="Arial" w:hAnsi="Arial" w:eastAsia="Times New Roman" w:cs="Arial"/>
                <w:b/>
                <w:b/>
                <w:bCs/>
                <w:sz w:val="20"/>
              </w:rPr>
            </w:pPr>
            <w:r>
              <w:rPr>
                <w:rFonts w:eastAsia="Times New Roman" w:cs="Arial" w:ascii="Arial" w:hAnsi="Arial"/>
                <w:b/>
                <w:bCs/>
                <w:sz w:val="20"/>
              </w:rPr>
              <w:t>Atrial Fibrillation Clinic</w:t>
            </w:r>
            <w:r>
              <w:rPr>
                <w:rStyle w:val="EndnoteCharacters"/>
                <w:rStyle w:val="EndnoteAnchor"/>
                <w:rFonts w:eastAsia="Times New Roman" w:cs="Arial" w:ascii="Arial" w:hAnsi="Arial"/>
                <w:b/>
                <w:bCs/>
                <w:sz w:val="20"/>
              </w:rPr>
              <w:endnoteReference w:id="23"/>
            </w:r>
          </w:p>
          <w:p>
            <w:pPr>
              <w:pStyle w:val="Normal"/>
              <w:spacing w:before="0" w:after="120"/>
              <w:rPr>
                <w:rFonts w:ascii="Arial" w:hAnsi="Arial" w:eastAsia="Times New Roman" w:cs="Arial"/>
                <w:b/>
                <w:b/>
                <w:bCs/>
                <w:sz w:val="20"/>
              </w:rPr>
            </w:pPr>
            <w:r>
              <w:rPr>
                <w:rFonts w:eastAsia="Times New Roman" w:cs="Arial" w:ascii="Arial" w:hAnsi="Arial"/>
                <w:b/>
                <w:bCs/>
                <w:sz w:val="20"/>
              </w:rPr>
              <w:t>Calgary*</w:t>
            </w:r>
          </w:p>
        </w:tc>
        <w:tc>
          <w:tcPr>
            <w:tcW w:w="7938" w:type="dxa"/>
            <w:tcBorders/>
            <w:shd w:fill="D3DFEE" w:val="clear"/>
          </w:tcPr>
          <w:p>
            <w:pPr>
              <w:pStyle w:val="Normal"/>
              <w:rPr>
                <w:rFonts w:ascii="Arial" w:hAnsi="Arial" w:cs="Arial"/>
                <w:sz w:val="20"/>
              </w:rPr>
            </w:pPr>
            <w:r>
              <w:rPr>
                <w:rFonts w:cs="Arial" w:ascii="Arial" w:hAnsi="Arial"/>
                <w:sz w:val="20"/>
              </w:rPr>
              <w:t>Reduced wait time to see a physician specialist from 220 days in 2005 to 30 days 2006</w:t>
            </w:r>
          </w:p>
          <w:p>
            <w:pPr>
              <w:pStyle w:val="Normal"/>
              <w:spacing w:before="0" w:after="120"/>
              <w:rPr>
                <w:rFonts w:ascii="Arial" w:hAnsi="Arial" w:cs="Arial"/>
                <w:sz w:val="20"/>
              </w:rPr>
            </w:pPr>
            <w:r>
              <w:rPr>
                <w:rFonts w:cs="Arial" w:ascii="Arial" w:hAnsi="Arial"/>
                <w:sz w:val="20"/>
              </w:rPr>
              <w:t>Sample 68 patients with pre/post clinic data: reduced emergency visits by 82%; reduced hospital admissions by 56%; Hospital length of stay averaged 5 days pre clinic and 1.8 days post clinic</w:t>
            </w:r>
          </w:p>
        </w:tc>
      </w:tr>
      <w:tr>
        <w:trPr/>
        <w:tc>
          <w:tcPr>
            <w:tcW w:w="1809" w:type="dxa"/>
            <w:tcBorders/>
            <w:shd w:fill="auto" w:val="clear"/>
          </w:tcPr>
          <w:p>
            <w:pPr>
              <w:pStyle w:val="Normal"/>
              <w:rPr>
                <w:rFonts w:ascii="Arial" w:hAnsi="Arial" w:eastAsia="Times New Roman" w:cs="Arial"/>
                <w:b/>
                <w:b/>
                <w:bCs/>
                <w:sz w:val="20"/>
              </w:rPr>
            </w:pPr>
            <w:r>
              <w:rPr>
                <w:rFonts w:eastAsia="Times New Roman" w:cs="Arial" w:ascii="Arial" w:hAnsi="Arial"/>
                <w:b/>
                <w:bCs/>
                <w:sz w:val="20"/>
              </w:rPr>
              <w:t>Cardiac Function Clinic</w:t>
            </w:r>
          </w:p>
          <w:p>
            <w:pPr>
              <w:pStyle w:val="Normal"/>
              <w:spacing w:before="0" w:after="120"/>
              <w:rPr>
                <w:rFonts w:ascii="Arial" w:hAnsi="Arial" w:eastAsia="Times New Roman" w:cs="Arial"/>
                <w:b/>
                <w:b/>
                <w:bCs/>
                <w:sz w:val="20"/>
              </w:rPr>
            </w:pPr>
            <w:r>
              <w:rPr>
                <w:rFonts w:eastAsia="Times New Roman" w:cs="Arial" w:ascii="Arial" w:hAnsi="Arial"/>
                <w:b/>
                <w:bCs/>
                <w:sz w:val="20"/>
              </w:rPr>
              <w:t>Calgary*</w:t>
            </w:r>
          </w:p>
        </w:tc>
        <w:tc>
          <w:tcPr>
            <w:tcW w:w="7938" w:type="dxa"/>
            <w:tcBorders/>
            <w:shd w:fill="auto" w:val="clear"/>
          </w:tcPr>
          <w:p>
            <w:pPr>
              <w:pStyle w:val="Normal"/>
              <w:spacing w:before="0" w:after="120"/>
              <w:rPr>
                <w:rFonts w:ascii="Arial" w:hAnsi="Arial" w:cs="Arial"/>
                <w:sz w:val="20"/>
              </w:rPr>
            </w:pPr>
            <w:r>
              <w:rPr>
                <w:rFonts w:cs="Arial" w:ascii="Arial" w:hAnsi="Arial"/>
                <w:sz w:val="20"/>
              </w:rPr>
              <w:t>Sample of 103 patients pre/post clinic data: reduced emergency visits by 83%; reduced hospital admissions by 69% ; reduced hospital length of stay by 856 days</w:t>
            </w:r>
          </w:p>
        </w:tc>
      </w:tr>
      <w:tr>
        <w:trPr/>
        <w:tc>
          <w:tcPr>
            <w:tcW w:w="1809" w:type="dxa"/>
            <w:tcBorders/>
            <w:shd w:fill="D3DFEE" w:val="clear"/>
          </w:tcPr>
          <w:p>
            <w:pPr>
              <w:pStyle w:val="Normal"/>
              <w:rPr>
                <w:rFonts w:ascii="Arial" w:hAnsi="Arial" w:eastAsia="Times New Roman" w:cs="Arial"/>
                <w:b/>
                <w:b/>
                <w:bCs/>
                <w:sz w:val="20"/>
              </w:rPr>
            </w:pPr>
            <w:r>
              <w:rPr>
                <w:rFonts w:eastAsia="Times New Roman" w:cs="Arial" w:ascii="Arial" w:hAnsi="Arial"/>
                <w:b/>
                <w:bCs/>
                <w:sz w:val="20"/>
              </w:rPr>
              <w:t xml:space="preserve">Endocrinology Triage    </w:t>
            </w:r>
          </w:p>
          <w:p>
            <w:pPr>
              <w:pStyle w:val="Normal"/>
              <w:spacing w:before="0" w:after="120"/>
              <w:rPr>
                <w:rFonts w:ascii="Arial" w:hAnsi="Arial" w:eastAsia="Times New Roman" w:cs="Arial"/>
                <w:b/>
                <w:b/>
                <w:bCs/>
                <w:sz w:val="20"/>
              </w:rPr>
            </w:pPr>
            <w:r>
              <w:rPr>
                <w:rFonts w:eastAsia="Times New Roman" w:cs="Arial" w:ascii="Arial" w:hAnsi="Arial"/>
                <w:b/>
                <w:bCs/>
                <w:sz w:val="20"/>
              </w:rPr>
              <w:t>Edmonton</w:t>
            </w:r>
          </w:p>
        </w:tc>
        <w:tc>
          <w:tcPr>
            <w:tcW w:w="7938" w:type="dxa"/>
            <w:tcBorders/>
            <w:shd w:fill="D3DFEE" w:val="clear"/>
          </w:tcPr>
          <w:p>
            <w:pPr>
              <w:pStyle w:val="Normal"/>
              <w:spacing w:before="0" w:after="120"/>
              <w:rPr>
                <w:rFonts w:ascii="Arial" w:hAnsi="Arial" w:cs="Arial"/>
                <w:sz w:val="20"/>
              </w:rPr>
            </w:pPr>
            <w:r>
              <w:rPr>
                <w:rFonts w:cs="Arial" w:ascii="Arial" w:hAnsi="Arial"/>
                <w:sz w:val="20"/>
              </w:rPr>
              <w:t>Since its implementation, decreased wait times for urgent &amp; priority referrals to less than two weeks and generally the same week as the person on call will accommodate these.</w:t>
            </w:r>
          </w:p>
        </w:tc>
      </w:tr>
      <w:tr>
        <w:trPr/>
        <w:tc>
          <w:tcPr>
            <w:tcW w:w="1809" w:type="dxa"/>
            <w:tcBorders/>
            <w:shd w:fill="auto" w:val="clear"/>
          </w:tcPr>
          <w:p>
            <w:pPr>
              <w:pStyle w:val="Normal"/>
              <w:rPr>
                <w:rFonts w:ascii="Arial" w:hAnsi="Arial" w:eastAsia="Times New Roman" w:cs="Arial"/>
                <w:b/>
                <w:b/>
                <w:bCs/>
                <w:sz w:val="20"/>
              </w:rPr>
            </w:pPr>
            <w:r>
              <w:rPr>
                <w:rFonts w:eastAsia="Times New Roman" w:cs="Arial" w:ascii="Arial" w:hAnsi="Arial"/>
                <w:b/>
                <w:bCs/>
                <w:sz w:val="20"/>
              </w:rPr>
              <w:t>GI Central Intake</w:t>
            </w:r>
          </w:p>
          <w:p>
            <w:pPr>
              <w:pStyle w:val="Normal"/>
              <w:spacing w:before="0" w:after="120"/>
              <w:rPr>
                <w:rFonts w:ascii="Arial" w:hAnsi="Arial" w:eastAsia="Times New Roman" w:cs="Arial"/>
                <w:b/>
                <w:b/>
                <w:bCs/>
                <w:sz w:val="20"/>
              </w:rPr>
            </w:pPr>
            <w:r>
              <w:rPr>
                <w:rFonts w:eastAsia="Times New Roman" w:cs="Arial" w:ascii="Arial" w:hAnsi="Arial"/>
                <w:b/>
                <w:bCs/>
                <w:sz w:val="20"/>
              </w:rPr>
              <w:t>Calgary*</w:t>
            </w:r>
          </w:p>
        </w:tc>
        <w:tc>
          <w:tcPr>
            <w:tcW w:w="7938" w:type="dxa"/>
            <w:tcBorders/>
            <w:shd w:fill="auto" w:val="clear"/>
          </w:tcPr>
          <w:p>
            <w:pPr>
              <w:pStyle w:val="Normal"/>
              <w:spacing w:before="0" w:after="120"/>
              <w:rPr>
                <w:rFonts w:ascii="Arial" w:hAnsi="Arial" w:cs="Arial"/>
                <w:sz w:val="20"/>
              </w:rPr>
            </w:pPr>
            <w:r>
              <w:rPr>
                <w:rFonts w:cs="Arial" w:ascii="Arial" w:hAnsi="Arial"/>
                <w:sz w:val="20"/>
              </w:rPr>
              <w:t>Resulted in decrease in wait time of 8% in spite of a 153% increase in referrals</w:t>
            </w:r>
          </w:p>
        </w:tc>
      </w:tr>
      <w:tr>
        <w:trPr/>
        <w:tc>
          <w:tcPr>
            <w:tcW w:w="1809" w:type="dxa"/>
            <w:tcBorders/>
            <w:shd w:fill="D3DFEE" w:val="clear"/>
          </w:tcPr>
          <w:p>
            <w:pPr>
              <w:pStyle w:val="Normal"/>
              <w:rPr>
                <w:rFonts w:ascii="Arial" w:hAnsi="Arial" w:eastAsia="Times New Roman" w:cs="Arial"/>
                <w:b/>
                <w:b/>
                <w:bCs/>
                <w:sz w:val="20"/>
              </w:rPr>
            </w:pPr>
            <w:r>
              <w:rPr>
                <w:rFonts w:eastAsia="Times New Roman" w:cs="Arial" w:ascii="Arial" w:hAnsi="Arial"/>
                <w:b/>
                <w:bCs/>
                <w:sz w:val="20"/>
              </w:rPr>
              <w:t>Nephrology Central Intake</w:t>
            </w:r>
          </w:p>
          <w:p>
            <w:pPr>
              <w:pStyle w:val="Normal"/>
              <w:spacing w:before="0" w:after="120"/>
              <w:rPr>
                <w:rFonts w:ascii="Arial" w:hAnsi="Arial" w:eastAsia="Times New Roman" w:cs="Arial"/>
                <w:b/>
                <w:b/>
                <w:bCs/>
                <w:sz w:val="20"/>
              </w:rPr>
            </w:pPr>
            <w:r>
              <w:rPr>
                <w:rFonts w:eastAsia="Times New Roman" w:cs="Arial" w:ascii="Arial" w:hAnsi="Arial"/>
                <w:b/>
                <w:bCs/>
                <w:sz w:val="20"/>
              </w:rPr>
              <w:t>Calgary*</w:t>
            </w:r>
          </w:p>
        </w:tc>
        <w:tc>
          <w:tcPr>
            <w:tcW w:w="7938" w:type="dxa"/>
            <w:tcBorders/>
            <w:shd w:fill="D3DFEE" w:val="clear"/>
          </w:tcPr>
          <w:p>
            <w:pPr>
              <w:pStyle w:val="Normal"/>
              <w:spacing w:before="0" w:after="120"/>
              <w:rPr>
                <w:rFonts w:ascii="Arial" w:hAnsi="Arial" w:cs="Arial"/>
                <w:sz w:val="20"/>
              </w:rPr>
            </w:pPr>
            <w:r>
              <w:rPr>
                <w:rFonts w:cs="Arial" w:ascii="Arial" w:hAnsi="Arial"/>
                <w:sz w:val="20"/>
              </w:rPr>
              <w:t>Central intake resulted in launch of urgent assessment clinic and reduction in wait times between 25% and 50% depending on urgency</w:t>
            </w:r>
          </w:p>
        </w:tc>
      </w:tr>
      <w:tr>
        <w:trPr/>
        <w:tc>
          <w:tcPr>
            <w:tcW w:w="1809" w:type="dxa"/>
            <w:tcBorders/>
            <w:shd w:fill="auto" w:val="clear"/>
          </w:tcPr>
          <w:p>
            <w:pPr>
              <w:pStyle w:val="Normal"/>
              <w:rPr>
                <w:rFonts w:ascii="Arial" w:hAnsi="Arial" w:eastAsia="Times New Roman" w:cs="Arial"/>
                <w:b/>
                <w:b/>
                <w:bCs/>
                <w:sz w:val="20"/>
              </w:rPr>
            </w:pPr>
            <w:r>
              <w:rPr>
                <w:rFonts w:eastAsia="Times New Roman" w:cs="Arial" w:ascii="Arial" w:hAnsi="Arial"/>
                <w:b/>
                <w:bCs/>
                <w:sz w:val="20"/>
              </w:rPr>
              <w:t>Pulmonary Hypertension Program</w:t>
            </w:r>
          </w:p>
          <w:p>
            <w:pPr>
              <w:pStyle w:val="Normal"/>
              <w:spacing w:before="0" w:after="120"/>
              <w:rPr>
                <w:rFonts w:ascii="Arial" w:hAnsi="Arial" w:eastAsia="Times New Roman" w:cs="Arial"/>
                <w:b/>
                <w:b/>
                <w:bCs/>
                <w:sz w:val="20"/>
              </w:rPr>
            </w:pPr>
            <w:r>
              <w:rPr>
                <w:rFonts w:eastAsia="Times New Roman" w:cs="Arial" w:ascii="Arial" w:hAnsi="Arial"/>
                <w:b/>
                <w:bCs/>
                <w:sz w:val="20"/>
              </w:rPr>
              <w:t>Edmonton</w:t>
            </w:r>
          </w:p>
        </w:tc>
        <w:tc>
          <w:tcPr>
            <w:tcW w:w="7938" w:type="dxa"/>
            <w:tcBorders/>
            <w:shd w:fill="auto" w:val="clear"/>
          </w:tcPr>
          <w:p>
            <w:pPr>
              <w:pStyle w:val="Normal"/>
              <w:rPr>
                <w:rFonts w:ascii="Arial" w:hAnsi="Arial" w:cs="Arial"/>
                <w:sz w:val="20"/>
              </w:rPr>
            </w:pPr>
            <w:r>
              <w:rPr>
                <w:rFonts w:cs="Arial" w:ascii="Arial" w:hAnsi="Arial"/>
                <w:sz w:val="20"/>
              </w:rPr>
              <w:t>Wait time for diagnostic testing and consultation reduced by 70%.</w:t>
            </w:r>
          </w:p>
          <w:p>
            <w:pPr>
              <w:pStyle w:val="Normal"/>
              <w:spacing w:before="0" w:after="120"/>
              <w:rPr>
                <w:rFonts w:ascii="Arial" w:hAnsi="Arial" w:cs="Arial"/>
                <w:sz w:val="20"/>
              </w:rPr>
            </w:pPr>
            <w:r>
              <w:rPr>
                <w:rFonts w:cs="Arial" w:ascii="Arial" w:hAnsi="Arial"/>
                <w:sz w:val="20"/>
              </w:rPr>
              <w:t>20% of patients access more than one member of interdisciplinary team</w:t>
            </w:r>
          </w:p>
        </w:tc>
      </w:tr>
      <w:tr>
        <w:trPr/>
        <w:tc>
          <w:tcPr>
            <w:tcW w:w="1809" w:type="dxa"/>
            <w:tcBorders/>
            <w:shd w:fill="D3DFEE" w:val="clear"/>
          </w:tcPr>
          <w:p>
            <w:pPr>
              <w:pStyle w:val="Normal"/>
              <w:rPr>
                <w:rFonts w:ascii="Arial" w:hAnsi="Arial" w:eastAsia="Times New Roman" w:cs="Arial"/>
                <w:b/>
                <w:b/>
                <w:bCs/>
                <w:sz w:val="20"/>
              </w:rPr>
            </w:pPr>
            <w:r>
              <w:rPr>
                <w:rFonts w:eastAsia="Times New Roman" w:cs="Arial" w:ascii="Arial" w:hAnsi="Arial"/>
                <w:b/>
                <w:bCs/>
                <w:sz w:val="20"/>
              </w:rPr>
              <w:t>Respiratory: Induced Sputum Analysis</w:t>
            </w:r>
          </w:p>
          <w:p>
            <w:pPr>
              <w:pStyle w:val="Normal"/>
              <w:rPr>
                <w:rFonts w:ascii="Arial" w:hAnsi="Arial" w:eastAsia="Times New Roman" w:cs="Arial"/>
                <w:b/>
                <w:b/>
                <w:bCs/>
                <w:sz w:val="20"/>
              </w:rPr>
            </w:pPr>
            <w:r>
              <w:rPr>
                <w:rFonts w:eastAsia="Times New Roman" w:cs="Arial" w:ascii="Arial" w:hAnsi="Arial"/>
                <w:b/>
                <w:bCs/>
                <w:sz w:val="20"/>
              </w:rPr>
              <w:t>Chronic Cough</w:t>
            </w:r>
            <w:r>
              <w:rPr>
                <w:rStyle w:val="EndnoteCharacters"/>
                <w:rStyle w:val="EndnoteAnchor"/>
                <w:rFonts w:eastAsia="Times New Roman" w:cs="Arial" w:ascii="Arial" w:hAnsi="Arial"/>
                <w:b/>
                <w:bCs/>
                <w:sz w:val="20"/>
              </w:rPr>
              <w:endnoteReference w:id="24"/>
            </w:r>
            <w:r>
              <w:rPr>
                <w:rStyle w:val="EndnoteCharacters"/>
                <w:rStyle w:val="EndnoteAnchor"/>
                <w:rFonts w:eastAsia="Times New Roman" w:cs="Arial" w:ascii="Arial" w:hAnsi="Arial"/>
                <w:b/>
                <w:bCs/>
                <w:sz w:val="20"/>
              </w:rPr>
              <w:endnoteReference w:id="25"/>
            </w:r>
          </w:p>
          <w:p>
            <w:pPr>
              <w:pStyle w:val="Normal"/>
              <w:spacing w:before="0" w:after="120"/>
              <w:rPr>
                <w:rFonts w:ascii="Arial" w:hAnsi="Arial" w:eastAsia="Times New Roman" w:cs="Arial"/>
                <w:b/>
                <w:b/>
                <w:bCs/>
                <w:sz w:val="20"/>
              </w:rPr>
            </w:pPr>
            <w:r>
              <w:rPr>
                <w:rFonts w:eastAsia="Times New Roman" w:cs="Arial" w:ascii="Arial" w:hAnsi="Arial"/>
                <w:b/>
                <w:bCs/>
                <w:sz w:val="20"/>
              </w:rPr>
              <w:t>Calgary*</w:t>
            </w:r>
          </w:p>
        </w:tc>
        <w:tc>
          <w:tcPr>
            <w:tcW w:w="7938" w:type="dxa"/>
            <w:tcBorders/>
            <w:shd w:fill="D3DFEE" w:val="clear"/>
          </w:tcPr>
          <w:p>
            <w:pPr>
              <w:pStyle w:val="Normal"/>
              <w:rPr>
                <w:rFonts w:ascii="Arial" w:hAnsi="Arial" w:cs="Arial"/>
                <w:sz w:val="20"/>
              </w:rPr>
            </w:pPr>
            <w:r>
              <w:rPr>
                <w:rFonts w:cs="Arial" w:ascii="Arial" w:hAnsi="Arial"/>
                <w:sz w:val="20"/>
              </w:rPr>
              <w:t>65/122 patients with evidence of sputum eosinophilia and subsequent change in management resulted in reduced emergency visits by 67%, and reduced hospital admissions by 75%</w:t>
            </w:r>
          </w:p>
          <w:p>
            <w:pPr>
              <w:pStyle w:val="Normal"/>
              <w:spacing w:before="0" w:after="120"/>
              <w:rPr>
                <w:rFonts w:ascii="Arial" w:hAnsi="Arial" w:cs="Arial"/>
                <w:sz w:val="20"/>
              </w:rPr>
            </w:pPr>
            <w:r>
              <w:rPr>
                <w:rFonts w:cs="Arial" w:ascii="Arial" w:hAnsi="Arial"/>
                <w:sz w:val="20"/>
              </w:rPr>
            </w:r>
          </w:p>
        </w:tc>
      </w:tr>
      <w:tr>
        <w:trPr/>
        <w:tc>
          <w:tcPr>
            <w:tcW w:w="1809" w:type="dxa"/>
            <w:tcBorders>
              <w:bottom w:val="single" w:sz="8" w:space="0" w:color="4F81BD"/>
              <w:insideH w:val="single" w:sz="8" w:space="0" w:color="4F81BD"/>
            </w:tcBorders>
            <w:shd w:fill="auto" w:val="clear"/>
          </w:tcPr>
          <w:p>
            <w:pPr>
              <w:pStyle w:val="Normal"/>
              <w:rPr>
                <w:rFonts w:ascii="Arial" w:hAnsi="Arial" w:eastAsia="Times New Roman" w:cs="Arial"/>
                <w:b/>
                <w:b/>
                <w:bCs/>
                <w:sz w:val="20"/>
              </w:rPr>
            </w:pPr>
            <w:r>
              <w:rPr>
                <w:rFonts w:eastAsia="Times New Roman" w:cs="Arial" w:ascii="Arial" w:hAnsi="Arial"/>
                <w:b/>
                <w:bCs/>
                <w:sz w:val="20"/>
              </w:rPr>
              <w:t>Rheumatology Central Intake</w:t>
            </w:r>
          </w:p>
          <w:p>
            <w:pPr>
              <w:pStyle w:val="Normal"/>
              <w:spacing w:before="0" w:after="120"/>
              <w:rPr>
                <w:rFonts w:ascii="Arial" w:hAnsi="Arial" w:eastAsia="Times New Roman" w:cs="Arial"/>
                <w:b/>
                <w:b/>
                <w:bCs/>
                <w:sz w:val="20"/>
              </w:rPr>
            </w:pPr>
            <w:r>
              <w:rPr>
                <w:rFonts w:eastAsia="Times New Roman" w:cs="Arial" w:ascii="Arial" w:hAnsi="Arial"/>
                <w:b/>
                <w:bCs/>
                <w:sz w:val="20"/>
              </w:rPr>
              <w:t>Calgary*</w:t>
            </w:r>
          </w:p>
        </w:tc>
        <w:tc>
          <w:tcPr>
            <w:tcW w:w="7938" w:type="dxa"/>
            <w:tcBorders>
              <w:bottom w:val="single" w:sz="8" w:space="0" w:color="4F81BD"/>
              <w:insideH w:val="single" w:sz="8" w:space="0" w:color="4F81BD"/>
            </w:tcBorders>
            <w:shd w:fill="auto" w:val="clear"/>
          </w:tcPr>
          <w:p>
            <w:pPr>
              <w:pStyle w:val="Normal"/>
              <w:spacing w:before="0" w:after="120"/>
              <w:rPr>
                <w:rFonts w:ascii="Arial" w:hAnsi="Arial" w:cs="Arial"/>
                <w:sz w:val="20"/>
              </w:rPr>
            </w:pPr>
            <w:r>
              <w:rPr>
                <w:rFonts w:cs="Arial" w:ascii="Arial" w:hAnsi="Arial"/>
                <w:sz w:val="20"/>
              </w:rPr>
              <w:t>Decreased wait times between 15% and 37% depending on patient urgency</w:t>
            </w:r>
          </w:p>
        </w:tc>
      </w:tr>
    </w:tbl>
    <w:p>
      <w:pPr>
        <w:pStyle w:val="Normal"/>
        <w:spacing w:before="120" w:after="120"/>
        <w:rPr/>
      </w:pPr>
      <w:r>
        <w:rPr>
          <w:rFonts w:cs="Arial" w:ascii="Arial" w:hAnsi="Arial"/>
          <w:sz w:val="18"/>
        </w:rPr>
        <w:t>*Calgary ARP Innovation project outcome data</w:t>
      </w:r>
      <w:r>
        <w:rPr>
          <w:rStyle w:val="EndnoteCharacters"/>
          <w:rStyle w:val="EndnoteAnchor"/>
          <w:rFonts w:cs="Arial" w:ascii="Arial" w:hAnsi="Arial"/>
          <w:sz w:val="18"/>
        </w:rPr>
        <w:endnoteReference w:id="26"/>
      </w:r>
      <w:r>
        <w:br w:type="page"/>
      </w:r>
    </w:p>
    <w:p>
      <w:pPr>
        <w:pStyle w:val="Normal"/>
        <w:autoSpaceDE w:val="false"/>
        <w:spacing w:before="0" w:after="0"/>
        <w:rPr>
          <w:rFonts w:ascii="Arial" w:hAnsi="Arial" w:cs="Arial"/>
        </w:rPr>
      </w:pPr>
      <w:r>
        <w:rPr>
          <w:rFonts w:eastAsia="Arial" w:cs="Arial" w:ascii="Arial" w:hAnsi="Arial"/>
        </w:rPr>
        <w:t xml:space="preserve"> </w:t>
      </w:r>
    </w:p>
    <w:p>
      <w:pPr>
        <w:pStyle w:val="Normal"/>
        <w:spacing w:before="0" w:after="360"/>
        <w:rPr>
          <w:rFonts w:ascii="Arial" w:hAnsi="Arial" w:cs="Arial"/>
          <w:b/>
          <w:b/>
        </w:rPr>
      </w:pPr>
      <w:r>
        <w:rPr>
          <w:rFonts w:cs="Arial" w:ascii="Arial" w:hAnsi="Arial"/>
          <w:b/>
        </w:rPr>
        <w:t xml:space="preserve">Table 5: Impact of AARP on education </w:t>
      </w:r>
    </w:p>
    <w:p>
      <w:pPr>
        <w:pStyle w:val="Normal"/>
        <w:rPr/>
      </w:pPr>
      <w:bookmarkStart w:id="3" w:name="_1292925771"/>
      <w:bookmarkEnd w:id="3"/>
      <w:r>
        <w:rPr/>
        <w:object>
          <v:shape id="ole_rId8" style="width:452pt;height:117.05pt" o:ole="">
            <v:imagedata r:id="rId9" o:title=""/>
          </v:shape>
          <o:OLEObject Type="Embed" ProgID="" ShapeID="ole_rId8" DrawAspect="Content" ObjectID="_1590924598" r:id="rId8"/>
        </w:object>
      </w:r>
    </w:p>
    <w:p>
      <w:pPr>
        <w:pStyle w:val="Normal"/>
        <w:rPr>
          <w:rFonts w:ascii="Arial" w:hAnsi="Arial" w:cs="Arial"/>
        </w:rPr>
      </w:pPr>
      <w:r>
        <w:rPr>
          <w:rFonts w:cs="Calibri"/>
        </w:rPr>
        <w:t xml:space="preserve">† </w:t>
      </w:r>
      <w:r>
        <w:rPr>
          <w:rFonts w:cs="Arial"/>
        </w:rPr>
        <w:t>- represents total of lectures, small group and other teaching</w:t>
      </w:r>
      <w:r>
        <w:rPr/>
        <w:t xml:space="preserve"> for undergraduate and postgraduate teaching for Calgary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before="0" w:after="480"/>
        <w:rPr>
          <w:rFonts w:ascii="Arial" w:hAnsi="Arial" w:cs="Arial"/>
        </w:rPr>
      </w:pPr>
      <w:r>
        <w:rPr>
          <w:rFonts w:cs="Arial" w:ascii="Arial" w:hAnsi="Arial"/>
          <w:b/>
        </w:rPr>
        <w:t>Table 6: Impact of AARP on research</w:t>
      </w:r>
      <w:r>
        <w:rPr>
          <w:rStyle w:val="EndnoteCharacters"/>
          <w:rStyle w:val="EndnoteAnchor"/>
          <w:rFonts w:cs="Arial" w:ascii="Arial" w:hAnsi="Arial"/>
        </w:rPr>
        <w:endnoteReference w:id="27"/>
      </w:r>
      <w:r>
        <w:rPr>
          <w:rFonts w:cs="Arial" w:ascii="Arial" w:hAnsi="Arial"/>
        </w:rPr>
        <w:t xml:space="preserve"> </w:t>
      </w:r>
    </w:p>
    <w:p>
      <w:pPr>
        <w:pStyle w:val="Normal"/>
        <w:rPr/>
      </w:pPr>
      <w:bookmarkStart w:id="4" w:name="_1296453761"/>
      <w:bookmarkEnd w:id="4"/>
      <w:r>
        <w:rPr/>
        <w:object>
          <v:shape id="ole_rId10" style="width:511.45pt;height:117.05pt" o:ole="">
            <v:imagedata r:id="rId11" o:title=""/>
          </v:shape>
          <o:OLEObject Type="Embed" ProgID="" ShapeID="ole_rId10" DrawAspect="Content" ObjectID="_2089616382" r:id="rId10"/>
        </w:object>
      </w:r>
      <w:r>
        <w:rPr>
          <w:rFonts w:cs="Arial" w:ascii="Arial" w:hAnsi="Arial"/>
          <w:sz w:val="20"/>
        </w:rPr>
        <w:t xml:space="preserve">* research trainees (excluding residents) </w:t>
      </w:r>
    </w:p>
    <w:p>
      <w:pPr>
        <w:pStyle w:val="Normal"/>
        <w:rPr>
          <w:rFonts w:ascii="Arial" w:hAnsi="Arial" w:cs="Arial"/>
          <w:sz w:val="20"/>
        </w:rPr>
      </w:pPr>
      <w:r>
        <w:rPr>
          <w:rFonts w:cs="Arial" w:ascii="Arial" w:hAnsi="Arial"/>
          <w:sz w:val="20"/>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spacing w:before="0" w:after="120"/>
        <w:rPr>
          <w:rFonts w:ascii="Arial" w:hAnsi="Arial" w:cs="Arial"/>
          <w:b/>
          <w:b/>
          <w:sz w:val="28"/>
        </w:rPr>
      </w:pPr>
      <w:r>
        <w:rPr>
          <w:rFonts w:cs="Arial" w:ascii="Arial" w:hAnsi="Arial"/>
          <w:b/>
          <w:sz w:val="28"/>
        </w:rPr>
        <w:t>References</w:t>
      </w:r>
    </w:p>
    <w:sectPr>
      <w:endnotePr>
        <w:numFmt w:val="decimal"/>
      </w:endnotePr>
      <w:type w:val="nextPage"/>
      <w:pgSz w:w="12240" w:h="15840"/>
      <w:pgMar w:left="1080" w:right="1080" w:header="0" w:top="1440" w:footer="0" w:bottom="1440" w:gutter="0"/>
      <w:pgNumType w:fmt="decimal"/>
      <w:formProt w:val="false"/>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spacing w:lineRule="auto" w:line="480" w:before="0" w:after="120"/>
        <w:ind w:left="227" w:hanging="227"/>
        <w:rPr>
          <w:rFonts w:ascii="Arial" w:hAnsi="Arial" w:cs="Arial"/>
        </w:rPr>
      </w:pPr>
      <w:r>
        <w:rPr>
          <w:rFonts w:eastAsia="Arial" w:cs="Arial" w:ascii="Arial" w:hAnsi="Arial"/>
        </w:rPr>
        <w:endnoteRef/>
        <w:tab/>
        <w:t xml:space="preserve"> </w:t>
      </w:r>
      <w:r>
        <w:rPr>
          <w:rFonts w:cs="Arial" w:ascii="Arial" w:hAnsi="Arial"/>
        </w:rPr>
        <w:t xml:space="preserve">Romanow, R.  Building on Values.  The future of Health Care in Canada. National Library of Canada.  2002. Available from: </w:t>
      </w:r>
      <w:hyperlink r:id="rId1">
        <w:r>
          <w:rPr>
            <w:rStyle w:val="InternetLink"/>
            <w:rFonts w:cs="Arial" w:ascii="Arial" w:hAnsi="Arial"/>
          </w:rPr>
          <w:t>http://www.hc-sc.gc.ca/hcs-sss/alt_formats/hpb-dgps/pdf/hhr/romanow-eng.pdf</w:t>
        </w:r>
      </w:hyperlink>
      <w:r>
        <w:rPr>
          <w:rFonts w:cs="Arial" w:ascii="Arial" w:hAnsi="Arial"/>
        </w:rPr>
        <w:t xml:space="preserve"> </w:t>
      </w:r>
    </w:p>
  </w:endnote>
  <w:endnote w:id="3">
    <w:p>
      <w:pPr>
        <w:pStyle w:val="Normal"/>
        <w:spacing w:lineRule="auto" w:line="480" w:before="0" w:after="120"/>
        <w:ind w:left="227" w:hanging="227"/>
        <w:rPr>
          <w:rFonts w:ascii="Arial" w:hAnsi="Arial" w:cs="Arial"/>
        </w:rPr>
      </w:pPr>
      <w:r>
        <w:rPr>
          <w:rFonts w:eastAsia="Arial" w:cs="Arial" w:ascii="Arial" w:hAnsi="Arial"/>
        </w:rPr>
        <w:endnoteRef/>
        <w:tab/>
        <w:t xml:space="preserve"> </w:t>
      </w:r>
      <w:r>
        <w:rPr>
          <w:rFonts w:cs="Arial" w:ascii="Arial" w:hAnsi="Arial"/>
        </w:rPr>
        <w:t xml:space="preserve">Kirby, M.  The Health of Canadians: the Federal Role.  2002. Available from: </w:t>
      </w:r>
      <w:hyperlink r:id="rId2">
        <w:r>
          <w:rPr>
            <w:rStyle w:val="InternetLink"/>
            <w:rFonts w:cs="Arial" w:ascii="Arial" w:hAnsi="Arial"/>
          </w:rPr>
          <w:t>http://www.parl.gc.ca/37/2/parlbus/commbus/senate/Com-e/soci-e/rep-e/repoct02vol6-e.htm</w:t>
        </w:r>
      </w:hyperlink>
      <w:r>
        <w:rPr>
          <w:rFonts w:cs="Arial" w:ascii="Arial" w:hAnsi="Arial"/>
        </w:rPr>
        <w:t xml:space="preserve">.).  </w:t>
      </w:r>
    </w:p>
  </w:endnote>
  <w:endnote w:id="4">
    <w:p>
      <w:pPr>
        <w:pStyle w:val="Normal"/>
        <w:spacing w:lineRule="auto" w:line="480" w:before="0" w:after="120"/>
        <w:ind w:left="227" w:hanging="227"/>
        <w:rPr>
          <w:rFonts w:ascii="Arial" w:hAnsi="Arial" w:cs="Arial"/>
        </w:rPr>
      </w:pPr>
      <w:r>
        <w:rPr>
          <w:rFonts w:eastAsia="Arial" w:cs="Arial" w:ascii="Arial" w:hAnsi="Arial"/>
        </w:rPr>
        <w:endnoteRef/>
        <w:tab/>
        <w:t xml:space="preserve"> </w:t>
      </w:r>
      <w:r>
        <w:rPr>
          <w:rFonts w:cs="Arial" w:ascii="Arial" w:hAnsi="Arial"/>
        </w:rPr>
        <w:t xml:space="preserve">Mazankowski, D.  Premiers Advisory Council on Health.  A Framework for Reform. 2001. Available from: </w:t>
      </w:r>
      <w:hyperlink r:id="rId3">
        <w:r>
          <w:rPr>
            <w:rStyle w:val="InternetLink"/>
            <w:rFonts w:cs="Arial" w:ascii="Arial" w:hAnsi="Arial"/>
          </w:rPr>
          <w:t>http://www.health.alberta.ca/documents/Mazankowski-Report-2001.pdf</w:t>
        </w:r>
      </w:hyperlink>
      <w:r>
        <w:rPr>
          <w:rFonts w:cs="Arial" w:ascii="Arial" w:hAnsi="Arial"/>
        </w:rPr>
        <w:t xml:space="preserve">). </w:t>
      </w:r>
    </w:p>
  </w:endnote>
  <w:endnote w:id="5">
    <w:p>
      <w:pPr>
        <w:pStyle w:val="Normal"/>
        <w:spacing w:lineRule="auto" w:line="480" w:before="0" w:after="120"/>
        <w:ind w:left="227" w:hanging="227"/>
        <w:rPr>
          <w:rFonts w:ascii="Arial" w:hAnsi="Arial" w:cs="Arial"/>
        </w:rPr>
      </w:pPr>
      <w:r>
        <w:rPr>
          <w:rFonts w:eastAsia="Arial" w:cs="Arial" w:ascii="Arial" w:hAnsi="Arial"/>
        </w:rPr>
        <w:endnoteRef/>
        <w:tab/>
        <w:t xml:space="preserve"> </w:t>
      </w:r>
      <w:r>
        <w:rPr>
          <w:rFonts w:cs="Arial" w:ascii="Arial" w:hAnsi="Arial"/>
        </w:rPr>
        <w:t xml:space="preserve">Health Services Satisfaction: Survey of Albertans 2003.  Health Services Utilization and Outcomes Commission.  Ipsos Reid Corporation.  2003; P.3. Available from: </w:t>
      </w:r>
      <w:hyperlink r:id="rId4">
        <w:r>
          <w:rPr>
            <w:rStyle w:val="InternetLink"/>
            <w:rFonts w:cs="Arial" w:ascii="Arial" w:hAnsi="Arial"/>
          </w:rPr>
          <w:t>http://www.assembly.ab.ca/lao/library/egovdocs/alhsuo/2003/142772.pdf</w:t>
        </w:r>
      </w:hyperlink>
    </w:p>
  </w:endnote>
  <w:endnote w:id="6">
    <w:p>
      <w:pPr>
        <w:pStyle w:val="Endnote"/>
        <w:spacing w:lineRule="auto" w:line="480" w:before="0" w:after="240"/>
        <w:ind w:left="227" w:hanging="227"/>
        <w:rPr/>
      </w:pPr>
      <w:r>
        <w:rPr>
          <w:rFonts w:cs="Calibri"/>
        </w:rPr>
        <w:endnoteRef/>
        <w:tab/>
        <w:t xml:space="preserve"> </w:t>
      </w:r>
      <w:r>
        <w:rPr>
          <w:rFonts w:cs="Arial" w:ascii="Arial" w:hAnsi="Arial"/>
          <w:sz w:val="22"/>
        </w:rPr>
        <w:t>Calgary Health Region, Department of Medicine.  Proposal for an Alternate Funding Plan. 2003; 38.</w:t>
      </w:r>
    </w:p>
  </w:endnote>
  <w:endnote w:id="7">
    <w:p>
      <w:pPr>
        <w:pStyle w:val="Normal"/>
        <w:spacing w:lineRule="auto" w:line="480" w:before="0" w:after="120"/>
        <w:ind w:left="227" w:hanging="227"/>
        <w:rPr/>
      </w:pPr>
      <w:r>
        <w:rPr>
          <w:rFonts w:eastAsia="Arial" w:cs="Arial" w:ascii="Arial" w:hAnsi="Arial"/>
        </w:rPr>
        <w:endnoteRef/>
        <w:tab/>
        <w:t xml:space="preserve"> </w:t>
      </w:r>
      <w:r>
        <w:rPr>
          <w:rFonts w:cs="Arial" w:ascii="Arial" w:hAnsi="Arial"/>
        </w:rPr>
        <w:t>Calgary Health Region, Department of Medicine. Physician resource planning working group.  Key findings and recommendations.  2003.</w:t>
      </w:r>
    </w:p>
  </w:endnote>
  <w:endnote w:id="8">
    <w:p>
      <w:pPr>
        <w:pStyle w:val="Endnote"/>
        <w:spacing w:lineRule="auto" w:line="480" w:before="0" w:after="240"/>
        <w:ind w:left="227" w:hanging="227"/>
        <w:rPr/>
      </w:pPr>
      <w:r>
        <w:rPr>
          <w:rFonts w:cs="Calibri"/>
        </w:rPr>
        <w:endnoteRef/>
        <w:tab/>
        <w:t xml:space="preserve"> </w:t>
      </w:r>
      <w:r>
        <w:rPr>
          <w:rFonts w:cs="Arial" w:ascii="Arial" w:hAnsi="Arial"/>
          <w:sz w:val="22"/>
        </w:rPr>
        <w:t>Calgary Health Region. Department of Medicine.  Proposal for an alternate funding plan. 2003; 47.</w:t>
      </w:r>
    </w:p>
  </w:endnote>
  <w:endnote w:id="9">
    <w:p>
      <w:pPr>
        <w:pStyle w:val="Normal"/>
        <w:spacing w:lineRule="auto" w:line="480" w:before="0" w:after="120"/>
        <w:ind w:left="227" w:hanging="227"/>
        <w:rPr/>
      </w:pPr>
      <w:r>
        <w:rPr>
          <w:rFonts w:eastAsia="Arial" w:cs="Arial" w:ascii="Arial" w:hAnsi="Arial"/>
        </w:rPr>
        <w:endnoteRef/>
        <w:tab/>
        <w:t xml:space="preserve"> </w:t>
      </w:r>
      <w:r>
        <w:rPr>
          <w:rFonts w:cs="Arial" w:ascii="Arial" w:hAnsi="Arial"/>
        </w:rPr>
        <w:t>Lazurko, M.  Final Evaluation Report:  University of Calgary &amp; Calgary Health Region, Department of Medicine.  Academic Alternate Relationship Plan. 2007; 21.</w:t>
      </w:r>
    </w:p>
  </w:endnote>
  <w:endnote w:id="10">
    <w:p>
      <w:pPr>
        <w:pStyle w:val="Endnote"/>
        <w:spacing w:lineRule="auto" w:line="480" w:before="0" w:after="120"/>
        <w:ind w:left="170" w:hanging="170"/>
        <w:rPr/>
      </w:pPr>
      <w:r>
        <w:rPr>
          <w:rFonts w:cs="Calibri"/>
        </w:rPr>
        <w:endnoteRef/>
        <w:tab/>
        <w:t xml:space="preserve"> </w:t>
      </w:r>
      <w:r>
        <w:rPr>
          <w:rFonts w:cs="Arial" w:ascii="Arial" w:hAnsi="Arial"/>
          <w:sz w:val="22"/>
        </w:rPr>
        <w:t xml:space="preserve">Lazurko, M.  Final Evaluation Report Summary:  University of Alberta &amp; Department of Medicine.  Alternate Funding Plan. 2007. </w:t>
      </w:r>
      <w:r>
        <w:rPr>
          <w:rFonts w:cs="Arial" w:ascii="Arial" w:hAnsi="Arial"/>
        </w:rPr>
        <w:t>7.</w:t>
      </w:r>
    </w:p>
  </w:endnote>
  <w:endnote w:id="11">
    <w:p>
      <w:pPr>
        <w:pStyle w:val="Normal"/>
        <w:spacing w:lineRule="auto" w:line="480" w:before="0" w:after="120"/>
        <w:rPr/>
      </w:pPr>
      <w:r>
        <w:rPr>
          <w:rFonts w:cs="Calibri"/>
        </w:rPr>
        <w:endnoteRef/>
        <w:tab/>
        <w:t xml:space="preserve"> </w:t>
      </w:r>
      <w:r>
        <w:rPr>
          <w:rFonts w:cs="Arial" w:ascii="Arial" w:hAnsi="Arial"/>
        </w:rPr>
        <w:t>Lazurko, M.  Final Evaluation Report:  University of Calgary &amp; Calgary Health Region, Department of Medicine.  Academic Alternate Relationship Plan. 2007; 96.</w:t>
      </w:r>
    </w:p>
  </w:endnote>
  <w:endnote w:id="12">
    <w:p>
      <w:pPr>
        <w:pStyle w:val="Normal"/>
        <w:spacing w:lineRule="auto" w:line="480" w:before="0" w:after="120"/>
        <w:ind w:left="227" w:hanging="227"/>
        <w:rPr>
          <w:rFonts w:ascii="Arial" w:hAnsi="Arial" w:cs="Arial"/>
          <w:lang w:val="en-US"/>
        </w:rPr>
      </w:pPr>
      <w:r>
        <w:rPr>
          <w:rFonts w:eastAsia="Arial" w:cs="Arial" w:ascii="Arial" w:hAnsi="Arial"/>
          <w:lang w:val="en-US"/>
        </w:rPr>
        <w:endnoteRef/>
        <w:tab/>
        <w:t xml:space="preserve"> </w:t>
      </w:r>
      <w:r>
        <w:rPr>
          <w:rFonts w:cs="Arial" w:ascii="Arial" w:hAnsi="Arial"/>
        </w:rPr>
        <w:t>Lazurko, M.  Final Evaluation Report:  University of Calgary &amp; Calgary Health Region, Department of Medicine.  Academic Alternate Relationship Plan. 2007; 45.</w:t>
      </w:r>
    </w:p>
  </w:endnote>
  <w:endnote w:id="13">
    <w:p>
      <w:pPr>
        <w:pStyle w:val="Normal"/>
        <w:spacing w:lineRule="auto" w:line="480" w:before="0" w:after="120"/>
        <w:ind w:left="227" w:hanging="227"/>
        <w:rPr/>
      </w:pPr>
      <w:r>
        <w:rPr>
          <w:rFonts w:cs="Calibri"/>
        </w:rPr>
        <w:endnoteRef/>
        <w:tab/>
        <w:t xml:space="preserve"> </w:t>
      </w:r>
      <w:r>
        <w:rPr>
          <w:rFonts w:cs="Arial" w:ascii="Arial" w:hAnsi="Arial"/>
        </w:rPr>
        <w:t>Lazurko, M.  Final Evaluation Report Summary:  University of Alberta &amp; Department of Medicine.  Alternate Funding Plan. 2007; 13.</w:t>
      </w:r>
    </w:p>
  </w:endnote>
  <w:endnote w:id="14">
    <w:p>
      <w:pPr>
        <w:pStyle w:val="Normal"/>
        <w:spacing w:lineRule="auto" w:line="480" w:before="0" w:after="120"/>
        <w:ind w:left="227" w:hanging="227"/>
        <w:rPr/>
      </w:pPr>
      <w:r>
        <w:rPr>
          <w:rFonts w:eastAsia="Arial" w:cs="Arial" w:ascii="Arial" w:hAnsi="Arial"/>
          <w:lang w:val="sv-SE"/>
        </w:rPr>
        <w:endnoteRef/>
        <w:tab/>
        <w:t xml:space="preserve"> </w:t>
      </w:r>
      <w:r>
        <w:rPr>
          <w:rFonts w:cs="Arial" w:ascii="Arial" w:hAnsi="Arial"/>
          <w:lang w:val="sv-SE"/>
        </w:rPr>
        <w:t xml:space="preserve">Basu, K, Mandelzys, D..  </w:t>
      </w:r>
      <w:r>
        <w:rPr>
          <w:rFonts w:cs="Arial" w:ascii="Arial" w:hAnsi="Arial"/>
        </w:rPr>
        <w:t>The modes of physician remuneration and their effect on direct patient contact.  Canadian Sociology Demographic Medicine 2008; 48:41-59.</w:t>
      </w:r>
    </w:p>
  </w:endnote>
  <w:endnote w:id="15">
    <w:p>
      <w:pPr>
        <w:pStyle w:val="Normal"/>
        <w:spacing w:lineRule="auto" w:line="480" w:before="0" w:after="120"/>
        <w:ind w:left="227" w:hanging="227"/>
        <w:rPr/>
      </w:pPr>
      <w:r>
        <w:rPr>
          <w:rFonts w:eastAsia="Arial" w:cs="Arial" w:ascii="Arial" w:hAnsi="Arial"/>
        </w:rPr>
        <w:endnoteRef/>
        <w:tab/>
        <w:t xml:space="preserve"> </w:t>
      </w:r>
      <w:r>
        <w:rPr>
          <w:rFonts w:cs="Arial" w:ascii="Arial" w:hAnsi="Arial"/>
        </w:rPr>
        <w:t>Baerlocher, MO, Noble, J, Detsky A.  Impact on Physician income source on productivity.  Clinical Investigative Medicine 2007; 30:42-50.</w:t>
      </w:r>
    </w:p>
  </w:endnote>
  <w:endnote w:id="16">
    <w:p>
      <w:pPr>
        <w:pStyle w:val="Normal"/>
        <w:spacing w:lineRule="auto" w:line="480" w:before="0" w:after="120"/>
        <w:ind w:left="227" w:right="113" w:hanging="227"/>
        <w:rPr/>
      </w:pPr>
      <w:r>
        <w:rPr>
          <w:rFonts w:eastAsia="Arial" w:cs="Arial" w:ascii="Arial" w:hAnsi="Arial"/>
        </w:rPr>
        <w:endnoteRef/>
        <w:tab/>
        <w:t xml:space="preserve"> </w:t>
      </w:r>
      <w:r>
        <w:rPr>
          <w:rFonts w:cs="Arial" w:ascii="Arial" w:hAnsi="Arial"/>
        </w:rPr>
        <w:t>Hutcheson, J, Foley, R.  Method of physician remuneration and the rates of antibiotic prescription.  CMAJ 1999; 160: 1013-1017.</w:t>
      </w:r>
    </w:p>
  </w:endnote>
  <w:endnote w:id="17">
    <w:p>
      <w:pPr>
        <w:pStyle w:val="Normal"/>
        <w:spacing w:lineRule="auto" w:line="480" w:before="0" w:after="120"/>
        <w:ind w:left="227" w:hanging="227"/>
        <w:rPr/>
      </w:pPr>
      <w:r>
        <w:rPr>
          <w:rFonts w:eastAsia="Arial" w:cs="Arial" w:ascii="Arial" w:hAnsi="Arial"/>
        </w:rPr>
        <w:endnoteRef/>
        <w:tab/>
        <w:t xml:space="preserve"> </w:t>
      </w:r>
      <w:r>
        <w:rPr>
          <w:rFonts w:cs="Arial" w:ascii="Arial" w:hAnsi="Arial"/>
        </w:rPr>
        <w:t>McCarthy, D, Finch, M.  Method of Physician Payment and Patient Trust. JAMA 1998; 280:1708-14.</w:t>
      </w:r>
    </w:p>
  </w:endnote>
  <w:endnote w:id="18">
    <w:p>
      <w:pPr>
        <w:pStyle w:val="Normal"/>
        <w:spacing w:lineRule="auto" w:line="480" w:before="0" w:after="120"/>
        <w:ind w:left="227" w:hanging="227"/>
        <w:rPr>
          <w:rFonts w:ascii="Arial" w:hAnsi="Arial" w:cs="Arial"/>
        </w:rPr>
      </w:pPr>
      <w:r>
        <w:rPr>
          <w:rFonts w:eastAsia="Arial" w:cs="Arial" w:ascii="Arial" w:hAnsi="Arial"/>
        </w:rPr>
        <w:endnoteRef/>
        <w:tab/>
        <w:t xml:space="preserve"> </w:t>
      </w:r>
      <w:r>
        <w:rPr>
          <w:rFonts w:cs="Arial" w:ascii="Arial" w:hAnsi="Arial"/>
        </w:rPr>
        <w:t xml:space="preserve">Nova Scotia Department of Health.  Family Physician Compensation Models and Primary Care Renewal. 2006. Available from: </w:t>
      </w:r>
      <w:hyperlink r:id="rId5">
        <w:r>
          <w:rPr>
            <w:rStyle w:val="InternetLink"/>
            <w:rFonts w:cs="Arial" w:ascii="Arial" w:hAnsi="Arial"/>
          </w:rPr>
          <w:t>http://www.health-policy-branch.hc-sc.gc.ca/hpb/phctf/pchtf.nsf/WebFactSheet_E/0041?OpenDocument</w:t>
        </w:r>
      </w:hyperlink>
      <w:r>
        <w:rPr>
          <w:rFonts w:cs="Arial" w:ascii="Arial" w:hAnsi="Arial"/>
        </w:rPr>
        <w:t xml:space="preserve">).  </w:t>
      </w:r>
    </w:p>
  </w:endnote>
  <w:endnote w:id="19">
    <w:p>
      <w:pPr>
        <w:pStyle w:val="Normal"/>
        <w:spacing w:lineRule="auto" w:line="480" w:before="0" w:after="120"/>
        <w:ind w:left="227" w:hanging="227"/>
        <w:rPr/>
      </w:pPr>
      <w:r>
        <w:rPr>
          <w:rFonts w:eastAsia="Arial" w:cs="Arial" w:ascii="Arial" w:hAnsi="Arial"/>
          <w:vertAlign w:val="superscript"/>
        </w:rPr>
        <w:endnoteRef/>
        <w:tab/>
        <w:t xml:space="preserve">  </w:t>
      </w:r>
      <w:r>
        <w:rPr>
          <w:rFonts w:cs="Arial" w:ascii="Arial" w:hAnsi="Arial"/>
        </w:rPr>
        <w:t xml:space="preserve">Physicians in Canada: The Status of Alternative Payment Programs 2005 –2006. 2008. Available from: </w:t>
      </w:r>
      <w:hyperlink r:id="rId6">
        <w:r>
          <w:rPr>
            <w:rStyle w:val="InternetLink"/>
            <w:rFonts w:cs="Arial" w:ascii="Arial" w:hAnsi="Arial"/>
          </w:rPr>
          <w:t>http://secure.cihi.ca/cihiweb/products/AltPay2005_2006_e.pdf</w:t>
        </w:r>
      </w:hyperlink>
      <w:r>
        <w:rPr>
          <w:rFonts w:cs="Arial" w:ascii="Arial" w:hAnsi="Arial"/>
        </w:rPr>
        <w:t xml:space="preserve">. </w:t>
      </w:r>
    </w:p>
  </w:endnote>
  <w:endnote w:id="20">
    <w:p>
      <w:pPr>
        <w:pStyle w:val="Normal"/>
        <w:spacing w:lineRule="auto" w:line="480" w:before="0" w:after="120"/>
        <w:ind w:left="227" w:hanging="227"/>
        <w:rPr/>
      </w:pPr>
      <w:r>
        <w:rPr>
          <w:rFonts w:cs="Calibri"/>
        </w:rPr>
        <w:endnoteRef/>
        <w:tab/>
        <w:t xml:space="preserve"> </w:t>
      </w:r>
      <w:r>
        <w:rPr>
          <w:rFonts w:cs="Arial" w:ascii="Arial" w:hAnsi="Arial"/>
        </w:rPr>
        <w:t>Lazurko, M.  Final Evaluation Report. University of Alberta Department of Medicine, Alternate Funding Plan.  2005; 4.</w:t>
      </w:r>
    </w:p>
  </w:endnote>
  <w:endnote w:id="21">
    <w:p>
      <w:pPr>
        <w:pStyle w:val="Normal"/>
        <w:spacing w:lineRule="auto" w:line="480" w:before="0" w:after="120"/>
        <w:ind w:left="227" w:hanging="227"/>
        <w:rPr/>
      </w:pPr>
      <w:r>
        <w:rPr>
          <w:rFonts w:eastAsia="Arial" w:cs="Arial" w:ascii="Arial" w:hAnsi="Arial"/>
        </w:rPr>
        <w:endnoteRef/>
        <w:tab/>
        <w:t xml:space="preserve"> </w:t>
      </w:r>
      <w:r>
        <w:rPr>
          <w:rFonts w:cs="Arial" w:ascii="Arial" w:hAnsi="Arial"/>
        </w:rPr>
        <w:t>Lazurko, M.  Final Evaluation Report. University of Alberta Department of Medicine, Alternate Funding Plan.  2005; 7.</w:t>
      </w:r>
    </w:p>
  </w:endnote>
  <w:endnote w:id="22">
    <w:p>
      <w:pPr>
        <w:pStyle w:val="Normal"/>
        <w:spacing w:lineRule="auto" w:line="480" w:before="0" w:after="120"/>
        <w:ind w:left="227" w:hanging="227"/>
        <w:rPr/>
      </w:pPr>
      <w:r>
        <w:rPr>
          <w:rFonts w:eastAsia="Arial" w:cs="Arial" w:ascii="Arial" w:hAnsi="Arial"/>
        </w:rPr>
        <w:endnoteRef/>
        <w:tab/>
        <w:t xml:space="preserve"> </w:t>
      </w:r>
      <w:r>
        <w:rPr>
          <w:rFonts w:cs="Arial" w:ascii="Arial" w:hAnsi="Arial"/>
        </w:rPr>
        <w:t>Lazurko, M.  Final Evaluation Report Summary:  University of Calgary &amp; Calgary Health Region, Department of Medicine.  Academic Alternate Relationship Plan.  2007; 12.</w:t>
      </w:r>
    </w:p>
  </w:endnote>
  <w:endnote w:id="23">
    <w:p>
      <w:pPr>
        <w:pStyle w:val="Authors"/>
        <w:spacing w:lineRule="auto" w:line="480"/>
        <w:ind w:left="170" w:hanging="170"/>
        <w:rPr/>
      </w:pPr>
      <w:r>
        <w:rPr>
          <w:rFonts w:eastAsia="Times New Roman"/>
        </w:rPr>
        <w:endnoteRef/>
        <w:tab/>
        <w:t xml:space="preserve"> </w:t>
      </w:r>
      <w:r>
        <w:rPr>
          <w:rFonts w:cs="Arial" w:ascii="Arial" w:hAnsi="Arial"/>
          <w:sz w:val="22"/>
          <w:szCs w:val="22"/>
          <w:lang w:eastAsia="en-US"/>
        </w:rPr>
        <w:t xml:space="preserve">Gillis AM, Burland L, Arnburg B, Kmet C, Pollak PT, Kavanagh K, Veenhuyzen G, Wyse DG. </w:t>
      </w:r>
      <w:hyperlink r:id="rId7">
        <w:r>
          <w:rPr>
            <w:rStyle w:val="InternetLink"/>
            <w:rFonts w:cs="Arial" w:ascii="Arial" w:hAnsi="Arial"/>
            <w:sz w:val="22"/>
            <w:szCs w:val="22"/>
            <w:lang w:eastAsia="en-US"/>
          </w:rPr>
          <w:t>Treating the right patient at the right time: an innovative approach to the management of atrial fibrillation.</w:t>
        </w:r>
      </w:hyperlink>
      <w:r>
        <w:rPr>
          <w:rFonts w:cs="Arial" w:ascii="Arial" w:hAnsi="Arial"/>
          <w:sz w:val="22"/>
          <w:szCs w:val="22"/>
          <w:lang w:eastAsia="en-US"/>
        </w:rPr>
        <w:t xml:space="preserve"> Can J Cardiol. 2008 Mar; 24(3):195-8. </w:t>
      </w:r>
    </w:p>
  </w:endnote>
  <w:endnote w:id="24">
    <w:p>
      <w:pPr>
        <w:pStyle w:val="Endnote"/>
        <w:spacing w:lineRule="auto" w:line="480" w:before="0" w:after="120"/>
        <w:ind w:left="170" w:hanging="170"/>
        <w:rPr>
          <w:rFonts w:ascii="Arial" w:hAnsi="Arial" w:cs="Arial"/>
          <w:sz w:val="22"/>
          <w:szCs w:val="22"/>
        </w:rPr>
      </w:pPr>
      <w:r>
        <w:rPr>
          <w:rFonts w:cs="Calibri"/>
        </w:rPr>
        <w:endnoteRef/>
        <w:tab/>
        <w:t xml:space="preserve"> </w:t>
      </w:r>
      <w:r>
        <w:rPr>
          <w:rFonts w:cs="Arial" w:ascii="Arial" w:hAnsi="Arial"/>
          <w:sz w:val="22"/>
          <w:szCs w:val="22"/>
        </w:rPr>
        <w:t>Field SK, Conley DP, Thawer AM, Leigh R, Cowie RL. Assessment and Management of Patients with  Chronic Cough by a Certified Respiratory Educator. A Randomized Control Trial. Can Respir J. 2009; 16: 49-54.</w:t>
      </w:r>
    </w:p>
  </w:endnote>
  <w:endnote w:id="25">
    <w:p>
      <w:pPr>
        <w:pStyle w:val="Normal"/>
        <w:autoSpaceDE w:val="false"/>
        <w:spacing w:lineRule="auto" w:line="480" w:before="0" w:after="0"/>
        <w:ind w:left="170" w:hanging="170"/>
        <w:rPr/>
      </w:pPr>
      <w:r>
        <w:rPr>
          <w:rFonts w:cs="Calibri"/>
        </w:rPr>
        <w:endnoteRef/>
        <w:tab/>
        <w:t xml:space="preserve"> </w:t>
      </w:r>
      <w:r>
        <w:rPr>
          <w:rFonts w:cs="Arial" w:ascii="Arial" w:hAnsi="Arial"/>
        </w:rPr>
        <w:t>Field SK, Conley DP, Thawer AM, Leigh R, Cowie RL. Effect of the management of chronic cough patients by pulmonologists and certified respiratory educators on quality of life: a randomized trial. Chest. 2009; doi:10.1378/chest.08-2399.</w:t>
      </w:r>
    </w:p>
    <w:p>
      <w:pPr>
        <w:pStyle w:val="Normal"/>
        <w:autoSpaceDE w:val="false"/>
        <w:spacing w:before="0" w:after="0"/>
        <w:rPr>
          <w:rFonts w:ascii="Arial" w:hAnsi="Arial" w:cs="Arial"/>
        </w:rPr>
      </w:pPr>
      <w:r>
        <w:rPr>
          <w:rFonts w:cs="Arial" w:ascii="Arial" w:hAnsi="Arial"/>
        </w:rPr>
      </w:r>
    </w:p>
  </w:endnote>
  <w:endnote w:id="26">
    <w:p>
      <w:pPr>
        <w:pStyle w:val="Endnote"/>
        <w:spacing w:lineRule="auto" w:line="480" w:before="0" w:after="120"/>
        <w:ind w:left="170" w:hanging="170"/>
        <w:rPr/>
      </w:pPr>
      <w:r>
        <w:rPr>
          <w:rFonts w:cs="Calibri"/>
        </w:rPr>
        <w:endnoteRef/>
        <w:tab/>
        <w:t xml:space="preserve"> </w:t>
      </w:r>
      <w:r>
        <w:rPr>
          <w:rFonts w:cs="Arial" w:ascii="Arial" w:hAnsi="Arial"/>
          <w:sz w:val="22"/>
          <w:szCs w:val="22"/>
        </w:rPr>
        <w:t>Bichel, A, Tremblay, A, Mantler, E.  Department of Medicine Alternate Relationship Plan: Innovation Initiatives Outcome Evaluation Report. 2007.</w:t>
      </w:r>
    </w:p>
  </w:endnote>
  <w:endnote w:id="27">
    <w:p>
      <w:pPr>
        <w:pStyle w:val="Endnote"/>
        <w:spacing w:lineRule="auto" w:line="480" w:before="0" w:after="120"/>
        <w:ind w:left="227" w:hanging="227"/>
        <w:rPr>
          <w:sz w:val="22"/>
        </w:rPr>
      </w:pPr>
      <w:r>
        <w:rPr>
          <w:rFonts w:cs="Calibri"/>
        </w:rPr>
        <w:endnoteRef/>
        <w:tab/>
        <w:t xml:space="preserve"> </w:t>
      </w:r>
      <w:r>
        <w:rPr>
          <w:rFonts w:cs="Arial" w:ascii="Arial" w:hAnsi="Arial"/>
          <w:sz w:val="22"/>
        </w:rPr>
        <w:t>Lazurko, M.  Final Evaluation Report. University of Alberta Department of Medicine, Alternate Funding Plan.  2005; 14.</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Cambria">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20"/>
  <w:endnotePr>
    <w:numFmt w:val="decimal"/>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before="0" w:after="120"/>
    </w:pPr>
    <w:rPr>
      <w:rFonts w:ascii="Calibri" w:hAnsi="Calibri" w:eastAsia="Calibri" w:cs="Times New Roman"/>
      <w:color w:val="auto"/>
      <w:sz w:val="22"/>
      <w:szCs w:val="22"/>
      <w:lang w:val="en-CA" w:bidi="ar-SA" w:eastAsia="zh-CN"/>
    </w:rPr>
  </w:style>
  <w:style w:type="paragraph" w:styleId="Heading1">
    <w:name w:val="Heading 1"/>
    <w:basedOn w:val="Normal"/>
    <w:next w:val="Normal"/>
    <w:qFormat/>
    <w:pPr>
      <w:keepNext/>
      <w:keepLines/>
      <w:numPr>
        <w:ilvl w:val="0"/>
        <w:numId w:val="1"/>
      </w:numPr>
      <w:spacing w:before="480" w:after="0"/>
      <w:outlineLvl w:val="0"/>
      <w:outlineLvl w:val="0"/>
    </w:pPr>
    <w:rPr>
      <w:rFonts w:ascii="Cambria" w:hAnsi="Cambria" w:eastAsia="Times New Roman" w:cs="Times New Roman"/>
      <w:b/>
      <w:bCs/>
      <w:color w:val="365F91"/>
      <w:sz w:val="28"/>
      <w:szCs w:val="28"/>
    </w:rPr>
  </w:style>
  <w:style w:type="paragraph" w:styleId="Heading2">
    <w:name w:val="Heading 2"/>
    <w:basedOn w:val="Normal"/>
    <w:next w:val="Normal"/>
    <w:qFormat/>
    <w:pPr>
      <w:keepNext/>
      <w:numPr>
        <w:ilvl w:val="1"/>
        <w:numId w:val="1"/>
      </w:numPr>
      <w:spacing w:before="240" w:after="60"/>
      <w:outlineLvl w:val="1"/>
      <w:outlineLvl w:val="1"/>
    </w:pPr>
    <w:rPr>
      <w:rFonts w:ascii="Cambria" w:hAnsi="Cambria" w:eastAsia="Times New Roman" w:cs="Times New Roman"/>
      <w:b/>
      <w:bCs/>
      <w:i/>
      <w:iCs/>
      <w:sz w:val="28"/>
      <w:szCs w:val="28"/>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eastAsia="Calibri"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eastAsia="Calibri"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DefaultParagraphFont">
    <w:name w:val="Default Paragraph Font"/>
    <w:qFormat/>
    <w:rPr/>
  </w:style>
  <w:style w:type="character" w:styleId="Char">
    <w:name w:val=" Char"/>
    <w:basedOn w:val="DefaultParagraphFont"/>
    <w:qFormat/>
    <w:rPr>
      <w:rFonts w:ascii="Cambria" w:hAnsi="Cambria" w:eastAsia="Times New Roman" w:cs="Times New Roman"/>
      <w:b/>
      <w:bCs/>
      <w:color w:val="365F91"/>
      <w:sz w:val="28"/>
      <w:szCs w:val="28"/>
    </w:rPr>
  </w:style>
  <w:style w:type="character" w:styleId="WWChar">
    <w:name w:val="WW- Char"/>
    <w:basedOn w:val="DefaultParagraphFont"/>
    <w:qFormat/>
    <w:rPr/>
  </w:style>
  <w:style w:type="character" w:styleId="EndnoteCharacters">
    <w:name w:val="Endnote Characters"/>
    <w:basedOn w:val="DefaultParagraphFont"/>
    <w:qFormat/>
    <w:rPr>
      <w:vertAlign w:val="superscript"/>
    </w:rPr>
  </w:style>
  <w:style w:type="character" w:styleId="WWChar1">
    <w:name w:val="WW- Char1"/>
    <w:basedOn w:val="DefaultParagraphFont"/>
    <w:qFormat/>
    <w:rPr>
      <w:rFonts w:ascii="Cambria" w:hAnsi="Cambria" w:eastAsia="Times New Roman" w:cs="Times New Roman"/>
      <w:b/>
      <w:bCs/>
      <w:i/>
      <w:iCs/>
      <w:sz w:val="28"/>
      <w:szCs w:val="28"/>
    </w:rPr>
  </w:style>
  <w:style w:type="character" w:styleId="InternetLink">
    <w:name w:val="Internet Link"/>
    <w:basedOn w:val="DefaultParagraphFont"/>
    <w:rPr>
      <w:color w:val="0000FF"/>
      <w:u w:val="single"/>
    </w:rPr>
  </w:style>
  <w:style w:type="character" w:styleId="WWChar2">
    <w:name w:val="WW- Char2"/>
    <w:basedOn w:val="DefaultParagraphFont"/>
    <w:qFormat/>
    <w:rPr/>
  </w:style>
  <w:style w:type="character" w:styleId="FootnoteCharacters">
    <w:name w:val="Footnote Characters"/>
    <w:basedOn w:val="DefaultParagraphFont"/>
    <w:qFormat/>
    <w:rPr>
      <w:vertAlign w:val="superscript"/>
    </w:rPr>
  </w:style>
  <w:style w:type="character" w:styleId="WWChar3">
    <w:name w:val="WW- Char3"/>
    <w:basedOn w:val="DefaultParagraphFont"/>
    <w:qFormat/>
    <w:rPr>
      <w:rFonts w:ascii="Cambria" w:hAnsi="Cambria" w:eastAsia="Times New Roman" w:cs="Times New Roman"/>
      <w:b/>
      <w:bCs/>
      <w:sz w:val="32"/>
      <w:szCs w:val="32"/>
    </w:rPr>
  </w:style>
  <w:style w:type="character" w:styleId="CommentReference">
    <w:name w:val="Comment Reference"/>
    <w:basedOn w:val="DefaultParagraphFont"/>
    <w:qFormat/>
    <w:rPr>
      <w:sz w:val="16"/>
      <w:szCs w:val="16"/>
    </w:rPr>
  </w:style>
  <w:style w:type="character" w:styleId="Journalname">
    <w:name w:val="journalname"/>
    <w:basedOn w:val="DefaultParagraphFont"/>
    <w:qFormat/>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sz w:val="32"/>
      <w:szCs w:val="32"/>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ListParagraph">
    <w:name w:val="List Paragraph"/>
    <w:basedOn w:val="Normal"/>
    <w:qFormat/>
    <w:pPr>
      <w:spacing w:before="0" w:after="120"/>
      <w:ind w:left="720" w:hanging="0"/>
      <w:contextualSpacing/>
    </w:pPr>
    <w:rPr/>
  </w:style>
  <w:style w:type="paragraph" w:styleId="Endnote">
    <w:name w:val="Endnote"/>
    <w:basedOn w:val="Normal"/>
    <w:pPr/>
    <w:rPr>
      <w:sz w:val="20"/>
      <w:szCs w:val="20"/>
    </w:rPr>
  </w:style>
  <w:style w:type="paragraph" w:styleId="Footnote">
    <w:name w:val="Footnote"/>
    <w:basedOn w:val="Normal"/>
    <w:pPr/>
    <w:rPr>
      <w:sz w:val="20"/>
      <w:szCs w:val="2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PlainText">
    <w:name w:val="Plain Text"/>
    <w:basedOn w:val="Normal"/>
    <w:qFormat/>
    <w:pPr>
      <w:spacing w:before="0" w:after="0"/>
    </w:pPr>
    <w:rPr>
      <w:rFonts w:ascii="Courier New" w:hAnsi="Courier New" w:eastAsia="Times New Roman" w:cs="Courier New"/>
      <w:sz w:val="20"/>
      <w:szCs w:val="20"/>
      <w:lang w:val="en-US"/>
    </w:rPr>
  </w:style>
  <w:style w:type="paragraph" w:styleId="Title">
    <w:name w:val="title"/>
    <w:basedOn w:val="Normal"/>
    <w:qFormat/>
    <w:pPr>
      <w:spacing w:before="0" w:after="0"/>
    </w:pPr>
    <w:rPr>
      <w:rFonts w:ascii="Times New Roman" w:hAnsi="Times New Roman" w:eastAsia="Calibri" w:cs="Times New Roman"/>
      <w:sz w:val="24"/>
      <w:szCs w:val="24"/>
    </w:rPr>
  </w:style>
  <w:style w:type="paragraph" w:styleId="Authors">
    <w:name w:val="authors"/>
    <w:basedOn w:val="Normal"/>
    <w:qFormat/>
    <w:pPr>
      <w:spacing w:before="0" w:after="0"/>
    </w:pPr>
    <w:rPr>
      <w:rFonts w:ascii="Times New Roman" w:hAnsi="Times New Roman" w:eastAsia="Calibri" w:cs="Times New Roman"/>
      <w:sz w:val="24"/>
      <w:szCs w:val="24"/>
    </w:rPr>
  </w:style>
  <w:style w:type="paragraph" w:styleId="Source">
    <w:name w:val="source"/>
    <w:basedOn w:val="Normal"/>
    <w:qFormat/>
    <w:pPr>
      <w:spacing w:before="0" w:after="0"/>
    </w:pPr>
    <w:rPr>
      <w:rFonts w:ascii="Times New Roman" w:hAnsi="Times New Roman" w:eastAsia="Calibri" w:cs="Times New Roman"/>
      <w:sz w:val="24"/>
      <w:szCs w:val="24"/>
    </w:rPr>
  </w:style>
  <w:style w:type="paragraph" w:styleId="Pmid">
    <w:name w:val="pmid"/>
    <w:basedOn w:val="Normal"/>
    <w:qFormat/>
    <w:pPr>
      <w:spacing w:before="0" w:after="0"/>
    </w:pPr>
    <w:rPr>
      <w:rFonts w:ascii="Times New Roman" w:hAnsi="Times New Roman" w:eastAsia="Calibri"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chels@platinum.ca" TargetMode="External"/><Relationship Id="rId3" Type="http://schemas.openxmlformats.org/officeDocument/2006/relationships/hyperlink" Target="mailto:meddings@ucalgary.ca" TargetMode="External"/><Relationship Id="rId4" Type="http://schemas.openxmlformats.org/officeDocument/2006/relationships/oleObject" Target="embeddings/oleObject1.bin"/><Relationship Id="rId5" Type="http://schemas.openxmlformats.org/officeDocument/2006/relationships/image" Target="media/image1.wmf"/><Relationship Id="rId6" Type="http://schemas.openxmlformats.org/officeDocument/2006/relationships/oleObject" Target="embeddings/oleObject2.bin"/><Relationship Id="rId7" Type="http://schemas.openxmlformats.org/officeDocument/2006/relationships/image" Target="media/image2.wmf"/><Relationship Id="rId8" Type="http://schemas.openxmlformats.org/officeDocument/2006/relationships/oleObject" Target="embeddings/oleObject3.bin"/><Relationship Id="rId9" Type="http://schemas.openxmlformats.org/officeDocument/2006/relationships/image" Target="media/image3.wmf"/><Relationship Id="rId10" Type="http://schemas.openxmlformats.org/officeDocument/2006/relationships/oleObject" Target="embeddings/oleObject4.bin"/><Relationship Id="rId11" Type="http://schemas.openxmlformats.org/officeDocument/2006/relationships/image" Target="media/image4.wmf"/><Relationship Id="rId12" Type="http://schemas.openxmlformats.org/officeDocument/2006/relationships/endnotes" Target="end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hc-sc.gc.ca/hcs-sss/alt_formats/hpb-dgps/pdf/hhr/romanow-eng.pdf" TargetMode="External"/><Relationship Id="rId2" Type="http://schemas.openxmlformats.org/officeDocument/2006/relationships/hyperlink" Target="http://www.parl.gc.ca/37/2/parlbus/commbus/senate/Com-e/soci-e/rep-e/repoct02vol6-e.htm" TargetMode="External"/><Relationship Id="rId3" Type="http://schemas.openxmlformats.org/officeDocument/2006/relationships/hyperlink" Target="http://www.health.alberta.ca/documents/Mazankowski-Report-2001.pdf" TargetMode="External"/><Relationship Id="rId4" Type="http://schemas.openxmlformats.org/officeDocument/2006/relationships/hyperlink" Target="http://www.assembly.ab.ca/lao/library/egovdocs/alhsuo/2003/142772.pdf" TargetMode="External"/><Relationship Id="rId5" Type="http://schemas.openxmlformats.org/officeDocument/2006/relationships/hyperlink" Target="http://www.health-policy-branch.hc-sc.gc.ca/hpb/phctf/pchtf.nsf/WebFactSheet_E/0041?OpenDocument" TargetMode="External"/><Relationship Id="rId6" Type="http://schemas.openxmlformats.org/officeDocument/2006/relationships/hyperlink" Target="http://secure.cihi.ca/cihiweb/products/AltPay2005_2006_e.pdf" TargetMode="External"/><Relationship Id="rId7" Type="http://schemas.openxmlformats.org/officeDocument/2006/relationships/hyperlink" Target="http://www.ncbi.nlm.nih.gov/pubmed/18340388?ordinalpos=16&amp;itool=EntrezSystem2.PEntrez.Pubmed.Pubmed_ResultsPanel.Pubmed_DefaultReportPanel.Pubmed_RVDocSum" TargetMode="Externa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2010-03-27T20:53:00Z</dcterms:created>
  <dc:creator>Bichel, Bacchus, Meddings, Conly </dc:creator>
  <dc:language>en-CA</dc:language>
  <cp:lastModifiedBy>pjconly</cp:lastModifiedBy>
  <cp:lastPrinted>2009-01-08T12:37:00Z</cp:lastPrinted>
  <dcterms:modified xsi:type="dcterms:W3CDTF">2010-03-27T20:53:00Z</dcterms:modified>
  <cp:revision>2</cp:revision>
  <dc:title>Alberta Medicine Alternate Relationship Plan: A Critical Lever for Health Care Transformation</dc:title>
</cp:coreProperties>
</file>