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28"/>
          <w:szCs w:val="28"/>
        </w:rPr>
      </w:pPr>
      <w:r>
        <w:rPr>
          <w:sz w:val="28"/>
          <w:szCs w:val="28"/>
        </w:rPr>
      </w:r>
    </w:p>
    <w:p>
      <w:pPr>
        <w:pStyle w:val="Normal"/>
        <w:rPr>
          <w:color w:val="000000"/>
        </w:rPr>
      </w:pPr>
      <w:r>
        <w:rPr>
          <w:color w:val="000000"/>
        </w:rPr>
        <w:t>June 4th 2008</w:t>
      </w:r>
    </w:p>
    <w:p>
      <w:pPr>
        <w:pStyle w:val="Normal"/>
        <w:rPr>
          <w:color w:val="000000"/>
        </w:rPr>
      </w:pPr>
      <w:r>
        <w:rPr>
          <w:color w:val="000000"/>
        </w:rPr>
      </w:r>
    </w:p>
    <w:p>
      <w:pPr>
        <w:pStyle w:val="Normal"/>
        <w:rPr>
          <w:color w:val="000000"/>
        </w:rPr>
      </w:pPr>
      <w:r>
        <w:rPr>
          <w:color w:val="000000"/>
        </w:rPr>
        <w:t xml:space="preserve">Dr. Anita Palepu and Dr. Stephen Choi, </w:t>
      </w:r>
    </w:p>
    <w:p>
      <w:pPr>
        <w:pStyle w:val="Normal"/>
        <w:rPr>
          <w:color w:val="000000"/>
        </w:rPr>
      </w:pPr>
      <w:r>
        <w:rPr>
          <w:color w:val="000000"/>
        </w:rPr>
      </w:r>
    </w:p>
    <w:p>
      <w:pPr>
        <w:pStyle w:val="Normal"/>
        <w:rPr>
          <w:color w:val="000000"/>
        </w:rPr>
      </w:pPr>
      <w:r>
        <w:rPr>
          <w:color w:val="000000"/>
        </w:rPr>
        <w:t>Open Medicine</w:t>
      </w:r>
    </w:p>
    <w:p>
      <w:pPr>
        <w:pStyle w:val="Normal"/>
        <w:rPr>
          <w:color w:val="000000"/>
        </w:rPr>
      </w:pPr>
      <w:r>
        <w:rPr>
          <w:color w:val="000000"/>
        </w:rPr>
      </w:r>
    </w:p>
    <w:p>
      <w:pPr>
        <w:pStyle w:val="Header"/>
        <w:jc w:val="both"/>
        <w:rPr>
          <w:color w:val="000000"/>
        </w:rPr>
      </w:pPr>
      <w:r>
        <w:rPr>
          <w:b/>
          <w:color w:val="000000"/>
        </w:rPr>
        <w:t>RE</w:t>
      </w:r>
      <w:r>
        <w:rPr>
          <w:color w:val="000000"/>
        </w:rPr>
        <w:t>: Body checking at a younger age increases injuries among minor hockey players.</w:t>
      </w:r>
    </w:p>
    <w:p>
      <w:pPr>
        <w:pStyle w:val="Normal"/>
        <w:rPr/>
      </w:pPr>
      <w:r>
        <w:rPr/>
      </w:r>
    </w:p>
    <w:p>
      <w:pPr>
        <w:pStyle w:val="Normal"/>
        <w:rPr>
          <w:color w:val="000000"/>
        </w:rPr>
      </w:pPr>
      <w:r>
        <w:rPr>
          <w:color w:val="000000"/>
        </w:rPr>
        <w:t>Dear Dr. Palepu and Dr. Choi,</w:t>
      </w:r>
    </w:p>
    <w:p>
      <w:pPr>
        <w:pStyle w:val="Normal"/>
        <w:rPr>
          <w:color w:val="000000"/>
        </w:rPr>
      </w:pPr>
      <w:r>
        <w:rPr>
          <w:color w:val="000000"/>
        </w:rPr>
      </w:r>
    </w:p>
    <w:p>
      <w:pPr>
        <w:pStyle w:val="Normal"/>
        <w:rPr>
          <w:color w:val="000000"/>
        </w:rPr>
      </w:pPr>
      <w:r>
        <w:rPr>
          <w:color w:val="000000"/>
        </w:rPr>
        <w:t xml:space="preserve">Please consider the above captioned manuscript for publication in Open Medicine. </w:t>
      </w:r>
    </w:p>
    <w:p>
      <w:pPr>
        <w:pStyle w:val="Normal"/>
        <w:rPr>
          <w:color w:val="000000"/>
          <w:sz w:val="22"/>
          <w:szCs w:val="22"/>
        </w:rPr>
      </w:pPr>
      <w:r>
        <w:rPr>
          <w:color w:val="000000"/>
          <w:sz w:val="22"/>
          <w:szCs w:val="22"/>
        </w:rPr>
      </w:r>
    </w:p>
    <w:p>
      <w:pPr>
        <w:pStyle w:val="Normal"/>
        <w:rPr>
          <w:color w:val="000000"/>
        </w:rPr>
      </w:pPr>
      <w:r>
        <w:rPr/>
        <w:t>As Canada grapples with getting our population to be healthy and active, it is incumbent on us to consider the risks and benefits of staying active.  Sporting activities are central in policies aimed at keeping people healthy and active. In Canada, ice-hockey is one of the most popular sports and recreational activities among children and youth, with more than half a million registered youth playing hockey each year over the last decade. Ice hockey is also one of the leading causes of sport-related, non-fatal injury in children and youth.</w:t>
      </w:r>
      <w:r>
        <w:rPr>
          <w:vertAlign w:val="superscript"/>
        </w:rPr>
        <w:t xml:space="preserve"> </w:t>
      </w:r>
      <w:r>
        <w:rPr/>
        <w:t>The risks of injury in hockey are greater than the risks seen with basketball, soccer, or football. Available data indicate that minor hockey players (9-17 year olds) sustain 50% of all hockey-related injuries and that a very significant proportion of these injuries are related to body checking.</w:t>
      </w:r>
    </w:p>
    <w:p>
      <w:pPr>
        <w:pStyle w:val="Normal"/>
        <w:rPr>
          <w:color w:val="000000"/>
        </w:rPr>
      </w:pPr>
      <w:r>
        <w:rPr>
          <w:color w:val="000000"/>
        </w:rPr>
      </w:r>
    </w:p>
    <w:p>
      <w:pPr>
        <w:pStyle w:val="Normal"/>
        <w:rPr>
          <w:color w:val="000000"/>
        </w:rPr>
      </w:pPr>
      <w:r>
        <w:rPr>
          <w:color w:val="000000"/>
        </w:rPr>
        <w:t>Our paper represents original research on this important public health issue, namely body checking injuries in hockey.</w:t>
      </w:r>
    </w:p>
    <w:p>
      <w:pPr>
        <w:pStyle w:val="Normal"/>
        <w:rPr>
          <w:color w:val="000000"/>
        </w:rPr>
      </w:pPr>
      <w:r>
        <w:rPr>
          <w:color w:val="000000"/>
        </w:rPr>
      </w:r>
    </w:p>
    <w:p>
      <w:pPr>
        <w:pStyle w:val="Normal"/>
        <w:rPr>
          <w:color w:val="000000"/>
        </w:rPr>
      </w:pPr>
      <w:r>
        <w:rPr>
          <w:color w:val="000000"/>
        </w:rPr>
        <w:t xml:space="preserve">Ever since Hockey Canada lowered the permissible age of body checking to 9 years, a debate has ensued around the benefits of body checking in the sport and whether there is any value to the practice. Some have argued that body checking ought to be introduced into the game at as early an age as possible so that players will learn to give and receive a check properly.  Others have argued that all that introducing body checking at earlier ages does, is increase the duration of risk exposure and increase the total number of injuries. </w:t>
      </w:r>
    </w:p>
    <w:p>
      <w:pPr>
        <w:pStyle w:val="Normal"/>
        <w:rPr>
          <w:color w:val="000000"/>
        </w:rPr>
      </w:pPr>
      <w:r>
        <w:rPr>
          <w:color w:val="000000"/>
        </w:rPr>
      </w:r>
    </w:p>
    <w:p>
      <w:pPr>
        <w:pStyle w:val="Normal"/>
        <w:rPr>
          <w:color w:val="000000"/>
        </w:rPr>
      </w:pPr>
      <w:r>
        <w:rPr>
          <w:color w:val="000000"/>
        </w:rPr>
        <w:t>Our paper demonstrates that risks are increased by this early introduction. Combined with the work of others, the evidence suggests that there is actually no evidence to support the practice at all from a health perspective.</w:t>
      </w:r>
    </w:p>
    <w:p>
      <w:pPr>
        <w:pStyle w:val="Normal"/>
        <w:rPr>
          <w:color w:val="000000"/>
        </w:rPr>
      </w:pPr>
      <w:r>
        <w:rPr>
          <w:color w:val="000000"/>
        </w:rPr>
      </w:r>
    </w:p>
    <w:p>
      <w:pPr>
        <w:pStyle w:val="Normal"/>
        <w:jc w:val="both"/>
        <w:rPr/>
      </w:pPr>
      <w:r>
        <w:rPr/>
        <w:t xml:space="preserve">Publishing the work in Open Medicine would be an excellent means to advance the purpose of knowledge translation and would be consistent with the Open Medicine’s practice to highlight important work in this area.  </w:t>
      </w:r>
    </w:p>
    <w:p>
      <w:pPr>
        <w:pStyle w:val="Normal"/>
        <w:jc w:val="both"/>
        <w:rPr/>
      </w:pPr>
      <w:r>
        <w:rPr/>
      </w:r>
    </w:p>
    <w:p>
      <w:pPr>
        <w:pStyle w:val="Normal"/>
        <w:jc w:val="both"/>
        <w:rPr/>
      </w:pPr>
      <w:r>
        <w:rPr/>
        <w:t xml:space="preserve">I certify that the work has not been submitted elsewhere. </w:t>
      </w:r>
      <w:r>
        <w:rPr>
          <w:color w:val="FF0000"/>
        </w:rPr>
        <w:t xml:space="preserve"> </w:t>
      </w:r>
      <w:r>
        <w:rPr>
          <w:lang w:val="en-GB"/>
        </w:rPr>
        <w:t xml:space="preserve">Michael Cusimano conceived of the project, assisted in obtaining the dataset, guided the analysis and revised drafts of the manuscript. Nathan Taback completed the statistical analyses and revised the manuscript. Ryan Hodgins assisted in the development and initial analyses and wrote the first draft of the paper. Tsegaye M. Bekele assisted in the analyses and the manuscript development and, Steven McFaull ensured integrity of the data, guided analyses and participated in the revisions of drafts of the manuscript.  All authors reviewed and approved of the final version of the manuscript.  </w:t>
      </w:r>
    </w:p>
    <w:p>
      <w:pPr>
        <w:pStyle w:val="Normal"/>
        <w:jc w:val="both"/>
        <w:rPr>
          <w:color w:val="000000"/>
          <w:lang w:val="en-GB"/>
        </w:rPr>
      </w:pPr>
      <w:r>
        <w:rPr>
          <w:color w:val="000000"/>
          <w:lang w:val="en-GB"/>
        </w:rPr>
      </w:r>
    </w:p>
    <w:p>
      <w:pPr>
        <w:pStyle w:val="Normal"/>
        <w:jc w:val="both"/>
        <w:rPr>
          <w:color w:val="000000"/>
        </w:rPr>
      </w:pPr>
      <w:r>
        <w:rPr>
          <w:color w:val="000000"/>
        </w:rPr>
        <w:t>Sincerely,</w: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t>Michael D. Cusimano MD, PhD, FRCSC, FACS</w:t>
      </w:r>
    </w:p>
    <w:p>
      <w:pPr>
        <w:pStyle w:val="Normal"/>
        <w:jc w:val="both"/>
        <w:rPr>
          <w:color w:val="000000"/>
        </w:rPr>
      </w:pPr>
      <w:r>
        <w:rPr>
          <w:color w:val="000000"/>
        </w:rPr>
        <w:t>Professor of Neurosurgery, Education and Public Health</w:t>
      </w:r>
    </w:p>
    <w:p>
      <w:pPr>
        <w:pStyle w:val="Normal"/>
        <w:jc w:val="both"/>
        <w:rPr>
          <w:color w:val="000000"/>
        </w:rPr>
      </w:pPr>
      <w:r>
        <w:rPr>
          <w:color w:val="000000"/>
        </w:rPr>
        <w:t>St. Michael’s Hospital, University of Toronto</w:t>
      </w:r>
    </w:p>
    <w:p>
      <w:pPr>
        <w:pStyle w:val="Normal"/>
        <w:jc w:val="both"/>
        <w:rPr>
          <w:color w:val="000000"/>
        </w:rPr>
      </w:pPr>
      <w:r>
        <w:rPr>
          <w:color w:val="000000"/>
        </w:rPr>
      </w:r>
    </w:p>
    <w:p>
      <w:pPr>
        <w:pStyle w:val="Normal"/>
        <w:jc w:val="both"/>
        <w:rPr>
          <w:color w:val="000000"/>
        </w:rPr>
      </w:pPr>
      <w:r>
        <w:rPr>
          <w:color w:val="000000"/>
        </w:rPr>
        <w:t>2 Queen Street East, Suite 10-05</w:t>
      </w:r>
    </w:p>
    <w:p>
      <w:pPr>
        <w:pStyle w:val="Normal"/>
        <w:jc w:val="both"/>
        <w:rPr>
          <w:color w:val="000000"/>
        </w:rPr>
      </w:pPr>
      <w:r>
        <w:rPr>
          <w:color w:val="000000"/>
        </w:rPr>
        <w:t>Toronto, ON, Canada</w:t>
      </w:r>
    </w:p>
    <w:p>
      <w:pPr>
        <w:pStyle w:val="Normal"/>
        <w:jc w:val="both"/>
        <w:rPr>
          <w:color w:val="000000"/>
        </w:rPr>
      </w:pPr>
      <w:r>
        <w:rPr>
          <w:color w:val="000000"/>
        </w:rPr>
        <w:t>M5C 3G7</w:t>
      </w:r>
    </w:p>
    <w:p>
      <w:pPr>
        <w:pStyle w:val="Normal"/>
        <w:rPr>
          <w:color w:val="000000"/>
        </w:rPr>
      </w:pPr>
      <w:r>
        <w:rPr>
          <w:color w:val="000000"/>
        </w:rPr>
      </w:r>
    </w:p>
    <w:p>
      <w:pPr>
        <w:pStyle w:val="Normal"/>
        <w:rPr>
          <w:color w:val="000000"/>
        </w:rPr>
      </w:pPr>
      <w:r>
        <w:rPr>
          <w:color w:val="000000"/>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t>Body checking at a younger age increases injuries among minor hockey players</w:t>
      </w:r>
    </w:p>
    <w:p>
      <w:pPr>
        <w:pStyle w:val="Normal"/>
        <w:jc w:val="both"/>
        <w:rPr>
          <w:sz w:val="28"/>
          <w:szCs w:val="28"/>
        </w:rPr>
      </w:pPr>
      <w:r>
        <w:rPr>
          <w:sz w:val="28"/>
          <w:szCs w:val="28"/>
        </w:rPr>
      </w:r>
    </w:p>
    <w:p>
      <w:pPr>
        <w:pStyle w:val="Normal"/>
        <w:jc w:val="both"/>
        <w:rPr/>
      </w:pPr>
      <w:r>
        <w:rPr>
          <w:lang w:val="en-GB"/>
        </w:rPr>
        <w:t>Michael D. Cusimano MD PhD</w:t>
      </w:r>
      <w:r>
        <w:rPr>
          <w:vertAlign w:val="superscript"/>
          <w:lang w:val="en-GB"/>
        </w:rPr>
        <w:t>1</w:t>
      </w:r>
      <w:r>
        <w:rPr>
          <w:lang w:val="en-GB"/>
        </w:rPr>
        <w:t>, Nathan A. Taback PhD</w:t>
      </w:r>
      <w:r>
        <w:rPr>
          <w:vertAlign w:val="superscript"/>
          <w:lang w:val="en-GB"/>
        </w:rPr>
        <w:t>2</w:t>
      </w:r>
      <w:r>
        <w:rPr>
          <w:lang w:val="en-GB"/>
        </w:rPr>
        <w:t>, Ryan Hodgins B.Sc</w:t>
      </w:r>
      <w:r>
        <w:rPr>
          <w:vertAlign w:val="superscript"/>
          <w:lang w:val="en-GB"/>
        </w:rPr>
        <w:t>1</w:t>
      </w:r>
      <w:r>
        <w:rPr>
          <w:lang w:val="en-GB"/>
        </w:rPr>
        <w:t>, Tsegaye M. Bekele MPH</w:t>
      </w:r>
      <w:r>
        <w:rPr>
          <w:vertAlign w:val="superscript"/>
          <w:lang w:val="en-GB"/>
        </w:rPr>
        <w:t>1</w:t>
      </w:r>
      <w:r>
        <w:rPr>
          <w:lang w:val="en-GB"/>
        </w:rPr>
        <w:t>, Steven R. McFaull M.Sc</w:t>
      </w:r>
      <w:r>
        <w:rPr>
          <w:vertAlign w:val="superscript"/>
          <w:lang w:val="en-GB"/>
        </w:rPr>
        <w:t>3</w:t>
      </w:r>
    </w:p>
    <w:p>
      <w:pPr>
        <w:pStyle w:val="Normal"/>
        <w:jc w:val="both"/>
        <w:rPr>
          <w:b/>
          <w:b/>
          <w:u w:val="single"/>
          <w:lang w:val="en-GB"/>
        </w:rPr>
      </w:pPr>
      <w:r>
        <w:rPr>
          <w:b/>
          <w:u w:val="single"/>
          <w:lang w:val="en-GB"/>
        </w:rPr>
      </w:r>
    </w:p>
    <w:p>
      <w:pPr>
        <w:pStyle w:val="Normal"/>
        <w:ind w:left="720" w:hanging="0"/>
        <w:jc w:val="both"/>
        <w:rPr/>
      </w:pPr>
      <w:r>
        <w:rPr>
          <w:vertAlign w:val="superscript"/>
        </w:rPr>
        <w:t>1</w:t>
      </w:r>
      <w:r>
        <w:rPr/>
        <w:t>Injury Prevention Research Office</w:t>
      </w:r>
    </w:p>
    <w:p>
      <w:pPr>
        <w:pStyle w:val="Normal"/>
        <w:ind w:left="720" w:hanging="0"/>
        <w:jc w:val="both"/>
        <w:rPr/>
      </w:pPr>
      <w:r>
        <w:rPr/>
        <w:t xml:space="preserve"> </w:t>
      </w:r>
      <w:r>
        <w:rPr/>
        <w:t>Division of Neurosurgery, Li Ka Shing Knowledge Institute</w:t>
      </w:r>
    </w:p>
    <w:p>
      <w:pPr>
        <w:pStyle w:val="Normal"/>
        <w:ind w:left="720" w:hanging="0"/>
        <w:jc w:val="both"/>
        <w:rPr>
          <w:b/>
          <w:b/>
        </w:rPr>
      </w:pPr>
      <w:r>
        <w:rPr/>
        <w:t xml:space="preserve"> </w:t>
      </w:r>
      <w:r>
        <w:rPr/>
        <w:t>St. Michael’s Hospital, University of Toronto</w:t>
      </w:r>
    </w:p>
    <w:p>
      <w:pPr>
        <w:pStyle w:val="Normal"/>
        <w:ind w:left="720" w:hanging="0"/>
        <w:jc w:val="both"/>
        <w:rPr>
          <w:b/>
          <w:b/>
          <w:u w:val="single"/>
        </w:rPr>
      </w:pPr>
      <w:r>
        <w:rPr>
          <w:b/>
          <w:u w:val="single"/>
        </w:rPr>
        <w:t xml:space="preserve"> </w:t>
      </w:r>
    </w:p>
    <w:p>
      <w:pPr>
        <w:pStyle w:val="Normal"/>
        <w:ind w:left="720" w:hanging="0"/>
        <w:jc w:val="both"/>
        <w:rPr/>
      </w:pPr>
      <w:r>
        <w:rPr>
          <w:vertAlign w:val="superscript"/>
        </w:rPr>
        <w:t>2</w:t>
      </w:r>
      <w:r>
        <w:rPr/>
        <w:t>Center for Research in Inner City Health</w:t>
      </w:r>
    </w:p>
    <w:p>
      <w:pPr>
        <w:pStyle w:val="Normal"/>
        <w:ind w:left="720" w:hanging="0"/>
        <w:jc w:val="both"/>
        <w:rPr/>
      </w:pPr>
      <w:r>
        <w:rPr/>
        <w:t xml:space="preserve">  </w:t>
      </w:r>
      <w:r>
        <w:rPr/>
        <w:t>The Keenan Research Centre in the Li Ka Shing Knowledge Institute,</w:t>
      </w:r>
    </w:p>
    <w:p>
      <w:pPr>
        <w:pStyle w:val="Normal"/>
        <w:ind w:left="720" w:hanging="0"/>
        <w:jc w:val="both"/>
        <w:rPr/>
      </w:pPr>
      <w:r>
        <w:rPr/>
        <w:t xml:space="preserve">  </w:t>
      </w:r>
      <w:r>
        <w:rPr/>
        <w:t xml:space="preserve">St. Michael’s Hospital </w:t>
      </w:r>
    </w:p>
    <w:p>
      <w:pPr>
        <w:pStyle w:val="Normal"/>
        <w:ind w:left="720" w:hanging="0"/>
        <w:jc w:val="both"/>
        <w:rPr/>
      </w:pPr>
      <w:r>
        <w:rPr/>
        <w:t xml:space="preserve">  </w:t>
      </w:r>
      <w:r>
        <w:rPr/>
        <w:t xml:space="preserve">Department of Public Health Sciences </w:t>
      </w:r>
    </w:p>
    <w:p>
      <w:pPr>
        <w:pStyle w:val="Normal"/>
        <w:ind w:left="720" w:hanging="0"/>
        <w:jc w:val="both"/>
        <w:rPr/>
      </w:pPr>
      <w:r>
        <w:rPr/>
        <w:t xml:space="preserve">  </w:t>
      </w:r>
      <w:r>
        <w:rPr/>
        <w:t>University of Toronto</w:t>
      </w:r>
    </w:p>
    <w:p>
      <w:pPr>
        <w:pStyle w:val="Normal"/>
        <w:ind w:left="720" w:hanging="0"/>
        <w:jc w:val="both"/>
        <w:rPr>
          <w:b/>
          <w:b/>
        </w:rPr>
      </w:pPr>
      <w:r>
        <w:rPr>
          <w:b/>
        </w:rPr>
      </w:r>
    </w:p>
    <w:p>
      <w:pPr>
        <w:pStyle w:val="Normal"/>
        <w:autoSpaceDE w:val="false"/>
        <w:ind w:left="720" w:hanging="0"/>
        <w:jc w:val="both"/>
        <w:rPr/>
      </w:pPr>
      <w:r>
        <w:rPr>
          <w:vertAlign w:val="superscript"/>
        </w:rPr>
        <w:t>3</w:t>
      </w:r>
      <w:r>
        <w:rPr/>
        <w:t>Injury and Child Maltreatment Section</w:t>
      </w:r>
    </w:p>
    <w:p>
      <w:pPr>
        <w:pStyle w:val="Normal"/>
        <w:autoSpaceDE w:val="false"/>
        <w:ind w:left="720" w:hanging="0"/>
        <w:jc w:val="both"/>
        <w:rPr/>
      </w:pPr>
      <w:r>
        <w:rPr/>
        <w:t xml:space="preserve"> </w:t>
      </w:r>
      <w:r>
        <w:rPr/>
        <w:t>Health Surveillance and Epidemiology Division</w:t>
      </w:r>
    </w:p>
    <w:p>
      <w:pPr>
        <w:pStyle w:val="Normal"/>
        <w:autoSpaceDE w:val="false"/>
        <w:ind w:left="720" w:hanging="0"/>
        <w:jc w:val="both"/>
        <w:rPr/>
      </w:pPr>
      <w:r>
        <w:rPr/>
        <w:t xml:space="preserve"> </w:t>
      </w:r>
      <w:r>
        <w:rPr/>
        <w:t>Centre for Health Promotion</w:t>
      </w:r>
    </w:p>
    <w:p>
      <w:pPr>
        <w:pStyle w:val="Normal"/>
        <w:autoSpaceDE w:val="false"/>
        <w:ind w:left="720" w:hanging="0"/>
        <w:jc w:val="both"/>
        <w:rPr/>
      </w:pPr>
      <w:r>
        <w:rPr/>
        <w:t xml:space="preserve"> </w:t>
      </w:r>
      <w:r>
        <w:rPr/>
        <w:t>Public Health Agency of Canada</w:t>
      </w:r>
    </w:p>
    <w:p>
      <w:pPr>
        <w:pStyle w:val="Normal"/>
        <w:jc w:val="both"/>
        <w:rPr>
          <w:b/>
          <w:b/>
          <w:u w:val="single"/>
        </w:rPr>
      </w:pPr>
      <w:r>
        <w:rPr>
          <w:b/>
          <w:u w:val="single"/>
        </w:rPr>
      </w:r>
    </w:p>
    <w:p>
      <w:pPr>
        <w:pStyle w:val="Normal"/>
        <w:jc w:val="both"/>
        <w:rPr>
          <w:b/>
          <w:b/>
          <w:u w:val="single"/>
        </w:rPr>
      </w:pPr>
      <w:r>
        <w:rPr>
          <w:b/>
          <w:u w:val="single"/>
        </w:rPr>
      </w:r>
    </w:p>
    <w:p>
      <w:pPr>
        <w:pStyle w:val="Normal"/>
        <w:ind w:left="720" w:firstLine="180"/>
        <w:jc w:val="both"/>
        <w:rPr>
          <w:b/>
          <w:b/>
        </w:rPr>
      </w:pPr>
      <w:r>
        <w:rPr>
          <w:b/>
        </w:rPr>
        <w:t>Corresponding author information:</w:t>
      </w:r>
    </w:p>
    <w:p>
      <w:pPr>
        <w:pStyle w:val="Normal"/>
        <w:ind w:left="720" w:firstLine="180"/>
        <w:jc w:val="both"/>
        <w:rPr>
          <w:b/>
          <w:b/>
        </w:rPr>
      </w:pPr>
      <w:r>
        <w:rPr>
          <w:b/>
        </w:rPr>
      </w:r>
    </w:p>
    <w:p>
      <w:pPr>
        <w:pStyle w:val="Normal"/>
        <w:ind w:left="720" w:firstLine="180"/>
        <w:jc w:val="both"/>
        <w:rPr/>
      </w:pPr>
      <w:r>
        <w:rPr/>
        <w:t>Dr. M. D. Cusimano</w:t>
      </w:r>
    </w:p>
    <w:p>
      <w:pPr>
        <w:pStyle w:val="Normal"/>
        <w:ind w:left="720" w:firstLine="180"/>
        <w:jc w:val="both"/>
        <w:rPr/>
      </w:pPr>
      <w:r>
        <w:rPr/>
        <w:t>Injury Prevention Research Office</w:t>
      </w:r>
    </w:p>
    <w:p>
      <w:pPr>
        <w:pStyle w:val="Normal"/>
        <w:ind w:left="720" w:firstLine="180"/>
        <w:jc w:val="both"/>
        <w:rPr/>
      </w:pPr>
      <w:r>
        <w:rPr/>
        <w:t>St. Michael’s Hospital</w:t>
      </w:r>
    </w:p>
    <w:p>
      <w:pPr>
        <w:pStyle w:val="Normal"/>
        <w:ind w:left="720" w:firstLine="180"/>
        <w:jc w:val="both"/>
        <w:rPr/>
      </w:pPr>
      <w:r>
        <w:rPr/>
        <w:t>2 Queen St. East, Suite 10-05</w:t>
      </w:r>
    </w:p>
    <w:p>
      <w:pPr>
        <w:pStyle w:val="Normal"/>
        <w:ind w:left="720" w:firstLine="180"/>
        <w:jc w:val="both"/>
        <w:rPr/>
      </w:pPr>
      <w:r>
        <w:rPr/>
        <w:t xml:space="preserve">Toronto, ON, Canada </w:t>
      </w:r>
    </w:p>
    <w:p>
      <w:pPr>
        <w:pStyle w:val="Normal"/>
        <w:ind w:left="720" w:firstLine="180"/>
        <w:jc w:val="both"/>
        <w:rPr/>
      </w:pPr>
      <w:r>
        <w:rPr/>
        <w:t xml:space="preserve">M5C 3G7 </w:t>
      </w:r>
    </w:p>
    <w:p>
      <w:pPr>
        <w:pStyle w:val="Normal"/>
        <w:ind w:left="720" w:firstLine="180"/>
        <w:jc w:val="both"/>
        <w:rPr/>
      </w:pPr>
      <w:r>
        <w:rPr/>
        <w:t>Telephone: 416-864-5312</w:t>
      </w:r>
    </w:p>
    <w:p>
      <w:pPr>
        <w:pStyle w:val="Normal"/>
        <w:ind w:left="720" w:firstLine="180"/>
        <w:jc w:val="both"/>
        <w:rPr/>
      </w:pPr>
      <w:r>
        <w:rPr/>
        <w:t>Fax: 416-864-5857</w:t>
      </w:r>
    </w:p>
    <w:p>
      <w:pPr>
        <w:pStyle w:val="Normal"/>
        <w:ind w:left="720" w:firstLine="180"/>
        <w:jc w:val="both"/>
        <w:rPr/>
      </w:pPr>
      <w:r>
        <w:rPr/>
        <w:t>Email:  injuryprevention@smh.toronto.on.ca</w:t>
      </w:r>
    </w:p>
    <w:p>
      <w:pPr>
        <w:pStyle w:val="Normal"/>
        <w:ind w:left="720" w:firstLine="180"/>
        <w:jc w:val="both"/>
        <w:rPr>
          <w:b/>
          <w:b/>
          <w:u w:val="single"/>
        </w:rPr>
      </w:pPr>
      <w:r>
        <w:rPr>
          <w:b/>
          <w:u w:val="single"/>
        </w:rPr>
      </w:r>
    </w:p>
    <w:p>
      <w:pPr>
        <w:pStyle w:val="Normal"/>
        <w:jc w:val="both"/>
        <w:rPr>
          <w:b/>
          <w:b/>
          <w:u w:val="single"/>
        </w:rPr>
      </w:pPr>
      <w:r>
        <w:rPr>
          <w:b/>
          <w:u w:val="single"/>
        </w:rPr>
      </w:r>
    </w:p>
    <w:p>
      <w:pPr>
        <w:pStyle w:val="Normal"/>
        <w:ind w:firstLine="900"/>
        <w:jc w:val="both"/>
        <w:rPr/>
      </w:pPr>
      <w:r>
        <w:rPr>
          <w:b/>
        </w:rPr>
        <w:t xml:space="preserve">Financial Support: </w:t>
      </w:r>
      <w:r>
        <w:rPr/>
        <w:t>None</w:t>
      </w:r>
    </w:p>
    <w:p>
      <w:pPr>
        <w:pStyle w:val="Normal"/>
        <w:ind w:firstLine="900"/>
        <w:jc w:val="both"/>
        <w:rPr>
          <w:b/>
          <w:b/>
        </w:rPr>
      </w:pPr>
      <w:r>
        <w:rPr>
          <w:b/>
        </w:rPr>
        <w:t xml:space="preserve">Conflict of Interest: </w:t>
      </w:r>
      <w:r>
        <w:rPr/>
        <w:t>No</w:t>
      </w:r>
      <w:r>
        <w:rPr>
          <w:b/>
        </w:rPr>
        <w:t xml:space="preserve"> </w:t>
      </w:r>
      <w:r>
        <w:rPr/>
        <w:t>Conflicting relationship exists for any author.</w:t>
      </w:r>
    </w:p>
    <w:p>
      <w:pPr>
        <w:pStyle w:val="Normal"/>
        <w:ind w:firstLine="900"/>
        <w:jc w:val="both"/>
        <w:rPr>
          <w:b/>
          <w:b/>
        </w:rPr>
      </w:pPr>
      <w:r>
        <w:rPr>
          <w:b/>
        </w:rPr>
      </w:r>
    </w:p>
    <w:p>
      <w:pPr>
        <w:pStyle w:val="Normal"/>
        <w:ind w:firstLine="900"/>
        <w:jc w:val="both"/>
        <w:rPr>
          <w:b/>
          <w:b/>
        </w:rPr>
      </w:pPr>
      <w:r>
        <w:rPr>
          <w:b/>
        </w:rPr>
      </w:r>
    </w:p>
    <w:p>
      <w:pPr>
        <w:pStyle w:val="Normal"/>
        <w:ind w:left="360" w:firstLine="540"/>
        <w:jc w:val="both"/>
        <w:rPr>
          <w:b/>
          <w:b/>
        </w:rPr>
      </w:pPr>
      <w:r>
        <w:rPr>
          <w:b/>
        </w:rPr>
      </w:r>
    </w:p>
    <w:p>
      <w:pPr>
        <w:pStyle w:val="Normal"/>
        <w:ind w:left="360" w:firstLine="540"/>
        <w:jc w:val="both"/>
        <w:rPr>
          <w:b/>
          <w:b/>
        </w:rPr>
      </w:pPr>
      <w:r>
        <w:rPr>
          <w:b/>
        </w:rPr>
      </w:r>
    </w:p>
    <w:p>
      <w:pPr>
        <w:pStyle w:val="Normal"/>
        <w:ind w:left="360" w:firstLine="540"/>
        <w:jc w:val="both"/>
        <w:rPr>
          <w:b/>
          <w:b/>
        </w:rPr>
      </w:pPr>
      <w:r>
        <w:rPr>
          <w:b/>
        </w:rPr>
      </w:r>
    </w:p>
    <w:p>
      <w:pPr>
        <w:pStyle w:val="Normal"/>
        <w:ind w:left="360" w:firstLine="540"/>
        <w:jc w:val="both"/>
        <w:rPr>
          <w:b/>
          <w:b/>
        </w:rPr>
      </w:pPr>
      <w:r>
        <w:rPr>
          <w:b/>
        </w:rPr>
        <w:t xml:space="preserve">Word Count: </w:t>
      </w:r>
      <w:r>
        <w:rPr/>
        <w:t>3,764 words</w:t>
      </w:r>
    </w:p>
    <w:p>
      <w:pPr>
        <w:pStyle w:val="Normal"/>
        <w:ind w:left="360" w:firstLine="540"/>
        <w:jc w:val="both"/>
        <w:rPr>
          <w:b/>
          <w:b/>
        </w:rPr>
      </w:pPr>
      <w:r>
        <w:rPr>
          <w:b/>
        </w:rPr>
      </w:r>
    </w:p>
    <w:p>
      <w:pPr>
        <w:pStyle w:val="Normal"/>
        <w:ind w:left="360" w:firstLine="540"/>
        <w:jc w:val="both"/>
        <w:rPr/>
      </w:pPr>
      <w:r>
        <w:rPr>
          <w:b/>
        </w:rPr>
        <w:t>Number of Tables</w:t>
      </w:r>
      <w:r>
        <w:rPr/>
        <w:t>: 5</w:t>
      </w:r>
    </w:p>
    <w:p>
      <w:pPr>
        <w:pStyle w:val="Normal"/>
        <w:ind w:left="360" w:firstLine="540"/>
        <w:jc w:val="both"/>
        <w:rPr/>
      </w:pPr>
      <w:r>
        <w:rPr>
          <w:b/>
        </w:rPr>
        <w:t>Number of Figures</w:t>
      </w:r>
      <w:r>
        <w:rPr/>
        <w:t>: 0</w:t>
      </w:r>
    </w:p>
    <w:p>
      <w:pPr>
        <w:pStyle w:val="Normal"/>
        <w:ind w:left="360" w:firstLine="540"/>
        <w:jc w:val="both"/>
        <w:rPr/>
      </w:pPr>
      <w:r>
        <w:rPr/>
      </w:r>
    </w:p>
    <w:p>
      <w:pPr>
        <w:pStyle w:val="Heading1"/>
        <w:numPr>
          <w:ilvl w:val="0"/>
          <w:numId w:val="1"/>
        </w:numPr>
        <w:jc w:val="both"/>
        <w:rPr>
          <w:u w:val="none"/>
        </w:rPr>
      </w:pPr>
      <w:r>
        <w:rPr>
          <w:u w:val="none"/>
        </w:rPr>
      </w:r>
    </w:p>
    <w:p>
      <w:pPr>
        <w:pStyle w:val="Heading1"/>
        <w:numPr>
          <w:ilvl w:val="0"/>
          <w:numId w:val="1"/>
        </w:numPr>
        <w:jc w:val="both"/>
        <w:rPr>
          <w:sz w:val="22"/>
          <w:szCs w:val="22"/>
          <w:u w:val="none"/>
        </w:rPr>
      </w:pPr>
      <w:r>
        <w:rPr>
          <w:u w:val="none"/>
        </w:rPr>
        <w:t xml:space="preserve">ABSTRACT </w:t>
      </w:r>
    </w:p>
    <w:p>
      <w:pPr>
        <w:pStyle w:val="Normal"/>
        <w:jc w:val="both"/>
        <w:rPr>
          <w:b/>
          <w:b/>
          <w:sz w:val="22"/>
          <w:szCs w:val="22"/>
          <w:u w:val="single"/>
        </w:rPr>
      </w:pPr>
      <w:r>
        <w:rPr>
          <w:b/>
          <w:sz w:val="22"/>
          <w:szCs w:val="22"/>
          <w:u w:val="single"/>
        </w:rPr>
      </w:r>
    </w:p>
    <w:p>
      <w:pPr>
        <w:pStyle w:val="Normal"/>
        <w:jc w:val="both"/>
        <w:rPr/>
      </w:pPr>
      <w:r>
        <w:rPr>
          <w:b/>
        </w:rPr>
        <w:t>Background:</w:t>
      </w:r>
      <w:r>
        <w:rPr/>
        <w:t xml:space="preserve"> </w:t>
      </w:r>
    </w:p>
    <w:p>
      <w:pPr>
        <w:pStyle w:val="Normal"/>
        <w:jc w:val="both"/>
        <w:rPr/>
      </w:pPr>
      <w:r>
        <w:rPr/>
      </w:r>
    </w:p>
    <w:p>
      <w:pPr>
        <w:pStyle w:val="Normal"/>
        <w:jc w:val="both"/>
        <w:rPr/>
      </w:pPr>
      <w:r>
        <w:rPr/>
        <w:t xml:space="preserve">Despite the popularity of ice hockey in northern countries like Canada, it is a major source of injury for those who participate.  Body checking is a leading cause of injury among minor hockey players. Since 1998, there has been heated debate regarding the value of body checking in youth hockey, after Hockey Canada made a rule change that introduced body checking for competitive players as young as 9 years. </w:t>
      </w:r>
    </w:p>
    <w:p>
      <w:pPr>
        <w:pStyle w:val="Normal"/>
        <w:jc w:val="both"/>
        <w:rPr/>
      </w:pPr>
      <w:r>
        <w:rPr/>
      </w:r>
    </w:p>
    <w:p>
      <w:pPr>
        <w:pStyle w:val="Normal"/>
        <w:jc w:val="both"/>
        <w:rPr/>
      </w:pPr>
      <w:r>
        <w:rPr/>
        <w:t xml:space="preserve">The purpose of this study was to determine if lowering the legal age of body checking had an effect on the incidence of all hockey-related injuries in general and on injuries specifically related to body checking among Ontario’s minor hockey players exposed to the rule change. </w:t>
      </w:r>
    </w:p>
    <w:p>
      <w:pPr>
        <w:pStyle w:val="Normal"/>
        <w:jc w:val="both"/>
        <w:rPr/>
      </w:pPr>
      <w:r>
        <w:rPr/>
      </w:r>
    </w:p>
    <w:p>
      <w:pPr>
        <w:pStyle w:val="Normal"/>
        <w:jc w:val="both"/>
        <w:rPr/>
      </w:pPr>
      <w:r>
        <w:rPr>
          <w:b/>
        </w:rPr>
        <w:t>Methods:</w:t>
      </w:r>
      <w:r>
        <w:rPr/>
        <w:t xml:space="preserve"> </w:t>
      </w:r>
    </w:p>
    <w:p>
      <w:pPr>
        <w:pStyle w:val="Normal"/>
        <w:jc w:val="both"/>
        <w:rPr/>
      </w:pPr>
      <w:r>
        <w:rPr/>
      </w:r>
    </w:p>
    <w:p>
      <w:pPr>
        <w:pStyle w:val="Normal"/>
        <w:jc w:val="both"/>
        <w:rPr/>
      </w:pPr>
      <w:r>
        <w:rPr/>
        <w:t xml:space="preserve">This study is a retrospective case control study based on data collected through the Canadian Hospitals Injury Reporting and Prevention Program (CHIRPP). The study’s subjects consisted of male minor hockey league players (6-17 years) who visited emergency departments of five hospitals (three pediatric and two general hospitals) in Ontario for hockey-related injuries during 10 hockey seasons (September 1994 to May 2004). Injuries were classified into </w:t>
      </w:r>
      <w:r>
        <w:rPr>
          <w:i/>
        </w:rPr>
        <w:t>body checking</w:t>
      </w:r>
      <w:r>
        <w:rPr/>
        <w:t xml:space="preserve"> or </w:t>
      </w:r>
      <w:r>
        <w:rPr>
          <w:i/>
        </w:rPr>
        <w:t>non-body checking</w:t>
      </w:r>
      <w:r>
        <w:rPr/>
        <w:t xml:space="preserve"> based on the narrative information provided by the player and/or caregiver during their visit to the emergency room. Injuries related to body checking that occurred after the rule change took effect, were compared to those that occurred before the introduction of the rule. </w:t>
      </w:r>
    </w:p>
    <w:p>
      <w:pPr>
        <w:pStyle w:val="Normal"/>
        <w:jc w:val="both"/>
        <w:rPr>
          <w:shd w:fill="FFFF00" w:val="clear"/>
        </w:rPr>
      </w:pPr>
      <w:r>
        <w:rPr>
          <w:shd w:fill="FFFF00" w:val="clear"/>
        </w:rPr>
      </w:r>
    </w:p>
    <w:p>
      <w:pPr>
        <w:pStyle w:val="Normal"/>
        <w:jc w:val="both"/>
        <w:rPr/>
      </w:pPr>
      <w:r>
        <w:rPr>
          <w:b/>
        </w:rPr>
        <w:t>Results:</w:t>
      </w:r>
      <w:r>
        <w:rPr/>
        <w:t xml:space="preserve"> </w:t>
      </w:r>
    </w:p>
    <w:p>
      <w:pPr>
        <w:pStyle w:val="Normal"/>
        <w:jc w:val="both"/>
        <w:rPr/>
      </w:pPr>
      <w:r>
        <w:rPr/>
      </w:r>
    </w:p>
    <w:p>
      <w:pPr>
        <w:pStyle w:val="Normal"/>
        <w:jc w:val="both"/>
        <w:rPr/>
      </w:pPr>
      <w:r>
        <w:rPr/>
        <w:t xml:space="preserve">A total of 8,552 hockey-related injuries were reported during the study period.  More than half (52.2%) of these injuries were attributable to body checking. The Odds Ratio [OR] of an ED visit due to a body checking injury among minor hockey players increased after the rule change compared to the pre-rule change (OR=1.26, 95% CI 1.16-1.38).  Players in Atom Division, the division in which body checking was allowed during the 1998-99 hockey season, had the highest odds of injury  (OR=2.2, 95% CI: 1.70-2.84). Minor hockey players also sustained more severe injuries since the introduction of the new rule. </w:t>
      </w:r>
    </w:p>
    <w:p>
      <w:pPr>
        <w:pStyle w:val="Normal"/>
        <w:jc w:val="both"/>
        <w:rPr/>
      </w:pPr>
      <w:r>
        <w:rPr/>
      </w:r>
    </w:p>
    <w:p>
      <w:pPr>
        <w:pStyle w:val="Normal"/>
        <w:jc w:val="both"/>
        <w:rPr>
          <w:b/>
          <w:b/>
        </w:rPr>
      </w:pPr>
      <w:r>
        <w:rPr>
          <w:b/>
        </w:rPr>
        <w:t xml:space="preserve">Conclusions: </w:t>
      </w:r>
    </w:p>
    <w:p>
      <w:pPr>
        <w:pStyle w:val="Normal"/>
        <w:jc w:val="both"/>
        <w:rPr>
          <w:b/>
          <w:b/>
        </w:rPr>
      </w:pPr>
      <w:r>
        <w:rPr>
          <w:b/>
        </w:rPr>
      </w:r>
    </w:p>
    <w:p>
      <w:pPr>
        <w:pStyle w:val="Normal"/>
        <w:jc w:val="both"/>
        <w:rPr/>
      </w:pPr>
      <w:r>
        <w:rPr/>
        <w:t xml:space="preserve">The younger the children exposed to body checking in hockey are, the greater the risk of injury.  Findings of this study add to the growing evidence that body checking holds greater risk than benefit for youth and support widespread calls for the banning of this practice. </w:t>
      </w:r>
    </w:p>
    <w:p>
      <w:pPr>
        <w:pStyle w:val="Normal"/>
        <w:jc w:val="both"/>
        <w:rPr/>
      </w:pPr>
      <w:r>
        <w:rPr/>
      </w:r>
    </w:p>
    <w:p>
      <w:pPr>
        <w:pStyle w:val="Normal"/>
        <w:jc w:val="both"/>
        <w:rPr/>
      </w:pPr>
      <w:r>
        <w:rPr>
          <w:b/>
        </w:rPr>
        <w:t>Key Words:</w:t>
      </w:r>
      <w:r>
        <w:rPr/>
        <w:t xml:space="preserve"> body checking, ice hockey, sport, athletic injuries, and injury prevention</w:t>
      </w:r>
    </w:p>
    <w:p>
      <w:pPr>
        <w:pStyle w:val="Normal"/>
        <w:jc w:val="both"/>
        <w:rPr/>
      </w:pPr>
      <w:r>
        <w:rPr/>
      </w:r>
    </w:p>
    <w:p>
      <w:pPr>
        <w:pStyle w:val="Normal"/>
        <w:jc w:val="both"/>
        <w:rPr>
          <w:b/>
          <w:b/>
          <w:u w:val="single"/>
        </w:rPr>
      </w:pPr>
      <w:r>
        <w:rPr>
          <w:b/>
          <w:u w:val="single"/>
        </w:rPr>
      </w:r>
    </w:p>
    <w:p>
      <w:pPr>
        <w:sectPr>
          <w:footerReference w:type="default" r:id="rId2"/>
          <w:type w:val="nextPage"/>
          <w:pgSz w:w="12240" w:h="15840"/>
          <w:pgMar w:left="1440" w:right="1440" w:header="0" w:top="1440" w:footer="720" w:bottom="1440" w:gutter="0"/>
          <w:pgNumType w:fmt="decimal"/>
          <w:formProt w:val="false"/>
          <w:textDirection w:val="lrTb"/>
          <w:docGrid w:type="default" w:linePitch="360" w:charSpace="0"/>
        </w:sectPr>
        <w:pStyle w:val="Normal"/>
        <w:rPr>
          <w:b/>
          <w:b/>
        </w:rPr>
      </w:pPr>
      <w:r>
        <w:rPr>
          <w:b/>
        </w:rPr>
        <w:t xml:space="preserve">Word Count: </w:t>
      </w:r>
      <w:r>
        <w:rPr/>
        <w:t>388 words</w:t>
      </w:r>
    </w:p>
    <w:p>
      <w:pPr>
        <w:pStyle w:val="Normal"/>
        <w:jc w:val="both"/>
        <w:rPr>
          <w:b/>
          <w:b/>
          <w:u w:val="single"/>
        </w:rPr>
      </w:pPr>
      <w:r>
        <w:rPr>
          <w:b/>
          <w:u w:val="single"/>
        </w:rPr>
      </w:r>
    </w:p>
    <w:p>
      <w:pPr>
        <w:pStyle w:val="Normal"/>
        <w:jc w:val="both"/>
        <w:rPr>
          <w:b/>
          <w:b/>
        </w:rPr>
      </w:pPr>
      <w:r>
        <w:rPr>
          <w:b/>
        </w:rPr>
        <w:t>Background</w:t>
      </w:r>
    </w:p>
    <w:p>
      <w:pPr>
        <w:pStyle w:val="Normal"/>
        <w:jc w:val="both"/>
        <w:rPr>
          <w:b/>
          <w:b/>
          <w:u w:val="single"/>
        </w:rPr>
      </w:pPr>
      <w:r>
        <w:rPr>
          <w:b/>
          <w:u w:val="single"/>
        </w:rPr>
      </w:r>
    </w:p>
    <w:p>
      <w:pPr>
        <w:pStyle w:val="NormalWeb"/>
        <w:spacing w:lineRule="auto" w:line="480" w:before="0" w:after="0"/>
        <w:ind w:firstLine="720"/>
        <w:jc w:val="both"/>
        <w:rPr/>
      </w:pPr>
      <w:r>
        <w:rPr/>
        <w:t xml:space="preserve">Sports and recreational activities are desirable to keep populations healthy, active and free of chronic diseases associated with sedentary lifestyles.  However, sports and recreation as currently practiced are one of the major causes of injuries among North American youth </w:t>
      </w:r>
      <w:r>
        <w:rPr>
          <w:vertAlign w:val="superscript"/>
        </w:rPr>
        <w:t>1, 2</w:t>
      </w:r>
      <w:r>
        <w:rPr/>
        <w:t xml:space="preserve">. Ten to nineteen year olds are reported to have the highest rate of sports and recreational-related injury hospitalizations </w:t>
      </w:r>
      <w:r>
        <w:rPr>
          <w:vertAlign w:val="superscript"/>
        </w:rPr>
        <w:t>3</w:t>
      </w:r>
      <w:r>
        <w:rPr/>
        <w:t>. It is precisely at this time, that a society that wants to keep its youth active and healthy, would institute measures to keep these same people engaged in active, healthy lifestyles.  Unfortunately, many youth nowadays abandon activities like sports in favor of more sedentary, unhealthy lifestyles with subsequent weight gain and the initiation of chronic disease.</w:t>
      </w:r>
    </w:p>
    <w:p>
      <w:pPr>
        <w:pStyle w:val="NormalWeb"/>
        <w:spacing w:lineRule="auto" w:line="480" w:before="0" w:after="0"/>
        <w:ind w:firstLine="720"/>
        <w:jc w:val="both"/>
        <w:rPr/>
      </w:pPr>
      <w:r>
        <w:rPr/>
      </w:r>
    </w:p>
    <w:p>
      <w:pPr>
        <w:pStyle w:val="NormalWeb"/>
        <w:spacing w:lineRule="auto" w:line="480" w:before="0" w:after="0"/>
        <w:ind w:firstLine="720"/>
        <w:jc w:val="both"/>
        <w:rPr/>
      </w:pPr>
      <w:r>
        <w:rPr/>
        <w:t xml:space="preserve">In Canada, ice-hockey is one of the most popular sports and recreational activities among children and youth, with more than half a million registered youth playing hockey each year over the last decade, with almost 40% from Ontario </w:t>
      </w:r>
      <w:r>
        <w:rPr>
          <w:vertAlign w:val="superscript"/>
        </w:rPr>
        <w:t>4, 5, 6</w:t>
      </w:r>
      <w:r>
        <w:rPr/>
        <w:t xml:space="preserve">. Ice hockey is also one of the leading causes of sport-related, non-fatal injury in children and youth </w:t>
      </w:r>
      <w:r>
        <w:rPr>
          <w:vertAlign w:val="superscript"/>
        </w:rPr>
        <w:t>7</w:t>
      </w:r>
      <w:r>
        <w:rPr/>
        <w:t xml:space="preserve">. The risks of injury in hockey are greater than the risks seen with basketball, soccer, or football </w:t>
      </w:r>
      <w:r>
        <w:rPr>
          <w:vertAlign w:val="superscript"/>
        </w:rPr>
        <w:t>8, 9</w:t>
      </w:r>
      <w:r>
        <w:rPr/>
        <w:t xml:space="preserve">. Available data indicate that minor hockey players (9-17 year olds) sustain 50% of all hockey-related injuries </w:t>
      </w:r>
      <w:r>
        <w:rPr>
          <w:vertAlign w:val="superscript"/>
        </w:rPr>
        <w:t>10</w:t>
      </w:r>
      <w:r>
        <w:rPr/>
        <w:t>.</w:t>
      </w:r>
    </w:p>
    <w:p>
      <w:pPr>
        <w:pStyle w:val="NormalWeb"/>
        <w:spacing w:lineRule="auto" w:line="480" w:before="0" w:after="0"/>
        <w:ind w:firstLine="720"/>
        <w:jc w:val="both"/>
        <w:rPr/>
      </w:pPr>
      <w:r>
        <w:rPr/>
      </w:r>
    </w:p>
    <w:p>
      <w:pPr>
        <w:pStyle w:val="Normal"/>
        <w:spacing w:lineRule="auto" w:line="480"/>
        <w:ind w:firstLine="720"/>
        <w:jc w:val="both"/>
        <w:rPr/>
      </w:pPr>
      <w:r>
        <w:rPr/>
        <w:t xml:space="preserve">Body checking is the most common cause of all hockey-related injuries and in particular, the commonest cause of severe injuries such as fractures and traumatic brain injury </w:t>
      </w:r>
      <w:r>
        <w:rPr>
          <w:vertAlign w:val="superscript"/>
        </w:rPr>
        <w:t>10-14</w:t>
      </w:r>
      <w:r>
        <w:rPr/>
        <w:t xml:space="preserve">. Unfortunately, body checks from behind that send players head first into the boards are still a frequent cause of injury despite rules prohibiting this practice </w:t>
      </w:r>
      <w:r>
        <w:rPr>
          <w:vertAlign w:val="superscript"/>
        </w:rPr>
        <w:t>12</w:t>
      </w:r>
      <w:r>
        <w:rPr/>
        <w:t xml:space="preserve">. The debate surrounding the value of body checking among Canadian minor hockey players has increased since the 1998-1999 hockey season, when Hockey Canada introduced a 5-year voluntary pilot program which lowered the legal body contact age from Pee Wee division (11 and 12 years </w:t>
      </w:r>
      <w:r>
        <w:rPr>
          <w:vertAlign w:val="superscript"/>
        </w:rPr>
        <w:t>15</w:t>
      </w:r>
      <w:r>
        <w:rPr/>
        <w:t xml:space="preserve">) to the Atom Division (9 and 10 years </w:t>
      </w:r>
      <w:r>
        <w:rPr>
          <w:vertAlign w:val="superscript"/>
        </w:rPr>
        <w:t>16</w:t>
      </w:r>
      <w:r>
        <w:rPr/>
        <w:t xml:space="preserve">). Proponents of the rule change argued and continue to argue that lowering the legal age limit for body contact would enable minor hockey players to learn how to properly receive and give a body check at an early age and this early learning and repeated reinforcement of proper technique would actually reduce injuries at an older age. The pilot program received approval from Hockey Canada in 2005 to continue beyond its initially planned five-year period. Most minor hockey leagues of Ontario implemented this pilot program in 1998-1999 while two leagues, the Ottawa District Hockey League (ODHL) and the Kingston Hockey League (KHL), joined the program during the 2001-2002 hockey season.  </w:t>
      </w:r>
    </w:p>
    <w:p>
      <w:pPr>
        <w:pStyle w:val="Normal"/>
        <w:spacing w:lineRule="auto" w:line="480"/>
        <w:ind w:firstLine="720"/>
        <w:jc w:val="both"/>
        <w:rPr/>
      </w:pPr>
      <w:r>
        <w:rPr/>
      </w:r>
    </w:p>
    <w:p>
      <w:pPr>
        <w:pStyle w:val="Normal"/>
        <w:spacing w:lineRule="auto" w:line="480"/>
        <w:ind w:firstLine="720"/>
        <w:jc w:val="both"/>
        <w:rPr/>
      </w:pPr>
      <w:r>
        <w:rPr/>
        <w:t xml:space="preserve"> </w:t>
      </w:r>
      <w:r>
        <w:rPr/>
        <w:t xml:space="preserve">The purpose of this study is to examine available data on injuries among competitive minor hockey players in Ontario to determine whether body checking injuries have increased or decreased since the introduction of the rule that lowered the age for legal body contact. It will also examine if available data supports the claim that allowing body contact at an early age (i.e., Atom Division) reduces body checking injuries at an older age (i.e., in Pee Wee, Bantam, and Midget Divisions). </w:t>
      </w:r>
    </w:p>
    <w:p>
      <w:pPr>
        <w:pStyle w:val="Normal"/>
        <w:spacing w:lineRule="auto" w:line="480"/>
        <w:ind w:firstLine="720"/>
        <w:jc w:val="both"/>
        <w:rPr/>
      </w:pPr>
      <w:r>
        <w:rPr/>
      </w:r>
    </w:p>
    <w:p>
      <w:pPr>
        <w:pStyle w:val="Normal"/>
        <w:spacing w:lineRule="auto" w:line="480"/>
        <w:jc w:val="both"/>
        <w:rPr>
          <w:b/>
          <w:b/>
        </w:rPr>
      </w:pPr>
      <w:r>
        <w:rPr>
          <w:b/>
        </w:rPr>
      </w:r>
    </w:p>
    <w:p>
      <w:pPr>
        <w:pStyle w:val="Normal"/>
        <w:spacing w:lineRule="auto" w:line="480"/>
        <w:jc w:val="both"/>
        <w:rPr>
          <w:b/>
          <w:b/>
        </w:rPr>
      </w:pPr>
      <w:r>
        <w:rPr>
          <w:b/>
        </w:rPr>
      </w:r>
    </w:p>
    <w:p>
      <w:pPr>
        <w:pStyle w:val="Normal"/>
        <w:spacing w:lineRule="auto" w:line="480"/>
        <w:jc w:val="both"/>
        <w:rPr>
          <w:b/>
          <w:b/>
        </w:rPr>
      </w:pPr>
      <w:r>
        <w:rPr>
          <w:b/>
        </w:rPr>
      </w:r>
    </w:p>
    <w:p>
      <w:pPr>
        <w:pStyle w:val="Normal"/>
        <w:spacing w:lineRule="auto" w:line="480"/>
        <w:jc w:val="both"/>
        <w:rPr>
          <w:b/>
          <w:b/>
        </w:rPr>
      </w:pPr>
      <w:r>
        <w:rPr>
          <w:b/>
        </w:rPr>
        <w:t>Methods</w:t>
      </w:r>
    </w:p>
    <w:p>
      <w:pPr>
        <w:pStyle w:val="Normal"/>
        <w:spacing w:lineRule="auto" w:line="480"/>
        <w:ind w:firstLine="720"/>
        <w:jc w:val="both"/>
        <w:rPr/>
      </w:pPr>
      <w:r>
        <w:rPr/>
        <w:t xml:space="preserve">This study is based on data from five Ontario hospitals, three pediatric (The Hospital for Sick Children (HSC), Children’s Hospital of Eastern Ontario (CHEO), and Children’s Hospital of Western Ontario (CHWO)) and two general hospitals (Kingston General Hospital (KGH) and Hotel Dieu Hospital (HDH)) participating in the Canadian Hospitals Injury Reporting and Prevention Program (CHIRPP). CHIRPP is a national surveillance system which collects data on injuries of people (mainly children) who visit emergency rooms of 14 hospitals across Canada. Information collected included: what the injured person was doing at the time, what actually caused the injury, the factors that contributed to the injury, the time and place the injury occurred, and the age and sex of the patient </w:t>
      </w:r>
      <w:r>
        <w:rPr>
          <w:vertAlign w:val="superscript"/>
        </w:rPr>
        <w:t>17</w:t>
      </w:r>
      <w:r>
        <w:rPr/>
        <w:t xml:space="preserve">. Although only selected hospitals report to CHIRPP, data collected through the program is reported to represent the general injury patterns observed among Canadian Youth </w:t>
      </w:r>
      <w:r>
        <w:rPr>
          <w:vertAlign w:val="superscript"/>
        </w:rPr>
        <w:t>18, 19</w:t>
      </w:r>
      <w:r>
        <w:rPr/>
        <w:t xml:space="preserve">. </w:t>
      </w:r>
    </w:p>
    <w:p>
      <w:pPr>
        <w:pStyle w:val="Normal"/>
        <w:spacing w:lineRule="auto" w:line="480"/>
        <w:ind w:firstLine="720"/>
        <w:jc w:val="both"/>
        <w:rPr/>
      </w:pPr>
      <w:r>
        <w:rPr/>
      </w:r>
    </w:p>
    <w:p>
      <w:pPr>
        <w:pStyle w:val="Normal"/>
        <w:spacing w:lineRule="auto" w:line="480"/>
        <w:ind w:firstLine="720"/>
        <w:jc w:val="both"/>
        <w:rPr/>
      </w:pPr>
      <w:r>
        <w:rPr/>
        <w:t>Study subjects were male patients between the ages of 6-17 years who visited emergency departments due to hockey-related injuries between September 1994 and May 2004 (10 hockey seasons). Female patients were excluded as the rule change by Hockey Canada was implemented among minor male hockey leagues. Patients from the province of Quebec who visited the Children’s Hospital of Eastern Ontario were excluded based on their residence postal codes, as the rules and regulations of the Ontario Hockey Federation do not apply to Quebec hockey players.</w:t>
      </w:r>
    </w:p>
    <w:p>
      <w:pPr>
        <w:pStyle w:val="Normal"/>
        <w:spacing w:lineRule="auto" w:line="480"/>
        <w:ind w:firstLine="720"/>
        <w:jc w:val="both"/>
        <w:rPr/>
      </w:pPr>
      <w:r>
        <w:rPr/>
      </w:r>
    </w:p>
    <w:p>
      <w:pPr>
        <w:pStyle w:val="Normal"/>
        <w:spacing w:lineRule="auto" w:line="480"/>
        <w:ind w:firstLine="720"/>
        <w:jc w:val="both"/>
        <w:rPr/>
      </w:pPr>
      <w:r>
        <w:rPr/>
      </w:r>
    </w:p>
    <w:p>
      <w:pPr>
        <w:pStyle w:val="Normal"/>
        <w:spacing w:lineRule="auto" w:line="480"/>
        <w:ind w:firstLine="720"/>
        <w:jc w:val="both"/>
        <w:rPr/>
      </w:pPr>
      <w:r>
        <w:rPr/>
        <w:t xml:space="preserve">Narrative description of injuries captured in the CHIRPP database under the variable ‘What Happened?’ was used to identify hockey-related injuries and to classify injuries into </w:t>
      </w:r>
      <w:r>
        <w:rPr>
          <w:i/>
        </w:rPr>
        <w:t>body checking</w:t>
      </w:r>
      <w:r>
        <w:rPr/>
        <w:t xml:space="preserve"> and </w:t>
      </w:r>
      <w:r>
        <w:rPr>
          <w:i/>
        </w:rPr>
        <w:t>non-body checking</w:t>
      </w:r>
      <w:r>
        <w:rPr/>
        <w:t xml:space="preserve"> using the methodology developed by McFaull </w:t>
      </w:r>
      <w:r>
        <w:rPr>
          <w:vertAlign w:val="superscript"/>
        </w:rPr>
        <w:t>11</w:t>
      </w:r>
      <w:r>
        <w:rPr/>
        <w:t xml:space="preserve">. Narratives that contained “check”, “checked”, “cross checked”, “pushed from behind”, “hit from behind”, “was hit by other/another player”, “got hit by other/another player”, “hit against boards”, “hit into boards”, “hit by elbow”, “elbowed”, “hit by knee”, “kneed”, “body contact”, “mis en échec”, “heurté”, and  “plaqué” were classified as  body checking cases and all other injuries were grouped as non-body checking injuries. </w:t>
      </w:r>
    </w:p>
    <w:p>
      <w:pPr>
        <w:pStyle w:val="Normal"/>
        <w:spacing w:lineRule="auto" w:line="480"/>
        <w:ind w:firstLine="720"/>
        <w:jc w:val="both"/>
        <w:rPr/>
      </w:pPr>
      <w:r>
        <w:rPr/>
      </w:r>
    </w:p>
    <w:p>
      <w:pPr>
        <w:pStyle w:val="Normal"/>
        <w:spacing w:lineRule="auto" w:line="480"/>
        <w:ind w:firstLine="720"/>
        <w:jc w:val="both"/>
        <w:rPr/>
      </w:pPr>
      <w:r>
        <w:rPr/>
        <w:t xml:space="preserve">Four hundred and ninety one (491) hockey injuries with narratives containing “collision between players” or “collided with a player” were excluded because it was believed that these injuries could be checking or non-body checking and information contained in the narratives was not enough to conclusively determine whether these injuries occurred as a result of body checking or other mechanisms.  </w:t>
      </w:r>
    </w:p>
    <w:p>
      <w:pPr>
        <w:pStyle w:val="Normal"/>
        <w:spacing w:lineRule="auto" w:line="480"/>
        <w:ind w:firstLine="720"/>
        <w:jc w:val="both"/>
        <w:rPr/>
      </w:pPr>
      <w:r>
        <w:rPr/>
      </w:r>
    </w:p>
    <w:p>
      <w:pPr>
        <w:pStyle w:val="Normal"/>
        <w:spacing w:lineRule="auto" w:line="480"/>
        <w:ind w:firstLine="720"/>
        <w:jc w:val="both"/>
        <w:rPr/>
      </w:pPr>
      <w:r>
        <w:rPr/>
        <w:t>To assess the level of potential misclassification error that may arise, a 10% random sample of the data (855 injuries) was coded manually by one of the authors and agreement between the manual coding and the automated coding was compared. Only 30 injuries (3.5%) were misclassified and the agreement level between the automated and the manual coding was excellent (</w:t>
      </w:r>
      <w:r>
        <w:rPr>
          <w:rFonts w:ascii="Symbol" w:hAnsi="Symbol"/>
        </w:rPr>
        <w:t></w:t>
      </w:r>
      <w:r>
        <w:rPr/>
        <w:t>= 0.93, P&lt;0.001).</w:t>
      </w:r>
      <w:r>
        <w:rPr>
          <w:color w:val="FF0000"/>
        </w:rPr>
        <w:t xml:space="preserve"> </w:t>
      </w:r>
      <w:r>
        <w:rPr/>
        <w:t xml:space="preserve"> Players were then classified, based on their age and date of injury, into specific CHA divisions. For pre 2002-2003 hockey seasons, players were classified into minor division leagues as follows: Novice (8-9 years old), Atom (10-11 years old), Pee Wee (12-13 years old), Bantam (14-15 years old), and Midget (16-17 years old). Due to the change in the age category of minor league divisions by the CHA, data for the last two seasons under consideration (2002-2003 and 2003-2004), players were classified according to the new CHA division groupings: Novice (7-9 years old); Atom (9-11 years old); Pee Wee (11-13 years old); Bantam (13-15 years old); and Midget (15-18 years old) </w:t>
      </w:r>
      <w:r>
        <w:rPr>
          <w:vertAlign w:val="superscript"/>
        </w:rPr>
        <w:t>20</w:t>
      </w:r>
      <w:r>
        <w:rPr/>
        <w:t>.</w:t>
      </w:r>
      <w:r>
        <w:rPr>
          <w:vertAlign w:val="superscript"/>
        </w:rPr>
        <w:t xml:space="preserve"> </w:t>
      </w:r>
    </w:p>
    <w:p>
      <w:pPr>
        <w:pStyle w:val="Normal"/>
        <w:spacing w:lineRule="auto" w:line="480"/>
        <w:ind w:firstLine="720"/>
        <w:jc w:val="both"/>
        <w:rPr/>
      </w:pPr>
      <w:r>
        <w:rPr/>
      </w:r>
    </w:p>
    <w:p>
      <w:pPr>
        <w:pStyle w:val="Normal"/>
        <w:spacing w:lineRule="auto" w:line="480"/>
        <w:jc w:val="both"/>
        <w:rPr/>
      </w:pPr>
      <w:r>
        <w:rPr/>
        <w:tab/>
        <w:t xml:space="preserve">Most minor hockey leagues in Ontario implemented the pilot program which lowered the legal age for body contact during the 1998-1999 hockey season while the Ottawa District Hockey League (ODHL) and the Kingston Hockey Leagues (KHL) joined the program during the 2001-2002 hockey season. Accordingly, injuries were categorized as pre-rule change if an injured player: 1) presented to any of the five Ontario Hospitals between 1994-1995 and 1997-1998 hockey seasons; or 2) presented to CHEO, KGH, or Hotel Dieu Hospitals between 1998-1999 and 2000-2001 hockey seasons. Conversely, injuries were classified as post-rule change if an injured player: 1) presented to HSC and CHWO after the 1998-1999 hockey season; or 2) presented to CHEO, KGH, HDH in 2001-2002 or 2002-2003 or 2003-2004 hockey seasons. </w:t>
      </w:r>
    </w:p>
    <w:p>
      <w:pPr>
        <w:pStyle w:val="Normal"/>
        <w:spacing w:lineRule="auto" w:line="480"/>
        <w:jc w:val="both"/>
        <w:rPr/>
      </w:pPr>
      <w:r>
        <w:rPr/>
      </w:r>
    </w:p>
    <w:p>
      <w:pPr>
        <w:pStyle w:val="Normal"/>
        <w:spacing w:lineRule="auto" w:line="480"/>
        <w:ind w:firstLine="720"/>
        <w:jc w:val="both"/>
        <w:rPr/>
      </w:pPr>
      <w:r>
        <w:rPr/>
        <w:t>Injuries were compared between cases (defined as visits by minor hockey league player to EDs as a result of hockey-related injuries from body checking) and controls (visits by minor hockey league player as a result of hockey-related injuries from mechanisms other than body-checking). The odds of sustaining body checking injuries are defined as the proportion of ED visits due to body checking related injuries to all hockey related injuries after the rule change divided by the proportion of body checking injuries to all hockey related injuries before the rule change.</w:t>
      </w:r>
    </w:p>
    <w:p>
      <w:pPr>
        <w:pStyle w:val="Normal"/>
        <w:spacing w:lineRule="auto" w:line="480"/>
        <w:ind w:firstLine="720"/>
        <w:jc w:val="both"/>
        <w:rPr/>
      </w:pPr>
      <w:r>
        <w:rPr/>
      </w:r>
    </w:p>
    <w:p>
      <w:pPr>
        <w:pStyle w:val="Normal"/>
        <w:spacing w:lineRule="auto" w:line="480"/>
        <w:ind w:firstLine="720"/>
        <w:jc w:val="both"/>
        <w:rPr>
          <w:color w:val="FF0000"/>
        </w:rPr>
      </w:pPr>
      <w:r>
        <w:rPr/>
        <w:t xml:space="preserve">The study was approved by the St. Michael’s Hospital Research Ethics Board.  Statistical Analyses were performed using the SAS 8.0 system (SAS institute, Inc, Cary, NC). Odds ratio (OR) of sustaining body-checking injuries compared to non-body checking injuries were calculated using Mantel-Haenzsel </w:t>
      </w:r>
      <w:r>
        <w:rPr>
          <w:i/>
        </w:rPr>
        <w:t>X</w:t>
      </w:r>
      <w:r>
        <w:rPr>
          <w:i/>
          <w:vertAlign w:val="superscript"/>
        </w:rPr>
        <w:t>2</w:t>
      </w:r>
      <w:r>
        <w:rPr>
          <w:i/>
        </w:rPr>
        <w:t xml:space="preserve"> </w:t>
      </w:r>
      <w:r>
        <w:rPr/>
        <w:t xml:space="preserve">statistics. </w:t>
      </w:r>
    </w:p>
    <w:p>
      <w:pPr>
        <w:pStyle w:val="Normal"/>
        <w:spacing w:lineRule="auto" w:line="480"/>
        <w:jc w:val="both"/>
        <w:rPr>
          <w:b/>
          <w:b/>
        </w:rPr>
      </w:pPr>
      <w:r>
        <w:rPr>
          <w:b/>
        </w:rPr>
        <w:tab/>
      </w:r>
    </w:p>
    <w:p>
      <w:pPr>
        <w:pStyle w:val="Normal"/>
        <w:spacing w:lineRule="auto" w:line="480"/>
        <w:jc w:val="both"/>
        <w:rPr>
          <w:b/>
          <w:b/>
        </w:rPr>
      </w:pPr>
      <w:r>
        <w:rPr>
          <w:b/>
        </w:rPr>
        <w:t>Results</w:t>
      </w:r>
    </w:p>
    <w:p>
      <w:pPr>
        <w:pStyle w:val="TextBodyIndent"/>
        <w:jc w:val="both"/>
        <w:rPr/>
      </w:pPr>
      <w:r>
        <w:rPr/>
        <w:t xml:space="preserve">The number of injuries reported from the five Ontario hospitals participating in CHIRPP during the study period is presented in Table 1. A total of 8,552 hockey related injuries (4.9% of all injuries) were reported among children aged 6 to 17 years. This translates into an average of 48.6 hockey-related injuries per 1,000 injuries of all types. More than half of all hockey related injuries (52.2%) reported to the study hospitals via CHIRPP during the study period were related to body checking. The number of body checking injuries fluctuated over the study period similar to the pattern of all hockey-related injuries. Due to the lack of data on the number of minor hockey players, it was not possible to determine whether the increase in the number of hockey-related injuries (or the increase in body checking injuries) was due to an increase in the number of players, the increase in the rate of injuries, or both. </w:t>
      </w:r>
    </w:p>
    <w:p>
      <w:pPr>
        <w:pStyle w:val="TextBodyIndent"/>
        <w:spacing w:lineRule="auto" w:line="240"/>
        <w:ind w:hanging="0"/>
        <w:jc w:val="both"/>
        <w:rPr/>
      </w:pPr>
      <w:r>
        <w:rPr/>
      </w:r>
    </w:p>
    <w:p>
      <w:pPr>
        <w:pStyle w:val="TextBodyIndent"/>
        <w:spacing w:lineRule="auto" w:line="240"/>
        <w:ind w:hanging="0"/>
        <w:jc w:val="both"/>
        <w:rPr>
          <w:b/>
          <w:b/>
        </w:rPr>
      </w:pPr>
      <w:r>
        <w:rPr>
          <w:b/>
        </w:rPr>
      </w:r>
    </w:p>
    <w:p>
      <w:pPr>
        <w:pStyle w:val="TextBodyIndent"/>
        <w:spacing w:lineRule="auto" w:line="240"/>
        <w:ind w:hanging="0"/>
        <w:jc w:val="both"/>
        <w:rPr>
          <w:b/>
          <w:b/>
        </w:rPr>
      </w:pPr>
      <w:r>
        <w:rPr>
          <w:b/>
        </w:rPr>
      </w:r>
    </w:p>
    <w:p>
      <w:pPr>
        <w:pStyle w:val="TextBodyIndent"/>
        <w:spacing w:lineRule="auto" w:line="240"/>
        <w:ind w:hanging="0"/>
        <w:jc w:val="both"/>
        <w:rPr>
          <w:b/>
          <w:b/>
        </w:rPr>
      </w:pPr>
      <w:r>
        <w:rPr>
          <w:b/>
        </w:rPr>
      </w:r>
    </w:p>
    <w:p>
      <w:pPr>
        <w:pStyle w:val="TextBodyIndent"/>
        <w:spacing w:lineRule="auto" w:line="240"/>
        <w:ind w:hanging="0"/>
        <w:jc w:val="both"/>
        <w:rPr>
          <w:b/>
          <w:b/>
        </w:rPr>
      </w:pPr>
      <w:r>
        <w:rPr>
          <w:b/>
        </w:rPr>
      </w:r>
    </w:p>
    <w:p>
      <w:pPr>
        <w:pStyle w:val="TextBodyIndent"/>
        <w:spacing w:lineRule="auto" w:line="240"/>
        <w:ind w:hanging="0"/>
        <w:jc w:val="both"/>
        <w:rPr>
          <w:b/>
          <w:b/>
        </w:rPr>
      </w:pPr>
      <w:r>
        <w:rPr>
          <w:b/>
        </w:rPr>
      </w:r>
    </w:p>
    <w:p>
      <w:pPr>
        <w:pStyle w:val="TextBodyIndent"/>
        <w:spacing w:lineRule="auto" w:line="240"/>
        <w:ind w:hanging="0"/>
        <w:jc w:val="both"/>
        <w:rPr/>
      </w:pPr>
      <w:r>
        <w:rPr>
          <w:b/>
        </w:rPr>
        <w:t>Table 1</w:t>
      </w:r>
      <w:r>
        <w:rPr/>
        <w:t>.       Hockey-related injuries among children aged 6-17 years</w:t>
      </w:r>
    </w:p>
    <w:p>
      <w:pPr>
        <w:pStyle w:val="TextBodyIndent"/>
        <w:spacing w:lineRule="auto" w:line="240"/>
        <w:ind w:left="1260" w:hanging="0"/>
        <w:jc w:val="both"/>
        <w:rPr/>
      </w:pPr>
      <w:r>
        <w:rPr/>
        <w:t>Ontario, 1994/95 – 2003/04</w:t>
      </w:r>
    </w:p>
    <w:p>
      <w:pPr>
        <w:pStyle w:val="TextBodyIndent"/>
        <w:spacing w:lineRule="auto" w:line="240"/>
        <w:ind w:left="1260" w:hanging="0"/>
        <w:jc w:val="both"/>
        <w:rPr/>
      </w:pPr>
      <w:r>
        <w:rPr/>
      </w:r>
    </w:p>
    <w:tbl>
      <w:tblPr>
        <w:tblW w:w="7215" w:type="dxa"/>
        <w:jc w:val="left"/>
        <w:tblInd w:w="281" w:type="dxa"/>
        <w:tblBorders>
          <w:top w:val="double" w:sz="6" w:space="0" w:color="000000"/>
          <w:left w:val="double" w:sz="6" w:space="0" w:color="000000"/>
          <w:bottom w:val="single" w:sz="6" w:space="0" w:color="000000"/>
          <w:insideH w:val="single" w:sz="6" w:space="0" w:color="000000"/>
        </w:tblBorders>
        <w:tblCellMar>
          <w:top w:w="0" w:type="dxa"/>
          <w:left w:w="85" w:type="dxa"/>
          <w:bottom w:w="0" w:type="dxa"/>
          <w:right w:w="108" w:type="dxa"/>
        </w:tblCellMar>
      </w:tblPr>
      <w:tblGrid>
        <w:gridCol w:w="1080"/>
        <w:gridCol w:w="1440"/>
        <w:gridCol w:w="1260"/>
        <w:gridCol w:w="1440"/>
        <w:gridCol w:w="1995"/>
      </w:tblGrid>
      <w:tr>
        <w:trPr>
          <w:trHeight w:val="780" w:hRule="atLeast"/>
          <w:cantSplit w:val="true"/>
        </w:trPr>
        <w:tc>
          <w:tcPr>
            <w:tcW w:w="1080" w:type="dxa"/>
            <w:vMerge w:val="restart"/>
            <w:tcBorders>
              <w:top w:val="double" w:sz="6" w:space="0" w:color="000000"/>
              <w:left w:val="double" w:sz="6" w:space="0" w:color="000000"/>
              <w:bottom w:val="single" w:sz="6" w:space="0" w:color="000000"/>
              <w:insideH w:val="single" w:sz="6" w:space="0" w:color="000000"/>
            </w:tcBorders>
            <w:shd w:fill="auto" w:val="clear"/>
            <w:tcMar>
              <w:left w:w="85" w:type="dxa"/>
            </w:tcMar>
          </w:tcPr>
          <w:p>
            <w:pPr>
              <w:pStyle w:val="Normal"/>
              <w:snapToGrid w:val="false"/>
              <w:jc w:val="both"/>
              <w:rPr>
                <w:b/>
                <w:b/>
                <w:bCs/>
                <w:lang w:eastAsia="ko-KR"/>
              </w:rPr>
            </w:pPr>
            <w:r>
              <w:rPr>
                <w:b/>
                <w:bCs/>
                <w:lang w:eastAsia="ko-KR"/>
              </w:rPr>
            </w:r>
          </w:p>
          <w:p>
            <w:pPr>
              <w:pStyle w:val="Normal"/>
              <w:jc w:val="both"/>
              <w:rPr>
                <w:b/>
                <w:b/>
                <w:bCs/>
                <w:lang w:eastAsia="ko-KR"/>
              </w:rPr>
            </w:pPr>
            <w:r>
              <w:rPr>
                <w:b/>
                <w:bCs/>
                <w:lang w:eastAsia="ko-KR"/>
              </w:rPr>
              <w:t>Hockey season</w:t>
            </w:r>
          </w:p>
        </w:tc>
        <w:tc>
          <w:tcPr>
            <w:tcW w:w="2700" w:type="dxa"/>
            <w:gridSpan w:val="2"/>
            <w:tcBorders>
              <w:top w:val="double" w:sz="6" w:space="0" w:color="000000"/>
              <w:left w:val="single" w:sz="6" w:space="0" w:color="000000"/>
              <w:bottom w:val="single" w:sz="6" w:space="0" w:color="000000"/>
              <w:insideH w:val="single" w:sz="6" w:space="0" w:color="000000"/>
            </w:tcBorders>
            <w:shd w:fill="auto" w:val="clear"/>
            <w:tcMar>
              <w:left w:w="100" w:type="dxa"/>
            </w:tcMar>
          </w:tcPr>
          <w:p>
            <w:pPr>
              <w:pStyle w:val="Normal"/>
              <w:jc w:val="both"/>
              <w:rPr>
                <w:b/>
                <w:b/>
                <w:bCs/>
                <w:lang w:eastAsia="ko-KR"/>
              </w:rPr>
            </w:pPr>
            <w:r>
              <w:rPr>
                <w:b/>
                <w:lang w:eastAsia="ko-KR"/>
              </w:rPr>
              <w:t>Hockey-related injuries</w:t>
            </w:r>
          </w:p>
        </w:tc>
        <w:tc>
          <w:tcPr>
            <w:tcW w:w="1440" w:type="dxa"/>
            <w:vMerge w:val="restart"/>
            <w:tcBorders>
              <w:top w:val="double" w:sz="6" w:space="0" w:color="000000"/>
              <w:left w:val="single" w:sz="6" w:space="0" w:color="000000"/>
              <w:bottom w:val="single" w:sz="6" w:space="0" w:color="000000"/>
              <w:insideH w:val="single" w:sz="6" w:space="0" w:color="000000"/>
            </w:tcBorders>
            <w:shd w:fill="auto" w:val="clear"/>
            <w:tcMar>
              <w:left w:w="100" w:type="dxa"/>
            </w:tcMar>
          </w:tcPr>
          <w:p>
            <w:pPr>
              <w:pStyle w:val="Normal"/>
              <w:rPr>
                <w:b/>
                <w:b/>
                <w:bCs/>
                <w:lang w:eastAsia="ko-KR"/>
              </w:rPr>
            </w:pPr>
            <w:r>
              <w:rPr>
                <w:b/>
                <w:bCs/>
                <w:lang w:eastAsia="ko-KR"/>
              </w:rPr>
              <w:t>All types</w:t>
            </w:r>
          </w:p>
          <w:p>
            <w:pPr>
              <w:pStyle w:val="Normal"/>
              <w:rPr>
                <w:b/>
                <w:b/>
                <w:bCs/>
                <w:lang w:eastAsia="ko-KR"/>
              </w:rPr>
            </w:pPr>
            <w:r>
              <w:rPr>
                <w:b/>
                <w:bCs/>
                <w:lang w:eastAsia="ko-KR"/>
              </w:rPr>
              <w:t>of Injuries reported to CHIRPP</w:t>
            </w:r>
          </w:p>
          <w:p>
            <w:pPr>
              <w:pStyle w:val="Normal"/>
              <w:jc w:val="both"/>
              <w:rPr>
                <w:b/>
                <w:b/>
                <w:bCs/>
                <w:lang w:eastAsia="ko-KR"/>
              </w:rPr>
            </w:pPr>
            <w:r>
              <w:rPr>
                <w:b/>
                <w:bCs/>
                <w:lang w:eastAsia="ko-KR"/>
              </w:rPr>
            </w:r>
          </w:p>
        </w:tc>
        <w:tc>
          <w:tcPr>
            <w:tcW w:w="1995" w:type="dxa"/>
            <w:vMerge w:val="restart"/>
            <w:tcBorders>
              <w:top w:val="doub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rPr>
                <w:b/>
                <w:b/>
                <w:bCs/>
                <w:lang w:eastAsia="ko-KR"/>
              </w:rPr>
            </w:pPr>
            <w:r>
              <w:rPr>
                <w:b/>
                <w:bCs/>
                <w:lang w:eastAsia="ko-KR"/>
              </w:rPr>
              <w:t xml:space="preserve">Number of hockey injuries per 1000 all injuries </w:t>
            </w:r>
          </w:p>
        </w:tc>
      </w:tr>
      <w:tr>
        <w:trPr>
          <w:trHeight w:val="597" w:hRule="atLeast"/>
          <w:cantSplit w:val="true"/>
        </w:trPr>
        <w:tc>
          <w:tcPr>
            <w:tcW w:w="1080" w:type="dxa"/>
            <w:vMerge w:val="continue"/>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snapToGrid w:val="false"/>
              <w:jc w:val="both"/>
              <w:rPr>
                <w:b/>
                <w:b/>
                <w:bCs/>
                <w:lang w:eastAsia="ko-KR"/>
              </w:rPr>
            </w:pPr>
            <w:r>
              <w:rPr>
                <w:b/>
                <w:bCs/>
                <w:lang w:eastAsia="ko-KR"/>
              </w:rPr>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both"/>
              <w:rPr>
                <w:b/>
                <w:b/>
                <w:bCs/>
                <w:lang w:eastAsia="ko-KR"/>
              </w:rPr>
            </w:pPr>
            <w:r>
              <w:rPr>
                <w:b/>
                <w:bCs/>
                <w:lang w:eastAsia="ko-KR"/>
              </w:rPr>
              <w:t>Body checking injuries</w:t>
            </w:r>
          </w:p>
        </w:tc>
        <w:tc>
          <w:tcPr>
            <w:tcW w:w="126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both"/>
              <w:rPr>
                <w:lang w:eastAsia="ko-KR"/>
              </w:rPr>
            </w:pPr>
            <w:r>
              <w:rPr>
                <w:b/>
                <w:bCs/>
                <w:lang w:eastAsia="ko-KR"/>
              </w:rPr>
              <w:t>All hockey injuries</w:t>
            </w:r>
          </w:p>
        </w:tc>
        <w:tc>
          <w:tcPr>
            <w:tcW w:w="1440" w:type="dxa"/>
            <w:vMerge w:val="continue"/>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snapToGrid w:val="false"/>
              <w:jc w:val="both"/>
              <w:rPr>
                <w:lang w:eastAsia="ko-KR"/>
              </w:rPr>
            </w:pPr>
            <w:r>
              <w:rPr>
                <w:lang w:eastAsia="ko-KR"/>
              </w:rPr>
            </w:r>
          </w:p>
        </w:tc>
        <w:tc>
          <w:tcPr>
            <w:tcW w:w="1995" w:type="dxa"/>
            <w:vMerge w:val="continue"/>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snapToGrid w:val="false"/>
              <w:jc w:val="both"/>
              <w:rPr>
                <w:lang w:eastAsia="ko-KR"/>
              </w:rPr>
            </w:pPr>
            <w:r>
              <w:rPr>
                <w:lang w:eastAsia="ko-KR"/>
              </w:rPr>
            </w:r>
          </w:p>
        </w:tc>
      </w:tr>
      <w:tr>
        <w:trPr>
          <w:trHeight w:val="327" w:hRule="atLeast"/>
        </w:trPr>
        <w:tc>
          <w:tcPr>
            <w:tcW w:w="1080"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jc w:val="both"/>
              <w:rPr>
                <w:lang w:eastAsia="ko-KR"/>
              </w:rPr>
            </w:pPr>
            <w:r>
              <w:rPr>
                <w:lang w:eastAsia="ko-KR"/>
              </w:rPr>
              <w:t>1994/95</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both"/>
              <w:rPr>
                <w:lang w:eastAsia="ko-KR"/>
              </w:rPr>
            </w:pPr>
            <w:r>
              <w:rPr/>
              <w:t>423</w:t>
            </w:r>
          </w:p>
        </w:tc>
        <w:tc>
          <w:tcPr>
            <w:tcW w:w="126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both"/>
              <w:rPr>
                <w:lang w:eastAsia="ko-KR"/>
              </w:rPr>
            </w:pPr>
            <w:r>
              <w:rPr>
                <w:lang w:eastAsia="ko-KR"/>
              </w:rPr>
              <w:t>830</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both"/>
              <w:rPr>
                <w:lang w:eastAsia="ko-KR"/>
              </w:rPr>
            </w:pPr>
            <w:r>
              <w:rPr>
                <w:lang w:eastAsia="ko-KR"/>
              </w:rPr>
              <w:t>17,672</w:t>
            </w:r>
          </w:p>
        </w:tc>
        <w:tc>
          <w:tcPr>
            <w:tcW w:w="19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both"/>
              <w:rPr>
                <w:lang w:eastAsia="ko-KR"/>
              </w:rPr>
            </w:pPr>
            <w:r>
              <w:rPr>
                <w:lang w:eastAsia="ko-KR"/>
              </w:rPr>
              <w:t>47.0</w:t>
            </w:r>
          </w:p>
        </w:tc>
      </w:tr>
      <w:tr>
        <w:trPr>
          <w:trHeight w:val="300" w:hRule="atLeast"/>
        </w:trPr>
        <w:tc>
          <w:tcPr>
            <w:tcW w:w="1080"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jc w:val="both"/>
              <w:rPr>
                <w:lang w:eastAsia="ko-KR"/>
              </w:rPr>
            </w:pPr>
            <w:r>
              <w:rPr>
                <w:lang w:eastAsia="ko-KR"/>
              </w:rPr>
              <w:t>1995/96</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both"/>
              <w:rPr>
                <w:lang w:eastAsia="ko-KR"/>
              </w:rPr>
            </w:pPr>
            <w:r>
              <w:rPr/>
              <w:t xml:space="preserve">376 </w:t>
            </w:r>
          </w:p>
        </w:tc>
        <w:tc>
          <w:tcPr>
            <w:tcW w:w="126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both"/>
              <w:rPr>
                <w:lang w:eastAsia="ko-KR"/>
              </w:rPr>
            </w:pPr>
            <w:r>
              <w:rPr>
                <w:lang w:eastAsia="ko-KR"/>
              </w:rPr>
              <w:t>795</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both"/>
              <w:rPr>
                <w:lang w:eastAsia="ko-KR"/>
              </w:rPr>
            </w:pPr>
            <w:r>
              <w:rPr>
                <w:lang w:eastAsia="ko-KR"/>
              </w:rPr>
              <w:t>16,849</w:t>
            </w:r>
          </w:p>
        </w:tc>
        <w:tc>
          <w:tcPr>
            <w:tcW w:w="19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both"/>
              <w:rPr>
                <w:lang w:eastAsia="ko-KR"/>
              </w:rPr>
            </w:pPr>
            <w:r>
              <w:rPr>
                <w:lang w:eastAsia="ko-KR"/>
              </w:rPr>
              <w:t>47.2</w:t>
            </w:r>
          </w:p>
        </w:tc>
      </w:tr>
      <w:tr>
        <w:trPr>
          <w:trHeight w:val="315" w:hRule="atLeast"/>
        </w:trPr>
        <w:tc>
          <w:tcPr>
            <w:tcW w:w="1080"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jc w:val="both"/>
              <w:rPr>
                <w:lang w:eastAsia="ko-KR"/>
              </w:rPr>
            </w:pPr>
            <w:r>
              <w:rPr>
                <w:lang w:eastAsia="ko-KR"/>
              </w:rPr>
              <w:t>1996/97</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both"/>
              <w:rPr>
                <w:lang w:eastAsia="ko-KR"/>
              </w:rPr>
            </w:pPr>
            <w:r>
              <w:rPr/>
              <w:t>361</w:t>
            </w:r>
          </w:p>
        </w:tc>
        <w:tc>
          <w:tcPr>
            <w:tcW w:w="126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both"/>
              <w:rPr>
                <w:lang w:eastAsia="ko-KR"/>
              </w:rPr>
            </w:pPr>
            <w:r>
              <w:rPr>
                <w:lang w:eastAsia="ko-KR"/>
              </w:rPr>
              <w:t>741</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both"/>
              <w:rPr>
                <w:lang w:eastAsia="ko-KR"/>
              </w:rPr>
            </w:pPr>
            <w:r>
              <w:rPr>
                <w:lang w:eastAsia="ko-KR"/>
              </w:rPr>
              <w:t>16,475</w:t>
            </w:r>
          </w:p>
        </w:tc>
        <w:tc>
          <w:tcPr>
            <w:tcW w:w="19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both"/>
              <w:rPr>
                <w:lang w:eastAsia="ko-KR"/>
              </w:rPr>
            </w:pPr>
            <w:r>
              <w:rPr>
                <w:lang w:eastAsia="ko-KR"/>
              </w:rPr>
              <w:t>45.0</w:t>
            </w:r>
          </w:p>
        </w:tc>
      </w:tr>
      <w:tr>
        <w:trPr>
          <w:trHeight w:val="255" w:hRule="atLeast"/>
        </w:trPr>
        <w:tc>
          <w:tcPr>
            <w:tcW w:w="1080"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Header"/>
              <w:jc w:val="both"/>
              <w:rPr>
                <w:lang w:eastAsia="ko-KR"/>
              </w:rPr>
            </w:pPr>
            <w:r>
              <w:rPr>
                <w:lang w:eastAsia="ko-KR"/>
              </w:rPr>
              <w:t>1997/98</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both"/>
              <w:rPr>
                <w:lang w:eastAsia="ko-KR"/>
              </w:rPr>
            </w:pPr>
            <w:r>
              <w:rPr/>
              <w:t xml:space="preserve">416 </w:t>
            </w:r>
          </w:p>
        </w:tc>
        <w:tc>
          <w:tcPr>
            <w:tcW w:w="126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both"/>
              <w:rPr>
                <w:lang w:eastAsia="ko-KR"/>
              </w:rPr>
            </w:pPr>
            <w:r>
              <w:rPr>
                <w:lang w:eastAsia="ko-KR"/>
              </w:rPr>
              <w:t>815</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both"/>
              <w:rPr>
                <w:lang w:eastAsia="ko-KR"/>
              </w:rPr>
            </w:pPr>
            <w:r>
              <w:rPr>
                <w:lang w:eastAsia="ko-KR"/>
              </w:rPr>
              <w:t>16,302</w:t>
            </w:r>
          </w:p>
        </w:tc>
        <w:tc>
          <w:tcPr>
            <w:tcW w:w="19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both"/>
              <w:rPr>
                <w:lang w:eastAsia="ko-KR"/>
              </w:rPr>
            </w:pPr>
            <w:r>
              <w:rPr>
                <w:lang w:eastAsia="ko-KR"/>
              </w:rPr>
              <w:t>50.0</w:t>
            </w:r>
          </w:p>
        </w:tc>
      </w:tr>
      <w:tr>
        <w:trPr>
          <w:trHeight w:val="315" w:hRule="atLeast"/>
        </w:trPr>
        <w:tc>
          <w:tcPr>
            <w:tcW w:w="1080"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jc w:val="both"/>
              <w:rPr>
                <w:lang w:eastAsia="ko-KR"/>
              </w:rPr>
            </w:pPr>
            <w:r>
              <w:rPr>
                <w:lang w:eastAsia="ko-KR"/>
              </w:rPr>
              <w:t>1998/99</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both"/>
              <w:rPr>
                <w:lang w:eastAsia="ko-KR"/>
              </w:rPr>
            </w:pPr>
            <w:r>
              <w:rPr/>
              <w:t>478</w:t>
            </w:r>
          </w:p>
        </w:tc>
        <w:tc>
          <w:tcPr>
            <w:tcW w:w="126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both"/>
              <w:rPr>
                <w:lang w:eastAsia="ko-KR"/>
              </w:rPr>
            </w:pPr>
            <w:r>
              <w:rPr>
                <w:lang w:eastAsia="ko-KR"/>
              </w:rPr>
              <w:t>864</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both"/>
              <w:rPr>
                <w:lang w:eastAsia="ko-KR"/>
              </w:rPr>
            </w:pPr>
            <w:r>
              <w:rPr>
                <w:lang w:eastAsia="ko-KR"/>
              </w:rPr>
              <w:t>17,067</w:t>
            </w:r>
          </w:p>
        </w:tc>
        <w:tc>
          <w:tcPr>
            <w:tcW w:w="19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both"/>
              <w:rPr>
                <w:lang w:eastAsia="ko-KR"/>
              </w:rPr>
            </w:pPr>
            <w:r>
              <w:rPr>
                <w:lang w:eastAsia="ko-KR"/>
              </w:rPr>
              <w:t>50.6</w:t>
            </w:r>
          </w:p>
        </w:tc>
      </w:tr>
      <w:tr>
        <w:trPr>
          <w:trHeight w:val="315" w:hRule="atLeast"/>
        </w:trPr>
        <w:tc>
          <w:tcPr>
            <w:tcW w:w="1080"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jc w:val="both"/>
              <w:rPr>
                <w:lang w:eastAsia="ko-KR"/>
              </w:rPr>
            </w:pPr>
            <w:r>
              <w:rPr>
                <w:lang w:eastAsia="ko-KR"/>
              </w:rPr>
              <w:t>1999/00</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both"/>
              <w:rPr>
                <w:lang w:eastAsia="ko-KR"/>
              </w:rPr>
            </w:pPr>
            <w:r>
              <w:rPr/>
              <w:t xml:space="preserve">479 </w:t>
            </w:r>
          </w:p>
        </w:tc>
        <w:tc>
          <w:tcPr>
            <w:tcW w:w="126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both"/>
              <w:rPr>
                <w:lang w:eastAsia="ko-KR"/>
              </w:rPr>
            </w:pPr>
            <w:r>
              <w:rPr>
                <w:lang w:eastAsia="ko-KR"/>
              </w:rPr>
              <w:t>906</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both"/>
              <w:rPr>
                <w:lang w:eastAsia="ko-KR"/>
              </w:rPr>
            </w:pPr>
            <w:r>
              <w:rPr>
                <w:lang w:eastAsia="ko-KR"/>
              </w:rPr>
              <w:t>17,885</w:t>
            </w:r>
          </w:p>
        </w:tc>
        <w:tc>
          <w:tcPr>
            <w:tcW w:w="19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both"/>
              <w:rPr>
                <w:lang w:eastAsia="ko-KR"/>
              </w:rPr>
            </w:pPr>
            <w:r>
              <w:rPr>
                <w:lang w:eastAsia="ko-KR"/>
              </w:rPr>
              <w:t>50.7</w:t>
            </w:r>
          </w:p>
        </w:tc>
      </w:tr>
      <w:tr>
        <w:trPr>
          <w:trHeight w:val="315" w:hRule="atLeast"/>
        </w:trPr>
        <w:tc>
          <w:tcPr>
            <w:tcW w:w="1080"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jc w:val="both"/>
              <w:rPr>
                <w:lang w:eastAsia="ko-KR"/>
              </w:rPr>
            </w:pPr>
            <w:r>
              <w:rPr>
                <w:lang w:eastAsia="ko-KR"/>
              </w:rPr>
              <w:t>2000/01</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both"/>
              <w:rPr>
                <w:lang w:eastAsia="ko-KR"/>
              </w:rPr>
            </w:pPr>
            <w:r>
              <w:rPr/>
              <w:t>443</w:t>
            </w:r>
          </w:p>
        </w:tc>
        <w:tc>
          <w:tcPr>
            <w:tcW w:w="126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both"/>
              <w:rPr>
                <w:lang w:eastAsia="ko-KR"/>
              </w:rPr>
            </w:pPr>
            <w:r>
              <w:rPr>
                <w:lang w:eastAsia="ko-KR"/>
              </w:rPr>
              <w:t>901</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both"/>
              <w:rPr>
                <w:lang w:eastAsia="ko-KR"/>
              </w:rPr>
            </w:pPr>
            <w:r>
              <w:rPr>
                <w:lang w:eastAsia="ko-KR"/>
              </w:rPr>
              <w:t>18,672</w:t>
            </w:r>
          </w:p>
        </w:tc>
        <w:tc>
          <w:tcPr>
            <w:tcW w:w="19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both"/>
              <w:rPr>
                <w:lang w:eastAsia="ko-KR"/>
              </w:rPr>
            </w:pPr>
            <w:r>
              <w:rPr>
                <w:lang w:eastAsia="ko-KR"/>
              </w:rPr>
              <w:t>48.3</w:t>
            </w:r>
          </w:p>
        </w:tc>
      </w:tr>
      <w:tr>
        <w:trPr>
          <w:trHeight w:val="315" w:hRule="atLeast"/>
        </w:trPr>
        <w:tc>
          <w:tcPr>
            <w:tcW w:w="1080"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jc w:val="both"/>
              <w:rPr>
                <w:lang w:eastAsia="ko-KR"/>
              </w:rPr>
            </w:pPr>
            <w:r>
              <w:rPr>
                <w:lang w:eastAsia="ko-KR"/>
              </w:rPr>
              <w:t>2001/02</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both"/>
              <w:rPr>
                <w:lang w:eastAsia="ko-KR"/>
              </w:rPr>
            </w:pPr>
            <w:r>
              <w:rPr/>
              <w:t>458</w:t>
            </w:r>
          </w:p>
        </w:tc>
        <w:tc>
          <w:tcPr>
            <w:tcW w:w="126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both"/>
              <w:rPr>
                <w:lang w:eastAsia="ko-KR"/>
              </w:rPr>
            </w:pPr>
            <w:r>
              <w:rPr>
                <w:lang w:eastAsia="ko-KR"/>
              </w:rPr>
              <w:t>907</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both"/>
              <w:rPr>
                <w:lang w:eastAsia="ko-KR"/>
              </w:rPr>
            </w:pPr>
            <w:r>
              <w:rPr>
                <w:lang w:eastAsia="ko-KR"/>
              </w:rPr>
              <w:t>19,079</w:t>
            </w:r>
          </w:p>
        </w:tc>
        <w:tc>
          <w:tcPr>
            <w:tcW w:w="19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both"/>
              <w:rPr>
                <w:lang w:eastAsia="ko-KR"/>
              </w:rPr>
            </w:pPr>
            <w:r>
              <w:rPr>
                <w:lang w:eastAsia="ko-KR"/>
              </w:rPr>
              <w:t>47.5</w:t>
            </w:r>
          </w:p>
        </w:tc>
      </w:tr>
      <w:tr>
        <w:trPr>
          <w:trHeight w:val="372" w:hRule="atLeast"/>
        </w:trPr>
        <w:tc>
          <w:tcPr>
            <w:tcW w:w="1080"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jc w:val="both"/>
              <w:rPr>
                <w:lang w:eastAsia="ko-KR"/>
              </w:rPr>
            </w:pPr>
            <w:r>
              <w:rPr>
                <w:lang w:eastAsia="ko-KR"/>
              </w:rPr>
              <w:t>2002/03</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both"/>
              <w:rPr>
                <w:lang w:eastAsia="ko-KR"/>
              </w:rPr>
            </w:pPr>
            <w:r>
              <w:rPr/>
              <w:t>549</w:t>
            </w:r>
          </w:p>
        </w:tc>
        <w:tc>
          <w:tcPr>
            <w:tcW w:w="126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both"/>
              <w:rPr>
                <w:lang w:eastAsia="ko-KR"/>
              </w:rPr>
            </w:pPr>
            <w:r>
              <w:rPr>
                <w:lang w:eastAsia="ko-KR"/>
              </w:rPr>
              <w:t>936</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both"/>
              <w:rPr>
                <w:lang w:eastAsia="ko-KR"/>
              </w:rPr>
            </w:pPr>
            <w:r>
              <w:rPr>
                <w:lang w:eastAsia="ko-KR"/>
              </w:rPr>
              <w:t>21,125</w:t>
            </w:r>
          </w:p>
        </w:tc>
        <w:tc>
          <w:tcPr>
            <w:tcW w:w="19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both"/>
              <w:rPr>
                <w:lang w:eastAsia="ko-KR"/>
              </w:rPr>
            </w:pPr>
            <w:r>
              <w:rPr>
                <w:lang w:eastAsia="ko-KR"/>
              </w:rPr>
              <w:t>44.3</w:t>
            </w:r>
          </w:p>
        </w:tc>
      </w:tr>
      <w:tr>
        <w:trPr>
          <w:trHeight w:val="345" w:hRule="atLeast"/>
        </w:trPr>
        <w:tc>
          <w:tcPr>
            <w:tcW w:w="1080"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jc w:val="both"/>
              <w:rPr>
                <w:lang w:eastAsia="ko-KR"/>
              </w:rPr>
            </w:pPr>
            <w:r>
              <w:rPr>
                <w:lang w:eastAsia="ko-KR"/>
              </w:rPr>
              <w:t>2003/04</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both"/>
              <w:rPr>
                <w:lang w:eastAsia="ko-KR"/>
              </w:rPr>
            </w:pPr>
            <w:r>
              <w:rPr/>
              <w:t>477</w:t>
            </w:r>
          </w:p>
        </w:tc>
        <w:tc>
          <w:tcPr>
            <w:tcW w:w="126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both"/>
              <w:rPr>
                <w:lang w:eastAsia="ko-KR"/>
              </w:rPr>
            </w:pPr>
            <w:r>
              <w:rPr>
                <w:lang w:eastAsia="ko-KR"/>
              </w:rPr>
              <w:t>857</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both"/>
              <w:rPr>
                <w:lang w:eastAsia="ko-KR"/>
              </w:rPr>
            </w:pPr>
            <w:r>
              <w:rPr>
                <w:lang w:eastAsia="ko-KR"/>
              </w:rPr>
              <w:t>14,858</w:t>
            </w:r>
          </w:p>
        </w:tc>
        <w:tc>
          <w:tcPr>
            <w:tcW w:w="19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both"/>
              <w:rPr>
                <w:lang w:eastAsia="ko-KR"/>
              </w:rPr>
            </w:pPr>
            <w:r>
              <w:rPr>
                <w:lang w:eastAsia="ko-KR"/>
              </w:rPr>
              <w:t>57.7</w:t>
            </w:r>
          </w:p>
        </w:tc>
      </w:tr>
      <w:tr>
        <w:trPr>
          <w:trHeight w:val="309" w:hRule="atLeast"/>
        </w:trPr>
        <w:tc>
          <w:tcPr>
            <w:tcW w:w="1080" w:type="dxa"/>
            <w:tcBorders>
              <w:top w:val="single" w:sz="6" w:space="0" w:color="000000"/>
              <w:left w:val="double" w:sz="6" w:space="0" w:color="000000"/>
              <w:bottom w:val="double" w:sz="6" w:space="0" w:color="000000"/>
              <w:insideH w:val="double" w:sz="6" w:space="0" w:color="000000"/>
            </w:tcBorders>
            <w:shd w:fill="auto" w:val="clear"/>
            <w:tcMar>
              <w:left w:w="85" w:type="dxa"/>
            </w:tcMar>
          </w:tcPr>
          <w:p>
            <w:pPr>
              <w:pStyle w:val="Normal"/>
              <w:jc w:val="both"/>
              <w:rPr>
                <w:b/>
                <w:b/>
                <w:bCs/>
                <w:lang w:eastAsia="ko-KR"/>
              </w:rPr>
            </w:pPr>
            <w:r>
              <w:rPr>
                <w:b/>
                <w:bCs/>
                <w:lang w:eastAsia="ko-KR"/>
              </w:rPr>
              <w:t>Total</w:t>
            </w:r>
          </w:p>
        </w:tc>
        <w:tc>
          <w:tcPr>
            <w:tcW w:w="1440" w:type="dxa"/>
            <w:tcBorders>
              <w:top w:val="single" w:sz="6" w:space="0" w:color="000000"/>
              <w:left w:val="single" w:sz="6" w:space="0" w:color="000000"/>
              <w:bottom w:val="double" w:sz="6" w:space="0" w:color="000000"/>
              <w:insideH w:val="double" w:sz="6" w:space="0" w:color="000000"/>
            </w:tcBorders>
            <w:shd w:fill="auto" w:val="clear"/>
            <w:tcMar>
              <w:left w:w="100" w:type="dxa"/>
            </w:tcMar>
            <w:vAlign w:val="bottom"/>
          </w:tcPr>
          <w:p>
            <w:pPr>
              <w:pStyle w:val="Normal"/>
              <w:jc w:val="both"/>
              <w:rPr>
                <w:b/>
                <w:b/>
                <w:lang w:eastAsia="ko-KR"/>
              </w:rPr>
            </w:pPr>
            <w:r>
              <w:rPr>
                <w:b/>
                <w:lang w:eastAsia="ko-KR"/>
              </w:rPr>
              <w:t>4,460</w:t>
            </w:r>
          </w:p>
        </w:tc>
        <w:tc>
          <w:tcPr>
            <w:tcW w:w="1260" w:type="dxa"/>
            <w:tcBorders>
              <w:top w:val="single" w:sz="6" w:space="0" w:color="000000"/>
              <w:left w:val="single" w:sz="6" w:space="0" w:color="000000"/>
              <w:bottom w:val="double" w:sz="6" w:space="0" w:color="000000"/>
              <w:insideH w:val="double" w:sz="6" w:space="0" w:color="000000"/>
            </w:tcBorders>
            <w:shd w:fill="auto" w:val="clear"/>
            <w:tcMar>
              <w:left w:w="100" w:type="dxa"/>
            </w:tcMar>
          </w:tcPr>
          <w:p>
            <w:pPr>
              <w:pStyle w:val="Normal"/>
              <w:jc w:val="both"/>
              <w:rPr>
                <w:b/>
                <w:b/>
                <w:bCs/>
                <w:lang w:eastAsia="ko-KR"/>
              </w:rPr>
            </w:pPr>
            <w:r>
              <w:rPr>
                <w:b/>
                <w:bCs/>
                <w:lang w:eastAsia="ko-KR"/>
              </w:rPr>
              <w:t>8,552</w:t>
            </w:r>
          </w:p>
        </w:tc>
        <w:tc>
          <w:tcPr>
            <w:tcW w:w="1440" w:type="dxa"/>
            <w:tcBorders>
              <w:top w:val="single" w:sz="6" w:space="0" w:color="000000"/>
              <w:left w:val="single" w:sz="6" w:space="0" w:color="000000"/>
              <w:bottom w:val="double" w:sz="6" w:space="0" w:color="000000"/>
              <w:insideH w:val="double" w:sz="6" w:space="0" w:color="000000"/>
            </w:tcBorders>
            <w:shd w:fill="auto" w:val="clear"/>
            <w:tcMar>
              <w:left w:w="100" w:type="dxa"/>
            </w:tcMar>
          </w:tcPr>
          <w:p>
            <w:pPr>
              <w:pStyle w:val="Normal"/>
              <w:jc w:val="both"/>
              <w:rPr>
                <w:b/>
                <w:b/>
                <w:bCs/>
                <w:lang w:eastAsia="ko-KR"/>
              </w:rPr>
            </w:pPr>
            <w:r>
              <w:fldChar w:fldCharType="begin"/>
            </w:r>
            <w:r>
              <w:instrText> =SUM(ABOVE) </w:instrText>
            </w:r>
            <w:r>
              <w:fldChar w:fldCharType="separate"/>
            </w:r>
            <w:bookmarkStart w:id="0" w:name="__Fieldmark__430_1322453857"/>
            <w:r>
              <w:rPr>
                <w:b/>
                <w:bCs/>
                <w:lang w:val="en-CA" w:eastAsia="en-CA"/>
              </w:rPr>
              <w:t>175,984</w:t>
            </w:r>
            <w:bookmarkEnd w:id="0"/>
            <w:r>
              <w:rPr>
                <w:b/>
                <w:bCs/>
                <w:lang w:val="en-CA" w:eastAsia="en-CA"/>
              </w:rPr>
            </w:r>
            <w:r>
              <w:fldChar w:fldCharType="end"/>
            </w:r>
          </w:p>
        </w:tc>
        <w:tc>
          <w:tcPr>
            <w:tcW w:w="1995" w:type="dxa"/>
            <w:tcBorders>
              <w:top w:val="single" w:sz="6" w:space="0" w:color="000000"/>
              <w:left w:val="single" w:sz="6" w:space="0" w:color="000000"/>
              <w:bottom w:val="double" w:sz="6" w:space="0" w:color="000000"/>
              <w:right w:val="double" w:sz="6" w:space="0" w:color="000000"/>
              <w:insideH w:val="double" w:sz="6" w:space="0" w:color="000000"/>
              <w:insideV w:val="double" w:sz="6" w:space="0" w:color="000000"/>
            </w:tcBorders>
            <w:shd w:fill="auto" w:val="clear"/>
            <w:tcMar>
              <w:left w:w="100" w:type="dxa"/>
            </w:tcMar>
          </w:tcPr>
          <w:p>
            <w:pPr>
              <w:pStyle w:val="Normal"/>
              <w:jc w:val="both"/>
              <w:rPr>
                <w:b/>
                <w:b/>
                <w:lang w:eastAsia="ko-KR"/>
              </w:rPr>
            </w:pPr>
            <w:r>
              <w:rPr>
                <w:b/>
                <w:lang w:eastAsia="ko-KR"/>
              </w:rPr>
              <w:t>48.6</w:t>
            </w:r>
          </w:p>
        </w:tc>
      </w:tr>
    </w:tbl>
    <w:p>
      <w:pPr>
        <w:pStyle w:val="TextBodyIndent"/>
        <w:spacing w:lineRule="auto" w:line="240"/>
        <w:ind w:hanging="0"/>
        <w:jc w:val="both"/>
        <w:rPr>
          <w:b/>
          <w:b/>
          <w:sz w:val="16"/>
          <w:szCs w:val="16"/>
        </w:rPr>
      </w:pPr>
      <w:r>
        <w:rPr>
          <w:b/>
        </w:rPr>
        <w:t xml:space="preserve">  </w:t>
      </w:r>
      <w:r>
        <w:rPr>
          <w:b/>
          <w:sz w:val="16"/>
          <w:szCs w:val="16"/>
        </w:rPr>
        <w:t xml:space="preserve">  </w:t>
      </w:r>
    </w:p>
    <w:p>
      <w:pPr>
        <w:pStyle w:val="TextBodyIndent"/>
        <w:spacing w:lineRule="auto" w:line="240"/>
        <w:ind w:hanging="0"/>
        <w:jc w:val="both"/>
        <w:rPr/>
      </w:pPr>
      <w:r>
        <w:rPr>
          <w:b/>
        </w:rPr>
        <w:t xml:space="preserve">   </w:t>
      </w:r>
      <w:r>
        <w:rPr/>
        <w:t xml:space="preserve">Source: Canadian Hospitals Injury Reporting and Prevention Program. </w:t>
      </w:r>
    </w:p>
    <w:p>
      <w:pPr>
        <w:pStyle w:val="TextBodyIndent"/>
        <w:spacing w:lineRule="auto" w:line="240"/>
        <w:ind w:left="180" w:hanging="180"/>
        <w:jc w:val="both"/>
        <w:rPr/>
      </w:pPr>
      <w:r>
        <w:rPr/>
        <w:t xml:space="preserve">   </w:t>
      </w:r>
      <w:r>
        <w:rPr>
          <w:b/>
        </w:rPr>
        <w:t>Note:</w:t>
      </w:r>
      <w:r>
        <w:rPr/>
        <w:t xml:space="preserve"> 2003/04 season data is only until May, other seasons reported till August of that year. </w:t>
      </w:r>
    </w:p>
    <w:p>
      <w:pPr>
        <w:pStyle w:val="TextBodyIndent"/>
        <w:spacing w:lineRule="auto" w:line="240"/>
        <w:ind w:hanging="0"/>
        <w:jc w:val="both"/>
        <w:rPr>
          <w:sz w:val="16"/>
          <w:szCs w:val="16"/>
        </w:rPr>
      </w:pPr>
      <w:r>
        <w:rPr>
          <w:sz w:val="16"/>
          <w:szCs w:val="16"/>
        </w:rPr>
      </w:r>
    </w:p>
    <w:p>
      <w:pPr>
        <w:pStyle w:val="TextBodyIndent"/>
        <w:spacing w:lineRule="auto" w:line="240"/>
        <w:ind w:hanging="0"/>
        <w:jc w:val="both"/>
        <w:rPr>
          <w:sz w:val="16"/>
          <w:szCs w:val="16"/>
        </w:rPr>
      </w:pPr>
      <w:r>
        <w:rPr>
          <w:sz w:val="16"/>
          <w:szCs w:val="16"/>
        </w:rPr>
      </w:r>
    </w:p>
    <w:p>
      <w:pPr>
        <w:pStyle w:val="TextBodyIndent"/>
        <w:jc w:val="both"/>
        <w:rPr/>
      </w:pPr>
      <w:r>
        <w:rPr/>
        <w:t>The breakdown of body checking injuries by minor hockey league divisions is presented in Table 2. Overall, the risk of sustaining body checking injury has increased post-rule change in all Divisions (except the novice division in which legal body contact is still not allowed) compared to the pre-rule change period. However, in the atom division, the division where the rule change had the greatest effect, a significant increase in the odds of an ED visit due to a body checking injury was observed (OR=2.2, 95% CI [1.70-2.84]).</w:t>
      </w:r>
    </w:p>
    <w:p>
      <w:pPr>
        <w:pStyle w:val="TextBodyIndent"/>
        <w:jc w:val="both"/>
        <w:rPr/>
      </w:pPr>
      <w:r>
        <w:rPr/>
      </w:r>
    </w:p>
    <w:p>
      <w:pPr>
        <w:pStyle w:val="TextBodyIndent"/>
        <w:spacing w:lineRule="auto" w:line="240"/>
        <w:ind w:left="2160" w:hanging="1980"/>
        <w:jc w:val="both"/>
        <w:rPr>
          <w:b/>
          <w:b/>
        </w:rPr>
      </w:pPr>
      <w:r>
        <w:rPr>
          <w:b/>
        </w:rPr>
      </w:r>
    </w:p>
    <w:p>
      <w:pPr>
        <w:pStyle w:val="TextBodyIndent"/>
        <w:spacing w:lineRule="auto" w:line="240"/>
        <w:ind w:left="2160" w:hanging="1980"/>
        <w:jc w:val="both"/>
        <w:rPr>
          <w:b/>
          <w:b/>
        </w:rPr>
      </w:pPr>
      <w:r>
        <w:rPr>
          <w:b/>
        </w:rPr>
      </w:r>
    </w:p>
    <w:p>
      <w:pPr>
        <w:pStyle w:val="TextBodyIndent"/>
        <w:spacing w:lineRule="auto" w:line="240"/>
        <w:ind w:left="2160" w:hanging="1980"/>
        <w:jc w:val="both"/>
        <w:rPr>
          <w:b/>
          <w:b/>
        </w:rPr>
      </w:pPr>
      <w:r>
        <w:rPr>
          <w:b/>
        </w:rPr>
      </w:r>
    </w:p>
    <w:p>
      <w:pPr>
        <w:pStyle w:val="TextBodyIndent"/>
        <w:spacing w:lineRule="auto" w:line="240"/>
        <w:ind w:left="2160" w:hanging="1980"/>
        <w:jc w:val="both"/>
        <w:rPr/>
      </w:pPr>
      <w:r>
        <w:rPr>
          <w:b/>
        </w:rPr>
        <w:t xml:space="preserve">Table 2. </w:t>
      </w:r>
      <w:r>
        <w:rPr/>
        <w:t xml:space="preserve">Comparison of body checking injuries before and after the rule change </w:t>
      </w:r>
    </w:p>
    <w:p>
      <w:pPr>
        <w:pStyle w:val="TextBodyIndent"/>
        <w:spacing w:lineRule="auto" w:line="240"/>
        <w:ind w:left="180" w:hanging="0"/>
        <w:jc w:val="both"/>
        <w:rPr/>
      </w:pPr>
      <w:r>
        <w:rPr/>
        <w:t>categorized by minor hockey league division</w:t>
      </w:r>
    </w:p>
    <w:p>
      <w:pPr>
        <w:pStyle w:val="TextBodyIndent"/>
        <w:spacing w:lineRule="auto" w:line="240"/>
        <w:ind w:left="2160" w:hanging="1440"/>
        <w:jc w:val="both"/>
        <w:rPr>
          <w:b/>
          <w:b/>
        </w:rPr>
      </w:pPr>
      <w:r>
        <w:rPr>
          <w:b/>
        </w:rPr>
        <w:t xml:space="preserve"> </w:t>
      </w:r>
    </w:p>
    <w:tbl>
      <w:tblPr>
        <w:tblW w:w="6850" w:type="dxa"/>
        <w:jc w:val="left"/>
        <w:tblInd w:w="28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800"/>
        <w:gridCol w:w="1260"/>
        <w:gridCol w:w="1440"/>
        <w:gridCol w:w="2350"/>
      </w:tblGrid>
      <w:tr>
        <w:trPr>
          <w:trHeight w:val="512" w:hRule="atLeast"/>
          <w:cantSplit w:val="true"/>
        </w:trPr>
        <w:tc>
          <w:tcPr>
            <w:tcW w:w="1800"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Indent"/>
              <w:ind w:hanging="0"/>
              <w:jc w:val="both"/>
              <w:rPr>
                <w:b/>
                <w:b/>
              </w:rPr>
            </w:pPr>
            <w:r>
              <w:rPr>
                <w:b/>
              </w:rPr>
              <w:t>Division and type of injury</w:t>
            </w:r>
          </w:p>
        </w:tc>
        <w:tc>
          <w:tcPr>
            <w:tcW w:w="270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Indent"/>
              <w:spacing w:lineRule="auto" w:line="240"/>
              <w:ind w:hanging="0"/>
              <w:jc w:val="both"/>
              <w:rPr>
                <w:b/>
                <w:b/>
              </w:rPr>
            </w:pPr>
            <w:r>
              <w:rPr>
                <w:b/>
              </w:rPr>
              <w:t>Number of checking injuries</w:t>
            </w:r>
          </w:p>
        </w:tc>
        <w:tc>
          <w:tcPr>
            <w:tcW w:w="235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Indent"/>
              <w:spacing w:lineRule="auto" w:line="240"/>
              <w:ind w:hanging="0"/>
              <w:jc w:val="both"/>
              <w:rPr>
                <w:b/>
                <w:b/>
              </w:rPr>
            </w:pPr>
            <w:r>
              <w:rPr>
                <w:b/>
              </w:rPr>
              <w:t>Odds Ratio</w:t>
            </w:r>
          </w:p>
          <w:p>
            <w:pPr>
              <w:pStyle w:val="TextBodyIndent"/>
              <w:ind w:hanging="0"/>
              <w:jc w:val="both"/>
              <w:rPr>
                <w:b/>
                <w:b/>
              </w:rPr>
            </w:pPr>
            <w:r>
              <w:rPr>
                <w:b/>
              </w:rPr>
              <w:t>(95% CI)</w:t>
            </w:r>
          </w:p>
        </w:tc>
      </w:tr>
      <w:tr>
        <w:trPr>
          <w:cantSplit w:val="true"/>
        </w:trPr>
        <w:tc>
          <w:tcPr>
            <w:tcW w:w="1800"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Indent"/>
              <w:snapToGrid w:val="false"/>
              <w:spacing w:lineRule="auto" w:line="240"/>
              <w:ind w:hanging="0"/>
              <w:jc w:val="both"/>
              <w:rPr>
                <w:b/>
                <w:b/>
              </w:rPr>
            </w:pPr>
            <w:r>
              <w:rPr>
                <w:b/>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Indent"/>
              <w:spacing w:lineRule="auto" w:line="240"/>
              <w:ind w:hanging="0"/>
              <w:jc w:val="both"/>
              <w:rPr>
                <w:b/>
                <w:b/>
              </w:rPr>
            </w:pPr>
            <w:r>
              <w:rPr>
                <w:b/>
              </w:rPr>
              <w:t>Pre-rule change</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Indent"/>
              <w:spacing w:lineRule="auto" w:line="240"/>
              <w:ind w:hanging="0"/>
              <w:jc w:val="both"/>
              <w:rPr>
                <w:b/>
                <w:b/>
              </w:rPr>
            </w:pPr>
            <w:r>
              <w:rPr>
                <w:b/>
              </w:rPr>
              <w:t>Post-rule change</w:t>
            </w:r>
          </w:p>
        </w:tc>
        <w:tc>
          <w:tcPr>
            <w:tcW w:w="235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Indent"/>
              <w:snapToGrid w:val="false"/>
              <w:spacing w:lineRule="auto" w:line="240"/>
              <w:ind w:hanging="0"/>
              <w:jc w:val="both"/>
              <w:rPr>
                <w:b/>
                <w:b/>
              </w:rPr>
            </w:pPr>
            <w:r>
              <w:rPr>
                <w:b/>
              </w:rPr>
            </w:r>
          </w:p>
        </w:tc>
      </w:tr>
      <w:tr>
        <w:trPr/>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Indent"/>
              <w:spacing w:lineRule="auto" w:line="240"/>
              <w:ind w:hanging="0"/>
              <w:jc w:val="both"/>
              <w:rPr/>
            </w:pPr>
            <w:r>
              <w:rPr/>
              <w:t>Novice</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TextBodyIndent"/>
              <w:spacing w:lineRule="auto" w:line="240"/>
              <w:ind w:hanging="0"/>
              <w:jc w:val="both"/>
              <w:rPr/>
            </w:pPr>
            <w:r>
              <w:rPr/>
              <w:t xml:space="preserve">44 </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TextBodyIndent"/>
              <w:spacing w:lineRule="auto" w:line="240"/>
              <w:ind w:hanging="0"/>
              <w:jc w:val="both"/>
              <w:rPr/>
            </w:pPr>
            <w:r>
              <w:rPr/>
              <w:t>65</w:t>
            </w:r>
          </w:p>
        </w:tc>
        <w:tc>
          <w:tcPr>
            <w:tcW w:w="2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Indent"/>
              <w:spacing w:lineRule="auto" w:line="240"/>
              <w:ind w:hanging="0"/>
              <w:jc w:val="both"/>
              <w:rPr/>
            </w:pPr>
            <w:r>
              <w:rPr/>
              <w:t>0.99 (0.63 - 1.57)</w:t>
            </w:r>
          </w:p>
        </w:tc>
      </w:tr>
      <w:tr>
        <w:trPr/>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Indent"/>
              <w:spacing w:lineRule="auto" w:line="240"/>
              <w:ind w:hanging="0"/>
              <w:jc w:val="both"/>
              <w:rPr/>
            </w:pPr>
            <w:r>
              <w:rPr/>
              <w:t>Atom</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TextBodyIndent"/>
              <w:spacing w:lineRule="auto" w:line="240"/>
              <w:ind w:hanging="0"/>
              <w:jc w:val="both"/>
              <w:rPr/>
            </w:pPr>
            <w:r>
              <w:rPr/>
              <w:t>158</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TextBodyIndent"/>
              <w:spacing w:lineRule="auto" w:line="240"/>
              <w:ind w:hanging="0"/>
              <w:jc w:val="both"/>
              <w:rPr/>
            </w:pPr>
            <w:r>
              <w:rPr/>
              <w:t>243</w:t>
            </w:r>
          </w:p>
        </w:tc>
        <w:tc>
          <w:tcPr>
            <w:tcW w:w="2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Indent"/>
              <w:spacing w:lineRule="auto" w:line="240"/>
              <w:ind w:hanging="0"/>
              <w:jc w:val="both"/>
              <w:rPr/>
            </w:pPr>
            <w:r>
              <w:rPr/>
              <w:t>2.20 (1.70 – 2.84)*</w:t>
            </w:r>
          </w:p>
        </w:tc>
      </w:tr>
      <w:tr>
        <w:trPr/>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Indent"/>
              <w:spacing w:lineRule="auto" w:line="240"/>
              <w:ind w:hanging="0"/>
              <w:jc w:val="both"/>
              <w:rPr/>
            </w:pPr>
            <w:r>
              <w:rPr/>
              <w:t>Pee Wee</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TextBodyIndent"/>
              <w:spacing w:lineRule="auto" w:line="240"/>
              <w:ind w:hanging="0"/>
              <w:jc w:val="both"/>
              <w:rPr/>
            </w:pPr>
            <w:r>
              <w:rPr/>
              <w:t>549</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TextBodyIndent"/>
              <w:spacing w:lineRule="auto" w:line="240"/>
              <w:ind w:hanging="0"/>
              <w:jc w:val="both"/>
              <w:rPr/>
            </w:pPr>
            <w:r>
              <w:rPr/>
              <w:t>831</w:t>
            </w:r>
          </w:p>
        </w:tc>
        <w:tc>
          <w:tcPr>
            <w:tcW w:w="2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Indent"/>
              <w:spacing w:lineRule="auto" w:line="240"/>
              <w:ind w:hanging="0"/>
              <w:jc w:val="both"/>
              <w:rPr/>
            </w:pPr>
            <w:r>
              <w:rPr/>
              <w:t>1.10 (0.94 – 1.30)</w:t>
            </w:r>
          </w:p>
        </w:tc>
      </w:tr>
      <w:tr>
        <w:trPr/>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Indent"/>
              <w:spacing w:lineRule="auto" w:line="240"/>
              <w:ind w:hanging="0"/>
              <w:jc w:val="both"/>
              <w:rPr/>
            </w:pPr>
            <w:r>
              <w:rPr/>
              <w:t>Bantam</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TextBodyIndent"/>
              <w:spacing w:lineRule="auto" w:line="240"/>
              <w:ind w:hanging="0"/>
              <w:jc w:val="both"/>
              <w:rPr/>
            </w:pPr>
            <w:r>
              <w:rPr/>
              <w:t>546</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TextBodyIndent"/>
              <w:spacing w:lineRule="auto" w:line="240"/>
              <w:ind w:hanging="0"/>
              <w:jc w:val="both"/>
              <w:rPr/>
            </w:pPr>
            <w:r>
              <w:rPr/>
              <w:t>990</w:t>
            </w:r>
          </w:p>
        </w:tc>
        <w:tc>
          <w:tcPr>
            <w:tcW w:w="2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Indent"/>
              <w:spacing w:lineRule="auto" w:line="240"/>
              <w:ind w:hanging="0"/>
              <w:jc w:val="both"/>
              <w:rPr/>
            </w:pPr>
            <w:r>
              <w:rPr/>
              <w:t>1.11 (0.95 – 1.29)</w:t>
            </w:r>
          </w:p>
        </w:tc>
      </w:tr>
      <w:tr>
        <w:trPr/>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Indent"/>
              <w:spacing w:lineRule="auto" w:line="240"/>
              <w:ind w:hanging="0"/>
              <w:jc w:val="both"/>
              <w:rPr/>
            </w:pPr>
            <w:r>
              <w:rPr/>
              <w:t>Midget</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TextBodyIndent"/>
              <w:spacing w:lineRule="auto" w:line="240"/>
              <w:ind w:hanging="0"/>
              <w:jc w:val="both"/>
              <w:rPr/>
            </w:pPr>
            <w:r>
              <w:rPr/>
              <w:t>320</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TextBodyIndent"/>
              <w:spacing w:lineRule="auto" w:line="240"/>
              <w:ind w:hanging="0"/>
              <w:jc w:val="both"/>
              <w:rPr/>
            </w:pPr>
            <w:r>
              <w:rPr/>
              <w:t>714</w:t>
            </w:r>
          </w:p>
        </w:tc>
        <w:tc>
          <w:tcPr>
            <w:tcW w:w="2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Indent"/>
              <w:spacing w:lineRule="auto" w:line="240"/>
              <w:ind w:hanging="0"/>
              <w:jc w:val="both"/>
              <w:rPr/>
            </w:pPr>
            <w:r>
              <w:rPr/>
              <w:t>1.23 (1.01 – 1.49)*</w:t>
            </w:r>
          </w:p>
        </w:tc>
      </w:tr>
      <w:tr>
        <w:trPr/>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Indent"/>
              <w:spacing w:lineRule="auto" w:line="240"/>
              <w:ind w:hanging="0"/>
              <w:jc w:val="both"/>
              <w:rPr>
                <w:b/>
                <w:b/>
                <w:bCs/>
              </w:rPr>
            </w:pPr>
            <w:r>
              <w:rPr>
                <w:b/>
                <w:bCs/>
              </w:rPr>
              <w:t>All divisions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TextBodyIndent"/>
              <w:spacing w:lineRule="auto" w:line="240"/>
              <w:ind w:hanging="0"/>
              <w:jc w:val="both"/>
              <w:rPr>
                <w:b/>
                <w:b/>
                <w:bCs/>
              </w:rPr>
            </w:pPr>
            <w:r>
              <w:rPr>
                <w:b/>
                <w:bCs/>
              </w:rPr>
              <w:t>1,617</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TextBodyIndent"/>
              <w:spacing w:lineRule="auto" w:line="240"/>
              <w:ind w:hanging="0"/>
              <w:jc w:val="both"/>
              <w:rPr>
                <w:b/>
                <w:b/>
                <w:bCs/>
              </w:rPr>
            </w:pPr>
            <w:r>
              <w:rPr>
                <w:b/>
                <w:bCs/>
              </w:rPr>
              <w:t>2,843</w:t>
            </w:r>
          </w:p>
        </w:tc>
        <w:tc>
          <w:tcPr>
            <w:tcW w:w="2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Indent"/>
              <w:spacing w:lineRule="auto" w:line="240"/>
              <w:ind w:hanging="0"/>
              <w:jc w:val="both"/>
              <w:rPr>
                <w:b/>
                <w:b/>
                <w:bCs/>
              </w:rPr>
            </w:pPr>
            <w:r>
              <w:rPr>
                <w:b/>
                <w:bCs/>
              </w:rPr>
              <w:t>1.26 (1.16 – 1.38)*</w:t>
            </w:r>
          </w:p>
        </w:tc>
      </w:tr>
    </w:tbl>
    <w:p>
      <w:pPr>
        <w:pStyle w:val="TextBodyIndent"/>
        <w:spacing w:lineRule="auto" w:line="240"/>
        <w:ind w:left="180" w:hanging="0"/>
        <w:jc w:val="both"/>
        <w:rPr/>
      </w:pPr>
      <w:r>
        <w:rPr/>
        <w:t xml:space="preserve">  </w:t>
      </w:r>
      <w:r>
        <w:rPr/>
        <w:t>* Significant at the 0.05 level (2-tailed)</w:t>
      </w:r>
    </w:p>
    <w:p>
      <w:pPr>
        <w:pStyle w:val="TextBodyIndent"/>
        <w:spacing w:lineRule="auto" w:line="240"/>
        <w:ind w:hanging="0"/>
        <w:jc w:val="both"/>
        <w:rPr/>
      </w:pPr>
      <w:r>
        <w:rPr/>
        <w:t xml:space="preserve">        </w:t>
      </w:r>
      <w:r>
        <w:rPr/>
        <w:t>Source: Canadian Hospitals Injury Reporting and Prevention Program</w:t>
      </w:r>
    </w:p>
    <w:p>
      <w:pPr>
        <w:pStyle w:val="TextBodyIndent"/>
        <w:jc w:val="both"/>
        <w:rPr>
          <w:b/>
          <w:b/>
        </w:rPr>
      </w:pPr>
      <w:r>
        <w:rPr>
          <w:b/>
        </w:rPr>
      </w:r>
    </w:p>
    <w:p>
      <w:pPr>
        <w:pStyle w:val="TextBodyIndent"/>
        <w:jc w:val="both"/>
        <w:rPr>
          <w:b/>
          <w:b/>
        </w:rPr>
      </w:pPr>
      <w:r>
        <w:rPr>
          <w:b/>
        </w:rPr>
        <w:t>Nature and Severity of Injuries</w:t>
      </w:r>
    </w:p>
    <w:p>
      <w:pPr>
        <w:pStyle w:val="Normal"/>
        <w:spacing w:lineRule="auto" w:line="480"/>
        <w:ind w:firstLine="720"/>
        <w:jc w:val="both"/>
        <w:rPr/>
      </w:pPr>
      <w:r>
        <w:rPr/>
        <w:t>Body checking injuries reported to CHIRPP and categorized based on nature of injury are presented in Table 3. Overall, fracture (excluding tooth, including spine) was the most common type of injury, followed by sprain or strain (including upper and lower back) and superficial injuries (excluding eye). The odds of an ED visit due to a severe body checking injury such as an open wound, excluding eye (OR=1.33, 95% CI [0.93-1.91]), a minor head injury (OR=1.24, 95% CI [0.92-1.67]), and a s</w:t>
      </w:r>
      <w:r>
        <w:rPr>
          <w:lang w:eastAsia="ko-KR"/>
        </w:rPr>
        <w:t>prain or strain, including upper and lower back</w:t>
      </w:r>
      <w:r>
        <w:rPr/>
        <w:t xml:space="preserve"> (O.R. = </w:t>
      </w:r>
      <w:r>
        <w:rPr>
          <w:lang w:eastAsia="ko-KR"/>
        </w:rPr>
        <w:t>1.16 (95% CI [0.97 – 1.38])</w:t>
      </w:r>
      <w:r>
        <w:rPr>
          <w:sz w:val="22"/>
          <w:szCs w:val="22"/>
          <w:lang w:eastAsia="ko-KR"/>
        </w:rPr>
        <w:t xml:space="preserve"> </w:t>
      </w:r>
      <w:r>
        <w:rPr/>
        <w:t xml:space="preserve">increased significantly after the introduction of the rule, compared to the pre-rule change period.  The odds ratios of other injury types (except for injury to internal organs) have not declined but have remained stable. </w:t>
      </w:r>
    </w:p>
    <w:p>
      <w:pPr>
        <w:pStyle w:val="Normal"/>
        <w:spacing w:lineRule="auto" w:line="480"/>
        <w:ind w:firstLine="720"/>
        <w:jc w:val="both"/>
        <w:rPr/>
      </w:pPr>
      <w:r>
        <w:rPr/>
      </w:r>
    </w:p>
    <w:p>
      <w:pPr>
        <w:pStyle w:val="Normal"/>
        <w:ind w:hanging="180"/>
        <w:jc w:val="both"/>
        <w:rPr>
          <w:b/>
          <w:b/>
          <w:lang w:eastAsia="ko-KR"/>
        </w:rPr>
      </w:pPr>
      <w:r>
        <w:rPr>
          <w:b/>
          <w:lang w:eastAsia="ko-KR"/>
        </w:rPr>
      </w:r>
    </w:p>
    <w:p>
      <w:pPr>
        <w:pStyle w:val="Normal"/>
        <w:ind w:hanging="180"/>
        <w:jc w:val="both"/>
        <w:rPr>
          <w:b/>
          <w:b/>
          <w:lang w:eastAsia="ko-KR"/>
        </w:rPr>
      </w:pPr>
      <w:r>
        <w:rPr>
          <w:b/>
          <w:lang w:eastAsia="ko-KR"/>
        </w:rPr>
      </w:r>
    </w:p>
    <w:p>
      <w:pPr>
        <w:pStyle w:val="Normal"/>
        <w:ind w:hanging="180"/>
        <w:jc w:val="both"/>
        <w:rPr>
          <w:b/>
          <w:b/>
          <w:lang w:eastAsia="ko-KR"/>
        </w:rPr>
      </w:pPr>
      <w:r>
        <w:rPr>
          <w:b/>
          <w:lang w:eastAsia="ko-KR"/>
        </w:rPr>
      </w:r>
    </w:p>
    <w:p>
      <w:pPr>
        <w:pStyle w:val="Normal"/>
        <w:ind w:hanging="180"/>
        <w:jc w:val="both"/>
        <w:rPr>
          <w:b/>
          <w:b/>
          <w:lang w:eastAsia="ko-KR"/>
        </w:rPr>
      </w:pPr>
      <w:r>
        <w:rPr>
          <w:b/>
          <w:lang w:eastAsia="ko-KR"/>
        </w:rPr>
      </w:r>
    </w:p>
    <w:p>
      <w:pPr>
        <w:pStyle w:val="Normal"/>
        <w:ind w:hanging="180"/>
        <w:jc w:val="both"/>
        <w:rPr>
          <w:b/>
          <w:b/>
          <w:lang w:eastAsia="ko-KR"/>
        </w:rPr>
      </w:pPr>
      <w:r>
        <w:rPr>
          <w:b/>
          <w:lang w:eastAsia="ko-KR"/>
        </w:rPr>
      </w:r>
    </w:p>
    <w:p>
      <w:pPr>
        <w:pStyle w:val="Normal"/>
        <w:ind w:hanging="180"/>
        <w:jc w:val="both"/>
        <w:rPr>
          <w:b/>
          <w:b/>
          <w:lang w:eastAsia="ko-KR"/>
        </w:rPr>
      </w:pPr>
      <w:r>
        <w:rPr>
          <w:b/>
          <w:lang w:eastAsia="ko-KR"/>
        </w:rPr>
      </w:r>
    </w:p>
    <w:p>
      <w:pPr>
        <w:pStyle w:val="Normal"/>
        <w:ind w:hanging="180"/>
        <w:jc w:val="both"/>
        <w:rPr>
          <w:b/>
          <w:b/>
          <w:lang w:eastAsia="ko-KR"/>
        </w:rPr>
      </w:pPr>
      <w:r>
        <w:rPr>
          <w:b/>
          <w:lang w:eastAsia="ko-KR"/>
        </w:rPr>
      </w:r>
    </w:p>
    <w:p>
      <w:pPr>
        <w:pStyle w:val="Normal"/>
        <w:ind w:hanging="180"/>
        <w:jc w:val="both"/>
        <w:rPr/>
      </w:pPr>
      <w:r>
        <w:rPr>
          <w:b/>
          <w:lang w:eastAsia="ko-KR"/>
        </w:rPr>
        <w:t xml:space="preserve">Table 3. </w:t>
      </w:r>
      <w:r>
        <w:rPr>
          <w:lang w:eastAsia="ko-KR"/>
        </w:rPr>
        <w:t>Body checking injuries, proportion by selected natures of injury</w:t>
      </w:r>
    </w:p>
    <w:p>
      <w:pPr>
        <w:pStyle w:val="Normal"/>
        <w:ind w:hanging="180"/>
        <w:jc w:val="both"/>
        <w:rPr>
          <w:lang w:eastAsia="ko-KR"/>
        </w:rPr>
      </w:pPr>
      <w:r>
        <w:rPr>
          <w:lang w:eastAsia="ko-KR"/>
        </w:rPr>
        <w:t xml:space="preserve">Ontario, 1994/95 – 2003/2004 hockey seasons </w:t>
      </w:r>
    </w:p>
    <w:p>
      <w:pPr>
        <w:pStyle w:val="Normal"/>
        <w:ind w:firstLine="720"/>
        <w:jc w:val="both"/>
        <w:rPr>
          <w:b/>
          <w:b/>
          <w:lang w:eastAsia="ko-KR"/>
        </w:rPr>
      </w:pPr>
      <w:r>
        <w:rPr>
          <w:b/>
          <w:lang w:eastAsia="ko-KR"/>
        </w:rPr>
      </w:r>
    </w:p>
    <w:tbl>
      <w:tblPr>
        <w:tblW w:w="1037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68"/>
        <w:gridCol w:w="1260"/>
        <w:gridCol w:w="1440"/>
        <w:gridCol w:w="1440"/>
        <w:gridCol w:w="2170"/>
      </w:tblGrid>
      <w:tr>
        <w:trPr>
          <w:trHeight w:val="422" w:hRule="atLeast"/>
          <w:cantSplit w:val="true"/>
        </w:trPr>
        <w:tc>
          <w:tcPr>
            <w:tcW w:w="4068" w:type="dxa"/>
            <w:vMerge w:val="restart"/>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jc w:val="both"/>
              <w:rPr/>
            </w:pPr>
            <w:r>
              <w:rPr>
                <w:b/>
                <w:bCs/>
              </w:rPr>
              <w:t>Nature of Injury</w:t>
            </w:r>
            <w:r>
              <w:rPr>
                <w:b/>
              </w:rPr>
              <w:t xml:space="preserve"> </w:t>
            </w:r>
          </w:p>
        </w:tc>
        <w:tc>
          <w:tcPr>
            <w:tcW w:w="4140" w:type="dxa"/>
            <w:gridSpan w:val="3"/>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jc w:val="both"/>
              <w:rPr>
                <w:b/>
                <w:b/>
              </w:rPr>
            </w:pPr>
            <w:r>
              <w:rPr>
                <w:b/>
              </w:rPr>
              <w:t>Number of body checking injuries (proportion of total hockey injuries)</w:t>
            </w:r>
          </w:p>
        </w:tc>
        <w:tc>
          <w:tcPr>
            <w:tcW w:w="217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jc w:val="both"/>
              <w:rPr>
                <w:b/>
                <w:b/>
              </w:rPr>
            </w:pPr>
            <w:r>
              <w:rPr>
                <w:b/>
              </w:rPr>
              <w:t xml:space="preserve">Odds Ratio </w:t>
            </w:r>
          </w:p>
          <w:p>
            <w:pPr>
              <w:pStyle w:val="Normal"/>
              <w:jc w:val="both"/>
              <w:rPr>
                <w:b/>
                <w:b/>
              </w:rPr>
            </w:pPr>
            <w:r>
              <w:rPr>
                <w:b/>
              </w:rPr>
              <w:t>(95% CI )</w:t>
            </w:r>
          </w:p>
        </w:tc>
      </w:tr>
      <w:tr>
        <w:trPr>
          <w:trHeight w:val="387" w:hRule="atLeast"/>
          <w:cantSplit w:val="true"/>
        </w:trPr>
        <w:tc>
          <w:tcPr>
            <w:tcW w:w="4068" w:type="dxa"/>
            <w:vMerge w:val="continue"/>
            <w:tcBorders>
              <w:top w:val="single" w:sz="4" w:space="0" w:color="000000"/>
              <w:left w:val="single" w:sz="4" w:space="0" w:color="000000"/>
            </w:tcBorders>
            <w:shd w:fill="auto" w:val="clear"/>
            <w:tcMar>
              <w:left w:w="103" w:type="dxa"/>
            </w:tcMar>
            <w:vAlign w:val="bottom"/>
          </w:tcPr>
          <w:p>
            <w:pPr>
              <w:pStyle w:val="Normal"/>
              <w:snapToGrid w:val="false"/>
              <w:jc w:val="both"/>
              <w:rPr>
                <w:b/>
                <w:b/>
                <w:sz w:val="22"/>
                <w:szCs w:val="22"/>
                <w:lang w:eastAsia="ko-KR"/>
              </w:rPr>
            </w:pPr>
            <w:r>
              <w:rPr>
                <w:b/>
                <w:sz w:val="22"/>
                <w:szCs w:val="22"/>
                <w:lang w:eastAsia="ko-KR"/>
              </w:rPr>
            </w:r>
          </w:p>
        </w:tc>
        <w:tc>
          <w:tcPr>
            <w:tcW w:w="1260" w:type="dxa"/>
            <w:tcBorders>
              <w:top w:val="single" w:sz="4" w:space="0" w:color="000000"/>
              <w:left w:val="single" w:sz="4" w:space="0" w:color="000000"/>
            </w:tcBorders>
            <w:shd w:fill="auto" w:val="clear"/>
            <w:tcMar>
              <w:left w:w="103" w:type="dxa"/>
            </w:tcMar>
          </w:tcPr>
          <w:p>
            <w:pPr>
              <w:pStyle w:val="Normal"/>
              <w:jc w:val="both"/>
              <w:rPr>
                <w:b/>
                <w:b/>
                <w:sz w:val="22"/>
                <w:szCs w:val="22"/>
                <w:lang w:eastAsia="ko-KR"/>
              </w:rPr>
            </w:pPr>
            <w:r>
              <w:rPr>
                <w:b/>
                <w:sz w:val="22"/>
                <w:szCs w:val="22"/>
                <w:lang w:eastAsia="ko-KR"/>
              </w:rPr>
              <w:t xml:space="preserve">Pre-rule change </w:t>
            </w:r>
          </w:p>
          <w:p>
            <w:pPr>
              <w:pStyle w:val="Normal"/>
              <w:jc w:val="both"/>
              <w:rPr>
                <w:b/>
                <w:b/>
                <w:sz w:val="22"/>
                <w:szCs w:val="22"/>
                <w:lang w:eastAsia="ko-KR"/>
              </w:rPr>
            </w:pPr>
            <w:r>
              <w:rPr>
                <w:b/>
                <w:sz w:val="22"/>
                <w:szCs w:val="22"/>
                <w:lang w:eastAsia="ko-KR"/>
              </w:rPr>
              <w:t>n (%)</w:t>
            </w:r>
          </w:p>
        </w:tc>
        <w:tc>
          <w:tcPr>
            <w:tcW w:w="1440" w:type="dxa"/>
            <w:tcBorders>
              <w:top w:val="single" w:sz="4" w:space="0" w:color="000000"/>
              <w:left w:val="single" w:sz="4" w:space="0" w:color="000000"/>
            </w:tcBorders>
            <w:shd w:fill="auto" w:val="clear"/>
            <w:tcMar>
              <w:left w:w="103" w:type="dxa"/>
            </w:tcMar>
          </w:tcPr>
          <w:p>
            <w:pPr>
              <w:pStyle w:val="Normal"/>
              <w:jc w:val="both"/>
              <w:rPr>
                <w:b/>
                <w:b/>
                <w:sz w:val="22"/>
                <w:szCs w:val="22"/>
                <w:lang w:eastAsia="ko-KR"/>
              </w:rPr>
            </w:pPr>
            <w:r>
              <w:rPr>
                <w:b/>
                <w:sz w:val="22"/>
                <w:szCs w:val="22"/>
                <w:lang w:eastAsia="ko-KR"/>
              </w:rPr>
              <w:t>Post-rule change</w:t>
            </w:r>
          </w:p>
          <w:p>
            <w:pPr>
              <w:pStyle w:val="Normal"/>
              <w:jc w:val="both"/>
              <w:rPr>
                <w:b/>
                <w:b/>
                <w:sz w:val="22"/>
                <w:szCs w:val="22"/>
                <w:lang w:eastAsia="ko-KR"/>
              </w:rPr>
            </w:pPr>
            <w:r>
              <w:rPr>
                <w:b/>
                <w:sz w:val="22"/>
                <w:szCs w:val="22"/>
                <w:lang w:eastAsia="ko-KR"/>
              </w:rPr>
              <w:t xml:space="preserve">n (%) </w:t>
            </w:r>
          </w:p>
        </w:tc>
        <w:tc>
          <w:tcPr>
            <w:tcW w:w="1440" w:type="dxa"/>
            <w:tcBorders>
              <w:top w:val="single" w:sz="4" w:space="0" w:color="000000"/>
              <w:left w:val="single" w:sz="4" w:space="0" w:color="000000"/>
            </w:tcBorders>
            <w:shd w:fill="auto" w:val="clear"/>
            <w:tcMar>
              <w:left w:w="103" w:type="dxa"/>
            </w:tcMar>
          </w:tcPr>
          <w:p>
            <w:pPr>
              <w:pStyle w:val="Normal"/>
              <w:jc w:val="both"/>
              <w:rPr>
                <w:b/>
                <w:b/>
                <w:sz w:val="22"/>
                <w:szCs w:val="22"/>
                <w:lang w:eastAsia="ko-KR"/>
              </w:rPr>
            </w:pPr>
            <w:r>
              <w:rPr>
                <w:b/>
                <w:sz w:val="22"/>
                <w:szCs w:val="22"/>
                <w:lang w:eastAsia="ko-KR"/>
              </w:rPr>
              <w:t xml:space="preserve">Total </w:t>
            </w:r>
          </w:p>
          <w:p>
            <w:pPr>
              <w:pStyle w:val="Normal"/>
              <w:jc w:val="both"/>
              <w:rPr>
                <w:b/>
                <w:b/>
                <w:sz w:val="22"/>
                <w:szCs w:val="22"/>
                <w:lang w:eastAsia="ko-KR"/>
              </w:rPr>
            </w:pPr>
            <w:r>
              <w:rPr>
                <w:b/>
                <w:sz w:val="22"/>
                <w:szCs w:val="22"/>
                <w:lang w:eastAsia="ko-KR"/>
              </w:rPr>
            </w:r>
          </w:p>
          <w:p>
            <w:pPr>
              <w:pStyle w:val="Normal"/>
              <w:jc w:val="both"/>
              <w:rPr>
                <w:b/>
                <w:b/>
                <w:sz w:val="22"/>
                <w:szCs w:val="22"/>
                <w:lang w:eastAsia="ko-KR"/>
              </w:rPr>
            </w:pPr>
            <w:r>
              <w:rPr>
                <w:b/>
                <w:sz w:val="22"/>
                <w:szCs w:val="22"/>
                <w:lang w:eastAsia="ko-KR"/>
              </w:rPr>
              <w:t>n (%)</w:t>
            </w:r>
          </w:p>
        </w:tc>
        <w:tc>
          <w:tcPr>
            <w:tcW w:w="2170" w:type="dxa"/>
            <w:vMerge w:val="continue"/>
            <w:tcBorders>
              <w:top w:val="single" w:sz="4" w:space="0" w:color="000000"/>
              <w:left w:val="single" w:sz="4" w:space="0" w:color="000000"/>
              <w:right w:val="single" w:sz="4" w:space="0" w:color="000000"/>
              <w:insideV w:val="single" w:sz="4" w:space="0" w:color="000000"/>
            </w:tcBorders>
            <w:shd w:fill="auto" w:val="clear"/>
            <w:tcMar>
              <w:left w:w="103" w:type="dxa"/>
            </w:tcMar>
          </w:tcPr>
          <w:p>
            <w:pPr>
              <w:pStyle w:val="Normal"/>
              <w:snapToGrid w:val="false"/>
              <w:jc w:val="both"/>
              <w:rPr>
                <w:b/>
                <w:b/>
                <w:sz w:val="22"/>
                <w:szCs w:val="22"/>
                <w:lang w:eastAsia="ko-KR"/>
              </w:rPr>
            </w:pPr>
            <w:r>
              <w:rPr>
                <w:b/>
                <w:sz w:val="22"/>
                <w:szCs w:val="22"/>
                <w:lang w:eastAsia="ko-KR"/>
              </w:rPr>
            </w:r>
          </w:p>
        </w:tc>
      </w:tr>
      <w:tr>
        <w:trPr>
          <w:trHeight w:val="387" w:hRule="atLeast"/>
          <w:cantSplit w:val="true"/>
        </w:trPr>
        <w:tc>
          <w:tcPr>
            <w:tcW w:w="4068" w:type="dxa"/>
            <w:tcBorders>
              <w:top w:val="single" w:sz="4" w:space="0" w:color="000000"/>
              <w:left w:val="single" w:sz="4" w:space="0" w:color="000000"/>
            </w:tcBorders>
            <w:shd w:fill="auto" w:val="clear"/>
            <w:tcMar>
              <w:left w:w="103" w:type="dxa"/>
            </w:tcMar>
            <w:vAlign w:val="bottom"/>
          </w:tcPr>
          <w:p>
            <w:pPr>
              <w:pStyle w:val="Normal"/>
              <w:jc w:val="both"/>
              <w:rPr/>
            </w:pPr>
            <w:r>
              <w:rPr>
                <w:sz w:val="22"/>
                <w:szCs w:val="22"/>
                <w:lang w:eastAsia="ko-KR"/>
              </w:rPr>
              <w:t>Superficial Injuries, excluding eye</w:t>
            </w:r>
            <w:r>
              <w:rPr>
                <w:sz w:val="22"/>
                <w:szCs w:val="22"/>
                <w:vertAlign w:val="superscript"/>
                <w:lang w:eastAsia="ko-KR"/>
              </w:rPr>
              <w:t>1</w:t>
            </w:r>
          </w:p>
        </w:tc>
        <w:tc>
          <w:tcPr>
            <w:tcW w:w="1260" w:type="dxa"/>
            <w:tcBorders>
              <w:top w:val="single" w:sz="4" w:space="0" w:color="000000"/>
              <w:left w:val="single" w:sz="4" w:space="0" w:color="000000"/>
            </w:tcBorders>
            <w:shd w:fill="auto" w:val="clear"/>
            <w:tcMar>
              <w:left w:w="103" w:type="dxa"/>
            </w:tcMar>
          </w:tcPr>
          <w:p>
            <w:pPr>
              <w:pStyle w:val="Normal"/>
              <w:jc w:val="both"/>
              <w:rPr>
                <w:sz w:val="22"/>
                <w:szCs w:val="22"/>
                <w:lang w:eastAsia="ko-KR"/>
              </w:rPr>
            </w:pPr>
            <w:r>
              <w:rPr>
                <w:sz w:val="22"/>
                <w:szCs w:val="22"/>
                <w:lang w:eastAsia="ko-KR"/>
              </w:rPr>
              <w:t>506 (43.8)</w:t>
            </w:r>
          </w:p>
        </w:tc>
        <w:tc>
          <w:tcPr>
            <w:tcW w:w="1440" w:type="dxa"/>
            <w:tcBorders>
              <w:top w:val="single" w:sz="4" w:space="0" w:color="000000"/>
              <w:left w:val="single" w:sz="4" w:space="0" w:color="000000"/>
            </w:tcBorders>
            <w:shd w:fill="auto" w:val="clear"/>
            <w:tcMar>
              <w:left w:w="103" w:type="dxa"/>
            </w:tcMar>
          </w:tcPr>
          <w:p>
            <w:pPr>
              <w:pStyle w:val="Normal"/>
              <w:jc w:val="both"/>
              <w:rPr>
                <w:sz w:val="22"/>
                <w:szCs w:val="22"/>
                <w:lang w:eastAsia="ko-KR"/>
              </w:rPr>
            </w:pPr>
            <w:r>
              <w:rPr>
                <w:sz w:val="22"/>
                <w:szCs w:val="22"/>
                <w:lang w:eastAsia="ko-KR"/>
              </w:rPr>
              <w:t>300 (45.8)</w:t>
            </w:r>
          </w:p>
        </w:tc>
        <w:tc>
          <w:tcPr>
            <w:tcW w:w="1440" w:type="dxa"/>
            <w:tcBorders>
              <w:top w:val="single" w:sz="4" w:space="0" w:color="000000"/>
              <w:left w:val="single" w:sz="4" w:space="0" w:color="000000"/>
            </w:tcBorders>
            <w:shd w:fill="auto" w:val="clear"/>
            <w:tcMar>
              <w:left w:w="103" w:type="dxa"/>
            </w:tcMar>
          </w:tcPr>
          <w:p>
            <w:pPr>
              <w:pStyle w:val="Normal"/>
              <w:jc w:val="both"/>
              <w:rPr>
                <w:sz w:val="22"/>
                <w:szCs w:val="22"/>
                <w:lang w:eastAsia="ko-KR"/>
              </w:rPr>
            </w:pPr>
            <w:r>
              <w:rPr>
                <w:sz w:val="22"/>
                <w:szCs w:val="22"/>
                <w:lang w:eastAsia="ko-KR"/>
              </w:rPr>
              <w:t>806 (44.6)</w:t>
            </w:r>
          </w:p>
        </w:tc>
        <w:tc>
          <w:tcPr>
            <w:tcW w:w="2170" w:type="dxa"/>
            <w:tcBorders>
              <w:top w:val="single" w:sz="4" w:space="0" w:color="000000"/>
              <w:left w:val="single" w:sz="4" w:space="0" w:color="000000"/>
              <w:right w:val="single" w:sz="4" w:space="0" w:color="000000"/>
              <w:insideV w:val="single" w:sz="4" w:space="0" w:color="000000"/>
            </w:tcBorders>
            <w:shd w:fill="auto" w:val="clear"/>
            <w:tcMar>
              <w:left w:w="103" w:type="dxa"/>
            </w:tcMar>
          </w:tcPr>
          <w:p>
            <w:pPr>
              <w:pStyle w:val="Normal"/>
              <w:jc w:val="both"/>
              <w:rPr>
                <w:sz w:val="22"/>
                <w:szCs w:val="22"/>
                <w:lang w:eastAsia="ko-KR"/>
              </w:rPr>
            </w:pPr>
            <w:r>
              <w:rPr>
                <w:sz w:val="22"/>
                <w:szCs w:val="22"/>
                <w:lang w:eastAsia="ko-KR"/>
              </w:rPr>
              <w:t>1.05 (0.85 - 1.20)</w:t>
            </w:r>
          </w:p>
        </w:tc>
      </w:tr>
      <w:tr>
        <w:trPr>
          <w:trHeight w:val="360" w:hRule="atLeast"/>
          <w:cantSplit w:val="true"/>
        </w:trPr>
        <w:tc>
          <w:tcPr>
            <w:tcW w:w="4068" w:type="dxa"/>
            <w:tcBorders>
              <w:left w:val="single" w:sz="4" w:space="0" w:color="000000"/>
            </w:tcBorders>
            <w:shd w:fill="auto" w:val="clear"/>
            <w:tcMar>
              <w:left w:w="103" w:type="dxa"/>
            </w:tcMar>
            <w:vAlign w:val="bottom"/>
          </w:tcPr>
          <w:p>
            <w:pPr>
              <w:pStyle w:val="Normal"/>
              <w:jc w:val="both"/>
              <w:rPr>
                <w:b/>
                <w:b/>
              </w:rPr>
            </w:pPr>
            <w:r>
              <w:rPr>
                <w:sz w:val="22"/>
                <w:szCs w:val="22"/>
                <w:lang w:eastAsia="ko-KR"/>
              </w:rPr>
              <w:t>Open wound, excluding eye</w:t>
            </w:r>
            <w:r>
              <w:rPr>
                <w:sz w:val="22"/>
                <w:szCs w:val="22"/>
                <w:vertAlign w:val="superscript"/>
                <w:lang w:eastAsia="ko-KR"/>
              </w:rPr>
              <w:t>2</w:t>
            </w:r>
            <w:r>
              <w:rPr>
                <w:sz w:val="22"/>
                <w:szCs w:val="22"/>
                <w:lang w:eastAsia="ko-KR"/>
              </w:rPr>
              <w:t xml:space="preserve"> </w:t>
            </w:r>
          </w:p>
        </w:tc>
        <w:tc>
          <w:tcPr>
            <w:tcW w:w="126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66 (27.5)</w:t>
            </w:r>
          </w:p>
        </w:tc>
        <w:tc>
          <w:tcPr>
            <w:tcW w:w="144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110 (37.3)</w:t>
            </w:r>
          </w:p>
        </w:tc>
        <w:tc>
          <w:tcPr>
            <w:tcW w:w="144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176 (32.9)</w:t>
            </w:r>
          </w:p>
        </w:tc>
        <w:tc>
          <w:tcPr>
            <w:tcW w:w="2170" w:type="dxa"/>
            <w:tcBorders>
              <w:left w:val="single" w:sz="4" w:space="0" w:color="000000"/>
              <w:right w:val="single" w:sz="4" w:space="0" w:color="000000"/>
              <w:insideV w:val="single" w:sz="4" w:space="0" w:color="000000"/>
            </w:tcBorders>
            <w:shd w:fill="auto" w:val="clear"/>
            <w:tcMar>
              <w:left w:w="103" w:type="dxa"/>
            </w:tcMar>
          </w:tcPr>
          <w:p>
            <w:pPr>
              <w:pStyle w:val="Normal"/>
              <w:jc w:val="both"/>
              <w:rPr>
                <w:sz w:val="22"/>
                <w:szCs w:val="22"/>
                <w:lang w:eastAsia="ko-KR"/>
              </w:rPr>
            </w:pPr>
            <w:r>
              <w:rPr>
                <w:sz w:val="22"/>
                <w:szCs w:val="22"/>
                <w:lang w:eastAsia="ko-KR"/>
              </w:rPr>
              <w:t>1.36 (0.93 – 1.91) **</w:t>
            </w:r>
          </w:p>
        </w:tc>
      </w:tr>
      <w:tr>
        <w:trPr>
          <w:cantSplit w:val="true"/>
        </w:trPr>
        <w:tc>
          <w:tcPr>
            <w:tcW w:w="4068" w:type="dxa"/>
            <w:tcBorders>
              <w:left w:val="single" w:sz="4" w:space="0" w:color="000000"/>
            </w:tcBorders>
            <w:shd w:fill="auto" w:val="clear"/>
            <w:tcMar>
              <w:left w:w="103" w:type="dxa"/>
            </w:tcMar>
            <w:vAlign w:val="bottom"/>
          </w:tcPr>
          <w:p>
            <w:pPr>
              <w:pStyle w:val="Normal"/>
              <w:jc w:val="both"/>
              <w:rPr>
                <w:b/>
                <w:b/>
              </w:rPr>
            </w:pPr>
            <w:r>
              <w:rPr>
                <w:sz w:val="22"/>
                <w:szCs w:val="22"/>
                <w:lang w:eastAsia="ko-KR"/>
              </w:rPr>
              <w:t>Fracture, excluding tooth, including spine</w:t>
            </w:r>
          </w:p>
        </w:tc>
        <w:tc>
          <w:tcPr>
            <w:tcW w:w="1260" w:type="dxa"/>
            <w:tcBorders>
              <w:left w:val="single" w:sz="4" w:space="0" w:color="000000"/>
            </w:tcBorders>
            <w:shd w:fill="auto" w:val="clear"/>
            <w:tcMar>
              <w:left w:w="103" w:type="dxa"/>
            </w:tcMar>
          </w:tcPr>
          <w:p>
            <w:pPr>
              <w:pStyle w:val="Normal"/>
              <w:tabs>
                <w:tab w:val="left" w:pos="345" w:leader="none"/>
                <w:tab w:val="center" w:pos="882" w:leader="none"/>
              </w:tabs>
              <w:jc w:val="both"/>
              <w:rPr>
                <w:sz w:val="22"/>
                <w:szCs w:val="22"/>
                <w:lang w:eastAsia="ko-KR"/>
              </w:rPr>
            </w:pPr>
            <w:r>
              <w:rPr>
                <w:sz w:val="22"/>
                <w:szCs w:val="22"/>
                <w:lang w:eastAsia="ko-KR"/>
              </w:rPr>
              <w:t>458 (56.8)</w:t>
            </w:r>
          </w:p>
        </w:tc>
        <w:tc>
          <w:tcPr>
            <w:tcW w:w="144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756 (57.4)</w:t>
            </w:r>
          </w:p>
        </w:tc>
        <w:tc>
          <w:tcPr>
            <w:tcW w:w="144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1214 (57.2)</w:t>
            </w:r>
          </w:p>
        </w:tc>
        <w:tc>
          <w:tcPr>
            <w:tcW w:w="2170" w:type="dxa"/>
            <w:tcBorders>
              <w:left w:val="single" w:sz="4" w:space="0" w:color="000000"/>
              <w:right w:val="single" w:sz="4" w:space="0" w:color="000000"/>
              <w:insideV w:val="single" w:sz="4" w:space="0" w:color="000000"/>
            </w:tcBorders>
            <w:shd w:fill="auto" w:val="clear"/>
            <w:tcMar>
              <w:left w:w="103" w:type="dxa"/>
            </w:tcMar>
          </w:tcPr>
          <w:p>
            <w:pPr>
              <w:pStyle w:val="Normal"/>
              <w:jc w:val="both"/>
              <w:rPr>
                <w:sz w:val="22"/>
                <w:szCs w:val="22"/>
                <w:lang w:eastAsia="ko-KR"/>
              </w:rPr>
            </w:pPr>
            <w:r>
              <w:rPr>
                <w:sz w:val="22"/>
                <w:szCs w:val="22"/>
                <w:lang w:eastAsia="ko-KR"/>
              </w:rPr>
              <w:t>1.01 (0.88 - 1.18)</w:t>
            </w:r>
          </w:p>
        </w:tc>
      </w:tr>
      <w:tr>
        <w:trPr>
          <w:cantSplit w:val="true"/>
        </w:trPr>
        <w:tc>
          <w:tcPr>
            <w:tcW w:w="4068" w:type="dxa"/>
            <w:tcBorders>
              <w:left w:val="single" w:sz="4" w:space="0" w:color="000000"/>
            </w:tcBorders>
            <w:shd w:fill="auto" w:val="clear"/>
            <w:tcMar>
              <w:left w:w="103" w:type="dxa"/>
            </w:tcMar>
            <w:vAlign w:val="bottom"/>
          </w:tcPr>
          <w:p>
            <w:pPr>
              <w:pStyle w:val="Normal"/>
              <w:jc w:val="both"/>
              <w:rPr>
                <w:b/>
                <w:b/>
              </w:rPr>
            </w:pPr>
            <w:r>
              <w:rPr>
                <w:sz w:val="22"/>
                <w:szCs w:val="22"/>
                <w:lang w:eastAsia="ko-KR"/>
              </w:rPr>
              <w:t>Dislocation; including subluxation, spine</w:t>
            </w:r>
          </w:p>
        </w:tc>
        <w:tc>
          <w:tcPr>
            <w:tcW w:w="126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67 (72.8)</w:t>
            </w:r>
          </w:p>
        </w:tc>
        <w:tc>
          <w:tcPr>
            <w:tcW w:w="144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106 (63.9)</w:t>
            </w:r>
          </w:p>
        </w:tc>
        <w:tc>
          <w:tcPr>
            <w:tcW w:w="144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173 (67.1)</w:t>
            </w:r>
          </w:p>
        </w:tc>
        <w:tc>
          <w:tcPr>
            <w:tcW w:w="2170" w:type="dxa"/>
            <w:tcBorders>
              <w:left w:val="single" w:sz="4" w:space="0" w:color="000000"/>
              <w:right w:val="single" w:sz="4" w:space="0" w:color="000000"/>
              <w:insideV w:val="single" w:sz="4" w:space="0" w:color="000000"/>
            </w:tcBorders>
            <w:shd w:fill="auto" w:val="clear"/>
            <w:tcMar>
              <w:left w:w="103" w:type="dxa"/>
            </w:tcMar>
          </w:tcPr>
          <w:p>
            <w:pPr>
              <w:pStyle w:val="Normal"/>
              <w:jc w:val="both"/>
              <w:rPr>
                <w:sz w:val="22"/>
                <w:szCs w:val="22"/>
                <w:lang w:eastAsia="ko-KR"/>
              </w:rPr>
            </w:pPr>
            <w:r>
              <w:rPr>
                <w:sz w:val="22"/>
                <w:szCs w:val="22"/>
                <w:lang w:eastAsia="ko-KR"/>
              </w:rPr>
              <w:t>0.88 (0.4 - 1.1)</w:t>
            </w:r>
          </w:p>
        </w:tc>
      </w:tr>
      <w:tr>
        <w:trPr>
          <w:cantSplit w:val="true"/>
        </w:trPr>
        <w:tc>
          <w:tcPr>
            <w:tcW w:w="4068" w:type="dxa"/>
            <w:tcBorders>
              <w:left w:val="single" w:sz="4" w:space="0" w:color="000000"/>
            </w:tcBorders>
            <w:shd w:fill="auto" w:val="clear"/>
            <w:tcMar>
              <w:left w:w="103" w:type="dxa"/>
            </w:tcMar>
            <w:vAlign w:val="bottom"/>
          </w:tcPr>
          <w:p>
            <w:pPr>
              <w:pStyle w:val="Normal"/>
              <w:jc w:val="both"/>
              <w:rPr>
                <w:b/>
                <w:b/>
              </w:rPr>
            </w:pPr>
            <w:r>
              <w:rPr>
                <w:sz w:val="22"/>
                <w:szCs w:val="22"/>
                <w:lang w:eastAsia="ko-KR"/>
              </w:rPr>
              <w:t>Sprain or strain, including upper and lower back</w:t>
            </w:r>
          </w:p>
        </w:tc>
        <w:tc>
          <w:tcPr>
            <w:tcW w:w="126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310 (48.2)</w:t>
            </w:r>
          </w:p>
        </w:tc>
        <w:tc>
          <w:tcPr>
            <w:tcW w:w="144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485(56.1)</w:t>
            </w:r>
          </w:p>
        </w:tc>
        <w:tc>
          <w:tcPr>
            <w:tcW w:w="144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795 (52.7)</w:t>
            </w:r>
          </w:p>
        </w:tc>
        <w:tc>
          <w:tcPr>
            <w:tcW w:w="2170" w:type="dxa"/>
            <w:tcBorders>
              <w:left w:val="single" w:sz="4" w:space="0" w:color="000000"/>
              <w:right w:val="single" w:sz="4" w:space="0" w:color="000000"/>
              <w:insideV w:val="single" w:sz="4" w:space="0" w:color="000000"/>
            </w:tcBorders>
            <w:shd w:fill="auto" w:val="clear"/>
            <w:tcMar>
              <w:left w:w="103" w:type="dxa"/>
            </w:tcMar>
          </w:tcPr>
          <w:p>
            <w:pPr>
              <w:pStyle w:val="Normal"/>
              <w:jc w:val="both"/>
              <w:rPr>
                <w:sz w:val="22"/>
                <w:szCs w:val="22"/>
                <w:lang w:eastAsia="ko-KR"/>
              </w:rPr>
            </w:pPr>
            <w:r>
              <w:rPr>
                <w:sz w:val="22"/>
                <w:szCs w:val="22"/>
                <w:lang w:eastAsia="ko-KR"/>
              </w:rPr>
              <w:t>1.16 (0.97 - 1.38) **</w:t>
            </w:r>
          </w:p>
        </w:tc>
      </w:tr>
      <w:tr>
        <w:trPr>
          <w:trHeight w:val="243" w:hRule="atLeast"/>
          <w:cantSplit w:val="true"/>
        </w:trPr>
        <w:tc>
          <w:tcPr>
            <w:tcW w:w="4068" w:type="dxa"/>
            <w:tcBorders>
              <w:left w:val="single" w:sz="4" w:space="0" w:color="000000"/>
            </w:tcBorders>
            <w:shd w:fill="auto" w:val="clear"/>
            <w:tcMar>
              <w:left w:w="103" w:type="dxa"/>
            </w:tcMar>
            <w:vAlign w:val="bottom"/>
          </w:tcPr>
          <w:p>
            <w:pPr>
              <w:pStyle w:val="Normal"/>
              <w:jc w:val="both"/>
              <w:rPr>
                <w:sz w:val="22"/>
                <w:szCs w:val="22"/>
                <w:lang w:eastAsia="ko-KR"/>
              </w:rPr>
            </w:pPr>
            <w:r>
              <w:rPr>
                <w:sz w:val="22"/>
                <w:szCs w:val="22"/>
                <w:lang w:eastAsia="ko-KR"/>
              </w:rPr>
              <w:t xml:space="preserve">Injury to Muscle or tendon </w:t>
            </w:r>
            <w:r>
              <w:rPr>
                <w:sz w:val="22"/>
                <w:szCs w:val="22"/>
                <w:vertAlign w:val="superscript"/>
                <w:lang w:eastAsia="ko-KR"/>
              </w:rPr>
              <w:t xml:space="preserve">3 </w:t>
            </w:r>
          </w:p>
        </w:tc>
        <w:tc>
          <w:tcPr>
            <w:tcW w:w="126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14 (46.7)</w:t>
            </w:r>
          </w:p>
        </w:tc>
        <w:tc>
          <w:tcPr>
            <w:tcW w:w="144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98 (51.6)</w:t>
            </w:r>
          </w:p>
        </w:tc>
        <w:tc>
          <w:tcPr>
            <w:tcW w:w="144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112 (50.9)</w:t>
            </w:r>
          </w:p>
        </w:tc>
        <w:tc>
          <w:tcPr>
            <w:tcW w:w="2170" w:type="dxa"/>
            <w:tcBorders>
              <w:left w:val="single" w:sz="4" w:space="0" w:color="000000"/>
              <w:right w:val="single" w:sz="4" w:space="0" w:color="000000"/>
              <w:insideV w:val="single" w:sz="4" w:space="0" w:color="000000"/>
            </w:tcBorders>
            <w:shd w:fill="auto" w:val="clear"/>
            <w:tcMar>
              <w:left w:w="103" w:type="dxa"/>
            </w:tcMar>
          </w:tcPr>
          <w:p>
            <w:pPr>
              <w:pStyle w:val="Normal"/>
              <w:jc w:val="both"/>
              <w:rPr>
                <w:sz w:val="22"/>
                <w:szCs w:val="22"/>
                <w:lang w:eastAsia="ko-KR"/>
              </w:rPr>
            </w:pPr>
            <w:r>
              <w:rPr>
                <w:sz w:val="22"/>
                <w:szCs w:val="22"/>
                <w:lang w:eastAsia="ko-KR"/>
              </w:rPr>
              <w:t>0 (0.5 – 1.95)</w:t>
            </w:r>
          </w:p>
        </w:tc>
      </w:tr>
      <w:tr>
        <w:trPr>
          <w:trHeight w:val="270" w:hRule="atLeast"/>
          <w:cantSplit w:val="true"/>
        </w:trPr>
        <w:tc>
          <w:tcPr>
            <w:tcW w:w="4068" w:type="dxa"/>
            <w:tcBorders>
              <w:left w:val="single" w:sz="4" w:space="0" w:color="000000"/>
            </w:tcBorders>
            <w:shd w:fill="auto" w:val="clear"/>
            <w:tcMar>
              <w:left w:w="103" w:type="dxa"/>
            </w:tcMar>
            <w:vAlign w:val="bottom"/>
          </w:tcPr>
          <w:p>
            <w:pPr>
              <w:pStyle w:val="Normal"/>
              <w:jc w:val="both"/>
              <w:rPr>
                <w:sz w:val="22"/>
                <w:szCs w:val="22"/>
                <w:lang w:eastAsia="ko-KR"/>
              </w:rPr>
            </w:pPr>
            <w:r>
              <w:rPr>
                <w:sz w:val="22"/>
                <w:szCs w:val="22"/>
                <w:lang w:eastAsia="ko-KR"/>
              </w:rPr>
              <w:t>Injury to internal organ</w:t>
            </w:r>
          </w:p>
        </w:tc>
        <w:tc>
          <w:tcPr>
            <w:tcW w:w="126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8 (80.0)</w:t>
            </w:r>
          </w:p>
        </w:tc>
        <w:tc>
          <w:tcPr>
            <w:tcW w:w="144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12 (66.7)</w:t>
            </w:r>
          </w:p>
        </w:tc>
        <w:tc>
          <w:tcPr>
            <w:tcW w:w="144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20 (71.4)</w:t>
            </w:r>
          </w:p>
        </w:tc>
        <w:tc>
          <w:tcPr>
            <w:tcW w:w="2170" w:type="dxa"/>
            <w:tcBorders>
              <w:left w:val="single" w:sz="4" w:space="0" w:color="000000"/>
              <w:right w:val="single" w:sz="4" w:space="0" w:color="000000"/>
              <w:insideV w:val="single" w:sz="4" w:space="0" w:color="000000"/>
            </w:tcBorders>
            <w:shd w:fill="auto" w:val="clear"/>
            <w:tcMar>
              <w:left w:w="103" w:type="dxa"/>
            </w:tcMar>
          </w:tcPr>
          <w:p>
            <w:pPr>
              <w:pStyle w:val="Normal"/>
              <w:jc w:val="both"/>
              <w:rPr>
                <w:sz w:val="22"/>
                <w:szCs w:val="22"/>
                <w:lang w:eastAsia="ko-KR"/>
              </w:rPr>
            </w:pPr>
            <w:r>
              <w:rPr>
                <w:sz w:val="22"/>
                <w:szCs w:val="22"/>
                <w:lang w:eastAsia="ko-KR"/>
              </w:rPr>
              <w:t>0.69 (0.29 – 3.15)</w:t>
            </w:r>
          </w:p>
        </w:tc>
      </w:tr>
      <w:tr>
        <w:trPr>
          <w:trHeight w:val="270" w:hRule="atLeast"/>
          <w:cantSplit w:val="true"/>
        </w:trPr>
        <w:tc>
          <w:tcPr>
            <w:tcW w:w="4068" w:type="dxa"/>
            <w:tcBorders>
              <w:left w:val="single" w:sz="4" w:space="0" w:color="000000"/>
            </w:tcBorders>
            <w:shd w:fill="auto" w:val="clear"/>
            <w:tcMar>
              <w:left w:w="103" w:type="dxa"/>
            </w:tcMar>
            <w:vAlign w:val="bottom"/>
          </w:tcPr>
          <w:p>
            <w:pPr>
              <w:pStyle w:val="Normal"/>
              <w:jc w:val="both"/>
              <w:rPr>
                <w:sz w:val="22"/>
                <w:szCs w:val="22"/>
                <w:lang w:eastAsia="ko-KR"/>
              </w:rPr>
            </w:pPr>
            <w:r>
              <w:rPr>
                <w:sz w:val="22"/>
                <w:szCs w:val="22"/>
                <w:lang w:eastAsia="ko-KR"/>
              </w:rPr>
              <w:t xml:space="preserve">Soft Tissue injury </w:t>
            </w:r>
          </w:p>
        </w:tc>
        <w:tc>
          <w:tcPr>
            <w:tcW w:w="126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4 (26.7)</w:t>
            </w:r>
          </w:p>
        </w:tc>
        <w:tc>
          <w:tcPr>
            <w:tcW w:w="144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408 (47.9)</w:t>
            </w:r>
          </w:p>
        </w:tc>
        <w:tc>
          <w:tcPr>
            <w:tcW w:w="144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412 (47.5)</w:t>
            </w:r>
          </w:p>
        </w:tc>
        <w:tc>
          <w:tcPr>
            <w:tcW w:w="2170" w:type="dxa"/>
            <w:tcBorders>
              <w:left w:val="single" w:sz="4" w:space="0" w:color="000000"/>
              <w:right w:val="single" w:sz="4" w:space="0" w:color="000000"/>
              <w:insideV w:val="single" w:sz="4" w:space="0" w:color="000000"/>
            </w:tcBorders>
            <w:shd w:fill="auto" w:val="clear"/>
            <w:tcMar>
              <w:left w:w="103" w:type="dxa"/>
            </w:tcMar>
          </w:tcPr>
          <w:p>
            <w:pPr>
              <w:pStyle w:val="Normal"/>
              <w:jc w:val="both"/>
              <w:rPr>
                <w:sz w:val="22"/>
                <w:szCs w:val="22"/>
                <w:lang w:eastAsia="ko-KR"/>
              </w:rPr>
            </w:pPr>
            <w:r>
              <w:rPr>
                <w:sz w:val="22"/>
                <w:szCs w:val="22"/>
                <w:lang w:eastAsia="ko-KR"/>
              </w:rPr>
              <w:t>1.73 (0.58 – 5.21)</w:t>
            </w:r>
          </w:p>
        </w:tc>
      </w:tr>
      <w:tr>
        <w:trPr>
          <w:cantSplit w:val="true"/>
        </w:trPr>
        <w:tc>
          <w:tcPr>
            <w:tcW w:w="4068" w:type="dxa"/>
            <w:tcBorders>
              <w:left w:val="single" w:sz="4" w:space="0" w:color="000000"/>
            </w:tcBorders>
            <w:shd w:fill="auto" w:val="clear"/>
            <w:tcMar>
              <w:left w:w="103" w:type="dxa"/>
            </w:tcMar>
            <w:vAlign w:val="bottom"/>
          </w:tcPr>
          <w:p>
            <w:pPr>
              <w:pStyle w:val="Normal"/>
              <w:jc w:val="both"/>
              <w:rPr>
                <w:b/>
                <w:b/>
              </w:rPr>
            </w:pPr>
            <w:r>
              <w:rPr>
                <w:sz w:val="22"/>
                <w:szCs w:val="22"/>
                <w:lang w:eastAsia="ko-KR"/>
              </w:rPr>
              <w:t>Minor Head Injury</w:t>
            </w:r>
          </w:p>
        </w:tc>
        <w:tc>
          <w:tcPr>
            <w:tcW w:w="126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87 (52.7)</w:t>
            </w:r>
          </w:p>
        </w:tc>
        <w:tc>
          <w:tcPr>
            <w:tcW w:w="144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287 (66.4)</w:t>
            </w:r>
          </w:p>
        </w:tc>
        <w:tc>
          <w:tcPr>
            <w:tcW w:w="144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374 (62.6)</w:t>
            </w:r>
          </w:p>
        </w:tc>
        <w:tc>
          <w:tcPr>
            <w:tcW w:w="2170" w:type="dxa"/>
            <w:tcBorders>
              <w:left w:val="single" w:sz="4" w:space="0" w:color="000000"/>
              <w:right w:val="single" w:sz="4" w:space="0" w:color="000000"/>
              <w:insideV w:val="single" w:sz="4" w:space="0" w:color="000000"/>
            </w:tcBorders>
            <w:shd w:fill="auto" w:val="clear"/>
            <w:tcMar>
              <w:left w:w="103" w:type="dxa"/>
            </w:tcMar>
          </w:tcPr>
          <w:p>
            <w:pPr>
              <w:pStyle w:val="Normal"/>
              <w:jc w:val="both"/>
              <w:rPr>
                <w:sz w:val="22"/>
                <w:szCs w:val="22"/>
                <w:lang w:eastAsia="ko-KR"/>
              </w:rPr>
            </w:pPr>
            <w:r>
              <w:rPr>
                <w:sz w:val="22"/>
                <w:szCs w:val="22"/>
                <w:lang w:eastAsia="ko-KR"/>
              </w:rPr>
              <w:t>1.24 (0.92 – 1.67)**</w:t>
            </w:r>
          </w:p>
        </w:tc>
      </w:tr>
      <w:tr>
        <w:trPr>
          <w:trHeight w:val="315" w:hRule="atLeast"/>
          <w:cantSplit w:val="true"/>
        </w:trPr>
        <w:tc>
          <w:tcPr>
            <w:tcW w:w="4068" w:type="dxa"/>
            <w:tcBorders>
              <w:left w:val="single" w:sz="4" w:space="0" w:color="000000"/>
            </w:tcBorders>
            <w:shd w:fill="auto" w:val="clear"/>
            <w:tcMar>
              <w:left w:w="103" w:type="dxa"/>
            </w:tcMar>
            <w:vAlign w:val="bottom"/>
          </w:tcPr>
          <w:p>
            <w:pPr>
              <w:pStyle w:val="Normal"/>
              <w:jc w:val="both"/>
              <w:rPr>
                <w:b/>
                <w:b/>
              </w:rPr>
            </w:pPr>
            <w:r>
              <w:rPr>
                <w:sz w:val="22"/>
                <w:szCs w:val="22"/>
                <w:lang w:eastAsia="ko-KR"/>
              </w:rPr>
              <w:t>Concussion</w:t>
            </w:r>
          </w:p>
        </w:tc>
        <w:tc>
          <w:tcPr>
            <w:tcW w:w="126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56 (63.6)</w:t>
            </w:r>
          </w:p>
        </w:tc>
        <w:tc>
          <w:tcPr>
            <w:tcW w:w="144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212 (71.4)</w:t>
            </w:r>
          </w:p>
        </w:tc>
        <w:tc>
          <w:tcPr>
            <w:tcW w:w="1440" w:type="dxa"/>
            <w:tcBorders>
              <w:left w:val="single" w:sz="4" w:space="0" w:color="000000"/>
            </w:tcBorders>
            <w:shd w:fill="auto" w:val="clear"/>
            <w:tcMar>
              <w:left w:w="103" w:type="dxa"/>
            </w:tcMar>
          </w:tcPr>
          <w:p>
            <w:pPr>
              <w:pStyle w:val="Normal"/>
              <w:jc w:val="both"/>
              <w:rPr>
                <w:sz w:val="22"/>
                <w:szCs w:val="22"/>
                <w:lang w:eastAsia="ko-KR"/>
              </w:rPr>
            </w:pPr>
            <w:r>
              <w:rPr>
                <w:sz w:val="22"/>
                <w:szCs w:val="22"/>
                <w:lang w:eastAsia="ko-KR"/>
              </w:rPr>
              <w:t>268 (69.6)</w:t>
            </w:r>
          </w:p>
        </w:tc>
        <w:tc>
          <w:tcPr>
            <w:tcW w:w="2170" w:type="dxa"/>
            <w:tcBorders>
              <w:left w:val="single" w:sz="4" w:space="0" w:color="000000"/>
              <w:right w:val="single" w:sz="4" w:space="0" w:color="000000"/>
              <w:insideV w:val="single" w:sz="4" w:space="0" w:color="000000"/>
            </w:tcBorders>
            <w:shd w:fill="auto" w:val="clear"/>
            <w:tcMar>
              <w:left w:w="103" w:type="dxa"/>
            </w:tcMar>
          </w:tcPr>
          <w:p>
            <w:pPr>
              <w:pStyle w:val="Normal"/>
              <w:jc w:val="both"/>
              <w:rPr>
                <w:sz w:val="22"/>
                <w:szCs w:val="22"/>
                <w:lang w:eastAsia="ko-KR"/>
              </w:rPr>
            </w:pPr>
            <w:r>
              <w:rPr>
                <w:sz w:val="22"/>
                <w:szCs w:val="22"/>
                <w:lang w:eastAsia="ko-KR"/>
              </w:rPr>
              <w:t xml:space="preserve">1.05 (0.72 - 1.52) </w:t>
            </w:r>
          </w:p>
        </w:tc>
      </w:tr>
      <w:tr>
        <w:trPr>
          <w:trHeight w:val="315" w:hRule="atLeast"/>
          <w:cantSplit w:val="true"/>
        </w:trPr>
        <w:tc>
          <w:tcPr>
            <w:tcW w:w="4068"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both"/>
              <w:rPr>
                <w:sz w:val="22"/>
                <w:szCs w:val="22"/>
                <w:lang w:eastAsia="ko-KR"/>
              </w:rPr>
            </w:pPr>
            <w:r>
              <w:rPr>
                <w:sz w:val="22"/>
                <w:szCs w:val="22"/>
                <w:lang w:eastAsia="ko-KR"/>
              </w:rPr>
              <w:t>Minor head injury &amp; concussion (combined)</w:t>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jc w:val="both"/>
              <w:rPr>
                <w:sz w:val="22"/>
                <w:szCs w:val="22"/>
                <w:lang w:eastAsia="ko-KR"/>
              </w:rPr>
            </w:pPr>
            <w:r>
              <w:rPr>
                <w:sz w:val="22"/>
                <w:szCs w:val="22"/>
                <w:lang w:eastAsia="ko-KR"/>
              </w:rPr>
              <w:t>143 (56.5)</w:t>
            </w:r>
          </w:p>
        </w:tc>
        <w:tc>
          <w:tcPr>
            <w:tcW w:w="1440" w:type="dxa"/>
            <w:tcBorders>
              <w:left w:val="single" w:sz="4" w:space="0" w:color="000000"/>
              <w:bottom w:val="single" w:sz="4" w:space="0" w:color="000000"/>
              <w:insideH w:val="single" w:sz="4" w:space="0" w:color="000000"/>
            </w:tcBorders>
            <w:shd w:fill="auto" w:val="clear"/>
            <w:tcMar>
              <w:left w:w="103" w:type="dxa"/>
            </w:tcMar>
          </w:tcPr>
          <w:p>
            <w:pPr>
              <w:pStyle w:val="Normal"/>
              <w:jc w:val="both"/>
              <w:rPr>
                <w:sz w:val="22"/>
                <w:szCs w:val="22"/>
                <w:lang w:eastAsia="ko-KR"/>
              </w:rPr>
            </w:pPr>
            <w:r>
              <w:rPr>
                <w:sz w:val="22"/>
                <w:szCs w:val="22"/>
                <w:lang w:eastAsia="ko-KR"/>
              </w:rPr>
              <w:t>499 (68.4)</w:t>
            </w:r>
          </w:p>
        </w:tc>
        <w:tc>
          <w:tcPr>
            <w:tcW w:w="1440" w:type="dxa"/>
            <w:tcBorders>
              <w:left w:val="single" w:sz="4" w:space="0" w:color="000000"/>
              <w:bottom w:val="single" w:sz="4" w:space="0" w:color="000000"/>
              <w:insideH w:val="single" w:sz="4" w:space="0" w:color="000000"/>
            </w:tcBorders>
            <w:shd w:fill="auto" w:val="clear"/>
            <w:tcMar>
              <w:left w:w="103" w:type="dxa"/>
            </w:tcMar>
          </w:tcPr>
          <w:p>
            <w:pPr>
              <w:pStyle w:val="Normal"/>
              <w:jc w:val="both"/>
              <w:rPr>
                <w:sz w:val="22"/>
                <w:szCs w:val="22"/>
                <w:lang w:eastAsia="ko-KR"/>
              </w:rPr>
            </w:pPr>
            <w:r>
              <w:rPr>
                <w:sz w:val="22"/>
                <w:szCs w:val="22"/>
                <w:lang w:eastAsia="ko-KR"/>
              </w:rPr>
              <w:t>642 (65.4)</w:t>
            </w:r>
          </w:p>
        </w:tc>
        <w:tc>
          <w:tcPr>
            <w:tcW w:w="21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sz w:val="22"/>
                <w:szCs w:val="22"/>
                <w:lang w:eastAsia="ko-KR"/>
              </w:rPr>
            </w:pPr>
            <w:r>
              <w:rPr>
                <w:sz w:val="22"/>
                <w:szCs w:val="22"/>
                <w:lang w:eastAsia="ko-KR"/>
              </w:rPr>
              <w:t>1.17 (0.93 – 1.48)**</w:t>
            </w:r>
          </w:p>
        </w:tc>
      </w:tr>
    </w:tbl>
    <w:p>
      <w:pPr>
        <w:pStyle w:val="TextBodyIndent"/>
        <w:spacing w:lineRule="auto" w:line="240"/>
        <w:ind w:hanging="0"/>
        <w:jc w:val="both"/>
        <w:rPr>
          <w:bCs/>
          <w:vertAlign w:val="superscript"/>
        </w:rPr>
      </w:pPr>
      <w:r>
        <w:rPr>
          <w:bCs/>
          <w:vertAlign w:val="superscript"/>
        </w:rPr>
      </w:r>
    </w:p>
    <w:p>
      <w:pPr>
        <w:pStyle w:val="TextBodyIndent"/>
        <w:spacing w:lineRule="auto" w:line="240"/>
        <w:ind w:hanging="0"/>
        <w:jc w:val="both"/>
        <w:rPr/>
      </w:pPr>
      <w:r>
        <w:rPr>
          <w:bCs/>
          <w:vertAlign w:val="superscript"/>
        </w:rPr>
        <w:t>1</w:t>
      </w:r>
      <w:r>
        <w:rPr>
          <w:bCs/>
        </w:rPr>
        <w:t xml:space="preserve"> Includes bruises, abrasions, irritation of skin and mucous membranes</w:t>
      </w:r>
    </w:p>
    <w:p>
      <w:pPr>
        <w:pStyle w:val="TextBodyIndent"/>
        <w:spacing w:lineRule="auto" w:line="240"/>
        <w:ind w:hanging="0"/>
        <w:jc w:val="both"/>
        <w:rPr>
          <w:bCs/>
        </w:rPr>
      </w:pPr>
      <w:r>
        <w:rPr>
          <w:bCs/>
          <w:vertAlign w:val="superscript"/>
        </w:rPr>
        <w:t>2</w:t>
      </w:r>
      <w:r>
        <w:rPr>
          <w:bCs/>
        </w:rPr>
        <w:t xml:space="preserve"> Including minor cuts, lacerations, punctures and penetrating wounds</w:t>
      </w:r>
    </w:p>
    <w:p>
      <w:pPr>
        <w:pStyle w:val="TextBodyIndent"/>
        <w:spacing w:lineRule="auto" w:line="240"/>
        <w:ind w:hanging="0"/>
        <w:jc w:val="both"/>
        <w:rPr>
          <w:bCs/>
        </w:rPr>
      </w:pPr>
      <w:r>
        <w:rPr>
          <w:bCs/>
          <w:vertAlign w:val="superscript"/>
        </w:rPr>
        <w:t>3</w:t>
      </w:r>
      <w:r>
        <w:rPr>
          <w:bCs/>
        </w:rPr>
        <w:t xml:space="preserve"> Including severing and rupture and excludes sprain or strain </w:t>
      </w:r>
    </w:p>
    <w:p>
      <w:pPr>
        <w:pStyle w:val="TextBodyIndent"/>
        <w:spacing w:lineRule="auto" w:line="240"/>
        <w:ind w:hanging="0"/>
        <w:jc w:val="both"/>
        <w:rPr>
          <w:bCs/>
        </w:rPr>
      </w:pPr>
      <w:r>
        <w:rPr>
          <w:bCs/>
        </w:rPr>
        <w:t>** Statistically significant at the 0.05 level (2-tailed)</w:t>
      </w:r>
    </w:p>
    <w:p>
      <w:pPr>
        <w:pStyle w:val="TextBodyIndent"/>
        <w:spacing w:lineRule="auto" w:line="240"/>
        <w:ind w:hanging="0"/>
        <w:jc w:val="both"/>
        <w:rPr/>
      </w:pPr>
      <w:r>
        <w:rPr/>
        <w:t>Source: Canadian Hospitals Injury Reporting and Prevention Program</w:t>
      </w:r>
    </w:p>
    <w:p>
      <w:pPr>
        <w:pStyle w:val="TextBodyIndent"/>
        <w:spacing w:lineRule="auto" w:line="240"/>
        <w:ind w:hanging="0"/>
        <w:jc w:val="both"/>
        <w:rPr/>
      </w:pPr>
      <w:r>
        <w:rPr/>
      </w:r>
    </w:p>
    <w:p>
      <w:pPr>
        <w:pStyle w:val="TextBodyIndent"/>
        <w:spacing w:lineRule="auto" w:line="240"/>
        <w:ind w:left="720" w:hanging="0"/>
        <w:jc w:val="both"/>
        <w:rPr>
          <w:bCs/>
        </w:rPr>
      </w:pPr>
      <w:r>
        <w:rPr>
          <w:bCs/>
        </w:rPr>
      </w:r>
    </w:p>
    <w:p>
      <w:pPr>
        <w:pStyle w:val="TextBodyIndent"/>
        <w:spacing w:lineRule="auto" w:line="240"/>
        <w:ind w:hanging="0"/>
        <w:jc w:val="both"/>
        <w:rPr>
          <w:b/>
          <w:b/>
          <w:bCs/>
        </w:rPr>
      </w:pPr>
      <w:r>
        <w:rPr>
          <w:b/>
          <w:bCs/>
        </w:rPr>
        <w:t>Body Part affected</w:t>
      </w:r>
    </w:p>
    <w:p>
      <w:pPr>
        <w:pStyle w:val="TextBodyIndent"/>
        <w:spacing w:lineRule="auto" w:line="240"/>
        <w:ind w:hanging="0"/>
        <w:jc w:val="both"/>
        <w:rPr>
          <w:b/>
          <w:b/>
          <w:bCs/>
        </w:rPr>
      </w:pPr>
      <w:r>
        <w:rPr>
          <w:b/>
          <w:bCs/>
        </w:rPr>
      </w:r>
    </w:p>
    <w:p>
      <w:pPr>
        <w:pStyle w:val="Normal"/>
        <w:spacing w:lineRule="auto" w:line="480"/>
        <w:ind w:firstLine="720"/>
        <w:jc w:val="both"/>
        <w:rPr>
          <w:lang w:eastAsia="ko-KR"/>
        </w:rPr>
      </w:pPr>
      <w:r>
        <w:rPr>
          <w:lang w:eastAsia="ko-KR"/>
        </w:rPr>
        <w:t xml:space="preserve">The most common body parts affected as a result of body checking injuries were the shoulders and arms, followed by head, neck, hip and leg (Table 4). The odds of an ED visit due to an injury related to body checking increased in most body parts (except to the hip and leg) after the rule change. The proportion of injuries associated with body checking to the head and neck increased significantly by approximately 40% (OR=1.52, 95% CI [1.26 -1.84]) following the lowering of the legal age for body contact. </w:t>
      </w:r>
    </w:p>
    <w:p>
      <w:pPr>
        <w:pStyle w:val="Normal"/>
        <w:spacing w:lineRule="auto" w:line="480"/>
        <w:ind w:firstLine="720"/>
        <w:jc w:val="both"/>
        <w:rPr>
          <w:lang w:eastAsia="ko-KR"/>
        </w:rPr>
      </w:pPr>
      <w:r>
        <w:rPr>
          <w:lang w:eastAsia="ko-KR"/>
        </w:rPr>
      </w:r>
    </w:p>
    <w:p>
      <w:pPr>
        <w:pStyle w:val="Normal"/>
        <w:jc w:val="both"/>
        <w:rPr>
          <w:b/>
          <w:b/>
          <w:lang w:eastAsia="ko-KR"/>
        </w:rPr>
      </w:pPr>
      <w:r>
        <w:rPr>
          <w:b/>
          <w:lang w:eastAsia="ko-KR"/>
        </w:rPr>
      </w:r>
    </w:p>
    <w:p>
      <w:pPr>
        <w:pStyle w:val="Normal"/>
        <w:jc w:val="both"/>
        <w:rPr/>
      </w:pPr>
      <w:r>
        <w:rPr>
          <w:b/>
          <w:lang w:eastAsia="ko-KR"/>
        </w:rPr>
        <w:t xml:space="preserve">Table 4. </w:t>
      </w:r>
      <w:r>
        <w:rPr>
          <w:lang w:eastAsia="ko-KR"/>
        </w:rPr>
        <w:t xml:space="preserve">Number of body checking injuries categorized by body part affected  </w:t>
      </w:r>
    </w:p>
    <w:p>
      <w:pPr>
        <w:pStyle w:val="Normal"/>
        <w:ind w:left="720" w:hanging="720"/>
        <w:jc w:val="both"/>
        <w:rPr>
          <w:lang w:eastAsia="ko-KR"/>
        </w:rPr>
      </w:pPr>
      <w:r>
        <w:rPr>
          <w:lang w:eastAsia="ko-KR"/>
        </w:rPr>
        <w:t xml:space="preserve"> </w:t>
      </w:r>
      <w:r>
        <w:rPr>
          <w:lang w:eastAsia="ko-KR"/>
        </w:rPr>
        <w:t>(1994/1995-2003/2004)</w:t>
      </w:r>
    </w:p>
    <w:p>
      <w:pPr>
        <w:pStyle w:val="Normal"/>
        <w:ind w:left="720" w:hanging="0"/>
        <w:jc w:val="both"/>
        <w:rPr>
          <w:lang w:eastAsia="ko-KR"/>
        </w:rPr>
      </w:pPr>
      <w:r>
        <w:rPr>
          <w:lang w:eastAsia="ko-KR"/>
        </w:rPr>
      </w:r>
    </w:p>
    <w:tbl>
      <w:tblPr>
        <w:tblW w:w="8110"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700"/>
        <w:gridCol w:w="1440"/>
        <w:gridCol w:w="1800"/>
        <w:gridCol w:w="2170"/>
      </w:tblGrid>
      <w:tr>
        <w:trPr>
          <w:cantSplit w:val="true"/>
        </w:trPr>
        <w:tc>
          <w:tcPr>
            <w:tcW w:w="2700" w:type="dxa"/>
            <w:vMerge w:val="restart"/>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jc w:val="both"/>
              <w:rPr>
                <w:b/>
                <w:b/>
              </w:rPr>
            </w:pPr>
            <w:r>
              <w:rPr>
                <w:b/>
              </w:rPr>
              <w:t xml:space="preserve">Body Part  </w:t>
            </w:r>
          </w:p>
        </w:tc>
        <w:tc>
          <w:tcPr>
            <w:tcW w:w="3240" w:type="dxa"/>
            <w:gridSpan w:val="2"/>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jc w:val="both"/>
              <w:rPr>
                <w:b/>
                <w:b/>
              </w:rPr>
            </w:pPr>
            <w:r>
              <w:rPr>
                <w:b/>
              </w:rPr>
              <w:t>Number of injuries</w:t>
            </w:r>
          </w:p>
        </w:tc>
        <w:tc>
          <w:tcPr>
            <w:tcW w:w="217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jc w:val="both"/>
              <w:rPr>
                <w:b/>
                <w:b/>
              </w:rPr>
            </w:pPr>
            <w:r>
              <w:rPr>
                <w:b/>
              </w:rPr>
              <w:t>Odds Ratio</w:t>
            </w:r>
          </w:p>
          <w:p>
            <w:pPr>
              <w:pStyle w:val="Normal"/>
              <w:jc w:val="both"/>
              <w:rPr>
                <w:b/>
                <w:b/>
              </w:rPr>
            </w:pPr>
            <w:r>
              <w:rPr>
                <w:b/>
              </w:rPr>
              <w:t>(95% CI)</w:t>
            </w:r>
          </w:p>
        </w:tc>
      </w:tr>
      <w:tr>
        <w:trPr>
          <w:trHeight w:val="467" w:hRule="atLeast"/>
          <w:cantSplit w:val="true"/>
        </w:trPr>
        <w:tc>
          <w:tcPr>
            <w:tcW w:w="2700" w:type="dxa"/>
            <w:vMerge w:val="continue"/>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jc w:val="both"/>
              <w:rPr>
                <w:b/>
                <w:b/>
              </w:rPr>
            </w:pPr>
            <w:r>
              <w:rPr>
                <w:b/>
              </w:rPr>
            </w:r>
          </w:p>
        </w:tc>
        <w:tc>
          <w:tcPr>
            <w:tcW w:w="1440"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jc w:val="both"/>
              <w:rPr>
                <w:b/>
                <w:b/>
              </w:rPr>
            </w:pPr>
            <w:r>
              <w:rPr>
                <w:b/>
              </w:rPr>
              <w:t xml:space="preserve">Pre-rule </w:t>
            </w:r>
          </w:p>
          <w:p>
            <w:pPr>
              <w:pStyle w:val="Normal"/>
              <w:jc w:val="both"/>
              <w:rPr>
                <w:b/>
                <w:b/>
              </w:rPr>
            </w:pPr>
            <w:r>
              <w:rPr>
                <w:b/>
              </w:rPr>
              <w:t>change</w:t>
            </w:r>
          </w:p>
        </w:tc>
        <w:tc>
          <w:tcPr>
            <w:tcW w:w="1800"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jc w:val="both"/>
              <w:rPr>
                <w:b/>
                <w:b/>
              </w:rPr>
            </w:pPr>
            <w:r>
              <w:rPr>
                <w:b/>
              </w:rPr>
              <w:t xml:space="preserve"> </w:t>
            </w:r>
            <w:r>
              <w:rPr>
                <w:b/>
              </w:rPr>
              <w:t xml:space="preserve">Post-Rule </w:t>
            </w:r>
          </w:p>
          <w:p>
            <w:pPr>
              <w:pStyle w:val="Normal"/>
              <w:jc w:val="both"/>
              <w:rPr>
                <w:b/>
                <w:b/>
              </w:rPr>
            </w:pPr>
            <w:r>
              <w:rPr>
                <w:b/>
              </w:rPr>
              <w:t xml:space="preserve">change </w:t>
            </w:r>
          </w:p>
        </w:tc>
        <w:tc>
          <w:tcPr>
            <w:tcW w:w="217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jc w:val="both"/>
              <w:rPr>
                <w:b/>
                <w:b/>
              </w:rPr>
            </w:pPr>
            <w:r>
              <w:rPr>
                <w:b/>
              </w:rPr>
            </w:r>
          </w:p>
        </w:tc>
      </w:tr>
      <w:tr>
        <w:trPr>
          <w:cantSplit w:val="true"/>
        </w:trPr>
        <w:tc>
          <w:tcPr>
            <w:tcW w:w="2700" w:type="dxa"/>
            <w:tcBorders>
              <w:top w:val="single" w:sz="4" w:space="0" w:color="000000"/>
              <w:left w:val="single" w:sz="4" w:space="0" w:color="000000"/>
            </w:tcBorders>
            <w:shd w:fill="auto" w:val="clear"/>
            <w:tcMar>
              <w:left w:w="103" w:type="dxa"/>
            </w:tcMar>
          </w:tcPr>
          <w:p>
            <w:pPr>
              <w:pStyle w:val="Normal"/>
              <w:jc w:val="both"/>
              <w:rPr>
                <w:bCs/>
                <w:lang w:eastAsia="ko-KR"/>
              </w:rPr>
            </w:pPr>
            <w:r>
              <w:rPr>
                <w:bCs/>
                <w:lang w:eastAsia="ko-KR"/>
              </w:rPr>
              <w:t>Head and neck</w:t>
            </w:r>
          </w:p>
        </w:tc>
        <w:tc>
          <w:tcPr>
            <w:tcW w:w="1440" w:type="dxa"/>
            <w:tcBorders>
              <w:top w:val="single" w:sz="4" w:space="0" w:color="000000"/>
              <w:left w:val="single" w:sz="4" w:space="0" w:color="000000"/>
            </w:tcBorders>
            <w:shd w:fill="auto" w:val="clear"/>
            <w:tcMar>
              <w:left w:w="103" w:type="dxa"/>
            </w:tcMar>
          </w:tcPr>
          <w:p>
            <w:pPr>
              <w:pStyle w:val="Normal"/>
              <w:jc w:val="both"/>
              <w:rPr>
                <w:bCs/>
              </w:rPr>
            </w:pPr>
            <w:r>
              <w:rPr/>
              <w:t xml:space="preserve">342 </w:t>
            </w:r>
          </w:p>
        </w:tc>
        <w:tc>
          <w:tcPr>
            <w:tcW w:w="1800" w:type="dxa"/>
            <w:tcBorders>
              <w:top w:val="single" w:sz="4" w:space="0" w:color="000000"/>
              <w:left w:val="single" w:sz="4" w:space="0" w:color="000000"/>
            </w:tcBorders>
            <w:shd w:fill="auto" w:val="clear"/>
            <w:tcMar>
              <w:left w:w="103" w:type="dxa"/>
            </w:tcMar>
          </w:tcPr>
          <w:p>
            <w:pPr>
              <w:pStyle w:val="Normal"/>
              <w:jc w:val="both"/>
              <w:rPr/>
            </w:pPr>
            <w:r>
              <w:rPr/>
              <w:t xml:space="preserve">824 </w:t>
            </w:r>
          </w:p>
        </w:tc>
        <w:tc>
          <w:tcPr>
            <w:tcW w:w="2170" w:type="dxa"/>
            <w:tcBorders>
              <w:top w:val="single" w:sz="4" w:space="0" w:color="000000"/>
              <w:left w:val="single" w:sz="4" w:space="0" w:color="000000"/>
              <w:right w:val="single" w:sz="4" w:space="0" w:color="000000"/>
              <w:insideV w:val="single" w:sz="4" w:space="0" w:color="000000"/>
            </w:tcBorders>
            <w:shd w:fill="auto" w:val="clear"/>
            <w:tcMar>
              <w:left w:w="103" w:type="dxa"/>
            </w:tcMar>
          </w:tcPr>
          <w:p>
            <w:pPr>
              <w:pStyle w:val="Normal"/>
              <w:jc w:val="both"/>
              <w:rPr>
                <w:bCs/>
              </w:rPr>
            </w:pPr>
            <w:r>
              <w:rPr>
                <w:bCs/>
              </w:rPr>
              <w:t>1.52 (1.26 - 1.84)*</w:t>
            </w:r>
          </w:p>
        </w:tc>
      </w:tr>
      <w:tr>
        <w:trPr>
          <w:cantSplit w:val="true"/>
        </w:trPr>
        <w:tc>
          <w:tcPr>
            <w:tcW w:w="2700" w:type="dxa"/>
            <w:tcBorders>
              <w:left w:val="single" w:sz="4" w:space="0" w:color="000000"/>
            </w:tcBorders>
            <w:shd w:fill="auto" w:val="clear"/>
            <w:tcMar>
              <w:left w:w="103" w:type="dxa"/>
            </w:tcMar>
          </w:tcPr>
          <w:p>
            <w:pPr>
              <w:pStyle w:val="Normal"/>
              <w:jc w:val="both"/>
              <w:rPr>
                <w:bCs/>
                <w:lang w:eastAsia="ko-KR"/>
              </w:rPr>
            </w:pPr>
            <w:r>
              <w:rPr>
                <w:bCs/>
                <w:lang w:eastAsia="ko-KR"/>
              </w:rPr>
              <w:t>Spine and/or Spinal cord</w:t>
            </w:r>
          </w:p>
        </w:tc>
        <w:tc>
          <w:tcPr>
            <w:tcW w:w="1440" w:type="dxa"/>
            <w:tcBorders>
              <w:left w:val="single" w:sz="4" w:space="0" w:color="000000"/>
            </w:tcBorders>
            <w:shd w:fill="auto" w:val="clear"/>
            <w:tcMar>
              <w:left w:w="103" w:type="dxa"/>
            </w:tcMar>
          </w:tcPr>
          <w:p>
            <w:pPr>
              <w:pStyle w:val="Normal"/>
              <w:jc w:val="both"/>
              <w:rPr>
                <w:bCs/>
              </w:rPr>
            </w:pPr>
            <w:r>
              <w:rPr>
                <w:bCs/>
              </w:rPr>
              <w:t>17</w:t>
            </w:r>
          </w:p>
        </w:tc>
        <w:tc>
          <w:tcPr>
            <w:tcW w:w="1800" w:type="dxa"/>
            <w:tcBorders>
              <w:left w:val="single" w:sz="4" w:space="0" w:color="000000"/>
            </w:tcBorders>
            <w:shd w:fill="auto" w:val="clear"/>
            <w:tcMar>
              <w:left w:w="103" w:type="dxa"/>
            </w:tcMar>
          </w:tcPr>
          <w:p>
            <w:pPr>
              <w:pStyle w:val="Normal"/>
              <w:jc w:val="both"/>
              <w:rPr/>
            </w:pPr>
            <w:r>
              <w:rPr/>
              <w:t>24</w:t>
            </w:r>
          </w:p>
        </w:tc>
        <w:tc>
          <w:tcPr>
            <w:tcW w:w="2170" w:type="dxa"/>
            <w:tcBorders>
              <w:left w:val="single" w:sz="4" w:space="0" w:color="000000"/>
              <w:right w:val="single" w:sz="4" w:space="0" w:color="000000"/>
              <w:insideV w:val="single" w:sz="4" w:space="0" w:color="000000"/>
            </w:tcBorders>
            <w:shd w:fill="auto" w:val="clear"/>
            <w:tcMar>
              <w:left w:w="103" w:type="dxa"/>
            </w:tcMar>
          </w:tcPr>
          <w:p>
            <w:pPr>
              <w:pStyle w:val="Normal"/>
              <w:jc w:val="both"/>
              <w:rPr>
                <w:bCs/>
              </w:rPr>
            </w:pPr>
            <w:r>
              <w:rPr>
                <w:bCs/>
              </w:rPr>
              <w:t>1.18 (0.41 - 3.34)</w:t>
            </w:r>
          </w:p>
        </w:tc>
      </w:tr>
      <w:tr>
        <w:trPr>
          <w:cantSplit w:val="true"/>
        </w:trPr>
        <w:tc>
          <w:tcPr>
            <w:tcW w:w="2700" w:type="dxa"/>
            <w:tcBorders>
              <w:left w:val="single" w:sz="4" w:space="0" w:color="000000"/>
            </w:tcBorders>
            <w:shd w:fill="auto" w:val="clear"/>
            <w:tcMar>
              <w:left w:w="103" w:type="dxa"/>
            </w:tcMar>
          </w:tcPr>
          <w:p>
            <w:pPr>
              <w:pStyle w:val="Normal"/>
              <w:jc w:val="both"/>
              <w:rPr>
                <w:bCs/>
                <w:lang w:eastAsia="ko-KR"/>
              </w:rPr>
            </w:pPr>
            <w:r>
              <w:rPr>
                <w:bCs/>
                <w:lang w:eastAsia="ko-KR"/>
              </w:rPr>
              <w:t>Trunk</w:t>
            </w:r>
          </w:p>
        </w:tc>
        <w:tc>
          <w:tcPr>
            <w:tcW w:w="1440" w:type="dxa"/>
            <w:tcBorders>
              <w:left w:val="single" w:sz="4" w:space="0" w:color="000000"/>
            </w:tcBorders>
            <w:shd w:fill="auto" w:val="clear"/>
            <w:tcMar>
              <w:left w:w="103" w:type="dxa"/>
            </w:tcMar>
          </w:tcPr>
          <w:p>
            <w:pPr>
              <w:pStyle w:val="Normal"/>
              <w:jc w:val="both"/>
              <w:rPr>
                <w:bCs/>
              </w:rPr>
            </w:pPr>
            <w:r>
              <w:rPr>
                <w:bCs/>
              </w:rPr>
              <w:t>172</w:t>
            </w:r>
          </w:p>
        </w:tc>
        <w:tc>
          <w:tcPr>
            <w:tcW w:w="1800" w:type="dxa"/>
            <w:tcBorders>
              <w:left w:val="single" w:sz="4" w:space="0" w:color="000000"/>
            </w:tcBorders>
            <w:shd w:fill="auto" w:val="clear"/>
            <w:tcMar>
              <w:left w:w="103" w:type="dxa"/>
            </w:tcMar>
          </w:tcPr>
          <w:p>
            <w:pPr>
              <w:pStyle w:val="Normal"/>
              <w:jc w:val="both"/>
              <w:rPr/>
            </w:pPr>
            <w:r>
              <w:rPr/>
              <w:t>297</w:t>
            </w:r>
          </w:p>
        </w:tc>
        <w:tc>
          <w:tcPr>
            <w:tcW w:w="2170" w:type="dxa"/>
            <w:tcBorders>
              <w:left w:val="single" w:sz="4" w:space="0" w:color="000000"/>
              <w:right w:val="single" w:sz="4" w:space="0" w:color="000000"/>
              <w:insideV w:val="single" w:sz="4" w:space="0" w:color="000000"/>
            </w:tcBorders>
            <w:shd w:fill="auto" w:val="clear"/>
            <w:tcMar>
              <w:left w:w="103" w:type="dxa"/>
            </w:tcMar>
          </w:tcPr>
          <w:p>
            <w:pPr>
              <w:pStyle w:val="Normal"/>
              <w:jc w:val="both"/>
              <w:rPr>
                <w:bCs/>
              </w:rPr>
            </w:pPr>
            <w:r>
              <w:rPr>
                <w:bCs/>
              </w:rPr>
              <w:t>1.30 (0.98 - 1.73)</w:t>
            </w:r>
          </w:p>
        </w:tc>
      </w:tr>
      <w:tr>
        <w:trPr>
          <w:cantSplit w:val="true"/>
        </w:trPr>
        <w:tc>
          <w:tcPr>
            <w:tcW w:w="2700" w:type="dxa"/>
            <w:tcBorders>
              <w:left w:val="single" w:sz="4" w:space="0" w:color="000000"/>
            </w:tcBorders>
            <w:shd w:fill="auto" w:val="clear"/>
            <w:tcMar>
              <w:left w:w="103" w:type="dxa"/>
            </w:tcMar>
          </w:tcPr>
          <w:p>
            <w:pPr>
              <w:pStyle w:val="Normal"/>
              <w:jc w:val="both"/>
              <w:rPr>
                <w:bCs/>
                <w:lang w:eastAsia="ko-KR"/>
              </w:rPr>
            </w:pPr>
            <w:r>
              <w:rPr>
                <w:bCs/>
                <w:lang w:eastAsia="ko-KR"/>
              </w:rPr>
              <w:t>Shoulder and arm</w:t>
            </w:r>
          </w:p>
        </w:tc>
        <w:tc>
          <w:tcPr>
            <w:tcW w:w="1440" w:type="dxa"/>
            <w:tcBorders>
              <w:left w:val="single" w:sz="4" w:space="0" w:color="000000"/>
            </w:tcBorders>
            <w:shd w:fill="auto" w:val="clear"/>
            <w:tcMar>
              <w:left w:w="103" w:type="dxa"/>
            </w:tcMar>
          </w:tcPr>
          <w:p>
            <w:pPr>
              <w:pStyle w:val="Normal"/>
              <w:jc w:val="both"/>
              <w:rPr>
                <w:bCs/>
              </w:rPr>
            </w:pPr>
            <w:r>
              <w:rPr>
                <w:bCs/>
              </w:rPr>
              <w:t>797</w:t>
            </w:r>
          </w:p>
        </w:tc>
        <w:tc>
          <w:tcPr>
            <w:tcW w:w="1800" w:type="dxa"/>
            <w:tcBorders>
              <w:left w:val="single" w:sz="4" w:space="0" w:color="000000"/>
            </w:tcBorders>
            <w:shd w:fill="auto" w:val="clear"/>
            <w:tcMar>
              <w:left w:w="103" w:type="dxa"/>
            </w:tcMar>
          </w:tcPr>
          <w:p>
            <w:pPr>
              <w:pStyle w:val="Normal"/>
              <w:jc w:val="both"/>
              <w:rPr/>
            </w:pPr>
            <w:r>
              <w:rPr/>
              <w:t>1287</w:t>
            </w:r>
          </w:p>
        </w:tc>
        <w:tc>
          <w:tcPr>
            <w:tcW w:w="2170" w:type="dxa"/>
            <w:tcBorders>
              <w:left w:val="single" w:sz="4" w:space="0" w:color="000000"/>
              <w:right w:val="single" w:sz="4" w:space="0" w:color="000000"/>
              <w:insideV w:val="single" w:sz="4" w:space="0" w:color="000000"/>
            </w:tcBorders>
            <w:shd w:fill="auto" w:val="clear"/>
            <w:tcMar>
              <w:left w:w="103" w:type="dxa"/>
            </w:tcMar>
          </w:tcPr>
          <w:p>
            <w:pPr>
              <w:pStyle w:val="Normal"/>
              <w:jc w:val="both"/>
              <w:rPr>
                <w:bCs/>
              </w:rPr>
            </w:pPr>
            <w:r>
              <w:rPr>
                <w:bCs/>
              </w:rPr>
              <w:t>1.18 (1.04 – 1.35)*</w:t>
            </w:r>
          </w:p>
        </w:tc>
      </w:tr>
      <w:tr>
        <w:trPr>
          <w:cantSplit w:val="true"/>
        </w:trPr>
        <w:tc>
          <w:tcPr>
            <w:tcW w:w="2700" w:type="dxa"/>
            <w:tcBorders>
              <w:left w:val="single" w:sz="4" w:space="0" w:color="000000"/>
            </w:tcBorders>
            <w:shd w:fill="auto" w:val="clear"/>
            <w:tcMar>
              <w:left w:w="103" w:type="dxa"/>
            </w:tcMar>
          </w:tcPr>
          <w:p>
            <w:pPr>
              <w:pStyle w:val="Normal"/>
              <w:jc w:val="both"/>
              <w:rPr>
                <w:bCs/>
                <w:lang w:eastAsia="ko-KR"/>
              </w:rPr>
            </w:pPr>
            <w:r>
              <w:rPr>
                <w:bCs/>
                <w:lang w:eastAsia="ko-KR"/>
              </w:rPr>
              <w:t>Hip and Leg</w:t>
            </w:r>
          </w:p>
        </w:tc>
        <w:tc>
          <w:tcPr>
            <w:tcW w:w="1440" w:type="dxa"/>
            <w:tcBorders>
              <w:left w:val="single" w:sz="4" w:space="0" w:color="000000"/>
            </w:tcBorders>
            <w:shd w:fill="auto" w:val="clear"/>
            <w:tcMar>
              <w:left w:w="103" w:type="dxa"/>
            </w:tcMar>
          </w:tcPr>
          <w:p>
            <w:pPr>
              <w:pStyle w:val="Normal"/>
              <w:jc w:val="both"/>
              <w:rPr>
                <w:bCs/>
              </w:rPr>
            </w:pPr>
            <w:r>
              <w:rPr>
                <w:bCs/>
              </w:rPr>
              <w:t>256</w:t>
            </w:r>
          </w:p>
        </w:tc>
        <w:tc>
          <w:tcPr>
            <w:tcW w:w="1800" w:type="dxa"/>
            <w:tcBorders>
              <w:left w:val="single" w:sz="4" w:space="0" w:color="000000"/>
            </w:tcBorders>
            <w:shd w:fill="auto" w:val="clear"/>
            <w:tcMar>
              <w:left w:w="103" w:type="dxa"/>
            </w:tcMar>
          </w:tcPr>
          <w:p>
            <w:pPr>
              <w:pStyle w:val="Normal"/>
              <w:jc w:val="both"/>
              <w:rPr/>
            </w:pPr>
            <w:r>
              <w:rPr/>
              <w:t>356</w:t>
            </w:r>
          </w:p>
        </w:tc>
        <w:tc>
          <w:tcPr>
            <w:tcW w:w="2170" w:type="dxa"/>
            <w:tcBorders>
              <w:left w:val="single" w:sz="4" w:space="0" w:color="000000"/>
              <w:right w:val="single" w:sz="4" w:space="0" w:color="000000"/>
              <w:insideV w:val="single" w:sz="4" w:space="0" w:color="000000"/>
            </w:tcBorders>
            <w:shd w:fill="auto" w:val="clear"/>
            <w:tcMar>
              <w:left w:w="103" w:type="dxa"/>
            </w:tcMar>
          </w:tcPr>
          <w:p>
            <w:pPr>
              <w:pStyle w:val="Normal"/>
              <w:jc w:val="both"/>
              <w:rPr>
                <w:bCs/>
              </w:rPr>
            </w:pPr>
            <w:r>
              <w:rPr>
                <w:bCs/>
              </w:rPr>
              <w:t>1.04 (0.86 – 1.27)</w:t>
            </w:r>
          </w:p>
        </w:tc>
      </w:tr>
      <w:tr>
        <w:trPr>
          <w:cantSplit w:val="true"/>
        </w:trPr>
        <w:tc>
          <w:tcPr>
            <w:tcW w:w="2700" w:type="dxa"/>
            <w:tcBorders>
              <w:left w:val="single" w:sz="4" w:space="0" w:color="000000"/>
              <w:bottom w:val="single" w:sz="4" w:space="0" w:color="000000"/>
              <w:insideH w:val="single" w:sz="4" w:space="0" w:color="000000"/>
            </w:tcBorders>
            <w:shd w:fill="auto" w:val="clear"/>
            <w:tcMar>
              <w:left w:w="103" w:type="dxa"/>
            </w:tcMar>
          </w:tcPr>
          <w:p>
            <w:pPr>
              <w:pStyle w:val="Normal"/>
              <w:jc w:val="both"/>
              <w:rPr>
                <w:bCs/>
                <w:lang w:eastAsia="ko-KR"/>
              </w:rPr>
            </w:pPr>
            <w:r>
              <w:rPr>
                <w:bCs/>
                <w:lang w:eastAsia="ko-KR"/>
              </w:rPr>
              <w:t>Others**</w:t>
            </w:r>
          </w:p>
        </w:tc>
        <w:tc>
          <w:tcPr>
            <w:tcW w:w="1440" w:type="dxa"/>
            <w:tcBorders>
              <w:left w:val="single" w:sz="4" w:space="0" w:color="000000"/>
              <w:bottom w:val="single" w:sz="4" w:space="0" w:color="000000"/>
              <w:insideH w:val="single" w:sz="4" w:space="0" w:color="000000"/>
            </w:tcBorders>
            <w:shd w:fill="auto" w:val="clear"/>
            <w:tcMar>
              <w:left w:w="103" w:type="dxa"/>
            </w:tcMar>
          </w:tcPr>
          <w:p>
            <w:pPr>
              <w:pStyle w:val="Normal"/>
              <w:jc w:val="both"/>
              <w:rPr/>
            </w:pPr>
            <w:r>
              <w:rPr/>
              <w:t>33</w:t>
            </w:r>
          </w:p>
        </w:tc>
        <w:tc>
          <w:tcPr>
            <w:tcW w:w="1800" w:type="dxa"/>
            <w:tcBorders>
              <w:left w:val="single" w:sz="4" w:space="0" w:color="000000"/>
              <w:bottom w:val="single" w:sz="4" w:space="0" w:color="000000"/>
              <w:insideH w:val="single" w:sz="4" w:space="0" w:color="000000"/>
            </w:tcBorders>
            <w:shd w:fill="auto" w:val="clear"/>
            <w:tcMar>
              <w:left w:w="103" w:type="dxa"/>
            </w:tcMar>
          </w:tcPr>
          <w:p>
            <w:pPr>
              <w:pStyle w:val="Normal"/>
              <w:jc w:val="both"/>
              <w:rPr/>
            </w:pPr>
            <w:r>
              <w:rPr/>
              <w:t>55</w:t>
            </w:r>
          </w:p>
        </w:tc>
        <w:tc>
          <w:tcPr>
            <w:tcW w:w="21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both"/>
              <w:rPr/>
            </w:pPr>
            <w:r>
              <w:rPr/>
            </w:r>
          </w:p>
        </w:tc>
      </w:tr>
    </w:tbl>
    <w:p>
      <w:pPr>
        <w:pStyle w:val="TextBodyIndent"/>
        <w:spacing w:lineRule="auto" w:line="240"/>
        <w:ind w:left="720" w:hanging="0"/>
        <w:jc w:val="both"/>
        <w:rPr>
          <w:bCs/>
        </w:rPr>
      </w:pPr>
      <w:r>
        <w:rPr>
          <w:bCs/>
        </w:rPr>
      </w:r>
    </w:p>
    <w:p>
      <w:pPr>
        <w:pStyle w:val="TextBodyIndent"/>
        <w:spacing w:lineRule="auto" w:line="240"/>
        <w:ind w:left="720" w:hanging="720"/>
        <w:jc w:val="both"/>
        <w:rPr>
          <w:bCs/>
        </w:rPr>
      </w:pPr>
      <w:r>
        <w:rPr>
          <w:bCs/>
        </w:rPr>
        <w:t>* OR significant at the 0.05 level (2-tailed).</w:t>
      </w:r>
    </w:p>
    <w:p>
      <w:pPr>
        <w:pStyle w:val="TextBodyIndent"/>
        <w:spacing w:lineRule="auto" w:line="240"/>
        <w:ind w:left="720" w:hanging="720"/>
        <w:jc w:val="both"/>
        <w:rPr/>
      </w:pPr>
      <w:r>
        <w:rPr>
          <w:b/>
          <w:bCs/>
        </w:rPr>
        <w:t xml:space="preserve">** </w:t>
      </w:r>
      <w:r>
        <w:rPr>
          <w:bCs/>
        </w:rPr>
        <w:t xml:space="preserve">Includes multiple injuries of more than one body part, systemic injury, and   </w:t>
      </w:r>
      <w:r>
        <w:rPr>
          <w:b/>
          <w:bCs/>
        </w:rPr>
        <w:t xml:space="preserve">  </w:t>
      </w:r>
    </w:p>
    <w:p>
      <w:pPr>
        <w:pStyle w:val="TextBodyIndent"/>
        <w:spacing w:lineRule="auto" w:line="240"/>
        <w:ind w:left="720" w:hanging="720"/>
        <w:jc w:val="both"/>
        <w:rPr/>
      </w:pPr>
      <w:r>
        <w:rPr>
          <w:bCs/>
        </w:rPr>
        <w:t>unspecified</w:t>
      </w:r>
      <w:r>
        <w:rPr>
          <w:b/>
          <w:bCs/>
        </w:rPr>
        <w:t xml:space="preserve"> </w:t>
      </w:r>
      <w:r>
        <w:rPr>
          <w:bCs/>
        </w:rPr>
        <w:t xml:space="preserve">body parts. </w:t>
      </w:r>
    </w:p>
    <w:p>
      <w:pPr>
        <w:pStyle w:val="TextBodyIndent"/>
        <w:spacing w:lineRule="auto" w:line="240"/>
        <w:ind w:hanging="0"/>
        <w:jc w:val="both"/>
        <w:rPr/>
      </w:pPr>
      <w:r>
        <w:rPr>
          <w:i/>
        </w:rPr>
        <w:t>Source:</w:t>
      </w:r>
      <w:r>
        <w:rPr/>
        <w:t xml:space="preserve"> Canadian Hospitals Injury Reporting and Prevention Program</w:t>
      </w:r>
    </w:p>
    <w:p>
      <w:pPr>
        <w:pStyle w:val="TextBodyIndent"/>
        <w:spacing w:lineRule="auto" w:line="240"/>
        <w:ind w:left="720" w:hanging="0"/>
        <w:jc w:val="both"/>
        <w:rPr>
          <w:b/>
          <w:b/>
          <w:bCs/>
        </w:rPr>
      </w:pPr>
      <w:r>
        <w:rPr>
          <w:b/>
          <w:bCs/>
        </w:rPr>
      </w:r>
    </w:p>
    <w:p>
      <w:pPr>
        <w:pStyle w:val="TextBodyIndent"/>
        <w:spacing w:lineRule="auto" w:line="240"/>
        <w:ind w:left="-180" w:hanging="0"/>
        <w:jc w:val="both"/>
        <w:rPr>
          <w:b/>
          <w:b/>
          <w:bCs/>
        </w:rPr>
      </w:pPr>
      <w:r>
        <w:rPr>
          <w:b/>
          <w:bCs/>
        </w:rPr>
        <w:t xml:space="preserve"> </w:t>
      </w:r>
      <w:r>
        <w:rPr>
          <w:b/>
          <w:bCs/>
        </w:rPr>
        <w:t xml:space="preserve">Table 5. </w:t>
      </w:r>
      <w:r>
        <w:rPr>
          <w:bCs/>
        </w:rPr>
        <w:t>Summary of Regression Results</w:t>
      </w:r>
    </w:p>
    <w:p>
      <w:pPr>
        <w:pStyle w:val="TextBodyIndent"/>
        <w:spacing w:lineRule="auto" w:line="240"/>
        <w:ind w:left="720" w:hanging="0"/>
        <w:jc w:val="both"/>
        <w:rPr>
          <w:b/>
          <w:b/>
          <w:bCs/>
        </w:rPr>
      </w:pPr>
      <w:r>
        <w:rPr>
          <w:b/>
          <w:bCs/>
        </w:rPr>
      </w:r>
    </w:p>
    <w:tbl>
      <w:tblPr>
        <w:tblW w:w="965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528"/>
        <w:gridCol w:w="900"/>
        <w:gridCol w:w="1260"/>
        <w:gridCol w:w="900"/>
        <w:gridCol w:w="900"/>
        <w:gridCol w:w="1260"/>
        <w:gridCol w:w="910"/>
      </w:tblGrid>
      <w:tr>
        <w:trPr>
          <w:cantSplit w:val="true"/>
        </w:trPr>
        <w:tc>
          <w:tcPr>
            <w:tcW w:w="35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jc w:val="both"/>
              <w:rPr>
                <w:b/>
                <w:b/>
              </w:rPr>
            </w:pPr>
            <w:r>
              <w:rPr>
                <w:b/>
              </w:rPr>
              <w:t>Variable</w:t>
            </w:r>
          </w:p>
        </w:tc>
        <w:tc>
          <w:tcPr>
            <w:tcW w:w="3060"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jc w:val="both"/>
              <w:rPr>
                <w:b/>
                <w:b/>
              </w:rPr>
            </w:pPr>
            <w:r>
              <w:rPr>
                <w:b/>
              </w:rPr>
              <w:t>Crude estimates</w:t>
            </w:r>
          </w:p>
        </w:tc>
        <w:tc>
          <w:tcPr>
            <w:tcW w:w="307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widowControl w:val="false"/>
              <w:autoSpaceDE w:val="false"/>
              <w:jc w:val="both"/>
              <w:rPr>
                <w:b/>
                <w:b/>
              </w:rPr>
            </w:pPr>
            <w:r>
              <w:rPr>
                <w:b/>
              </w:rPr>
              <w:t>Adjusted* estimates</w:t>
            </w:r>
          </w:p>
        </w:tc>
      </w:tr>
      <w:tr>
        <w:trPr/>
        <w:tc>
          <w:tcPr>
            <w:tcW w:w="35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snapToGrid w:val="false"/>
              <w:jc w:val="both"/>
              <w:rPr>
                <w:b/>
                <w:b/>
              </w:rPr>
            </w:pPr>
            <w:r>
              <w:rPr>
                <w:b/>
              </w:rPr>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jc w:val="both"/>
              <w:rPr>
                <w:b/>
                <w:b/>
              </w:rPr>
            </w:pPr>
            <w:r>
              <w:rPr>
                <w:b/>
              </w:rPr>
              <w:t>Odds ratio</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jc w:val="both"/>
              <w:rPr>
                <w:b/>
                <w:b/>
              </w:rPr>
            </w:pPr>
            <w:r>
              <w:rPr>
                <w:b/>
              </w:rPr>
              <w:t>95% CI</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jc w:val="both"/>
              <w:rPr>
                <w:b/>
                <w:b/>
              </w:rPr>
            </w:pPr>
            <w:r>
              <w:rPr>
                <w:b/>
              </w:rPr>
              <w:t>p</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jc w:val="both"/>
              <w:rPr>
                <w:b/>
                <w:b/>
              </w:rPr>
            </w:pPr>
            <w:r>
              <w:rPr>
                <w:b/>
              </w:rPr>
              <w:t>Odds Ratio</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jc w:val="both"/>
              <w:rPr>
                <w:b/>
                <w:b/>
              </w:rPr>
            </w:pPr>
            <w:r>
              <w:rPr>
                <w:b/>
              </w:rPr>
              <w:t>95% CI</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Heading4"/>
              <w:widowControl w:val="false"/>
              <w:numPr>
                <w:ilvl w:val="3"/>
                <w:numId w:val="1"/>
              </w:numPr>
              <w:autoSpaceDE w:val="false"/>
              <w:jc w:val="both"/>
              <w:rPr>
                <w:bCs w:val="false"/>
                <w:lang w:eastAsia="en-US"/>
              </w:rPr>
            </w:pPr>
            <w:r>
              <w:rPr>
                <w:bCs w:val="false"/>
                <w:lang w:eastAsia="en-US"/>
              </w:rPr>
              <w:t>p</w:t>
            </w:r>
          </w:p>
        </w:tc>
      </w:tr>
      <w:tr>
        <w:trPr/>
        <w:tc>
          <w:tcPr>
            <w:tcW w:w="35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jc w:val="both"/>
              <w:rPr>
                <w:b/>
                <w:b/>
              </w:rPr>
            </w:pPr>
            <w:r>
              <w:rPr>
                <w:b/>
              </w:rPr>
              <w:t xml:space="preserve">Period </w:t>
            </w:r>
          </w:p>
          <w:p>
            <w:pPr>
              <w:pStyle w:val="Normal"/>
              <w:widowControl w:val="false"/>
              <w:autoSpaceDE w:val="false"/>
              <w:jc w:val="both"/>
              <w:rPr/>
            </w:pPr>
            <w:r>
              <w:rPr/>
              <w:t>Pre-rule change (reference group)</w:t>
            </w:r>
          </w:p>
          <w:p>
            <w:pPr>
              <w:pStyle w:val="Normal"/>
              <w:widowControl w:val="false"/>
              <w:autoSpaceDE w:val="false"/>
              <w:jc w:val="both"/>
              <w:rPr/>
            </w:pPr>
            <w:r>
              <w:rPr/>
              <w:t>Post-rule change</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snapToGrid w:val="false"/>
              <w:jc w:val="both"/>
              <w:rPr/>
            </w:pPr>
            <w:r>
              <w:rPr/>
            </w:r>
          </w:p>
          <w:p>
            <w:pPr>
              <w:pStyle w:val="Normal"/>
              <w:widowControl w:val="false"/>
              <w:autoSpaceDE w:val="false"/>
              <w:jc w:val="both"/>
              <w:rPr/>
            </w:pPr>
            <w:r>
              <w:rPr/>
            </w:r>
          </w:p>
          <w:p>
            <w:pPr>
              <w:pStyle w:val="Normal"/>
              <w:widowControl w:val="false"/>
              <w:autoSpaceDE w:val="false"/>
              <w:jc w:val="both"/>
              <w:rPr/>
            </w:pPr>
            <w:r>
              <w:rPr/>
              <w:t>1.26</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snapToGrid w:val="false"/>
              <w:jc w:val="both"/>
              <w:rPr/>
            </w:pPr>
            <w:r>
              <w:rPr/>
            </w:r>
          </w:p>
          <w:p>
            <w:pPr>
              <w:pStyle w:val="Normal"/>
              <w:widowControl w:val="false"/>
              <w:autoSpaceDE w:val="false"/>
              <w:jc w:val="both"/>
              <w:rPr/>
            </w:pPr>
            <w:r>
              <w:rPr/>
            </w:r>
          </w:p>
          <w:p>
            <w:pPr>
              <w:pStyle w:val="Normal"/>
              <w:widowControl w:val="false"/>
              <w:autoSpaceDE w:val="false"/>
              <w:jc w:val="both"/>
              <w:rPr/>
            </w:pPr>
            <w:r>
              <w:rPr/>
              <w:t>1.16-1.38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snapToGrid w:val="false"/>
              <w:jc w:val="both"/>
              <w:rPr/>
            </w:pPr>
            <w:r>
              <w:rPr/>
            </w:r>
          </w:p>
          <w:p>
            <w:pPr>
              <w:pStyle w:val="Normal"/>
              <w:widowControl w:val="false"/>
              <w:autoSpaceDE w:val="false"/>
              <w:jc w:val="both"/>
              <w:rPr/>
            </w:pPr>
            <w:r>
              <w:rPr/>
            </w:r>
          </w:p>
          <w:p>
            <w:pPr>
              <w:pStyle w:val="Normal"/>
              <w:widowControl w:val="false"/>
              <w:autoSpaceDE w:val="false"/>
              <w:jc w:val="both"/>
              <w:rPr/>
            </w:pPr>
            <w:r>
              <w:rPr/>
              <w:t>&lt;0.001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snapToGrid w:val="false"/>
              <w:jc w:val="both"/>
              <w:rPr/>
            </w:pPr>
            <w:r>
              <w:rPr/>
            </w:r>
          </w:p>
          <w:p>
            <w:pPr>
              <w:pStyle w:val="Normal"/>
              <w:widowControl w:val="false"/>
              <w:autoSpaceDE w:val="false"/>
              <w:jc w:val="both"/>
              <w:rPr/>
            </w:pPr>
            <w:r>
              <w:rPr/>
            </w:r>
          </w:p>
          <w:p>
            <w:pPr>
              <w:pStyle w:val="Normal"/>
              <w:widowControl w:val="false"/>
              <w:autoSpaceDE w:val="false"/>
              <w:jc w:val="both"/>
              <w:rPr/>
            </w:pPr>
            <w:r>
              <w:rPr/>
              <w:t>1.22</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snapToGrid w:val="false"/>
              <w:jc w:val="both"/>
              <w:rPr/>
            </w:pPr>
            <w:r>
              <w:rPr/>
            </w:r>
          </w:p>
          <w:p>
            <w:pPr>
              <w:pStyle w:val="Normal"/>
              <w:widowControl w:val="false"/>
              <w:autoSpaceDE w:val="false"/>
              <w:jc w:val="both"/>
              <w:rPr/>
            </w:pPr>
            <w:r>
              <w:rPr/>
            </w:r>
          </w:p>
          <w:p>
            <w:pPr>
              <w:pStyle w:val="Normal"/>
              <w:widowControl w:val="false"/>
              <w:autoSpaceDE w:val="false"/>
              <w:jc w:val="both"/>
              <w:rPr/>
            </w:pPr>
            <w:r>
              <w:rPr/>
              <w:t>1.11-1.33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widowControl w:val="false"/>
              <w:autoSpaceDE w:val="false"/>
              <w:snapToGrid w:val="false"/>
              <w:jc w:val="both"/>
              <w:rPr/>
            </w:pPr>
            <w:r>
              <w:rPr/>
            </w:r>
          </w:p>
          <w:p>
            <w:pPr>
              <w:pStyle w:val="Normal"/>
              <w:widowControl w:val="false"/>
              <w:autoSpaceDE w:val="false"/>
              <w:jc w:val="both"/>
              <w:rPr/>
            </w:pPr>
            <w:r>
              <w:rPr/>
            </w:r>
          </w:p>
          <w:p>
            <w:pPr>
              <w:pStyle w:val="Normal"/>
              <w:widowControl w:val="false"/>
              <w:autoSpaceDE w:val="false"/>
              <w:jc w:val="both"/>
              <w:rPr/>
            </w:pPr>
            <w:r>
              <w:rPr/>
              <w:t>&lt;0.001</w:t>
            </w:r>
          </w:p>
        </w:tc>
      </w:tr>
      <w:tr>
        <w:trPr>
          <w:trHeight w:val="899" w:hRule="atLeast"/>
        </w:trPr>
        <w:tc>
          <w:tcPr>
            <w:tcW w:w="35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jc w:val="both"/>
              <w:rPr>
                <w:b/>
                <w:b/>
              </w:rPr>
            </w:pPr>
            <w:r>
              <w:rPr>
                <w:b/>
              </w:rPr>
              <w:t>Injury Severity</w:t>
            </w:r>
          </w:p>
          <w:p>
            <w:pPr>
              <w:pStyle w:val="Normal"/>
              <w:widowControl w:val="false"/>
              <w:autoSpaceDE w:val="false"/>
              <w:jc w:val="both"/>
              <w:rPr/>
            </w:pPr>
            <w:r>
              <w:rPr/>
              <w:t>Less severe (reference group)</w:t>
            </w:r>
          </w:p>
          <w:p>
            <w:pPr>
              <w:pStyle w:val="Normal"/>
              <w:widowControl w:val="false"/>
              <w:autoSpaceDE w:val="false"/>
              <w:jc w:val="both"/>
              <w:rPr/>
            </w:pPr>
            <w:r>
              <w:rPr/>
              <w:t>Severe</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snapToGrid w:val="false"/>
              <w:jc w:val="both"/>
              <w:rPr/>
            </w:pPr>
            <w:r>
              <w:rPr/>
            </w:r>
          </w:p>
          <w:p>
            <w:pPr>
              <w:pStyle w:val="Normal"/>
              <w:widowControl w:val="false"/>
              <w:autoSpaceDE w:val="false"/>
              <w:jc w:val="both"/>
              <w:rPr/>
            </w:pPr>
            <w:r>
              <w:rPr/>
            </w:r>
          </w:p>
          <w:p>
            <w:pPr>
              <w:pStyle w:val="Normal"/>
              <w:widowControl w:val="false"/>
              <w:autoSpaceDE w:val="false"/>
              <w:jc w:val="both"/>
              <w:rPr/>
            </w:pPr>
            <w:r>
              <w:rPr/>
              <w:t>1.26</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snapToGrid w:val="false"/>
              <w:jc w:val="both"/>
              <w:rPr/>
            </w:pPr>
            <w:r>
              <w:rPr/>
            </w:r>
          </w:p>
          <w:p>
            <w:pPr>
              <w:pStyle w:val="Normal"/>
              <w:widowControl w:val="false"/>
              <w:autoSpaceDE w:val="false"/>
              <w:jc w:val="both"/>
              <w:rPr/>
            </w:pPr>
            <w:r>
              <w:rPr/>
            </w:r>
          </w:p>
          <w:p>
            <w:pPr>
              <w:pStyle w:val="Normal"/>
              <w:widowControl w:val="false"/>
              <w:autoSpaceDE w:val="false"/>
              <w:jc w:val="both"/>
              <w:rPr/>
            </w:pPr>
            <w:r>
              <w:rPr/>
              <w:t>1.17-1.78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snapToGrid w:val="false"/>
              <w:jc w:val="both"/>
              <w:rPr/>
            </w:pPr>
            <w:r>
              <w:rPr/>
            </w:r>
          </w:p>
          <w:p>
            <w:pPr>
              <w:pStyle w:val="Normal"/>
              <w:widowControl w:val="false"/>
              <w:autoSpaceDE w:val="false"/>
              <w:jc w:val="both"/>
              <w:rPr/>
            </w:pPr>
            <w:r>
              <w:rPr/>
            </w:r>
          </w:p>
          <w:p>
            <w:pPr>
              <w:pStyle w:val="Normal"/>
              <w:widowControl w:val="false"/>
              <w:autoSpaceDE w:val="false"/>
              <w:jc w:val="both"/>
              <w:rPr/>
            </w:pPr>
            <w:r>
              <w:rPr/>
              <w:t>&lt;0.001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snapToGrid w:val="false"/>
              <w:jc w:val="both"/>
              <w:rPr/>
            </w:pPr>
            <w:r>
              <w:rPr/>
            </w:r>
          </w:p>
          <w:p>
            <w:pPr>
              <w:pStyle w:val="Normal"/>
              <w:widowControl w:val="false"/>
              <w:autoSpaceDE w:val="false"/>
              <w:jc w:val="both"/>
              <w:rPr/>
            </w:pPr>
            <w:r>
              <w:rPr/>
            </w:r>
          </w:p>
          <w:p>
            <w:pPr>
              <w:pStyle w:val="Normal"/>
              <w:widowControl w:val="false"/>
              <w:autoSpaceDE w:val="false"/>
              <w:jc w:val="both"/>
              <w:rPr/>
            </w:pPr>
            <w:r>
              <w:rPr/>
              <w:t>1.26</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snapToGrid w:val="false"/>
              <w:jc w:val="both"/>
              <w:rPr/>
            </w:pPr>
            <w:r>
              <w:rPr/>
            </w:r>
          </w:p>
          <w:p>
            <w:pPr>
              <w:pStyle w:val="Normal"/>
              <w:widowControl w:val="false"/>
              <w:autoSpaceDE w:val="false"/>
              <w:jc w:val="both"/>
              <w:rPr/>
            </w:pPr>
            <w:r>
              <w:rPr/>
            </w:r>
          </w:p>
          <w:p>
            <w:pPr>
              <w:pStyle w:val="Normal"/>
              <w:widowControl w:val="false"/>
              <w:autoSpaceDE w:val="false"/>
              <w:jc w:val="both"/>
              <w:rPr/>
            </w:pPr>
            <w:r>
              <w:rPr/>
              <w:t>1.16-1.38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widowControl w:val="false"/>
              <w:autoSpaceDE w:val="false"/>
              <w:snapToGrid w:val="false"/>
              <w:jc w:val="both"/>
              <w:rPr/>
            </w:pPr>
            <w:r>
              <w:rPr/>
            </w:r>
          </w:p>
          <w:p>
            <w:pPr>
              <w:pStyle w:val="Normal"/>
              <w:widowControl w:val="false"/>
              <w:autoSpaceDE w:val="false"/>
              <w:jc w:val="both"/>
              <w:rPr/>
            </w:pPr>
            <w:r>
              <w:rPr/>
            </w:r>
          </w:p>
          <w:p>
            <w:pPr>
              <w:pStyle w:val="Normal"/>
              <w:widowControl w:val="false"/>
              <w:autoSpaceDE w:val="false"/>
              <w:jc w:val="both"/>
              <w:rPr/>
            </w:pPr>
            <w:r>
              <w:rPr/>
              <w:t>&lt;0.001</w:t>
            </w:r>
          </w:p>
        </w:tc>
      </w:tr>
      <w:tr>
        <w:trPr>
          <w:trHeight w:val="1635" w:hRule="atLeast"/>
          <w:cantSplit w:val="true"/>
        </w:trPr>
        <w:tc>
          <w:tcPr>
            <w:tcW w:w="35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jc w:val="both"/>
              <w:rPr>
                <w:b/>
                <w:b/>
              </w:rPr>
            </w:pPr>
            <w:r>
              <w:rPr>
                <w:b/>
              </w:rPr>
              <w:t>Hockey Division</w:t>
            </w:r>
          </w:p>
          <w:p>
            <w:pPr>
              <w:pStyle w:val="Normal"/>
              <w:widowControl w:val="false"/>
              <w:autoSpaceDE w:val="false"/>
              <w:jc w:val="both"/>
              <w:rPr/>
            </w:pPr>
            <w:r>
              <w:rPr/>
              <w:t>Novice (reference group)</w:t>
            </w:r>
          </w:p>
          <w:p>
            <w:pPr>
              <w:pStyle w:val="Normal"/>
              <w:widowControl w:val="false"/>
              <w:autoSpaceDE w:val="false"/>
              <w:jc w:val="both"/>
              <w:rPr/>
            </w:pPr>
            <w:r>
              <w:rPr/>
              <w:t>Atom</w:t>
            </w:r>
          </w:p>
          <w:p>
            <w:pPr>
              <w:pStyle w:val="Normal"/>
              <w:widowControl w:val="false"/>
              <w:autoSpaceDE w:val="false"/>
              <w:jc w:val="both"/>
              <w:rPr/>
            </w:pPr>
            <w:r>
              <w:rPr/>
              <w:t>Pee Wee</w:t>
            </w:r>
          </w:p>
          <w:p>
            <w:pPr>
              <w:pStyle w:val="Normal"/>
              <w:widowControl w:val="false"/>
              <w:autoSpaceDE w:val="false"/>
              <w:jc w:val="both"/>
              <w:rPr/>
            </w:pPr>
            <w:r>
              <w:rPr/>
              <w:t>Bantam</w:t>
            </w:r>
          </w:p>
          <w:p>
            <w:pPr>
              <w:pStyle w:val="Normal"/>
              <w:widowControl w:val="false"/>
              <w:autoSpaceDE w:val="false"/>
              <w:jc w:val="both"/>
              <w:rPr/>
            </w:pPr>
            <w:r>
              <w:rPr/>
              <w:t>Midget</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snapToGrid w:val="false"/>
              <w:jc w:val="both"/>
              <w:rPr/>
            </w:pPr>
            <w:r>
              <w:rPr/>
            </w:r>
          </w:p>
          <w:p>
            <w:pPr>
              <w:pStyle w:val="Normal"/>
              <w:widowControl w:val="false"/>
              <w:autoSpaceDE w:val="false"/>
              <w:jc w:val="both"/>
              <w:rPr/>
            </w:pPr>
            <w:r>
              <w:rPr/>
            </w:r>
          </w:p>
          <w:p>
            <w:pPr>
              <w:pStyle w:val="Normal"/>
              <w:widowControl w:val="false"/>
              <w:autoSpaceDE w:val="false"/>
              <w:jc w:val="both"/>
              <w:rPr/>
            </w:pPr>
            <w:r>
              <w:rPr/>
              <w:t>2.20</w:t>
            </w:r>
          </w:p>
          <w:p>
            <w:pPr>
              <w:pStyle w:val="Normal"/>
              <w:widowControl w:val="false"/>
              <w:autoSpaceDE w:val="false"/>
              <w:jc w:val="both"/>
              <w:rPr/>
            </w:pPr>
            <w:r>
              <w:rPr/>
              <w:t>1.10</w:t>
            </w:r>
          </w:p>
          <w:p>
            <w:pPr>
              <w:pStyle w:val="Normal"/>
              <w:widowControl w:val="false"/>
              <w:autoSpaceDE w:val="false"/>
              <w:jc w:val="both"/>
              <w:rPr/>
            </w:pPr>
            <w:r>
              <w:rPr/>
              <w:t>1.11</w:t>
            </w:r>
          </w:p>
          <w:p>
            <w:pPr>
              <w:pStyle w:val="Normal"/>
              <w:widowControl w:val="false"/>
              <w:autoSpaceDE w:val="false"/>
              <w:jc w:val="both"/>
              <w:rPr/>
            </w:pPr>
            <w:r>
              <w:rPr/>
              <w:t>1.23</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snapToGrid w:val="false"/>
              <w:jc w:val="both"/>
              <w:rPr/>
            </w:pPr>
            <w:r>
              <w:rPr/>
            </w:r>
          </w:p>
          <w:p>
            <w:pPr>
              <w:pStyle w:val="Normal"/>
              <w:widowControl w:val="false"/>
              <w:autoSpaceDE w:val="false"/>
              <w:jc w:val="both"/>
              <w:rPr/>
            </w:pPr>
            <w:r>
              <w:rPr/>
            </w:r>
          </w:p>
          <w:p>
            <w:pPr>
              <w:pStyle w:val="Normal"/>
              <w:widowControl w:val="false"/>
              <w:autoSpaceDE w:val="false"/>
              <w:jc w:val="both"/>
              <w:rPr/>
            </w:pPr>
            <w:r>
              <w:rPr/>
              <w:t>1.70-2.84</w:t>
            </w:r>
          </w:p>
          <w:p>
            <w:pPr>
              <w:pStyle w:val="Normal"/>
              <w:widowControl w:val="false"/>
              <w:autoSpaceDE w:val="false"/>
              <w:jc w:val="both"/>
              <w:rPr/>
            </w:pPr>
            <w:r>
              <w:rPr/>
              <w:t>0.94-1.30</w:t>
            </w:r>
          </w:p>
          <w:p>
            <w:pPr>
              <w:pStyle w:val="Normal"/>
              <w:widowControl w:val="false"/>
              <w:autoSpaceDE w:val="false"/>
              <w:jc w:val="both"/>
              <w:rPr/>
            </w:pPr>
            <w:r>
              <w:rPr/>
              <w:t>0.95-1.30</w:t>
            </w:r>
          </w:p>
          <w:p>
            <w:pPr>
              <w:pStyle w:val="Normal"/>
              <w:widowControl w:val="false"/>
              <w:autoSpaceDE w:val="false"/>
              <w:jc w:val="both"/>
              <w:rPr/>
            </w:pPr>
            <w:r>
              <w:rPr/>
              <w:t>1.01-1.49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snapToGrid w:val="false"/>
              <w:jc w:val="both"/>
              <w:rPr/>
            </w:pPr>
            <w:r>
              <w:rPr/>
            </w:r>
          </w:p>
          <w:p>
            <w:pPr>
              <w:pStyle w:val="Normal"/>
              <w:widowControl w:val="false"/>
              <w:autoSpaceDE w:val="false"/>
              <w:jc w:val="both"/>
              <w:rPr/>
            </w:pPr>
            <w:r>
              <w:rPr/>
            </w:r>
          </w:p>
          <w:p>
            <w:pPr>
              <w:pStyle w:val="Normal"/>
              <w:widowControl w:val="false"/>
              <w:autoSpaceDE w:val="false"/>
              <w:jc w:val="both"/>
              <w:rPr/>
            </w:pPr>
            <w:r>
              <w:rPr/>
              <w:t>&lt;.001</w:t>
            </w:r>
          </w:p>
          <w:p>
            <w:pPr>
              <w:pStyle w:val="Normal"/>
              <w:widowControl w:val="false"/>
              <w:autoSpaceDE w:val="false"/>
              <w:jc w:val="both"/>
              <w:rPr/>
            </w:pPr>
            <w:r>
              <w:rPr/>
              <w:t>0.12</w:t>
            </w:r>
          </w:p>
          <w:p>
            <w:pPr>
              <w:pStyle w:val="Normal"/>
              <w:widowControl w:val="false"/>
              <w:autoSpaceDE w:val="false"/>
              <w:jc w:val="both"/>
              <w:rPr/>
            </w:pPr>
            <w:r>
              <w:rPr/>
              <w:t>0.11</w:t>
            </w:r>
          </w:p>
          <w:p>
            <w:pPr>
              <w:pStyle w:val="Normal"/>
              <w:widowControl w:val="false"/>
              <w:autoSpaceDE w:val="false"/>
              <w:jc w:val="both"/>
              <w:rPr/>
            </w:pPr>
            <w:r>
              <w:rPr/>
              <w:t>0.02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snapToGrid w:val="false"/>
              <w:jc w:val="both"/>
              <w:rPr/>
            </w:pPr>
            <w:r>
              <w:rPr/>
            </w:r>
          </w:p>
          <w:p>
            <w:pPr>
              <w:pStyle w:val="Normal"/>
              <w:widowControl w:val="false"/>
              <w:autoSpaceDE w:val="false"/>
              <w:jc w:val="both"/>
              <w:rPr/>
            </w:pPr>
            <w:r>
              <w:rPr/>
            </w:r>
          </w:p>
          <w:p>
            <w:pPr>
              <w:pStyle w:val="Normal"/>
              <w:widowControl w:val="false"/>
              <w:autoSpaceDE w:val="false"/>
              <w:jc w:val="both"/>
              <w:rPr/>
            </w:pPr>
            <w:r>
              <w:rPr/>
              <w:t>1.61</w:t>
            </w:r>
          </w:p>
          <w:p>
            <w:pPr>
              <w:pStyle w:val="Normal"/>
              <w:widowControl w:val="false"/>
              <w:autoSpaceDE w:val="false"/>
              <w:jc w:val="both"/>
              <w:rPr/>
            </w:pPr>
            <w:r>
              <w:rPr/>
              <w:t>3.09</w:t>
            </w:r>
          </w:p>
          <w:p>
            <w:pPr>
              <w:pStyle w:val="Normal"/>
              <w:widowControl w:val="false"/>
              <w:autoSpaceDE w:val="false"/>
              <w:jc w:val="both"/>
              <w:rPr/>
            </w:pPr>
            <w:r>
              <w:rPr/>
              <w:t>2.85</w:t>
            </w:r>
          </w:p>
          <w:p>
            <w:pPr>
              <w:pStyle w:val="Normal"/>
              <w:widowControl w:val="false"/>
              <w:autoSpaceDE w:val="false"/>
              <w:jc w:val="both"/>
              <w:rPr/>
            </w:pPr>
            <w:r>
              <w:rPr/>
              <w:t>2.84</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autoSpaceDE w:val="false"/>
              <w:snapToGrid w:val="false"/>
              <w:jc w:val="both"/>
              <w:rPr/>
            </w:pPr>
            <w:r>
              <w:rPr/>
            </w:r>
          </w:p>
          <w:p>
            <w:pPr>
              <w:pStyle w:val="Normal"/>
              <w:widowControl w:val="false"/>
              <w:autoSpaceDE w:val="false"/>
              <w:jc w:val="both"/>
              <w:rPr/>
            </w:pPr>
            <w:r>
              <w:rPr/>
            </w:r>
          </w:p>
          <w:p>
            <w:pPr>
              <w:pStyle w:val="Normal"/>
              <w:widowControl w:val="false"/>
              <w:autoSpaceDE w:val="false"/>
              <w:jc w:val="both"/>
              <w:rPr/>
            </w:pPr>
            <w:r>
              <w:rPr/>
              <w:t>1.24-2.08</w:t>
            </w:r>
          </w:p>
          <w:p>
            <w:pPr>
              <w:pStyle w:val="Normal"/>
              <w:widowControl w:val="false"/>
              <w:autoSpaceDE w:val="false"/>
              <w:jc w:val="both"/>
              <w:rPr/>
            </w:pPr>
            <w:r>
              <w:rPr/>
              <w:t>2.43-3.91</w:t>
            </w:r>
          </w:p>
          <w:p>
            <w:pPr>
              <w:pStyle w:val="Normal"/>
              <w:widowControl w:val="false"/>
              <w:autoSpaceDE w:val="false"/>
              <w:jc w:val="both"/>
              <w:rPr/>
            </w:pPr>
            <w:r>
              <w:rPr/>
              <w:t>2.25-3.61</w:t>
            </w:r>
          </w:p>
          <w:p>
            <w:pPr>
              <w:pStyle w:val="Normal"/>
              <w:widowControl w:val="false"/>
              <w:autoSpaceDE w:val="false"/>
              <w:jc w:val="both"/>
              <w:rPr/>
            </w:pPr>
            <w:r>
              <w:rPr/>
              <w:t>2.23-3.62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widowControl w:val="false"/>
              <w:autoSpaceDE w:val="false"/>
              <w:snapToGrid w:val="false"/>
              <w:jc w:val="both"/>
              <w:rPr/>
            </w:pPr>
            <w:r>
              <w:rPr/>
            </w:r>
          </w:p>
          <w:p>
            <w:pPr>
              <w:pStyle w:val="Normal"/>
              <w:widowControl w:val="false"/>
              <w:autoSpaceDE w:val="false"/>
              <w:jc w:val="both"/>
              <w:rPr/>
            </w:pPr>
            <w:r>
              <w:rPr/>
            </w:r>
          </w:p>
          <w:p>
            <w:pPr>
              <w:pStyle w:val="Normal"/>
              <w:widowControl w:val="false"/>
              <w:autoSpaceDE w:val="false"/>
              <w:jc w:val="both"/>
              <w:rPr/>
            </w:pPr>
            <w:r>
              <w:rPr/>
              <w:t>&lt;0.001</w:t>
            </w:r>
          </w:p>
          <w:p>
            <w:pPr>
              <w:pStyle w:val="Normal"/>
              <w:widowControl w:val="false"/>
              <w:autoSpaceDE w:val="false"/>
              <w:jc w:val="both"/>
              <w:rPr/>
            </w:pPr>
            <w:r>
              <w:rPr/>
              <w:t>&lt;0.001</w:t>
            </w:r>
          </w:p>
          <w:p>
            <w:pPr>
              <w:pStyle w:val="Normal"/>
              <w:widowControl w:val="false"/>
              <w:autoSpaceDE w:val="false"/>
              <w:jc w:val="both"/>
              <w:rPr/>
            </w:pPr>
            <w:r>
              <w:rPr/>
              <w:t>&lt;0.001</w:t>
            </w:r>
          </w:p>
          <w:p>
            <w:pPr>
              <w:pStyle w:val="Normal"/>
              <w:widowControl w:val="false"/>
              <w:autoSpaceDE w:val="false"/>
              <w:jc w:val="both"/>
              <w:rPr/>
            </w:pPr>
            <w:r>
              <w:rPr/>
              <w:t>&lt;0.001</w:t>
            </w:r>
          </w:p>
        </w:tc>
      </w:tr>
    </w:tbl>
    <w:p>
      <w:pPr>
        <w:pStyle w:val="TextBodyIndent"/>
        <w:spacing w:lineRule="auto" w:line="240"/>
        <w:ind w:left="720" w:hanging="0"/>
        <w:jc w:val="both"/>
        <w:rPr>
          <w:b/>
          <w:b/>
          <w:bCs/>
        </w:rPr>
      </w:pPr>
      <w:r>
        <w:rPr>
          <w:b/>
          <w:bCs/>
        </w:rPr>
      </w:r>
    </w:p>
    <w:p>
      <w:pPr>
        <w:pStyle w:val="Normal"/>
        <w:spacing w:lineRule="auto" w:line="480"/>
        <w:jc w:val="both"/>
        <w:rPr>
          <w:b/>
          <w:b/>
          <w:bCs/>
          <w:u w:val="single"/>
        </w:rPr>
      </w:pPr>
      <w:r>
        <w:rPr>
          <w:b/>
          <w:bCs/>
          <w:u w:val="single"/>
        </w:rPr>
      </w:r>
    </w:p>
    <w:p>
      <w:pPr>
        <w:pStyle w:val="Normal"/>
        <w:spacing w:lineRule="auto" w:line="480"/>
        <w:jc w:val="both"/>
        <w:rPr>
          <w:b/>
          <w:b/>
          <w:u w:val="single"/>
        </w:rPr>
      </w:pPr>
      <w:r>
        <w:rPr>
          <w:b/>
          <w:u w:val="single"/>
        </w:rPr>
      </w:r>
    </w:p>
    <w:p>
      <w:pPr>
        <w:pStyle w:val="Normal"/>
        <w:spacing w:lineRule="auto" w:line="480"/>
        <w:jc w:val="both"/>
        <w:rPr>
          <w:b/>
          <w:b/>
        </w:rPr>
      </w:pPr>
      <w:r>
        <w:rPr>
          <w:b/>
        </w:rPr>
        <w:t>Discussion</w:t>
      </w:r>
    </w:p>
    <w:p>
      <w:pPr>
        <w:pStyle w:val="Normal"/>
        <w:spacing w:lineRule="auto" w:line="480"/>
        <w:ind w:firstLine="720"/>
        <w:jc w:val="both"/>
        <w:rPr/>
      </w:pPr>
      <w:r>
        <w:rPr/>
        <w:t xml:space="preserve">In this study, almost half the injuries that occurred were attributable to body checking. The odds of ED visits due to a body checking related injury increased from 48% before the OHF lowered the legal age of body contact from Pee Wee to Atom, to 52% after the lowering of the body checking age. Players in the Atom division sustained a significantly higher number of body checking-related injuries after the rule change. The proportion of body checking to non-body checking injuries also increased slightly among players of Pee Wee, Bantam and Midget divisions.  </w:t>
      </w:r>
    </w:p>
    <w:p>
      <w:pPr>
        <w:pStyle w:val="Normal"/>
        <w:spacing w:lineRule="auto" w:line="480"/>
        <w:ind w:firstLine="720"/>
        <w:jc w:val="both"/>
        <w:rPr/>
      </w:pPr>
      <w:r>
        <w:rPr/>
      </w:r>
    </w:p>
    <w:p>
      <w:pPr>
        <w:pStyle w:val="Normal"/>
        <w:spacing w:lineRule="auto" w:line="480"/>
        <w:ind w:firstLine="720"/>
        <w:jc w:val="both"/>
        <w:rPr/>
      </w:pPr>
      <w:r>
        <w:rPr/>
        <w:t xml:space="preserve">The odds of sustaining Head injuries (including concussion) increased after the introduction of the rule that lowered the age for legal body contact. Although, it is not possible to ascertain that the increased odds of an ED visit due to a head injury is caused solely by the lowering of age for body contact, it is very likely that allowing body contact will increase collisions between players and, players and inanimate objects which may have led to an increase in head injuries.  </w:t>
      </w:r>
    </w:p>
    <w:p>
      <w:pPr>
        <w:pStyle w:val="Normal"/>
        <w:spacing w:lineRule="auto" w:line="480"/>
        <w:ind w:firstLine="720"/>
        <w:jc w:val="both"/>
        <w:rPr/>
      </w:pPr>
      <w:r>
        <w:rPr/>
      </w:r>
    </w:p>
    <w:p>
      <w:pPr>
        <w:pStyle w:val="Normal"/>
        <w:spacing w:lineRule="auto" w:line="480"/>
        <w:ind w:firstLine="720"/>
        <w:jc w:val="both"/>
        <w:rPr/>
      </w:pPr>
      <w:r>
        <w:rPr/>
        <w:t xml:space="preserve">A study by MacPherson </w:t>
      </w:r>
      <w:r>
        <w:rPr>
          <w:i/>
        </w:rPr>
        <w:t>et al</w:t>
      </w:r>
      <w:r>
        <w:rPr/>
        <w:t xml:space="preserve">. </w:t>
      </w:r>
      <w:r>
        <w:rPr>
          <w:vertAlign w:val="superscript"/>
        </w:rPr>
        <w:t>21</w:t>
      </w:r>
      <w:r>
        <w:rPr/>
        <w:t xml:space="preserve"> compared body checking injuries among players aged 10 to 13 in Ontario to those of the Province of Quebec using emergency department visit data collected through the CHIRPP. Those authors reported that Ontario players in leagues where body checking was allowed suffered a significantly higher number of injuries in general and severe injuries such as concussion and fracture injuries in particular. Findings from that study also indicated that given that the risk of sustaining checking injuries were higher among Ontario minor hockey players (where body checking was introduced at a younger age) compared to Quebec players, there was no protective effect from learning to check earlier.</w:t>
      </w:r>
    </w:p>
    <w:p>
      <w:pPr>
        <w:pStyle w:val="Normal"/>
        <w:spacing w:lineRule="auto" w:line="480"/>
        <w:ind w:firstLine="720"/>
        <w:jc w:val="both"/>
        <w:rPr/>
      </w:pPr>
      <w:r>
        <w:rPr/>
      </w:r>
    </w:p>
    <w:p>
      <w:pPr>
        <w:pStyle w:val="Normal"/>
        <w:spacing w:lineRule="auto" w:line="480"/>
        <w:ind w:firstLine="720"/>
        <w:jc w:val="both"/>
        <w:rPr/>
      </w:pPr>
      <w:r>
        <w:rPr/>
        <w:t xml:space="preserve">Another study </w:t>
      </w:r>
      <w:r>
        <w:rPr>
          <w:vertAlign w:val="superscript"/>
        </w:rPr>
        <w:t>22</w:t>
      </w:r>
      <w:r>
        <w:rPr/>
        <w:t xml:space="preserve"> examined the effect of body checking injuries on injury rates among minor ice hockey players in the Capital Health Region of Alberta. Following the change in age classification by Hockey Canada in 2002, 10 and 11 year old children who played at the atom level (where body checking is prohibited) were placed in the pee wee division with 12-year-old players (where body checking is allowed). The authors reported a significantly higher rate of injuries sustained by 11-year old children playing at the pee wee level compared to the rate among players of the same age at the atom level. A two-fold increase in the rate of severe injuries was reported among players at the pee wee level compared to that of atom level players. </w:t>
      </w:r>
    </w:p>
    <w:p>
      <w:pPr>
        <w:pStyle w:val="Normal"/>
        <w:spacing w:lineRule="auto" w:line="480"/>
        <w:ind w:firstLine="720"/>
        <w:jc w:val="both"/>
        <w:rPr/>
      </w:pPr>
      <w:r>
        <w:rPr/>
      </w:r>
    </w:p>
    <w:p>
      <w:pPr>
        <w:pStyle w:val="Normal"/>
        <w:spacing w:lineRule="auto" w:line="480"/>
        <w:ind w:firstLine="720"/>
        <w:jc w:val="both"/>
        <w:rPr/>
      </w:pPr>
      <w:r>
        <w:rPr/>
        <w:t xml:space="preserve">Montelpare </w:t>
      </w:r>
      <w:r>
        <w:rPr>
          <w:i/>
        </w:rPr>
        <w:t>et al</w:t>
      </w:r>
      <w:r>
        <w:rPr/>
        <w:t>.</w:t>
      </w:r>
      <w:r>
        <w:rPr>
          <w:vertAlign w:val="superscript"/>
        </w:rPr>
        <w:t xml:space="preserve">23 </w:t>
      </w:r>
      <w:r>
        <w:rPr/>
        <w:t xml:space="preserve">conducted a three-year longitudinal study which compared injury rates among atom divisions of minor hockey leagues of the Ottawa District Hockey Association (where body checking is prohibited) and other minor hockey leagues within the OFH (where body checking is allowed) using injury claims reported to the CHA. They reported no difference in injury rates between the two groups overall, but a three-fold proportion of checking related injury in leagues that allow checking compared to leagues that did not allow checking. </w:t>
      </w:r>
    </w:p>
    <w:p>
      <w:pPr>
        <w:pStyle w:val="Normal"/>
        <w:spacing w:lineRule="auto" w:line="480"/>
        <w:ind w:firstLine="720"/>
        <w:jc w:val="both"/>
        <w:rPr/>
      </w:pPr>
      <w:r>
        <w:rPr/>
      </w:r>
    </w:p>
    <w:p>
      <w:pPr>
        <w:pStyle w:val="Normal"/>
        <w:spacing w:lineRule="auto" w:line="480"/>
        <w:ind w:firstLine="720"/>
        <w:jc w:val="both"/>
        <w:rPr/>
      </w:pPr>
      <w:r>
        <w:rPr/>
        <w:t xml:space="preserve">Willer </w:t>
      </w:r>
      <w:r>
        <w:rPr>
          <w:i/>
        </w:rPr>
        <w:t>et al</w:t>
      </w:r>
      <w:r>
        <w:rPr/>
        <w:t>.</w:t>
      </w:r>
      <w:r>
        <w:rPr>
          <w:vertAlign w:val="superscript"/>
        </w:rPr>
        <w:t>24</w:t>
      </w:r>
      <w:r>
        <w:rPr/>
        <w:t xml:space="preserve"> also reported an increase in body checking injuries among 9 year old minor male hockey players when body checking was introduced, and showed that for all ages between 9 and 14 years old, hockey leagues which allow body checking have higher rates of injury compared to leagues that do not allow body checking. Despite these results, however, the authors stated that body checking should be introduced at an </w:t>
      </w:r>
      <w:r>
        <w:rPr>
          <w:rStyle w:val="Fulltextit"/>
        </w:rPr>
        <w:t>earlier age, attributing the results to a speculated increase in testosterone and aggression at these ages</w:t>
      </w:r>
      <w:r>
        <w:rPr/>
        <w:t xml:space="preserve">. Dryden </w:t>
      </w:r>
      <w:r>
        <w:rPr>
          <w:i/>
        </w:rPr>
        <w:t>et al.</w:t>
      </w:r>
      <w:r>
        <w:rPr>
          <w:vertAlign w:val="superscript"/>
        </w:rPr>
        <w:t>25</w:t>
      </w:r>
      <w:r>
        <w:rPr/>
        <w:t xml:space="preserve"> calculated rate ratios for each age group (9-14 yr olds) in the Willer </w:t>
      </w:r>
      <w:r>
        <w:rPr>
          <w:i/>
        </w:rPr>
        <w:t>et al</w:t>
      </w:r>
      <w:r>
        <w:rPr/>
        <w:t xml:space="preserve">. study comparing the body checking and non-body checking teams. The analysis showed that for all ages, the body checking leagues always had higher rates of injury. The rate ratios (body checking vs. non-body checking) ranged from 2 to 10, clearly demonstrating that body checking increased the risk of injury at every age group </w:t>
      </w:r>
      <w:r>
        <w:rPr>
          <w:vertAlign w:val="superscript"/>
        </w:rPr>
        <w:t>25</w:t>
      </w:r>
      <w:r>
        <w:rPr/>
        <w:t>. It is clear that learning to body check at a younger age does not reduce a player's risk of injury; instead, it prolongs the exposure to risk.</w:t>
      </w:r>
    </w:p>
    <w:p>
      <w:pPr>
        <w:pStyle w:val="Normal"/>
        <w:spacing w:lineRule="auto" w:line="480"/>
        <w:ind w:firstLine="720"/>
        <w:jc w:val="both"/>
        <w:rPr/>
      </w:pPr>
      <w:r>
        <w:rPr/>
      </w:r>
    </w:p>
    <w:p>
      <w:pPr>
        <w:pStyle w:val="Normal"/>
        <w:spacing w:lineRule="auto" w:line="480"/>
        <w:ind w:firstLine="720"/>
        <w:jc w:val="both"/>
        <w:rPr/>
      </w:pPr>
      <w:r>
        <w:rPr/>
        <w:t>The issue of body checking in ice hockey ultimately needs to be resolved by a weighing of the risks and benefits of the practice by all those with a stake in ice hockey and the health of children and youth. There is now a significant consensus among a number of research studies that body checking undoubtedly increases the numbers of injuries.  The incidence of</w:t>
      </w:r>
      <w:r>
        <w:rPr>
          <w:vertAlign w:val="superscript"/>
        </w:rPr>
        <w:t xml:space="preserve"> </w:t>
      </w:r>
      <w:r>
        <w:rPr/>
        <w:t>concussion and other injuries consistently increases with an increase</w:t>
      </w:r>
      <w:r>
        <w:rPr>
          <w:vertAlign w:val="superscript"/>
        </w:rPr>
        <w:t xml:space="preserve"> </w:t>
      </w:r>
      <w:r>
        <w:rPr/>
        <w:t>in body checking experience, reaching its zenith at the elite</w:t>
      </w:r>
      <w:r>
        <w:rPr>
          <w:vertAlign w:val="superscript"/>
        </w:rPr>
        <w:t xml:space="preserve"> </w:t>
      </w:r>
      <w:r>
        <w:rPr/>
        <w:t xml:space="preserve">levels in collegiate leagues and the NHL </w:t>
      </w:r>
      <w:r>
        <w:rPr>
          <w:vertAlign w:val="superscript"/>
        </w:rPr>
        <w:t>26, 27, 28</w:t>
      </w:r>
      <w:r>
        <w:rPr/>
        <w:t xml:space="preserve"> and is associated</w:t>
      </w:r>
      <w:r>
        <w:rPr>
          <w:vertAlign w:val="superscript"/>
        </w:rPr>
        <w:t xml:space="preserve"> </w:t>
      </w:r>
      <w:r>
        <w:rPr/>
        <w:t xml:space="preserve">with significant risk of fracture, </w:t>
      </w:r>
      <w:r>
        <w:rPr>
          <w:vertAlign w:val="superscript"/>
        </w:rPr>
        <w:t xml:space="preserve">29, 30, 31 </w:t>
      </w:r>
      <w:r>
        <w:rPr/>
        <w:t xml:space="preserve">concussion </w:t>
      </w:r>
      <w:r>
        <w:rPr>
          <w:vertAlign w:val="superscript"/>
        </w:rPr>
        <w:t>28, 32</w:t>
      </w:r>
      <w:r>
        <w:rPr/>
        <w:t xml:space="preserve"> and</w:t>
      </w:r>
      <w:r>
        <w:rPr>
          <w:vertAlign w:val="superscript"/>
        </w:rPr>
        <w:t xml:space="preserve"> </w:t>
      </w:r>
      <w:r>
        <w:rPr/>
        <w:t xml:space="preserve">spinal injury </w:t>
      </w:r>
      <w:r>
        <w:rPr>
          <w:vertAlign w:val="superscript"/>
        </w:rPr>
        <w:t>33</w:t>
      </w:r>
      <w:r>
        <w:rPr/>
        <w:t>.  Furthermore it has been shown by this study and others</w:t>
      </w:r>
      <w:r>
        <w:rPr>
          <w:vertAlign w:val="superscript"/>
        </w:rPr>
        <w:t xml:space="preserve"> 21, 22</w:t>
      </w:r>
      <w:r>
        <w:rPr/>
        <w:t xml:space="preserve"> that lowering the legal age for body checking has resulted in an increased number of injuries.  Despite the growing evidence showing detrimental effects of body checking, no evidence exists indicating that earlier exposure to body checking and earlier learning to give and receive a body check lowers subsequent risk of injury in hockey.   </w:t>
      </w:r>
    </w:p>
    <w:p>
      <w:pPr>
        <w:pStyle w:val="Normal"/>
        <w:spacing w:lineRule="auto" w:line="480"/>
        <w:ind w:firstLine="720"/>
        <w:jc w:val="both"/>
        <w:rPr/>
      </w:pPr>
      <w:r>
        <w:rPr/>
      </w:r>
    </w:p>
    <w:p>
      <w:pPr>
        <w:pStyle w:val="Normal"/>
        <w:spacing w:lineRule="auto" w:line="480"/>
        <w:rPr/>
      </w:pPr>
      <w:r>
        <w:rPr/>
        <w:t xml:space="preserve">A Canadian sport policy was established several years ago by 14 governmental jurisdictions in Canada with the intent of having Canadians at all ages participate in sport </w:t>
      </w:r>
      <w:r>
        <w:rPr>
          <w:vertAlign w:val="superscript"/>
        </w:rPr>
        <w:t>34</w:t>
      </w:r>
      <w:r>
        <w:rPr/>
        <w:t>. The policy clearly sees s</w:t>
      </w:r>
      <w:r>
        <w:rPr>
          <w:color w:val="000000"/>
        </w:rPr>
        <w:t xml:space="preserve">port as “a powerful vehicle for the enhancement of health, well-being, and community development” </w:t>
      </w:r>
      <w:r>
        <w:rPr>
          <w:vertAlign w:val="superscript"/>
        </w:rPr>
        <w:t>34</w:t>
      </w:r>
      <w:r>
        <w:rPr>
          <w:color w:val="000000"/>
        </w:rPr>
        <w:t xml:space="preserve">. </w:t>
      </w:r>
      <w:r>
        <w:rPr/>
        <w:t xml:space="preserve">Our study and a multitude of others demonstrate the increased risks of lowering the age of body checking and the risks of body checking at all ages. In addition, given that the maximum rate of attrition from a sport like hockey is precisely at the age when injury risk rises dramatically, size differentials between players is greatest, and body checking is in “full swing” </w:t>
      </w:r>
      <w:r>
        <w:rPr>
          <w:vertAlign w:val="superscript"/>
        </w:rPr>
        <w:t>31</w:t>
      </w:r>
      <w:r>
        <w:rPr/>
        <w:t xml:space="preserve">. A recent report indicating that the body checking age will be raised to 11 years old in Ontario and Saskatchewan </w:t>
      </w:r>
      <w:r>
        <w:rPr>
          <w:vertAlign w:val="superscript"/>
        </w:rPr>
        <w:t>35</w:t>
      </w:r>
      <w:r>
        <w:rPr/>
        <w:t xml:space="preserve"> will do little to resolve the issue. It is now abundantly clear that the risks of body checking far outweigh the benefits.  The data clearly supports prior calls to ban this practice </w:t>
      </w:r>
      <w:r>
        <w:rPr>
          <w:vertAlign w:val="superscript"/>
        </w:rPr>
        <w:t>13, 36</w:t>
      </w:r>
      <w:r>
        <w:rPr/>
        <w:t xml:space="preserve">. </w:t>
      </w:r>
      <w:r>
        <w:rPr>
          <w:color w:val="000000"/>
        </w:rPr>
        <w:t xml:space="preserve">Now is the time for leadership and rationale change in this sport in Canada. </w:t>
      </w:r>
    </w:p>
    <w:p>
      <w:pPr>
        <w:pStyle w:val="Normal"/>
        <w:spacing w:lineRule="auto" w:line="480"/>
        <w:ind w:firstLine="720"/>
        <w:jc w:val="both"/>
        <w:rPr>
          <w:vertAlign w:val="superscript"/>
        </w:rPr>
      </w:pPr>
      <w:r>
        <w:rPr>
          <w:vertAlign w:val="superscript"/>
        </w:rPr>
      </w:r>
    </w:p>
    <w:p>
      <w:pPr>
        <w:pStyle w:val="Normal"/>
        <w:spacing w:lineRule="auto" w:line="480"/>
        <w:ind w:firstLine="720"/>
        <w:jc w:val="both"/>
        <w:rPr/>
      </w:pPr>
      <w:r>
        <w:rPr/>
        <w:t xml:space="preserve">More opportunities for high-skill level competitive play without body checking must exist for players far beyond the atom level.  For those intending on exposing people to the detrimental effects of body checking, responsibility for the practice must be accepted and concerted multifaceted efforts aimed at better rules and enforcement must be made. </w:t>
      </w:r>
      <w:r>
        <w:rPr>
          <w:color w:val="000000"/>
        </w:rPr>
        <w:t>These changes will require broadly based collaboration between all stakeholders with an interest in hockey, other sports, health, activity and safety</w:t>
      </w:r>
      <w:r>
        <w:rPr>
          <w:rFonts w:cs="Arial" w:ascii="Arial" w:hAnsi="Arial"/>
          <w:color w:val="000000"/>
          <w:sz w:val="27"/>
          <w:szCs w:val="27"/>
        </w:rPr>
        <w:t>.</w:t>
      </w:r>
    </w:p>
    <w:p>
      <w:pPr>
        <w:pStyle w:val="Normal"/>
        <w:spacing w:lineRule="auto" w:line="480"/>
        <w:ind w:firstLine="720"/>
        <w:jc w:val="both"/>
        <w:rPr>
          <w:rFonts w:ascii="Arial" w:hAnsi="Arial" w:cs="Arial"/>
          <w:color w:val="000000"/>
          <w:sz w:val="27"/>
          <w:szCs w:val="27"/>
        </w:rPr>
      </w:pPr>
      <w:r>
        <w:rPr>
          <w:rFonts w:cs="Arial" w:ascii="Arial" w:hAnsi="Arial"/>
          <w:color w:val="000000"/>
          <w:sz w:val="27"/>
          <w:szCs w:val="27"/>
        </w:rPr>
      </w:r>
    </w:p>
    <w:p>
      <w:pPr>
        <w:pStyle w:val="Normal"/>
        <w:spacing w:lineRule="auto" w:line="480"/>
        <w:ind w:firstLine="720"/>
        <w:jc w:val="both"/>
        <w:rPr>
          <w:rFonts w:ascii="Arial" w:hAnsi="Arial" w:cs="Arial"/>
          <w:color w:val="000000"/>
          <w:sz w:val="27"/>
          <w:szCs w:val="27"/>
        </w:rPr>
      </w:pPr>
      <w:r>
        <w:rPr>
          <w:rFonts w:cs="Arial" w:ascii="Arial" w:hAnsi="Arial"/>
          <w:color w:val="000000"/>
          <w:sz w:val="27"/>
          <w:szCs w:val="27"/>
        </w:rPr>
      </w:r>
    </w:p>
    <w:p>
      <w:pPr>
        <w:pStyle w:val="Normal"/>
        <w:spacing w:lineRule="auto" w:line="480"/>
        <w:ind w:firstLine="720"/>
        <w:jc w:val="both"/>
        <w:rPr>
          <w:rFonts w:ascii="Arial" w:hAnsi="Arial" w:cs="Arial"/>
          <w:color w:val="000000"/>
          <w:sz w:val="27"/>
          <w:szCs w:val="27"/>
        </w:rPr>
      </w:pPr>
      <w:r>
        <w:rPr>
          <w:rFonts w:cs="Arial" w:ascii="Arial" w:hAnsi="Arial"/>
          <w:color w:val="000000"/>
          <w:sz w:val="27"/>
          <w:szCs w:val="27"/>
        </w:rPr>
      </w:r>
    </w:p>
    <w:p>
      <w:pPr>
        <w:pStyle w:val="Normal"/>
        <w:spacing w:lineRule="auto" w:line="480"/>
        <w:jc w:val="both"/>
        <w:rPr>
          <w:b/>
          <w:b/>
        </w:rPr>
      </w:pPr>
      <w:r>
        <w:rPr>
          <w:b/>
        </w:rPr>
        <w:t>Limitations</w:t>
      </w:r>
    </w:p>
    <w:p>
      <w:pPr>
        <w:pStyle w:val="Normal"/>
        <w:spacing w:lineRule="auto" w:line="480"/>
        <w:ind w:firstLine="720"/>
        <w:jc w:val="both"/>
        <w:rPr/>
      </w:pPr>
      <w:r>
        <w:rPr/>
        <w:t xml:space="preserve">This study was based on injury data of players visiting emergency departments of hospitals participating in the CHIRPP surveillance program and did not include players who visited hospitals which did not participate in this surveillance program or who sought medical care from physicians’ offices/clinics.  The CHIRPP dataset used herein captures only those players who sustained relatively severe injuries who sought treatment in an emergency room. The large sample size and the study design, allowed us to calculate odds ratios, however, the number of minor hockey players was not available and hence it was not possible to calculate injury rates. </w:t>
      </w:r>
    </w:p>
    <w:p>
      <w:pPr>
        <w:pStyle w:val="Normal"/>
        <w:spacing w:lineRule="auto" w:line="480"/>
        <w:ind w:firstLine="720"/>
        <w:jc w:val="both"/>
        <w:rPr/>
      </w:pPr>
      <w:r>
        <w:rPr/>
      </w:r>
    </w:p>
    <w:p>
      <w:pPr>
        <w:pStyle w:val="Normal"/>
        <w:spacing w:lineRule="auto" w:line="480"/>
        <w:jc w:val="both"/>
        <w:rPr/>
      </w:pPr>
      <w:r>
        <w:rPr/>
        <w:t xml:space="preserve">A limitation of the CHIRRP dataset is that specific age divisions and competitive levels of the players were not known and it was also not possible to tell if players were injured in non-OHF play such as high school hockey. However, other studies have shown that the risks in competitive play are higher than those in less competitive environments.   There may also be an under reporting of injuries related to body checking because we included an injury as body checking related only if the text explicitly indicated that body checking was involved, however, an injury such as “injured arm after sliding into the boards” (after a body check) may only have been recorded as a collision with the boards. </w:t>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References</w:t>
      </w:r>
    </w:p>
    <w:p>
      <w:pPr>
        <w:pStyle w:val="Normal"/>
        <w:rPr>
          <w:b/>
          <w:b/>
        </w:rPr>
      </w:pPr>
      <w:r>
        <w:rPr>
          <w:b/>
        </w:rPr>
      </w:r>
    </w:p>
    <w:p>
      <w:pPr>
        <w:pStyle w:val="Normal"/>
        <w:numPr>
          <w:ilvl w:val="0"/>
          <w:numId w:val="3"/>
        </w:numPr>
        <w:jc w:val="both"/>
        <w:rPr/>
      </w:pPr>
      <w:hyperlink r:id="rId3">
        <w:r>
          <w:rPr>
            <w:rStyle w:val="InternetLink"/>
          </w:rPr>
          <w:t>Auringer ST</w:t>
        </w:r>
      </w:hyperlink>
      <w:r>
        <w:rPr/>
        <w:t xml:space="preserve">. and </w:t>
      </w:r>
      <w:hyperlink r:id="rId4">
        <w:r>
          <w:rPr>
            <w:rStyle w:val="InternetLink"/>
          </w:rPr>
          <w:t>Anthony EY</w:t>
        </w:r>
      </w:hyperlink>
      <w:r>
        <w:rPr/>
        <w:t xml:space="preserve">. </w:t>
      </w:r>
      <w:r>
        <w:rPr>
          <w:bCs/>
        </w:rPr>
        <w:t>Common Pediatric Sports Injuries</w:t>
      </w:r>
      <w:r>
        <w:rPr>
          <w:b/>
          <w:bCs/>
        </w:rPr>
        <w:t xml:space="preserve">. </w:t>
      </w:r>
      <w:r>
        <w:rPr>
          <w:bCs/>
          <w:i/>
        </w:rPr>
        <w:t>Seminar of Musculoskeletal Radiology</w:t>
      </w:r>
      <w:r>
        <w:rPr>
          <w:bCs/>
        </w:rPr>
        <w:t>.</w:t>
      </w:r>
      <w:r>
        <w:rPr>
          <w:bCs/>
          <w:i/>
        </w:rPr>
        <w:t xml:space="preserve"> </w:t>
      </w:r>
      <w:r>
        <w:rPr>
          <w:bCs/>
        </w:rPr>
        <w:t>1999;</w:t>
      </w:r>
      <w:r>
        <w:rPr>
          <w:b/>
          <w:bCs/>
        </w:rPr>
        <w:t xml:space="preserve"> </w:t>
      </w:r>
      <w:r>
        <w:rPr>
          <w:rStyle w:val="Ti2"/>
          <w:sz w:val="24"/>
          <w:szCs w:val="24"/>
        </w:rPr>
        <w:t>3(3): 247-256.</w:t>
      </w:r>
      <w:r>
        <w:rPr>
          <w:rStyle w:val="Ti2"/>
        </w:rPr>
        <w:t xml:space="preserve"> </w:t>
      </w:r>
    </w:p>
    <w:p>
      <w:pPr>
        <w:pStyle w:val="Normal"/>
        <w:jc w:val="both"/>
        <w:rPr>
          <w:rStyle w:val="Ti2"/>
        </w:rPr>
      </w:pPr>
      <w:r>
        <w:rPr/>
      </w:r>
    </w:p>
    <w:p>
      <w:pPr>
        <w:pStyle w:val="Normal"/>
        <w:numPr>
          <w:ilvl w:val="0"/>
          <w:numId w:val="3"/>
        </w:numPr>
        <w:jc w:val="both"/>
        <w:rPr/>
      </w:pPr>
      <w:r>
        <w:rPr/>
        <w:t xml:space="preserve">Mo F, Turner MC, Krewski D, Merrick J. Adolescent injuries in Canada: findings from the Canadian Community Health Survey (CCHS), 2000-2001. </w:t>
      </w:r>
      <w:r>
        <w:rPr>
          <w:i/>
        </w:rPr>
        <w:t>International Journal of Injury Control and Safety Promotion.</w:t>
      </w:r>
      <w:r>
        <w:rPr/>
        <w:t xml:space="preserve"> 2006; 13(4): 235-44. </w:t>
      </w:r>
    </w:p>
    <w:p>
      <w:pPr>
        <w:pStyle w:val="Normal"/>
        <w:jc w:val="both"/>
        <w:rPr/>
      </w:pPr>
      <w:r>
        <w:rPr/>
      </w:r>
    </w:p>
    <w:p>
      <w:pPr>
        <w:pStyle w:val="Normal"/>
        <w:jc w:val="both"/>
        <w:rPr/>
      </w:pPr>
      <w:r>
        <w:rPr/>
      </w:r>
    </w:p>
    <w:p>
      <w:pPr>
        <w:pStyle w:val="Normal"/>
        <w:numPr>
          <w:ilvl w:val="0"/>
          <w:numId w:val="3"/>
        </w:numPr>
        <w:jc w:val="both"/>
        <w:rPr/>
      </w:pPr>
      <w:r>
        <w:rPr/>
        <w:t xml:space="preserve">Dempsey R., Layde P., Laud P, Guse C., and Hargarten S. Incidence of sports and recreation related injuries resulting in hospitalization in Wisconsin in 2000. </w:t>
      </w:r>
      <w:r>
        <w:rPr>
          <w:i/>
        </w:rPr>
        <w:t>Injury Preventio</w:t>
      </w:r>
      <w:r>
        <w:rPr/>
        <w:t>n. 2005; 11:91-96.</w:t>
      </w:r>
    </w:p>
    <w:p>
      <w:pPr>
        <w:pStyle w:val="Normal"/>
        <w:jc w:val="both"/>
        <w:rPr/>
      </w:pPr>
      <w:r>
        <w:rPr/>
      </w:r>
    </w:p>
    <w:p>
      <w:pPr>
        <w:pStyle w:val="Normal"/>
        <w:numPr>
          <w:ilvl w:val="0"/>
          <w:numId w:val="3"/>
        </w:numPr>
        <w:jc w:val="both"/>
        <w:rPr>
          <w:color w:val="FF0000"/>
        </w:rPr>
      </w:pPr>
      <w:r>
        <w:rPr/>
        <w:t xml:space="preserve">Canadian Institutes of Health Information. Hockey injuries in Ontario Media release.  Accessed at: </w:t>
      </w:r>
      <w:hyperlink r:id="rId5">
        <w:r>
          <w:rPr>
            <w:rStyle w:val="InternetLink"/>
          </w:rPr>
          <w:t>http://www.cihi.ca/cihiweb/dispPage.jsp?cw_page=media_28jul2003_e</w:t>
        </w:r>
      </w:hyperlink>
      <w:r>
        <w:rPr/>
        <w:t>. on July 22, 2007</w:t>
      </w:r>
    </w:p>
    <w:p>
      <w:pPr>
        <w:pStyle w:val="Normal"/>
        <w:jc w:val="both"/>
        <w:rPr>
          <w:color w:val="FF0000"/>
        </w:rPr>
      </w:pPr>
      <w:r>
        <w:rPr>
          <w:color w:val="FF0000"/>
        </w:rPr>
      </w:r>
    </w:p>
    <w:p>
      <w:pPr>
        <w:pStyle w:val="Normal"/>
        <w:numPr>
          <w:ilvl w:val="0"/>
          <w:numId w:val="3"/>
        </w:numPr>
        <w:jc w:val="both"/>
        <w:rPr>
          <w:color w:val="FF0000"/>
        </w:rPr>
      </w:pPr>
      <w:r>
        <w:rPr>
          <w:color w:val="000000"/>
        </w:rPr>
        <w:t xml:space="preserve">Brust JD, Leonard BJ, Pheley A, Roberts WO. Children’s ice hockey injuries. </w:t>
      </w:r>
      <w:r>
        <w:rPr>
          <w:i/>
          <w:iCs/>
          <w:color w:val="000000"/>
        </w:rPr>
        <w:t xml:space="preserve">Am J Dis Child. </w:t>
      </w:r>
      <w:r>
        <w:rPr>
          <w:iCs/>
          <w:color w:val="000000"/>
        </w:rPr>
        <w:t>1992</w:t>
      </w:r>
      <w:r>
        <w:rPr>
          <w:color w:val="000000"/>
        </w:rPr>
        <w:t>; 146:741 –747b.</w:t>
      </w:r>
    </w:p>
    <w:p>
      <w:pPr>
        <w:pStyle w:val="Normal"/>
        <w:rPr>
          <w:color w:val="FF0000"/>
        </w:rPr>
      </w:pPr>
      <w:r>
        <w:rPr>
          <w:color w:val="FF0000"/>
        </w:rPr>
      </w:r>
    </w:p>
    <w:p>
      <w:pPr>
        <w:pStyle w:val="Normal"/>
        <w:ind w:left="360" w:hanging="360"/>
        <w:rPr>
          <w:color w:val="FF0000"/>
        </w:rPr>
      </w:pPr>
      <w:r>
        <w:rPr>
          <w:color w:val="000000"/>
        </w:rPr>
        <w:t xml:space="preserve">6.   Registration page Hockey Canada website. Accessed at: </w:t>
      </w:r>
      <w:hyperlink r:id="rId6">
        <w:r>
          <w:rPr>
            <w:rStyle w:val="InternetLink"/>
          </w:rPr>
          <w:t>http://www.hockeycanada.ca/2/3/9/5/2/index1.shtml</w:t>
        </w:r>
      </w:hyperlink>
      <w:r>
        <w:rPr>
          <w:color w:val="000000"/>
        </w:rPr>
        <w:t xml:space="preserve"> on Aug 6, 2007</w:t>
      </w:r>
    </w:p>
    <w:p>
      <w:pPr>
        <w:pStyle w:val="Normal"/>
        <w:jc w:val="both"/>
        <w:rPr>
          <w:color w:val="FF0000"/>
        </w:rPr>
      </w:pPr>
      <w:r>
        <w:rPr>
          <w:color w:val="FF0000"/>
        </w:rPr>
      </w:r>
    </w:p>
    <w:p>
      <w:pPr>
        <w:pStyle w:val="Normal"/>
        <w:ind w:left="360" w:hanging="360"/>
        <w:jc w:val="both"/>
        <w:rPr/>
      </w:pPr>
      <w:r>
        <w:rPr/>
        <w:t>7.   Canadian Institute of Health Information. Ontario Trauma Registry Analytic Bulletin:   Sports and Recreational Injury Hospitalizations in Ontario, 2002-2003. CIHI 2004</w:t>
      </w:r>
    </w:p>
    <w:p>
      <w:pPr>
        <w:pStyle w:val="Normal"/>
        <w:rPr/>
      </w:pPr>
      <w:r>
        <w:rPr/>
      </w:r>
    </w:p>
    <w:p>
      <w:pPr>
        <w:pStyle w:val="Normal"/>
        <w:numPr>
          <w:ilvl w:val="0"/>
          <w:numId w:val="2"/>
        </w:numPr>
        <w:rPr/>
      </w:pPr>
      <w:r>
        <w:rPr/>
        <w:t xml:space="preserve">American Academy of Pediatrics. Safety in Youth Hockey: The Effects of Body Contact. </w:t>
      </w:r>
      <w:r>
        <w:rPr>
          <w:i/>
        </w:rPr>
        <w:t xml:space="preserve">Pediatrics. </w:t>
      </w:r>
      <w:r>
        <w:rPr/>
        <w:t>2000; 105(3):657-658.</w:t>
      </w:r>
    </w:p>
    <w:p>
      <w:pPr>
        <w:pStyle w:val="Normal"/>
        <w:rPr/>
      </w:pPr>
      <w:r>
        <w:rPr/>
      </w:r>
    </w:p>
    <w:p>
      <w:pPr>
        <w:pStyle w:val="Normal"/>
        <w:numPr>
          <w:ilvl w:val="0"/>
          <w:numId w:val="2"/>
        </w:numPr>
        <w:rPr/>
      </w:pPr>
      <w:r>
        <w:rPr/>
        <w:t xml:space="preserve">Cantu RC and Mueller FC. Fatalities and Catastrophic Injuries in High School and College sports, 1982–1997. </w:t>
      </w:r>
      <w:r>
        <w:rPr>
          <w:i/>
        </w:rPr>
        <w:t>Physiology of Sports Medicine.</w:t>
      </w:r>
      <w:r>
        <w:rPr/>
        <w:t xml:space="preserve"> 1999; 27:35–48.</w:t>
      </w:r>
    </w:p>
    <w:p>
      <w:pPr>
        <w:pStyle w:val="Normal"/>
        <w:rPr/>
      </w:pPr>
      <w:r>
        <w:rPr/>
      </w:r>
    </w:p>
    <w:p>
      <w:pPr>
        <w:pStyle w:val="Normal"/>
        <w:numPr>
          <w:ilvl w:val="0"/>
          <w:numId w:val="2"/>
        </w:numPr>
        <w:rPr/>
      </w:pPr>
      <w:r>
        <w:rPr/>
        <w:t xml:space="preserve">Emery C. and </w:t>
      </w:r>
      <w:r>
        <w:rPr>
          <w:rStyle w:val="StrongEmphasis"/>
          <w:b w:val="false"/>
        </w:rPr>
        <w:t xml:space="preserve">Meeuwisse WH. </w:t>
      </w:r>
      <w:r>
        <w:rPr/>
        <w:t xml:space="preserve">Injury Rates, Risk Factors, and Mechanisms of Injury in Minor Hockey. </w:t>
      </w:r>
      <w:r>
        <w:rPr>
          <w:rStyle w:val="Emphasis"/>
        </w:rPr>
        <w:t xml:space="preserve">Am J Sports Med. </w:t>
      </w:r>
      <w:r>
        <w:rPr>
          <w:rStyle w:val="Emphasis"/>
          <w:i w:val="false"/>
        </w:rPr>
        <w:t>2006</w:t>
      </w:r>
      <w:r>
        <w:rPr/>
        <w:t>; 34:1960-1969.</w:t>
      </w:r>
    </w:p>
    <w:p>
      <w:pPr>
        <w:pStyle w:val="Normal"/>
        <w:tabs>
          <w:tab w:val="left" w:pos="360" w:leader="none"/>
        </w:tabs>
        <w:ind w:hanging="360"/>
        <w:rPr/>
      </w:pPr>
      <w:r>
        <w:rPr/>
      </w:r>
    </w:p>
    <w:p>
      <w:pPr>
        <w:pStyle w:val="Normal"/>
        <w:numPr>
          <w:ilvl w:val="0"/>
          <w:numId w:val="2"/>
        </w:numPr>
        <w:rPr/>
      </w:pPr>
      <w:r>
        <w:rPr/>
        <w:t xml:space="preserve">McFaull S. Contact Injuries in Minor Hockey: A Review of the CHIRPP Database for the 1998/1999 Hockey Season. </w:t>
      </w:r>
      <w:r>
        <w:rPr>
          <w:i/>
        </w:rPr>
        <w:t>Canadian Hospitals Injury Reporting and Prevention Program (CHIRPP) News</w:t>
      </w:r>
      <w:r>
        <w:rPr/>
        <w:t>- Canada Public Health Agency 2001.</w:t>
      </w:r>
    </w:p>
    <w:p>
      <w:pPr>
        <w:pStyle w:val="Normal"/>
        <w:tabs>
          <w:tab w:val="left" w:pos="360" w:leader="none"/>
        </w:tabs>
        <w:ind w:hanging="360"/>
        <w:rPr/>
      </w:pPr>
      <w:r>
        <w:rPr/>
      </w:r>
    </w:p>
    <w:p>
      <w:pPr>
        <w:pStyle w:val="Normal"/>
        <w:numPr>
          <w:ilvl w:val="0"/>
          <w:numId w:val="2"/>
        </w:numPr>
        <w:rPr/>
      </w:pPr>
      <w:r>
        <w:rPr>
          <w:rStyle w:val="StrongEmphasis"/>
          <w:b w:val="false"/>
        </w:rPr>
        <w:t xml:space="preserve">Tator CH, Carson JD, and Cushman R. </w:t>
      </w:r>
      <w:r>
        <w:rPr/>
        <w:t xml:space="preserve">Hockey injuries of the spine in Canada, 1966-1996 </w:t>
      </w:r>
      <w:r>
        <w:rPr>
          <w:i/>
        </w:rPr>
        <w:t xml:space="preserve">CMAJ. </w:t>
      </w:r>
      <w:r>
        <w:rPr/>
        <w:t>2000; 162 (6) : 787-788.</w:t>
      </w:r>
    </w:p>
    <w:p>
      <w:pPr>
        <w:pStyle w:val="Normal"/>
        <w:rPr/>
      </w:pPr>
      <w:r>
        <w:rPr/>
      </w:r>
    </w:p>
    <w:p>
      <w:pPr>
        <w:pStyle w:val="Normal"/>
        <w:numPr>
          <w:ilvl w:val="0"/>
          <w:numId w:val="2"/>
        </w:numPr>
        <w:rPr/>
      </w:pPr>
      <w:r>
        <w:rPr/>
        <w:t xml:space="preserve">Marchie A, and Cusimano M. Body checking and concussions in ice hockey: Should our youth pay the price? </w:t>
      </w:r>
      <w:r>
        <w:rPr>
          <w:i/>
        </w:rPr>
        <w:t xml:space="preserve">CMAJ. </w:t>
      </w:r>
      <w:r>
        <w:rPr/>
        <w:t>2003; 169 (2):124-128.</w:t>
      </w:r>
    </w:p>
    <w:p>
      <w:pPr>
        <w:pStyle w:val="Normal"/>
        <w:rPr/>
      </w:pPr>
      <w:r>
        <w:rPr/>
      </w:r>
    </w:p>
    <w:p>
      <w:pPr>
        <w:pStyle w:val="Normal"/>
        <w:numPr>
          <w:ilvl w:val="0"/>
          <w:numId w:val="2"/>
        </w:numPr>
        <w:rPr/>
      </w:pPr>
      <w:r>
        <w:rPr/>
        <w:t xml:space="preserve">Hostetler S, Xiang H, Smith G. Characteristics of Ice Hockey-Related Injuries Treated in  US Emergency Departments, 2001-2002. </w:t>
      </w:r>
      <w:r>
        <w:rPr>
          <w:i/>
        </w:rPr>
        <w:t>Pediatrics.</w:t>
      </w:r>
      <w:r>
        <w:rPr/>
        <w:t xml:space="preserve"> 2004;114(6): 661-666.</w:t>
      </w:r>
    </w:p>
    <w:p>
      <w:pPr>
        <w:pStyle w:val="Normal"/>
        <w:rPr/>
      </w:pPr>
      <w:r>
        <w:rPr/>
      </w:r>
    </w:p>
    <w:p>
      <w:pPr>
        <w:pStyle w:val="Normal"/>
        <w:ind w:left="360" w:hanging="360"/>
        <w:rPr/>
      </w:pPr>
      <w:r>
        <w:rPr>
          <w:color w:val="000000"/>
        </w:rPr>
        <w:t xml:space="preserve">15. Hockey Canada. Player Development: Pee Wee Accessed at: </w:t>
      </w:r>
      <w:hyperlink r:id="rId7">
        <w:r>
          <w:rPr>
            <w:rStyle w:val="InternetLink"/>
          </w:rPr>
          <w:t>http://www.hockeycanada.ca/7/6/5/5/index1.shtml</w:t>
        </w:r>
      </w:hyperlink>
      <w:r>
        <w:rPr>
          <w:color w:val="0000FF"/>
          <w:u w:val="single"/>
        </w:rPr>
        <w:t xml:space="preserve"> </w:t>
      </w:r>
      <w:r>
        <w:rPr/>
        <w:t xml:space="preserve">on </w:t>
      </w:r>
      <w:r>
        <w:rPr>
          <w:color w:val="000000"/>
        </w:rPr>
        <w:t>January 30</w:t>
      </w:r>
      <w:r>
        <w:rPr>
          <w:color w:val="000000"/>
          <w:vertAlign w:val="superscript"/>
        </w:rPr>
        <w:t>th</w:t>
      </w:r>
      <w:r>
        <w:rPr>
          <w:color w:val="000000"/>
        </w:rPr>
        <w:t xml:space="preserve"> 2008</w:t>
      </w:r>
    </w:p>
    <w:p>
      <w:pPr>
        <w:pStyle w:val="Normal"/>
        <w:ind w:left="360" w:hanging="360"/>
        <w:rPr>
          <w:color w:val="0000FF"/>
          <w:u w:val="single"/>
        </w:rPr>
      </w:pPr>
      <w:r>
        <w:rPr>
          <w:color w:val="0000FF"/>
          <w:u w:val="single"/>
        </w:rPr>
      </w:r>
    </w:p>
    <w:p>
      <w:pPr>
        <w:pStyle w:val="Normal"/>
        <w:rPr/>
      </w:pPr>
      <w:r>
        <w:rPr/>
        <w:t>16. Hockey Canada. Player Development: Atom. Accessed at:</w:t>
      </w:r>
    </w:p>
    <w:p>
      <w:pPr>
        <w:pStyle w:val="Normal"/>
        <w:tabs>
          <w:tab w:val="left" w:pos="360" w:leader="none"/>
        </w:tabs>
        <w:ind w:hanging="360"/>
        <w:rPr>
          <w:color w:val="FF0000"/>
        </w:rPr>
      </w:pPr>
      <w:r>
        <w:rPr/>
        <w:t xml:space="preserve">            </w:t>
      </w:r>
      <w:hyperlink r:id="rId8">
        <w:r>
          <w:rPr>
            <w:rStyle w:val="InternetLink"/>
          </w:rPr>
          <w:t xml:space="preserve">http://www.hockeycanada.ca/7/5/3/5/index1.shtml </w:t>
        </w:r>
        <w:r>
          <w:rPr>
            <w:rStyle w:val="InternetLink"/>
            <w:color w:val="000000"/>
            <w:u w:val="none"/>
          </w:rPr>
          <w:t>on</w:t>
        </w:r>
      </w:hyperlink>
      <w:r>
        <w:rPr/>
        <w:t xml:space="preserve"> January 28</w:t>
      </w:r>
      <w:r>
        <w:rPr>
          <w:vertAlign w:val="superscript"/>
        </w:rPr>
        <w:t>th</w:t>
      </w:r>
      <w:r>
        <w:rPr/>
        <w:t xml:space="preserve"> 2008</w:t>
      </w:r>
    </w:p>
    <w:p>
      <w:pPr>
        <w:pStyle w:val="Normal"/>
        <w:rPr>
          <w:color w:val="FF0000"/>
        </w:rPr>
      </w:pPr>
      <w:r>
        <w:rPr>
          <w:color w:val="FF0000"/>
        </w:rPr>
      </w:r>
    </w:p>
    <w:p>
      <w:pPr>
        <w:pStyle w:val="Normal"/>
        <w:rPr/>
      </w:pPr>
      <w:r>
        <w:rPr/>
        <w:t xml:space="preserve">17. Public Health Agency of Canada. </w:t>
      </w:r>
      <w:r>
        <w:rPr>
          <w:rStyle w:val="StrongEmphasis"/>
          <w:b w:val="false"/>
          <w:bCs w:val="false"/>
        </w:rPr>
        <w:t>WHAT IS CHIRPP?</w:t>
      </w:r>
      <w:r>
        <w:rPr/>
        <w:t xml:space="preserve"> Accessed at:</w:t>
      </w:r>
    </w:p>
    <w:p>
      <w:pPr>
        <w:pStyle w:val="Normal"/>
        <w:ind w:left="360" w:hanging="0"/>
        <w:rPr>
          <w:b/>
          <w:b/>
        </w:rPr>
      </w:pPr>
      <w:hyperlink r:id="rId9">
        <w:r>
          <w:rPr>
            <w:rStyle w:val="InternetLink"/>
          </w:rPr>
          <w:t>http://www.phac-   aspc.gc.ca/injury-bles/chirpp/index.html</w:t>
        </w:r>
      </w:hyperlink>
      <w:r>
        <w:rPr>
          <w:color w:val="0000FF"/>
        </w:rPr>
        <w:t xml:space="preserve"> </w:t>
      </w:r>
      <w:r>
        <w:rPr/>
        <w:t>on July 12</w:t>
      </w:r>
      <w:r>
        <w:rPr>
          <w:vertAlign w:val="superscript"/>
        </w:rPr>
        <w:t>th</w:t>
      </w:r>
      <w:r>
        <w:rPr/>
        <w:t xml:space="preserve"> 2007</w:t>
      </w:r>
    </w:p>
    <w:p>
      <w:pPr>
        <w:pStyle w:val="Normal"/>
        <w:rPr>
          <w:b/>
          <w:b/>
        </w:rPr>
      </w:pPr>
      <w:r>
        <w:rPr>
          <w:b/>
        </w:rPr>
      </w:r>
    </w:p>
    <w:p>
      <w:pPr>
        <w:pStyle w:val="Normal"/>
        <w:ind w:left="360" w:hanging="360"/>
        <w:rPr/>
      </w:pPr>
      <w:r>
        <w:rPr/>
        <w:t>18.</w:t>
      </w:r>
      <w:r>
        <w:rPr>
          <w:b/>
        </w:rPr>
        <w:t xml:space="preserve"> </w:t>
      </w:r>
      <w:r>
        <w:rPr/>
        <w:t xml:space="preserve">Pickett W, Brison R, Mackenzie S, Garner M, King M, Greenberg L, Boyce W.  Youth injury data in the Canadian Hospitals Injury Reporting and Prevention program: do they represent the Canadian Experience? </w:t>
      </w:r>
      <w:r>
        <w:rPr>
          <w:i/>
        </w:rPr>
        <w:t xml:space="preserve">Injury Prevention </w:t>
      </w:r>
      <w:r>
        <w:rPr/>
        <w:t>2000; 6(1):9-15.</w:t>
      </w:r>
    </w:p>
    <w:p>
      <w:pPr>
        <w:pStyle w:val="Normal"/>
        <w:rPr/>
      </w:pPr>
      <w:r>
        <w:rPr/>
      </w:r>
    </w:p>
    <w:p>
      <w:pPr>
        <w:pStyle w:val="Normal"/>
        <w:ind w:left="360" w:hanging="360"/>
        <w:rPr/>
      </w:pPr>
      <w:r>
        <w:rPr/>
        <w:t>19. Mackenzie, SG and Pless IB. CHIRPP: Canada’s principal injury surveillance program</w:t>
      </w:r>
      <w:r>
        <w:rPr>
          <w:i/>
          <w:iCs/>
        </w:rPr>
        <w:t xml:space="preserve">. Injury Prevention </w:t>
      </w:r>
      <w:r>
        <w:rPr>
          <w:iCs/>
        </w:rPr>
        <w:t>1999</w:t>
      </w:r>
      <w:r>
        <w:rPr/>
        <w:t>; 5: 208-13.</w:t>
      </w:r>
    </w:p>
    <w:p>
      <w:pPr>
        <w:pStyle w:val="Normal"/>
        <w:rPr/>
      </w:pPr>
      <w:r>
        <w:rPr/>
      </w:r>
    </w:p>
    <w:p>
      <w:pPr>
        <w:pStyle w:val="Normal"/>
        <w:rPr/>
      </w:pPr>
      <w:r>
        <w:rPr/>
        <w:t xml:space="preserve">20. Hockey Canada Player Development: Accessed at: </w:t>
      </w:r>
    </w:p>
    <w:p>
      <w:pPr>
        <w:pStyle w:val="Normal"/>
        <w:ind w:left="360" w:hanging="0"/>
        <w:rPr>
          <w:color w:val="0000FF"/>
        </w:rPr>
      </w:pPr>
      <w:hyperlink r:id="rId10">
        <w:r>
          <w:rPr>
            <w:rStyle w:val="InternetLink"/>
          </w:rPr>
          <w:t>http://www.hockeycanada.ca/7/5/3/4/index1.shtml</w:t>
        </w:r>
      </w:hyperlink>
      <w:r>
        <w:rPr>
          <w:color w:val="0000FF"/>
        </w:rPr>
        <w:t xml:space="preserve">   </w:t>
      </w:r>
      <w:r>
        <w:rPr/>
        <w:t>on January 10</w:t>
      </w:r>
      <w:r>
        <w:rPr>
          <w:vertAlign w:val="superscript"/>
        </w:rPr>
        <w:t>th</w:t>
      </w:r>
      <w:r>
        <w:rPr/>
        <w:t xml:space="preserve"> 2008</w:t>
      </w:r>
    </w:p>
    <w:p>
      <w:pPr>
        <w:pStyle w:val="Normal"/>
        <w:rPr>
          <w:color w:val="0000FF"/>
        </w:rPr>
      </w:pPr>
      <w:r>
        <w:rPr>
          <w:color w:val="0000FF"/>
        </w:rPr>
      </w:r>
    </w:p>
    <w:p>
      <w:pPr>
        <w:pStyle w:val="Normal"/>
        <w:ind w:left="360" w:hanging="360"/>
        <w:rPr/>
      </w:pPr>
      <w:r>
        <w:rPr/>
        <w:t>21. Macpherson A, Rothman L, Howard A. Body-Checking Rules and Childhood Injuries in Ice Hockey.</w:t>
      </w:r>
      <w:r>
        <w:rPr>
          <w:i/>
        </w:rPr>
        <w:t xml:space="preserve"> Journal of Pediatrics </w:t>
      </w:r>
      <w:r>
        <w:rPr/>
        <w:t>2006; 117: 143-147.</w:t>
      </w:r>
    </w:p>
    <w:p>
      <w:pPr>
        <w:pStyle w:val="Normal"/>
        <w:rPr/>
      </w:pPr>
      <w:r>
        <w:rPr/>
      </w:r>
    </w:p>
    <w:p>
      <w:pPr>
        <w:pStyle w:val="Normal"/>
        <w:ind w:left="360" w:hanging="360"/>
        <w:rPr/>
      </w:pPr>
      <w:r>
        <w:rPr/>
        <w:t xml:space="preserve">22. Hagel B, Marko J, Dryden D, Couperthwaite A, Sommerfeldt J, Rowe B. Effect of body checking on injury rates among minor ice hockey players. </w:t>
      </w:r>
      <w:r>
        <w:rPr>
          <w:i/>
        </w:rPr>
        <w:t xml:space="preserve">Canadian Medical Association Journal </w:t>
      </w:r>
      <w:r>
        <w:rPr/>
        <w:t>2006; 175 (2): 155-160.</w:t>
      </w:r>
    </w:p>
    <w:p>
      <w:pPr>
        <w:pStyle w:val="Normal"/>
        <w:rPr/>
      </w:pPr>
      <w:r>
        <w:rPr/>
      </w:r>
    </w:p>
    <w:p>
      <w:pPr>
        <w:pStyle w:val="Normal"/>
        <w:tabs>
          <w:tab w:val="left" w:pos="360" w:leader="none"/>
        </w:tabs>
        <w:ind w:left="360" w:hanging="360"/>
        <w:rPr/>
      </w:pPr>
      <w:r>
        <w:rPr/>
        <w:t xml:space="preserve">23. Montelpare W. McPherson N. Measuring the Effects of Initiating Body Checking at the Atom Age Level.  </w:t>
      </w:r>
      <w:r>
        <w:rPr>
          <w:i/>
        </w:rPr>
        <w:t xml:space="preserve">Journal of ASTM International. </w:t>
      </w:r>
      <w:r>
        <w:rPr/>
        <w:t>2004; 1(2): 1-13.</w:t>
      </w:r>
    </w:p>
    <w:p>
      <w:pPr>
        <w:pStyle w:val="Normal"/>
        <w:rPr/>
      </w:pPr>
      <w:r>
        <w:rPr/>
      </w:r>
    </w:p>
    <w:p>
      <w:pPr>
        <w:pStyle w:val="Normal"/>
        <w:ind w:left="360" w:hanging="360"/>
        <w:rPr/>
      </w:pPr>
      <w:r>
        <w:rPr/>
        <w:t>24. Willer B</w:t>
      </w:r>
      <w:r>
        <w:rPr>
          <w:i/>
        </w:rPr>
        <w:t>, Kroetsch B, Darling S, Hutson A, Leddy J</w:t>
      </w:r>
      <w:r>
        <w:rPr/>
        <w:t xml:space="preserve">. Injury Rates in House League, Select, and Representative Youth Ice Hockey. </w:t>
      </w:r>
      <w:r>
        <w:rPr>
          <w:i/>
        </w:rPr>
        <w:t xml:space="preserve">Medicine &amp; Science in Sports &amp; Exercise. </w:t>
      </w:r>
      <w:r>
        <w:rPr/>
        <w:t>2005; 37 (10):1658-1663.</w:t>
      </w:r>
    </w:p>
    <w:p>
      <w:pPr>
        <w:pStyle w:val="Normal"/>
        <w:ind w:left="360" w:hanging="0"/>
        <w:rPr/>
      </w:pPr>
      <w:r>
        <w:rPr/>
      </w:r>
    </w:p>
    <w:p>
      <w:pPr>
        <w:pStyle w:val="Normal"/>
        <w:ind w:left="360" w:hanging="360"/>
        <w:rPr/>
      </w:pPr>
      <w:r>
        <w:rPr/>
        <w:t xml:space="preserve">25. </w:t>
      </w:r>
      <w:hyperlink r:id="rId11">
        <w:r>
          <w:rPr>
            <w:rStyle w:val="InternetLink"/>
          </w:rPr>
          <w:t>Dryden DM</w:t>
        </w:r>
      </w:hyperlink>
      <w:r>
        <w:rPr/>
        <w:t xml:space="preserve">, </w:t>
      </w:r>
      <w:hyperlink r:id="rId12">
        <w:r>
          <w:rPr>
            <w:rStyle w:val="InternetLink"/>
          </w:rPr>
          <w:t>Rowe BH</w:t>
        </w:r>
      </w:hyperlink>
      <w:r>
        <w:rPr/>
        <w:t xml:space="preserve">, </w:t>
      </w:r>
      <w:hyperlink r:id="rId13">
        <w:r>
          <w:rPr>
            <w:rStyle w:val="InternetLink"/>
          </w:rPr>
          <w:t>Hagel BE</w:t>
        </w:r>
      </w:hyperlink>
      <w:r>
        <w:rPr/>
        <w:t xml:space="preserve">, </w:t>
      </w:r>
      <w:hyperlink r:id="rId14">
        <w:r>
          <w:rPr>
            <w:rStyle w:val="InternetLink"/>
          </w:rPr>
          <w:t>Marko J</w:t>
        </w:r>
      </w:hyperlink>
      <w:r>
        <w:rPr/>
        <w:t xml:space="preserve">. </w:t>
      </w:r>
      <w:r>
        <w:rPr>
          <w:rStyle w:val="Titlestitle"/>
        </w:rPr>
        <w:t>Body checking in youth hockey is dangerous.</w:t>
      </w:r>
      <w:r>
        <w:rPr/>
        <w:t xml:space="preserve"> </w:t>
      </w:r>
      <w:hyperlink r:id="rId15">
        <w:r>
          <w:rPr>
            <w:rStyle w:val="InternetLink"/>
            <w:i/>
          </w:rPr>
          <w:t>Med Sci Sports Exerc</w:t>
        </w:r>
      </w:hyperlink>
      <w:r>
        <w:rPr>
          <w:i/>
        </w:rPr>
        <w:t xml:space="preserve">. </w:t>
      </w:r>
      <w:r>
        <w:rPr/>
        <w:t>2006;</w:t>
      </w:r>
      <w:r>
        <w:rPr>
          <w:i/>
        </w:rPr>
        <w:t xml:space="preserve"> </w:t>
      </w:r>
      <w:r>
        <w:rPr/>
        <w:t>38(4):799.</w:t>
      </w:r>
    </w:p>
    <w:p>
      <w:pPr>
        <w:pStyle w:val="Normal"/>
        <w:rPr/>
      </w:pPr>
      <w:r>
        <w:rPr/>
      </w:r>
    </w:p>
    <w:p>
      <w:pPr>
        <w:pStyle w:val="Normal"/>
        <w:ind w:left="360" w:hanging="360"/>
        <w:rPr/>
      </w:pPr>
      <w:r>
        <w:rPr/>
        <w:t xml:space="preserve">26. Wennberg RA, Tator CH. National Hockey League reported concussions, 1986-87 to 2001-02. </w:t>
      </w:r>
      <w:r>
        <w:rPr>
          <w:i/>
          <w:iCs/>
        </w:rPr>
        <w:t xml:space="preserve">Can J Neurol Sci. </w:t>
      </w:r>
      <w:r>
        <w:rPr>
          <w:iCs/>
        </w:rPr>
        <w:t>2003</w:t>
      </w:r>
      <w:r>
        <w:rPr/>
        <w:t>; 30 (3):206-9.</w:t>
      </w:r>
    </w:p>
    <w:p>
      <w:pPr>
        <w:pStyle w:val="Normal"/>
        <w:rPr/>
      </w:pPr>
      <w:r>
        <w:rPr/>
      </w:r>
    </w:p>
    <w:p>
      <w:pPr>
        <w:pStyle w:val="Normal"/>
        <w:rPr/>
      </w:pPr>
      <w:r>
        <w:rPr/>
        <w:t xml:space="preserve">27. Honey CR. Brain injury in ice hockey. </w:t>
      </w:r>
      <w:r>
        <w:rPr>
          <w:i/>
          <w:iCs/>
        </w:rPr>
        <w:t xml:space="preserve">Clin J Sport Med. </w:t>
      </w:r>
      <w:r>
        <w:rPr>
          <w:iCs/>
        </w:rPr>
        <w:t>1998</w:t>
      </w:r>
      <w:r>
        <w:rPr/>
        <w:t>; 8 (1):43-6.</w:t>
      </w:r>
    </w:p>
    <w:p>
      <w:pPr>
        <w:pStyle w:val="Normal"/>
        <w:rPr/>
      </w:pPr>
      <w:r>
        <w:rPr/>
      </w:r>
    </w:p>
    <w:p>
      <w:pPr>
        <w:pStyle w:val="Normal"/>
        <w:ind w:left="360" w:hanging="360"/>
        <w:rPr/>
      </w:pPr>
      <w:r>
        <w:rPr/>
        <w:t xml:space="preserve">28. Goodman D, Gaetz M, Meichenbaum D. Concussions in hockey: There is cause for concern. </w:t>
      </w:r>
      <w:r>
        <w:rPr>
          <w:i/>
          <w:iCs/>
        </w:rPr>
        <w:t xml:space="preserve">Med Sci Sports Exerc. </w:t>
      </w:r>
      <w:r>
        <w:rPr>
          <w:iCs/>
        </w:rPr>
        <w:t>2001</w:t>
      </w:r>
      <w:r>
        <w:rPr/>
        <w:t>; 33: 2004-9.</w:t>
      </w:r>
    </w:p>
    <w:p>
      <w:pPr>
        <w:pStyle w:val="Normal"/>
        <w:rPr/>
      </w:pPr>
      <w:r>
        <w:rPr/>
      </w:r>
    </w:p>
    <w:p>
      <w:pPr>
        <w:pStyle w:val="Normal"/>
        <w:ind w:left="360" w:hanging="360"/>
        <w:rPr/>
      </w:pPr>
      <w:r>
        <w:rPr/>
        <w:t xml:space="preserve">29. Roberts W, Brust JD, Leonard B, Hebert BJ. Fair-play rules and injury education in ice hockey. </w:t>
      </w:r>
      <w:r>
        <w:rPr>
          <w:i/>
          <w:iCs/>
        </w:rPr>
        <w:t xml:space="preserve">Arch Pediatr Adolesc Med. </w:t>
      </w:r>
      <w:r>
        <w:rPr>
          <w:iCs/>
        </w:rPr>
        <w:t>1996</w:t>
      </w:r>
      <w:r>
        <w:rPr/>
        <w:t>; 150: 140-5.</w:t>
      </w:r>
    </w:p>
    <w:p>
      <w:pPr>
        <w:pStyle w:val="Normal"/>
        <w:rPr/>
      </w:pPr>
      <w:r>
        <w:rPr/>
      </w:r>
    </w:p>
    <w:p>
      <w:pPr>
        <w:pStyle w:val="Normal"/>
        <w:ind w:left="360" w:hanging="360"/>
        <w:rPr/>
      </w:pPr>
      <w:r>
        <w:rPr/>
        <w:t xml:space="preserve">30. Pinto M, Kuhn JE, Greenfield ML, Hawkins RJ. Prospective analysis of ice hockey injuries at the Junior A level over the course of one season. </w:t>
      </w:r>
      <w:r>
        <w:rPr>
          <w:i/>
          <w:iCs/>
        </w:rPr>
        <w:t xml:space="preserve">Clin J Sport Med. </w:t>
      </w:r>
      <w:r>
        <w:rPr>
          <w:iCs/>
        </w:rPr>
        <w:t>1999</w:t>
      </w:r>
      <w:r>
        <w:rPr/>
        <w:t>; 9(2):70-4.</w:t>
      </w:r>
    </w:p>
    <w:p>
      <w:pPr>
        <w:pStyle w:val="Normal"/>
        <w:rPr/>
      </w:pPr>
      <w:r>
        <w:rPr/>
      </w:r>
    </w:p>
    <w:p>
      <w:pPr>
        <w:pStyle w:val="Normal"/>
        <w:ind w:left="360" w:hanging="360"/>
        <w:rPr/>
      </w:pPr>
      <w:r>
        <w:rPr/>
        <w:t xml:space="preserve">31. </w:t>
      </w:r>
      <w:r>
        <w:rPr>
          <w:lang w:val="fr-FR"/>
        </w:rPr>
        <w:t xml:space="preserve">Regnier G, Boileau R, Marcotte G, Desharnais R, Larouche R, Bernard D, Roy M-A, Trudel P, Boulanger D. </w:t>
      </w:r>
      <w:r>
        <w:rPr/>
        <w:t xml:space="preserve">Effects of body-checking in the Pee Wee (12 and 13-years-old) division in the Province of Quebec. In: Castaldi CR, Hoerner EF, editors. </w:t>
      </w:r>
      <w:r>
        <w:rPr>
          <w:i/>
          <w:iCs/>
        </w:rPr>
        <w:t xml:space="preserve">Safety in ice hockey. </w:t>
      </w:r>
      <w:r>
        <w:rPr>
          <w:iCs/>
        </w:rPr>
        <w:t>1989</w:t>
      </w:r>
      <w:r>
        <w:rPr/>
        <w:t>. Philadelphia: American Society for Testing Materials: 84-103.</w:t>
      </w:r>
    </w:p>
    <w:p>
      <w:pPr>
        <w:pStyle w:val="Normal"/>
        <w:rPr/>
      </w:pPr>
      <w:r>
        <w:rPr/>
      </w:r>
    </w:p>
    <w:p>
      <w:pPr>
        <w:pStyle w:val="Normal"/>
        <w:ind w:left="360" w:hanging="360"/>
        <w:rPr/>
      </w:pPr>
      <w:r>
        <w:rPr/>
        <w:t xml:space="preserve">32. Biasca N, Wirth S, Tegner Y. The avoidability of head and neck injuries in ice hockey: A historical review. </w:t>
      </w:r>
      <w:r>
        <w:rPr>
          <w:i/>
          <w:iCs/>
        </w:rPr>
        <w:t xml:space="preserve">Br J Sports Med. </w:t>
      </w:r>
      <w:r>
        <w:rPr>
          <w:iCs/>
        </w:rPr>
        <w:t>2002</w:t>
      </w:r>
      <w:r>
        <w:rPr/>
        <w:t>; 36: 410-27.</w:t>
      </w:r>
    </w:p>
    <w:p>
      <w:pPr>
        <w:pStyle w:val="Normal"/>
        <w:rPr/>
      </w:pPr>
      <w:r>
        <w:rPr/>
      </w:r>
    </w:p>
    <w:p>
      <w:pPr>
        <w:pStyle w:val="Normal"/>
        <w:ind w:left="360" w:hanging="360"/>
        <w:rPr/>
      </w:pPr>
      <w:r>
        <w:rPr/>
        <w:t xml:space="preserve">33. Tator CH, Carson JD, Cushman R. Hockey injuries of the spine in Canada, 1966–1996. </w:t>
      </w:r>
      <w:r>
        <w:rPr>
          <w:i/>
          <w:iCs/>
        </w:rPr>
        <w:t xml:space="preserve">CMAJ. </w:t>
      </w:r>
      <w:r>
        <w:rPr>
          <w:iCs/>
        </w:rPr>
        <w:t>2002</w:t>
      </w:r>
      <w:r>
        <w:rPr/>
        <w:t>; 162(6):787-8.</w:t>
      </w:r>
    </w:p>
    <w:p>
      <w:pPr>
        <w:pStyle w:val="Normal"/>
        <w:rPr/>
      </w:pPr>
      <w:r>
        <w:rPr/>
      </w:r>
    </w:p>
    <w:p>
      <w:pPr>
        <w:pStyle w:val="Normal"/>
        <w:ind w:left="360" w:hanging="360"/>
        <w:rPr/>
      </w:pPr>
      <w:r>
        <w:rPr/>
        <w:t xml:space="preserve">34. </w:t>
      </w:r>
      <w:r>
        <w:rPr>
          <w:color w:val="000000"/>
        </w:rPr>
        <w:t xml:space="preserve">The Canadian Sport Policy.  Accessed at: </w:t>
      </w:r>
      <w:hyperlink r:id="rId16">
        <w:r>
          <w:rPr>
            <w:rStyle w:val="InternetLink"/>
          </w:rPr>
          <w:t>http://www.pch.gc.ca/progs/sc/pol/pcscsp/2003/index_e.cfm</w:t>
        </w:r>
      </w:hyperlink>
      <w:r>
        <w:rPr>
          <w:color w:val="000000"/>
        </w:rPr>
        <w:t xml:space="preserve"> on August 6th, 2007</w:t>
      </w:r>
    </w:p>
    <w:p>
      <w:pPr>
        <w:pStyle w:val="Normal"/>
        <w:rPr>
          <w:color w:val="000000"/>
        </w:rPr>
      </w:pPr>
      <w:r>
        <w:rPr>
          <w:color w:val="000000"/>
        </w:rPr>
      </w:r>
    </w:p>
    <w:p>
      <w:pPr>
        <w:pStyle w:val="Normal"/>
        <w:ind w:left="360" w:hanging="360"/>
        <w:rPr/>
      </w:pPr>
      <w:r>
        <w:rPr>
          <w:color w:val="000000"/>
        </w:rPr>
        <w:t xml:space="preserve">35. Smart risk (2007) Hockey Canada hikes body-checking age. Accessed at: </w:t>
      </w:r>
      <w:hyperlink r:id="rId17">
        <w:r>
          <w:rPr>
            <w:rStyle w:val="InternetLink"/>
          </w:rPr>
          <w:t>http://www.smartrisk.ca/ContentDirector.aspx?Prt=y&amp;tp=5652</w:t>
        </w:r>
      </w:hyperlink>
      <w:r>
        <w:rPr>
          <w:color w:val="000000"/>
        </w:rPr>
        <w:t xml:space="preserve">   on    December 21</w:t>
      </w:r>
      <w:r>
        <w:rPr>
          <w:color w:val="000000"/>
          <w:vertAlign w:val="superscript"/>
        </w:rPr>
        <w:t>st</w:t>
      </w:r>
      <w:r>
        <w:rPr>
          <w:color w:val="000000"/>
        </w:rPr>
        <w:t xml:space="preserve"> 2007</w:t>
      </w:r>
    </w:p>
    <w:p>
      <w:pPr>
        <w:pStyle w:val="Normal"/>
        <w:rPr>
          <w:color w:val="000000"/>
        </w:rPr>
      </w:pPr>
      <w:r>
        <w:rPr>
          <w:color w:val="000000"/>
        </w:rPr>
      </w:r>
    </w:p>
    <w:p>
      <w:pPr>
        <w:pStyle w:val="Normal"/>
        <w:spacing w:lineRule="auto" w:line="480"/>
        <w:jc w:val="both"/>
        <w:rPr/>
      </w:pPr>
      <w:r>
        <w:rPr>
          <w:color w:val="000000"/>
        </w:rPr>
        <w:t xml:space="preserve">36. Cusimano MD and Marchie A. </w:t>
      </w:r>
      <w:r>
        <w:rPr/>
        <w:t xml:space="preserve">Body checking in hockey. </w:t>
      </w:r>
      <w:r>
        <w:rPr>
          <w:i/>
        </w:rPr>
        <w:t>CMAJ</w:t>
      </w:r>
      <w:r>
        <w:rPr/>
        <w:t xml:space="preserve"> 2004; 170 (1): 16-17.</w:t>
      </w:r>
    </w:p>
    <w:p>
      <w:pPr>
        <w:pStyle w:val="Normal"/>
        <w:spacing w:lineRule="auto" w:line="480"/>
        <w:jc w:val="both"/>
        <w:rPr>
          <w:color w:val="000000"/>
        </w:rPr>
      </w:pPr>
      <w:r>
        <w:rPr>
          <w:color w:val="000000"/>
        </w:rPr>
      </w:r>
    </w:p>
    <w:p>
      <w:pPr>
        <w:pStyle w:val="Normal"/>
        <w:rPr>
          <w:color w:val="000000"/>
        </w:rPr>
      </w:pPr>
      <w:r>
        <w:rPr>
          <w:color w:val="000000"/>
        </w:rPr>
      </w:r>
    </w:p>
    <w:sectPr>
      <w:footerReference w:type="default" r:id="rId18"/>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Liberation Sans">
    <w:altName w:val="Arial"/>
    <w:charset w:val="01"/>
    <w:family w:val="swiss"/>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instrText> PAGE </w:instrText>
    </w:r>
    <w:r>
      <w:fldChar w:fldCharType="separate"/>
    </w:r>
    <w:r>
      <w:t>4</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instrText> PAGE </w:instrText>
    </w:r>
    <w:r>
      <w:fldChar w:fldCharType="separate"/>
    </w:r>
    <w:r>
      <w:t>22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8"/>
      <w:numFmt w:val="decimal"/>
      <w:lvlText w:val="%1."/>
      <w:lvlJc w:val="left"/>
      <w:pPr>
        <w:tabs>
          <w:tab w:val="num" w:pos="360"/>
        </w:tabs>
        <w:ind w:left="360" w:hanging="360"/>
      </w:pPr>
      <w:rPr/>
    </w:lvl>
  </w:abstractNum>
  <w:abstractNum w:abstractNumId="3">
    <w:lvl w:ilvl="0">
      <w:start w:val="1"/>
      <w:numFmt w:val="decimal"/>
      <w:lvlText w:val="%1."/>
      <w:lvlJc w:val="left"/>
      <w:pPr>
        <w:tabs>
          <w:tab w:val="num" w:pos="360"/>
        </w:tabs>
        <w:ind w:left="36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numPr>
        <w:ilvl w:val="0"/>
        <w:numId w:val="1"/>
      </w:numPr>
      <w:outlineLvl w:val="0"/>
      <w:outlineLvl w:val="0"/>
    </w:pPr>
    <w:rPr>
      <w:b/>
      <w:u w:val="single"/>
    </w:rPr>
  </w:style>
  <w:style w:type="paragraph" w:styleId="Heading4">
    <w:name w:val="Heading 4"/>
    <w:basedOn w:val="Normal"/>
    <w:next w:val="Normal"/>
    <w:qFormat/>
    <w:pPr>
      <w:keepNext/>
      <w:numPr>
        <w:ilvl w:val="3"/>
        <w:numId w:val="1"/>
      </w:numPr>
      <w:jc w:val="center"/>
      <w:outlineLvl w:val="3"/>
      <w:outlineLvl w:val="3"/>
    </w:pPr>
    <w:rPr>
      <w:b/>
      <w:bCs/>
      <w:lang w:eastAsia="ko-K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color w:val="000000"/>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Ti2">
    <w:name w:val="ti2"/>
    <w:basedOn w:val="DefaultParagraphFont"/>
    <w:qFormat/>
    <w:rPr>
      <w:sz w:val="22"/>
      <w:szCs w:val="22"/>
    </w:rPr>
  </w:style>
  <w:style w:type="character" w:styleId="InternetLink">
    <w:name w:val="Internet Link"/>
    <w:basedOn w:val="DefaultParagraphFont"/>
    <w:rPr>
      <w:color w:val="0000FF"/>
      <w:u w:val="single"/>
    </w:rPr>
  </w:style>
  <w:style w:type="character" w:styleId="StrongEmphasis">
    <w:name w:val="Strong Emphasis"/>
    <w:basedOn w:val="DefaultParagraphFont"/>
    <w:rPr>
      <w:b/>
      <w:bCs/>
    </w:rPr>
  </w:style>
  <w:style w:type="character" w:styleId="Emphasis">
    <w:name w:val="Emphasis"/>
    <w:basedOn w:val="DefaultParagraphFont"/>
    <w:qFormat/>
    <w:rPr>
      <w:i/>
      <w:iCs/>
    </w:rPr>
  </w:style>
  <w:style w:type="character" w:styleId="Titlestitle">
    <w:name w:val="titles-title"/>
    <w:basedOn w:val="DefaultParagraphFont"/>
    <w:qFormat/>
    <w:rPr/>
  </w:style>
  <w:style w:type="character" w:styleId="PageNumber">
    <w:name w:val="Page Number"/>
    <w:basedOn w:val="DefaultParagraphFont"/>
    <w:rPr/>
  </w:style>
  <w:style w:type="character" w:styleId="Fulltextit">
    <w:name w:val="fulltext-it"/>
    <w:basedOn w:val="DefaultParagraphFont"/>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extBodyIndent">
    <w:name w:val="Text Body Indent"/>
    <w:basedOn w:val="Normal"/>
    <w:pPr>
      <w:spacing w:lineRule="auto" w:line="480"/>
      <w:ind w:firstLine="720"/>
    </w:pPr>
    <w:rPr/>
  </w:style>
  <w:style w:type="paragraph" w:styleId="NormalWeb">
    <w:name w:val="Normal (Web)"/>
    <w:basedOn w:val="Normal"/>
    <w:qFormat/>
    <w:pPr>
      <w:spacing w:before="280" w:after="280"/>
    </w:pPr>
    <w:rPr>
      <w:rFonts w:eastAsia="Batang;¢®E¡ËcE¡Ë¢çEc¡Ë¢çE¢®Ec¢®E¡Ëc¢®E"/>
      <w:lang w:eastAsia="ko-K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www.ncbi.nlm.nih.gov/entrez/query.fcgi?db=pubmed&amp;cmd=Search&amp;itool=pubmed_Abstract&amp;term=&quot;Auringer+ST&quot;%5BAuthor%5D" TargetMode="External"/><Relationship Id="rId4" Type="http://schemas.openxmlformats.org/officeDocument/2006/relationships/hyperlink" Target="http://www.ncbi.nlm.nih.gov/entrez/query.fcgi?db=pubmed&amp;cmd=Search&amp;itool=pubmed_Abstract&amp;term=&quot;Anthony+EY&quot;%5BAuthor%5D" TargetMode="External"/><Relationship Id="rId5" Type="http://schemas.openxmlformats.org/officeDocument/2006/relationships/hyperlink" Target="http://www.cihi.ca/cihiweb/dispPage.jsp?cw_page=media_28jul2003_e" TargetMode="External"/><Relationship Id="rId6" Type="http://schemas.openxmlformats.org/officeDocument/2006/relationships/hyperlink" Target="http://www.hockeycanada.ca/2/3/9/5/2/index1.shtml" TargetMode="External"/><Relationship Id="rId7" Type="http://schemas.openxmlformats.org/officeDocument/2006/relationships/hyperlink" Target="http://www.hockeycanada.ca/7/6/5/5/index1.shtml" TargetMode="External"/><Relationship Id="rId8" Type="http://schemas.openxmlformats.org/officeDocument/2006/relationships/hyperlink" Target="http://www.hockeycanada.ca/7/5/3/5/index1.shtml 16" TargetMode="External"/><Relationship Id="rId9" Type="http://schemas.openxmlformats.org/officeDocument/2006/relationships/hyperlink" Target="" TargetMode="External"/><Relationship Id="rId10" Type="http://schemas.openxmlformats.org/officeDocument/2006/relationships/hyperlink" Target="http://www.hockeycanada.ca/7/5/3/4/index1.shtml" TargetMode="External"/><Relationship Id="rId11" Type="http://schemas.openxmlformats.org/officeDocument/2006/relationships/hyperlink" Target="http://www.ncbi.nlm.nih.gov/sites/entrez?Db=pubmed&amp;Cmd=Search&amp;Term=&quot;Dryden DM&quot;%5BAuthor%5D&amp;itool=EntrezSystem2.PEntrez.Pubmed.Pubmed_ResultsPanel.Pubmed_RVAbstractPlus" TargetMode="External"/><Relationship Id="rId12" Type="http://schemas.openxmlformats.org/officeDocument/2006/relationships/hyperlink" Target="http://www.ncbi.nlm.nih.gov/sites/entrez?Db=pubmed&amp;Cmd=Search&amp;Term=&quot;Rowe BH&quot;%5BAuthor%5D&amp;itool=EntrezSystem2.PEntrez.Pubmed.Pubmed_ResultsPanel.Pubmed_RVAbstractPlus" TargetMode="External"/><Relationship Id="rId13" Type="http://schemas.openxmlformats.org/officeDocument/2006/relationships/hyperlink" Target="http://www.ncbi.nlm.nih.gov/sites/entrez?Db=pubmed&amp;Cmd=Search&amp;Term=&quot;Hagel BE&quot;%5BAuthor%5D&amp;itool=EntrezSystem2.PEntrez.Pubmed.Pubmed_ResultsPanel.Pubmed_RVAbstractPlus" TargetMode="External"/><Relationship Id="rId14" Type="http://schemas.openxmlformats.org/officeDocument/2006/relationships/hyperlink" Target="http://www.ncbi.nlm.nih.gov/sites/entrez?Db=pubmed&amp;Cmd=Search&amp;Term=&quot;Marko J&quot;%5BAuthor%5D&amp;itool=EntrezSystem2.PEntrez.Pubmed.Pubmed_ResultsPanel.Pubmed_RVAbstractPlus" TargetMode="External"/><Relationship Id="rId15" Type="http://schemas.openxmlformats.org/officeDocument/2006/relationships/hyperlink" Target="javascript:AL_get(this, &apos;jour&apos;, &apos;Med Sci Sports Exerc.&apos;);" TargetMode="External"/><Relationship Id="rId16" Type="http://schemas.openxmlformats.org/officeDocument/2006/relationships/hyperlink" Target="http://www.pch.gc.ca/progs/sc/pol/pcs-csp/2003/index_e.cfm" TargetMode="External"/><Relationship Id="rId17" Type="http://schemas.openxmlformats.org/officeDocument/2006/relationships/hyperlink" Target="http://www.smartrisk.ca/ContentDirector.aspx?Prt=y&amp;tp=5652" TargetMode="Externa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2008-06-04T11:16:00Z</dcterms:created>
  <dc:creator>SMH User</dc:creator>
  <dc:language>en-CA</dc:language>
  <cp:lastModifiedBy>SMH User</cp:lastModifiedBy>
  <dcterms:modified xsi:type="dcterms:W3CDTF">2008-06-04T11:16:00Z</dcterms:modified>
  <cp:revision>2</cp:revision>
  <dc:title>Body checking at a younger age increases injuries among minor hockey players</dc:title>
</cp:coreProperties>
</file>