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lang w:val="en-CA"/>
        </w:rPr>
        <w:t>Ethnic differences in the use of prescription drugs</w:t>
      </w:r>
      <w:r>
        <w:rPr/>
        <w:t xml:space="preserve"> in British Columbia</w:t>
      </w:r>
      <w:r>
        <w:rPr>
          <w:lang w:val="en-CA"/>
        </w:rPr>
        <w:t xml:space="preserve">: a cross-sectional analysis of linked survey and administrative data </w:t>
      </w:r>
    </w:p>
    <w:p>
      <w:pPr>
        <w:pStyle w:val="NoSpacing"/>
        <w:rPr>
          <w:lang w:val="en-CA"/>
        </w:rPr>
      </w:pPr>
      <w:r>
        <w:rPr>
          <w:lang w:val="en-CA"/>
        </w:rPr>
        <w:t>Steven Morgan, Gillian Hanley, Colleen Cunningham, Hude Quan</w:t>
      </w:r>
    </w:p>
    <w:p>
      <w:pPr>
        <w:pStyle w:val="NoSpacing"/>
        <w:rPr>
          <w:lang w:val="en-CA"/>
        </w:rPr>
      </w:pPr>
      <w:r>
        <w:rPr>
          <w:lang w:val="en-CA"/>
        </w:rPr>
      </w:r>
    </w:p>
    <w:p>
      <w:pPr>
        <w:pStyle w:val="NoSpacing"/>
        <w:rPr/>
      </w:pPr>
      <w:r>
        <w:rPr>
          <w:lang w:val="en-CA"/>
        </w:rPr>
        <w:t>Steve Morgan (</w:t>
      </w:r>
      <w:hyperlink r:id="rId2">
        <w:r>
          <w:rPr>
            <w:rStyle w:val="InternetLink"/>
            <w:lang w:val="en-CA"/>
          </w:rPr>
          <w:t>morgan@chspr.ubc.ca</w:t>
        </w:r>
      </w:hyperlink>
      <w:r>
        <w:rPr>
          <w:lang w:val="en-CA"/>
        </w:rPr>
        <w:t>) is Associate Professor in the UBC School of Population and Public Health, Associate Director of the UBC Centre for Health Services and Policy Research, and Lead of the Pharmaceutical Policy Research Collaboration (</w:t>
      </w:r>
      <w:hyperlink r:id="rId3">
        <w:r>
          <w:rPr>
            <w:rStyle w:val="InternetLink"/>
            <w:lang w:val="en-CA"/>
          </w:rPr>
          <w:t>www.pharmaceuticalpolicy.ca</w:t>
        </w:r>
      </w:hyperlink>
      <w:r>
        <w:rPr>
          <w:lang w:val="en-CA"/>
        </w:rPr>
        <w:t>). Gillian Hanley (</w:t>
      </w:r>
      <w:hyperlink r:id="rId4">
        <w:r>
          <w:rPr>
            <w:rStyle w:val="InternetLink"/>
            <w:lang w:val="en-CA"/>
          </w:rPr>
          <w:t>ghanley@chspr.ubc.ca</w:t>
        </w:r>
      </w:hyperlink>
      <w:r>
        <w:rPr>
          <w:lang w:val="en-CA"/>
        </w:rPr>
        <w:t>) is a doctoral candidate in the UBC School of Population and Public Health and graduate research assistant at the UBC Centre for Health Services and Policy Research. Colleen Cunningham (</w:t>
      </w:r>
      <w:hyperlink r:id="rId5">
        <w:r>
          <w:rPr>
            <w:rStyle w:val="InternetLink"/>
            <w:lang w:val="en-CA"/>
          </w:rPr>
          <w:t>ccunningham@chspr.ubc.ca</w:t>
        </w:r>
      </w:hyperlink>
      <w:r>
        <w:rPr>
          <w:lang w:val="en-CA"/>
        </w:rPr>
        <w:t>) is a Research Coordinator at the UBC Centre for Health Services and Policy Research. Dr. Hude Quan (</w:t>
      </w:r>
      <w:hyperlink r:id="rId6">
        <w:r>
          <w:rPr>
            <w:rStyle w:val="InternetLink"/>
            <w:lang w:val="en-CA"/>
          </w:rPr>
          <w:t>hquan@ucalgary.ca</w:t>
        </w:r>
      </w:hyperlink>
      <w:r>
        <w:rPr>
          <w:lang w:val="en-CA"/>
        </w:rPr>
        <w:t>) is an Alberta Heritage Foundation for Medical Research Population Health Investigator and an Associate Professor at the Department of Community Health Sciences and the Centre for Health and Policy Study of the University of Calgary.</w:t>
      </w:r>
    </w:p>
    <w:p>
      <w:pPr>
        <w:pStyle w:val="Heading5"/>
        <w:numPr>
          <w:ilvl w:val="4"/>
          <w:numId w:val="1"/>
        </w:numPr>
        <w:ind w:hanging="0"/>
        <w:rPr>
          <w:lang w:val="en-CA"/>
        </w:rPr>
      </w:pPr>
      <w:r>
        <w:rPr>
          <w:lang w:val="en-CA"/>
        </w:rPr>
        <w:t>Corresponding author and guarantor</w:t>
      </w:r>
    </w:p>
    <w:p>
      <w:pPr>
        <w:pStyle w:val="NoSpacing"/>
        <w:rPr>
          <w:lang w:val="en-CA"/>
        </w:rPr>
      </w:pPr>
      <w:r>
        <w:rPr>
          <w:lang w:val="en-CA"/>
        </w:rPr>
        <w:t xml:space="preserve">Steve Morgan, PhD </w:t>
      </w:r>
    </w:p>
    <w:p>
      <w:pPr>
        <w:pStyle w:val="NoSpacing"/>
        <w:rPr>
          <w:lang w:val="en-CA"/>
        </w:rPr>
      </w:pPr>
      <w:r>
        <w:rPr>
          <w:lang w:val="en-CA"/>
        </w:rPr>
        <w:t xml:space="preserve">Associate Professor &amp; Associate Director </w:t>
      </w:r>
    </w:p>
    <w:p>
      <w:pPr>
        <w:pStyle w:val="NoSpacing"/>
        <w:rPr>
          <w:lang w:val="en-CA"/>
        </w:rPr>
      </w:pPr>
      <w:r>
        <w:rPr>
          <w:lang w:val="en-CA"/>
        </w:rPr>
        <w:t xml:space="preserve">UBC Centre for Health Services and Policy Research </w:t>
      </w:r>
    </w:p>
    <w:p>
      <w:pPr>
        <w:pStyle w:val="NoSpacing"/>
        <w:rPr>
          <w:lang w:val="en-CA"/>
        </w:rPr>
      </w:pPr>
      <w:r>
        <w:rPr>
          <w:lang w:val="en-CA"/>
        </w:rPr>
        <w:t xml:space="preserve">#201 - 2206 East Mall </w:t>
      </w:r>
    </w:p>
    <w:p>
      <w:pPr>
        <w:pStyle w:val="NoSpacing"/>
        <w:rPr>
          <w:lang w:val="en-CA"/>
        </w:rPr>
      </w:pPr>
      <w:r>
        <w:rPr>
          <w:lang w:val="en-CA"/>
        </w:rPr>
        <w:t xml:space="preserve">Vancouver, BC   V6T 1Z3 </w:t>
      </w:r>
    </w:p>
    <w:p>
      <w:pPr>
        <w:pStyle w:val="NoSpacing"/>
        <w:rPr>
          <w:lang w:val="en-CA"/>
        </w:rPr>
      </w:pPr>
      <w:r>
        <w:rPr>
          <w:lang w:val="en-CA"/>
        </w:rPr>
        <w:t>Phone: 604-822-7012  / Email: morgan@chspr.ubc.ca</w:t>
      </w:r>
    </w:p>
    <w:p>
      <w:pPr>
        <w:pStyle w:val="Heading5"/>
        <w:numPr>
          <w:ilvl w:val="4"/>
          <w:numId w:val="1"/>
        </w:numPr>
        <w:ind w:hanging="0"/>
        <w:rPr>
          <w:lang w:val="en-CA"/>
        </w:rPr>
      </w:pPr>
      <w:r>
        <w:rPr>
          <w:lang w:val="en-CA"/>
        </w:rPr>
        <w:t>Contributions statement</w:t>
      </w:r>
    </w:p>
    <w:p>
      <w:pPr>
        <w:pStyle w:val="NoSpacing"/>
        <w:rPr>
          <w:lang w:val="en-CA"/>
        </w:rPr>
      </w:pPr>
      <w:r>
        <w:rPr>
          <w:lang w:val="en-CA"/>
        </w:rPr>
        <w:t>Steve Morgan conceived of the project and contributed to the design and acquisition of data; he oversaw data analysis, contributed to the interpretation of results, and was principal writer of the manuscript. Gillian Hanley contributed to project conception, design, acquisition of data; she conducted the data analysis, contributed to the interpretation of results, and all phases of manuscript writing. Colleen Cunningham helped implement the study, contributed to the analysis of data, interpretation of results, and manuscript revision. Hude Quan contributed to conception, design, interpretation of results, and revision of the manuscript. All of the authors approved the final version of the manuscript.</w:t>
      </w:r>
    </w:p>
    <w:p>
      <w:pPr>
        <w:pStyle w:val="Heading5"/>
        <w:numPr>
          <w:ilvl w:val="4"/>
          <w:numId w:val="1"/>
        </w:numPr>
        <w:ind w:hanging="0"/>
        <w:rPr>
          <w:lang w:val="en-CA"/>
        </w:rPr>
      </w:pPr>
      <w:r>
        <w:rPr>
          <w:lang w:val="en-CA"/>
        </w:rPr>
        <w:t>Support</w:t>
      </w:r>
    </w:p>
    <w:p>
      <w:pPr>
        <w:pStyle w:val="NoSpacing"/>
        <w:rPr>
          <w:lang w:val="en-CA"/>
        </w:rPr>
      </w:pPr>
      <w:r>
        <w:rPr>
          <w:lang w:val="en-CA"/>
        </w:rPr>
        <w:t>This study was funded by an operating grant (“Equity in pharmacare: the effects of ethnicity and policy in British Columbia”) from the Canadian Institutes of Health Research. The construction of the research database was supported, in part, by contributions of the BC Ministry of Health Services to the UBC Centre for Health Services and Policy Research. Sponsors had no role in the project or in decisions to publish results.</w:t>
      </w:r>
    </w:p>
    <w:p>
      <w:pPr>
        <w:pStyle w:val="Heading5"/>
        <w:numPr>
          <w:ilvl w:val="4"/>
          <w:numId w:val="1"/>
        </w:numPr>
        <w:ind w:hanging="0"/>
        <w:rPr>
          <w:lang w:val="en-CA"/>
        </w:rPr>
      </w:pPr>
      <w:r>
        <w:rPr>
          <w:lang w:val="en-CA"/>
        </w:rPr>
        <w:t>Competing Interests</w:t>
      </w:r>
    </w:p>
    <w:p>
      <w:pPr>
        <w:pStyle w:val="NoSpacing"/>
        <w:rPr>
          <w:lang w:val="en-CA"/>
        </w:rPr>
      </w:pPr>
      <w:r>
        <w:rPr>
          <w:lang w:val="en-CA"/>
        </w:rPr>
        <w:t>None</w:t>
      </w:r>
    </w:p>
    <w:p>
      <w:pPr>
        <w:pStyle w:val="NoSpacing"/>
        <w:rPr>
          <w:lang w:val="en-CA"/>
        </w:rPr>
      </w:pPr>
      <w:r>
        <w:rPr>
          <w:lang w:val="en-CA"/>
        </w:rPr>
      </w:r>
    </w:p>
    <w:p>
      <w:pPr>
        <w:pStyle w:val="NoSpacing"/>
        <w:rPr>
          <w:lang w:val="en-CA"/>
        </w:rPr>
      </w:pPr>
      <w:r>
        <w:rPr>
          <w:lang w:val="en-CA"/>
        </w:rPr>
        <w:t>Word count = 2,263</w:t>
      </w:r>
    </w:p>
    <w:p>
      <w:pPr>
        <w:pStyle w:val="NoSpacing"/>
        <w:rPr>
          <w:lang w:val="en-CA"/>
        </w:rPr>
      </w:pPr>
      <w:r>
        <w:rPr>
          <w:lang w:val="en-CA"/>
        </w:rPr>
        <w:t>Abstract = 232</w:t>
      </w:r>
    </w:p>
    <w:p>
      <w:pPr>
        <w:pStyle w:val="NoSpacing"/>
        <w:rPr>
          <w:lang w:val="en-CA"/>
        </w:rPr>
      </w:pPr>
      <w:r>
        <w:rPr>
          <w:lang w:val="en-CA"/>
        </w:rPr>
      </w:r>
      <w:r>
        <w:br w:type="page"/>
      </w:r>
    </w:p>
    <w:p>
      <w:pPr>
        <w:pStyle w:val="Heading1"/>
        <w:numPr>
          <w:ilvl w:val="0"/>
          <w:numId w:val="1"/>
        </w:numPr>
        <w:ind w:hanging="0"/>
        <w:rPr>
          <w:lang w:val="en-CA"/>
        </w:rPr>
      </w:pPr>
      <w:r>
        <w:rPr>
          <w:lang w:val="en-CA"/>
        </w:rPr>
        <w:t>Abstract</w:t>
      </w:r>
    </w:p>
    <w:p>
      <w:pPr>
        <w:pStyle w:val="Heading4"/>
        <w:numPr>
          <w:ilvl w:val="3"/>
          <w:numId w:val="1"/>
        </w:numPr>
        <w:ind w:hanging="0"/>
        <w:rPr>
          <w:lang w:val="en-CA"/>
        </w:rPr>
      </w:pPr>
      <w:r>
        <w:rPr>
          <w:lang w:val="en-CA"/>
        </w:rPr>
        <w:t>Background</w:t>
      </w:r>
    </w:p>
    <w:p>
      <w:pPr>
        <w:pStyle w:val="NoSpacing"/>
        <w:rPr>
          <w:lang w:val="en-CA"/>
        </w:rPr>
      </w:pPr>
      <w:r>
        <w:rPr>
          <w:lang w:val="en-CA"/>
        </w:rPr>
        <w:t>Ethnic disparities in the use of medical and hospital care have been well documented but disparities in prescription drug use have not. We therefore conducted a cross-sectional analysis of survey and administrative data to study needs-adjusted rates of purchase of prescription drugs by British Columbia residents of differing self-identified ethnicity.</w:t>
      </w:r>
    </w:p>
    <w:p>
      <w:pPr>
        <w:pStyle w:val="Heading4"/>
        <w:numPr>
          <w:ilvl w:val="3"/>
          <w:numId w:val="1"/>
        </w:numPr>
        <w:ind w:hanging="0"/>
        <w:rPr>
          <w:lang w:val="en-CA"/>
        </w:rPr>
      </w:pPr>
      <w:r>
        <w:rPr>
          <w:lang w:val="en-CA"/>
        </w:rPr>
        <w:t>Methods</w:t>
      </w:r>
    </w:p>
    <w:p>
      <w:pPr>
        <w:pStyle w:val="NoSpacing"/>
        <w:rPr>
          <w:lang w:val="en-CA"/>
        </w:rPr>
      </w:pPr>
      <w:r>
        <w:rPr>
          <w:lang w:val="en-CA"/>
        </w:rPr>
        <w:t>For a sample of 19,370 BC residents, we linked Canadian Community Health Survey data on self-identified ethnicity with administrative data describing prescription purchases and medical services utilisation for 2005. We used sex-stratified multivariate logistic regressions to measure differences in the likelihood of purchasing prescriptions by drug class. Models were adjusted for age, general health status, treatment-specific health status, socioeconomic factors, and recent immigration.</w:t>
      </w:r>
    </w:p>
    <w:p>
      <w:pPr>
        <w:pStyle w:val="Heading4"/>
        <w:numPr>
          <w:ilvl w:val="3"/>
          <w:numId w:val="1"/>
        </w:numPr>
        <w:ind w:hanging="0"/>
        <w:rPr>
          <w:lang w:val="en-CA"/>
        </w:rPr>
      </w:pPr>
      <w:r>
        <w:rPr>
          <w:lang w:val="en-CA"/>
        </w:rPr>
        <w:t>Results</w:t>
      </w:r>
    </w:p>
    <w:p>
      <w:pPr>
        <w:pStyle w:val="NoSpacing"/>
        <w:rPr>
          <w:lang w:val="en-CA"/>
        </w:rPr>
      </w:pPr>
      <w:r>
        <w:rPr>
          <w:lang w:val="en-CA"/>
        </w:rPr>
        <w:t>We found evidence of significant needs-adjusted ethnic variation in the purchase of prescription drugs. Women and men who identified as South Asian or of mixed ethnicity purchased most types of medicine studied at rates comparable to women and men who identified as white but were more likely to purchase antibiotics and NSAIDs. Women and (to a lesser extent) men who identified as Chinese were less likely than those identifying as white to fill prescriptions for several types of drug.</w:t>
      </w:r>
    </w:p>
    <w:p>
      <w:pPr>
        <w:pStyle w:val="Heading4"/>
        <w:numPr>
          <w:ilvl w:val="3"/>
          <w:numId w:val="1"/>
        </w:numPr>
        <w:ind w:hanging="0"/>
        <w:rPr>
          <w:lang w:val="en-CA"/>
        </w:rPr>
      </w:pPr>
      <w:r>
        <w:rPr>
          <w:lang w:val="en-CA"/>
        </w:rPr>
        <w:t>Interpretation</w:t>
      </w:r>
    </w:p>
    <w:p>
      <w:pPr>
        <w:pStyle w:val="NoSpacing"/>
        <w:rPr>
          <w:lang w:val="en-CA"/>
        </w:rPr>
      </w:pPr>
      <w:r>
        <w:rPr>
          <w:lang w:val="en-CA"/>
        </w:rPr>
        <w:t>Some of the variations documented in this study suggest that ethnic differences in beliefs about pharmaceuticals may generate differences in prescription drug use; other variations suggest that there may be clinically important disparities in treatment utilization.</w:t>
      </w:r>
    </w:p>
    <w:p>
      <w:pPr>
        <w:pStyle w:val="NoSpacing"/>
        <w:rPr>
          <w:lang w:val="en-CA"/>
        </w:rPr>
      </w:pPr>
      <w:r>
        <w:rPr>
          <w:lang w:val="en-CA"/>
        </w:rPr>
      </w:r>
    </w:p>
    <w:p>
      <w:pPr>
        <w:pStyle w:val="NoSpacing"/>
        <w:rPr>
          <w:lang w:val="en-CA"/>
        </w:rPr>
      </w:pPr>
      <w:r>
        <w:rPr>
          <w:lang w:val="en-CA"/>
        </w:rPr>
      </w:r>
    </w:p>
    <w:p>
      <w:pPr>
        <w:pStyle w:val="Heading4"/>
        <w:numPr>
          <w:ilvl w:val="3"/>
          <w:numId w:val="1"/>
        </w:numPr>
        <w:ind w:hanging="0"/>
        <w:rPr>
          <w:lang w:val="en-CA"/>
        </w:rPr>
      </w:pPr>
      <w:r>
        <w:rPr>
          <w:lang w:val="en-CA"/>
        </w:rPr>
      </w:r>
    </w:p>
    <w:p>
      <w:pPr>
        <w:pStyle w:val="Normal"/>
        <w:rPr>
          <w:lang w:val="en-CA"/>
        </w:rPr>
      </w:pPr>
      <w:r>
        <w:rPr>
          <w:lang w:val="en-CA"/>
        </w:rPr>
      </w:r>
      <w:r>
        <w:br w:type="page"/>
      </w:r>
    </w:p>
    <w:p>
      <w:pPr>
        <w:pStyle w:val="Heading1"/>
        <w:numPr>
          <w:ilvl w:val="0"/>
          <w:numId w:val="1"/>
        </w:numPr>
        <w:ind w:hanging="0"/>
        <w:rPr>
          <w:lang w:val="en-CA"/>
        </w:rPr>
      </w:pPr>
      <w:r>
        <w:rPr>
          <w:lang w:val="en-CA"/>
        </w:rPr>
        <w:t>Introduction</w:t>
      </w:r>
    </w:p>
    <w:p>
      <w:pPr>
        <w:pStyle w:val="Normal"/>
        <w:rPr/>
      </w:pPr>
      <w:r>
        <w:rPr>
          <w:lang w:val="en-CA"/>
        </w:rPr>
        <w:t>Although a difficult construct to work with empirically, ethnicity is an important marker of societal groupings for health care practice and policy because persons of different ethnic identities may have differing needs for, access to, and even outcomes from health care.</w:t>
      </w:r>
      <w:r>
        <w:fldChar w:fldCharType="begin"/>
      </w:r>
      <w:r>
        <w:instrText> ADDIN EN.CITE &lt;EndNote&gt;&lt;Cite&gt;&lt;Author&gt;Bhopal&lt;/Author&gt;&lt;Year&gt;2002&lt;/Year&gt;&lt;RecNum&gt;15954&lt;/RecNum&gt;&lt;record&gt;&lt;rec-number&gt;15954&lt;/rec-number&gt;&lt;foreign-keys&gt;&lt;key app="EN" db-id="e5razrre359x0aetvvexesr5tfx2dpf0v522"&gt;15954&lt;/key&gt;&lt;/foreign-keys&gt;&lt;ref-type name="Journal Article"&gt;17&lt;/ref-type&gt;&lt;contributors&gt;&lt;authors&gt;&lt;author&gt;Bhopal, R.&lt;/author&gt;&lt;/authors&gt;&lt;/contributors&gt;&lt;titles&gt;&lt;title&gt;Revisiting race/ethnicity as a variable in health research&lt;/title&gt;&lt;secondary-title&gt;American Journal of Public Health&lt;/secondary-title&gt;&lt;/titles&gt;&lt;periodical&gt;&lt;full-title&gt;American Journal of Public Health&lt;/full-title&gt;&lt;abbr-1&gt;Am. J. Public Health&lt;/abbr-1&gt;&lt;abbr-2&gt;Am J Public Health&lt;/abbr-2&gt;&lt;/periodical&gt;&lt;pages&gt;156-157&lt;/pages&gt;&lt;volume&gt;92&lt;/volume&gt;&lt;number&gt;2&lt;/number&gt;&lt;dates&gt;&lt;year&gt;2002&lt;/year&gt;&lt;pub-dates&gt;&lt;date&gt;Feb&lt;/date&gt;&lt;/pub-dates&gt;&lt;/dates&gt;&lt;isbn&gt;0090-0036&lt;/isbn&gt;&lt;accession-num&gt;ISI:000173558000002&lt;/accession-num&gt;&lt;urls&gt;&lt;related-urls&gt;&lt;url&gt;&amp;lt;Go to ISI&amp;gt;://000173558000002 &lt;/url&gt;&lt;/related-urls&gt;&lt;/urls&gt;&lt;/record&gt;&lt;/Cite&gt;&lt;/EndNote&gt;</w:instrText>
      </w:r>
      <w:r>
        <w:fldChar w:fldCharType="separate"/>
      </w:r>
      <w:bookmarkStart w:id="0" w:name="__Fieldmark__483_1322453857"/>
      <w:r>
        <w:rPr>
          <w:vertAlign w:val="superscript"/>
          <w:lang w:val="en-CA" w:eastAsia="en-CA"/>
        </w:rPr>
        <w:t>(1)</w:t>
      </w:r>
      <w:r>
        <w:rPr>
          <w:vertAlign w:val="superscript"/>
          <w:lang w:val="en-CA" w:eastAsia="en-CA"/>
        </w:rPr>
      </w:r>
      <w:r>
        <w:fldChar w:fldCharType="end"/>
      </w:r>
      <w:bookmarkEnd w:id="0"/>
      <w:r>
        <w:rPr>
          <w:lang w:val="en-CA"/>
        </w:rPr>
        <w:t xml:space="preserve"> Racial and ethnic disparities in the use of medical and hospital care have been documented in Canada and comparable countries.</w:t>
      </w:r>
      <w:r>
        <w:fldChar w:fldCharType="begin"/>
      </w:r>
      <w:r>
        <w:instrText> ADDIN EN.CITE </w:instrText>
      </w:r>
      <w:r>
        <w:fldChar w:fldCharType="separate"/>
      </w:r>
      <w:bookmarkStart w:id="1" w:name="__Fieldmark__484_1322453857"/>
      <w:r>
        <w:rPr>
          <w:vertAlign w:val="superscript"/>
          <w:lang w:val="en-CA" w:eastAsia="en-CA"/>
        </w:rPr>
        <w:t>(2-6)</w:t>
      </w:r>
      <w:r>
        <w:rPr>
          <w:vertAlign w:val="superscript"/>
          <w:lang w:val="en-CA" w:eastAsia="en-CA"/>
        </w:rPr>
      </w:r>
      <w:r>
        <w:fldChar w:fldCharType="end"/>
      </w:r>
      <w:bookmarkEnd w:id="1"/>
      <w:r>
        <w:rPr>
          <w:lang w:val="en-CA"/>
        </w:rPr>
        <w:t xml:space="preserve"> Disparities in prescription drug use have not been studied as thoroughly; however, evidence from the United States and Europe suggests that prescription drug use may vary by race and country of birth.</w:t>
      </w:r>
      <w:r>
        <w:fldChar w:fldCharType="begin"/>
      </w:r>
      <w:r>
        <w:instrText> ADDIN EN.CITE </w:instrText>
      </w:r>
      <w:r>
        <w:fldChar w:fldCharType="separate"/>
      </w:r>
      <w:bookmarkStart w:id="2" w:name="__Fieldmark__485_1322453857"/>
      <w:r>
        <w:rPr>
          <w:vertAlign w:val="superscript"/>
          <w:lang w:val="en-CA" w:eastAsia="en-CA"/>
        </w:rPr>
        <w:t>(7-9)</w:t>
      </w:r>
      <w:bookmarkEnd w:id="2"/>
      <w:r>
        <w:rPr>
          <w:vertAlign w:val="superscript"/>
          <w:lang w:val="en-CA" w:eastAsia="en-CA"/>
        </w:rPr>
      </w:r>
      <w:r>
        <w:fldChar w:fldCharType="end"/>
      </w:r>
    </w:p>
    <w:p>
      <w:pPr>
        <w:pStyle w:val="Normal"/>
        <w:rPr/>
      </w:pPr>
      <w:r>
        <w:rPr>
          <w:lang w:val="en-CA"/>
        </w:rPr>
        <w:t>From 1986 to 2006, the increased availability, promotion, and use of prescription drugs made then the fastest growing component of Canada’s health system costs.</w:t>
      </w:r>
      <w:r>
        <w:fldChar w:fldCharType="begin"/>
      </w:r>
      <w:r>
        <w:instrText> ADDIN EN.CITE &lt;EndNote&gt;&lt;Cite&gt;&lt;Author&gt;CIHI&lt;/Author&gt;&lt;Year&gt;2009&lt;/Year&gt;&lt;RecNum&gt;18580&lt;/RecNum&gt;&lt;record&gt;&lt;rec-number&gt;18580&lt;/rec-number&gt;&lt;foreign-keys&gt;&lt;key app="EN" db-id="e5razrre359x0aetvvexesr5tfx2dpf0v522"&gt;18580&lt;/key&gt;&lt;/foreign-keys&gt;&lt;ref-type name="Book"&gt;6&lt;/ref-type&gt;&lt;contributors&gt;&lt;authors&gt;&lt;author&gt;CIHI&lt;/author&gt;&lt;/authors&gt;&lt;/contributors&gt;&lt;titles&gt;&lt;title&gt;National Health Expenditure Trends, 1975 to 2009&lt;/title&gt;&lt;/titles&gt;&lt;pages&gt;146&lt;/pages&gt;&lt;keywords&gt;&lt;keyword&gt;Medical care, Cost of Canada Statistics.&lt;/keyword&gt;&lt;keyword&gt;Medical economics Canada Statistics.&lt;/keyword&gt;&lt;keyword&gt;Medical economics Canada Forecasting.&lt;/keyword&gt;&lt;keyword&gt;Health expenditures Canada Statistics.&lt;/keyword&gt;&lt;keyword&gt;Health expenditures Trends Canada.&lt;/keyword&gt;&lt;keyword&gt;Information systems.&lt;/keyword&gt;&lt;/keywords&gt;&lt;dates&gt;&lt;year&gt;2009&lt;/year&gt;&lt;/dates&gt;&lt;pub-location&gt;Ottawa&lt;/pub-location&gt;&lt;publisher&gt;Canadian Institute for Health Information&lt;/publisher&gt;&lt;urls&gt;&lt;/urls&gt;&lt;/record&gt;&lt;/Cite&gt;&lt;/EndNote&gt;</w:instrText>
      </w:r>
      <w:r>
        <w:fldChar w:fldCharType="separate"/>
      </w:r>
      <w:bookmarkStart w:id="3" w:name="__Fieldmark__486_1322453857"/>
      <w:r>
        <w:rPr>
          <w:vertAlign w:val="superscript"/>
          <w:lang w:val="en-CA" w:eastAsia="en-CA"/>
        </w:rPr>
        <w:t>(10)</w:t>
      </w:r>
      <w:r>
        <w:rPr>
          <w:vertAlign w:val="superscript"/>
          <w:lang w:val="en-CA" w:eastAsia="en-CA"/>
        </w:rPr>
      </w:r>
      <w:r>
        <w:fldChar w:fldCharType="end"/>
      </w:r>
      <w:bookmarkEnd w:id="3"/>
      <w:r>
        <w:rPr>
          <w:lang w:val="en-CA"/>
        </w:rPr>
        <w:t xml:space="preserve"> During that time, the ethnic composition of Canada’s population changed significantly, with increases in the share of the population that is foreign born (from 16% to 20%) and the share of the population that is a visible minority (from 6% to 16%).</w:t>
      </w:r>
      <w:r>
        <w:fldChar w:fldCharType="begin"/>
      </w:r>
      <w:r>
        <w:instrText> ADDIN EN.CITE &lt;EndNote&gt;&lt;Cite&gt;&lt;Author&gt;Statistics Canada&lt;/Author&gt;&lt;Year&gt;2008&lt;/Year&gt;&lt;RecNum&gt;16065&lt;/RecNum&gt;&lt;record&gt;&lt;rec-number&gt;16065&lt;/rec-number&gt;&lt;foreign-keys&gt;&lt;key app="EN" db-id="e5razrre359x0aetvvexesr5tfx2dpf0v522"&gt;16065&lt;/key&gt;&lt;/foreign-keys&gt;&lt;ref-type name="Report"&gt;27&lt;/ref-type&gt;&lt;contributors&gt;&lt;authors&gt;&lt;author&gt;Statistics Canada,&lt;/author&gt;&lt;/authors&gt;&lt;secondary-authors&gt;&lt;author&gt;Statistics Canada&lt;/author&gt;&lt;/secondary-authors&gt;&lt;/contributors&gt;&lt;titles&gt;&lt;title&gt;Canada&amp;apos;s Ethnocultural Mosaic, 2006 Census&lt;/title&gt;&lt;/titles&gt;&lt;pages&gt;1-36&lt;/pages&gt;&lt;number&gt;Catalogue no. 97-562-X&lt;/number&gt;&lt;dates&gt;&lt;year&gt;2008&lt;/year&gt;&lt;/dates&gt;&lt;pub-location&gt;Ottawa&lt;/pub-location&gt;&lt;publisher&gt;Statistics Canada&lt;/publisher&gt;&lt;urls&gt;&lt;related-urls&gt;&lt;url&gt;http://www12.statcan.ca/english/census06/analysis/ethnicorigin/pdf/97-562-XIE2006001.pdf&lt;/url&gt;&lt;/related-urls&gt;&lt;/urls&gt;&lt;/record&gt;&lt;/Cite&gt;&lt;/EndNote&gt;</w:instrText>
      </w:r>
      <w:r>
        <w:fldChar w:fldCharType="separate"/>
      </w:r>
      <w:bookmarkStart w:id="4" w:name="__Fieldmark__487_1322453857"/>
      <w:r>
        <w:rPr>
          <w:vertAlign w:val="superscript"/>
          <w:lang w:val="en-CA" w:eastAsia="en-CA"/>
        </w:rPr>
        <w:t>(11)</w:t>
      </w:r>
      <w:r>
        <w:rPr>
          <w:vertAlign w:val="superscript"/>
          <w:lang w:val="en-CA" w:eastAsia="en-CA"/>
        </w:rPr>
      </w:r>
      <w:r>
        <w:fldChar w:fldCharType="end"/>
      </w:r>
      <w:bookmarkEnd w:id="4"/>
      <w:r>
        <w:rPr>
          <w:lang w:val="en-CA"/>
        </w:rPr>
        <w:t xml:space="preserve"> It is therefore important to understand whether and how pharmaceutical use differs across ethnic groups in Canada.</w:t>
      </w:r>
    </w:p>
    <w:p>
      <w:pPr>
        <w:pStyle w:val="Normal"/>
        <w:rPr>
          <w:lang w:val="en-CA"/>
        </w:rPr>
      </w:pPr>
      <w:r>
        <w:rPr>
          <w:lang w:val="en-CA"/>
        </w:rPr>
        <w:t xml:space="preserve">Existing evidence concerning ethnic disparities in health services may not necessarily extrapolate to the case of prescription drugs for a number of reasons. Because outpatient pharmaceutical benefits are not universal in Canada, disparities in access to prescription drugs may exist even if access to primary care is relatively equitable. Moreover, ethnic differences in beliefs about pharmaceuticals could generate differences in medicine use not reflected in the use of other health services. We therefore studied the purchases of prescription drugs by British Columbia (BC) residents of differing self-identified ethnicity. We studied several therapeutic classes to test the hypothesis that, owing to the influences of personal beliefs, ethnic variations in prescription drug use will differ by the nature of treatment. </w:t>
      </w:r>
    </w:p>
    <w:p>
      <w:pPr>
        <w:pStyle w:val="Heading1"/>
        <w:numPr>
          <w:ilvl w:val="0"/>
          <w:numId w:val="1"/>
        </w:numPr>
        <w:ind w:hanging="0"/>
        <w:rPr>
          <w:lang w:val="en-CA"/>
        </w:rPr>
      </w:pPr>
      <w:r>
        <w:rPr>
          <w:lang w:val="en-CA"/>
        </w:rPr>
        <w:t>Methods</w:t>
      </w:r>
    </w:p>
    <w:p>
      <w:pPr>
        <w:pStyle w:val="Heading2"/>
        <w:numPr>
          <w:ilvl w:val="1"/>
          <w:numId w:val="1"/>
        </w:numPr>
        <w:ind w:hanging="0"/>
        <w:rPr>
          <w:lang w:val="en-CA"/>
        </w:rPr>
      </w:pPr>
      <w:r>
        <w:rPr>
          <w:lang w:val="en-CA"/>
        </w:rPr>
        <w:t>Cohort</w:t>
      </w:r>
    </w:p>
    <w:p>
      <w:pPr>
        <w:pStyle w:val="Normal"/>
        <w:rPr/>
      </w:pPr>
      <w:r>
        <w:rPr>
          <w:lang w:val="en-CA"/>
        </w:rPr>
        <w:t>Our study cohort was based on the 2001, 2003, and 2005 cycles of the Canadian Community Health Survey (CCHS).  Conducted in English, French, or the interviewee’s preferred language, the CCHS asks questions pertaining to a randomly selected person aged 12 or older per household drawn from a complex sample frame.</w:t>
      </w:r>
      <w:r>
        <w:fldChar w:fldCharType="begin"/>
      </w:r>
      <w:r>
        <w:instrText> ADDIN EN.CITE &lt;EndNote&gt;&lt;Cite&gt;&lt;Author&gt;Béland&lt;/Author&gt;&lt;Year&gt;2002&lt;/Year&gt;&lt;RecNum&gt;16890&lt;/RecNum&gt;&lt;record&gt;&lt;rec-number&gt;16890&lt;/rec-number&gt;&lt;foreign-keys&gt;&lt;key app="EN" db-id="e5razrre359x0aetvvexesr5tfx2dpf0v522"&gt;16890&lt;/key&gt;&lt;/foreign-keys&gt;&lt;ref-type name="Journal Article"&gt;17&lt;/ref-type&gt;&lt;contributors&gt;&lt;authors&gt;&lt;author&gt;Béland, Yves&lt;/author&gt;&lt;/authors&gt;&lt;/contributors&gt;&lt;titles&gt;&lt;title&gt;Canadian community health survey--methodological overview&lt;/title&gt;&lt;secondary-title&gt;Health Reports&lt;/secondary-title&gt;&lt;/titles&gt;&lt;periodical&gt;&lt;full-title&gt;Health Reports&lt;/full-title&gt;&lt;abbr-1&gt;Health Rep.&lt;/abbr-1&gt;&lt;abbr-2&gt;Health Rep&lt;/abbr-2&gt;&lt;/periodical&gt;&lt;pages&gt;9-14&lt;/pages&gt;&lt;volume&gt;13&lt;/volume&gt;&lt;number&gt;3&lt;/number&gt;&lt;dates&gt;&lt;year&gt;2002&lt;/year&gt;&lt;pub-dates&gt;&lt;date&gt;March&lt;/date&gt;&lt;/pub-dates&gt;&lt;/dates&gt;&lt;urls&gt;&lt;related-urls&gt;&lt;url&gt;http://prod.library.utoronto.ca:8090/datalib/codebooks/cstdli/cchs/2001/summarye.pdf&lt;/url&gt;&lt;/related-urls&gt;&lt;/urls&gt;&lt;/record&gt;&lt;/Cite&gt;&lt;/EndNote&gt;</w:instrText>
      </w:r>
      <w:r>
        <w:fldChar w:fldCharType="separate"/>
      </w:r>
      <w:bookmarkStart w:id="5" w:name="__Fieldmark__488_1322453857"/>
      <w:r>
        <w:rPr>
          <w:vertAlign w:val="superscript"/>
          <w:lang w:val="en-CA" w:eastAsia="en-CA"/>
        </w:rPr>
        <w:t>(12)</w:t>
      </w:r>
      <w:r>
        <w:rPr>
          <w:vertAlign w:val="superscript"/>
          <w:lang w:val="en-CA" w:eastAsia="en-CA"/>
        </w:rPr>
      </w:r>
      <w:r>
        <w:fldChar w:fldCharType="end"/>
      </w:r>
      <w:bookmarkEnd w:id="5"/>
      <w:r>
        <w:rPr>
          <w:lang w:val="en-CA"/>
        </w:rPr>
        <w:t xml:space="preserve"> We studied BC respondents whose CCHS data could be linked to administrative health care datasets maintained by Population Data BC. The administrative datasets used do not include registered First Nations, veterans, inmates of federal penitentiaries, and Royal Canadian Mounted Police.</w:t>
      </w:r>
    </w:p>
    <w:p>
      <w:pPr>
        <w:pStyle w:val="Normal"/>
        <w:rPr>
          <w:lang w:val="en-CA"/>
        </w:rPr>
      </w:pPr>
      <w:r>
        <w:rPr>
          <w:lang w:val="en-CA"/>
        </w:rPr>
        <w:t>We focus on urban respondents in this study because ethnic minority groups are highly concentrated in those settings; the addition of rural populations would add neither statistical information nor reasonable comparisons. We excluded linkable CCHS respondents who identified as aboriginal because their administrative health care data may have been incomplete and therefore may have biased results. To ensure comparability of data for study subjects, we also excluded individuals with missing CCHS data, those who did not reside in BC for at least 275 days in 2005, and those who lived in areas with high rates of non-fee-for-service medical care. The last exclusion criterion was necessary because our health status measures draw, in part, on diagnoses from fee-for-service medical claims data; high rates of non-fee-for-service care would bias health status measures. Finally, we eliminated individuals for which we had incomplete data. (See Appendix A for sample selection details.)</w:t>
      </w:r>
    </w:p>
    <w:p>
      <w:pPr>
        <w:pStyle w:val="Heading2"/>
        <w:numPr>
          <w:ilvl w:val="1"/>
          <w:numId w:val="1"/>
        </w:numPr>
        <w:ind w:hanging="0"/>
        <w:rPr>
          <w:lang w:val="en-CA"/>
        </w:rPr>
      </w:pPr>
      <w:r>
        <w:rPr>
          <w:lang w:val="en-CA"/>
        </w:rPr>
        <w:t>Data</w:t>
      </w:r>
    </w:p>
    <w:p>
      <w:pPr>
        <w:pStyle w:val="Normal"/>
        <w:rPr>
          <w:lang w:val="en-CA"/>
        </w:rPr>
      </w:pPr>
      <w:r>
        <w:rPr>
          <w:lang w:val="en-CA"/>
        </w:rPr>
        <w:t>We identified all prescriptions filled during the 2005 calendar year by study subjects using the BC PharmaNet database. PharmaNet records every prescription dispensed in community pharmacies and long-term care facilities, regardless of patient age or insurance status. Our primary outcome measures were whether or not an individual filled one or more prescription in 2005 from three commonly used classes of medicine chosen to represent a range of treatment types: antihypertensives, oral antibiotics, and antidepressants. (See Appendix B for details regarding therapeutic categories.)</w:t>
      </w:r>
    </w:p>
    <w:p>
      <w:pPr>
        <w:pStyle w:val="Normal"/>
        <w:rPr>
          <w:lang w:val="en-CA"/>
        </w:rPr>
      </w:pPr>
      <w:r>
        <w:rPr>
          <w:lang w:val="en-CA"/>
        </w:rPr>
        <w:t>Our ethnicity measure was based on responses to the CCHS question “People living in Canada come from many different cultural and racial backgrounds. Are you:...?” Individuals could respond yes to one or more of 13 ethnicities read to respondents by Statistics Canada. We coded individuals who responded yes to more than one ethnic grouping as persons of mixed ethnicity and assigned those who responded yes to a single ethnic grouping into one of the following categories: Whites, Chinese, South Asians, other Asians, and non-Asian non-whites. (See Appendix C for details of ethnic groupings.)  We also used the CCHS to identify recent immigrants, which we defined as respondents who immigrated to Canada within 10 years of 2005 (our observation year).</w:t>
      </w:r>
    </w:p>
    <w:p>
      <w:pPr>
        <w:pStyle w:val="Normal"/>
        <w:rPr/>
      </w:pPr>
      <w:r>
        <w:rPr>
          <w:lang w:val="en-CA"/>
        </w:rPr>
        <w:t>To measure health status, we constructed Aggregated Diagnostic Groups (ADGs) and Expanded Diagnostic Clusters (EDCs) based on ICD-9 and ICD-10 codes drawn from records of all fee-for-services medical visits and hospital discharges during 2005.</w:t>
      </w:r>
      <w:r>
        <w:fldChar w:fldCharType="begin"/>
      </w:r>
      <w:r>
        <w:instrText> ADDIN EN.CITE &lt;EndNote&gt;&lt;Cite&gt;&lt;Author&gt;Weiner&lt;/Author&gt;&lt;Year&gt;1991&lt;/Year&gt;&lt;RecNum&gt;455&lt;/RecNum&gt;&lt;record&gt;&lt;rec-number&gt;455&lt;/rec-number&gt;&lt;foreign-keys&gt;&lt;key app="EN" db-id="e5razrre359x0aetvvexesr5tfx2dpf0v522"&gt;455&lt;/key&gt;&lt;/foreign-keys&gt;&lt;ref-type name="Journal Article"&gt;17&lt;/ref-type&gt;&lt;contributors&gt;&lt;authors&gt;&lt;author&gt;Weiner, J. P.&lt;/author&gt;&lt;author&gt;Starfield, B. H.&lt;/author&gt;&lt;author&gt;Steinwachs, D. M.&lt;/author&gt;&lt;author&gt;Mumford, L. M.&lt;/author&gt;&lt;/authors&gt;&lt;/contributors&gt;&lt;auth-address&gt;Department of Health Policy and Management, Johns Hopkins University School of Hygiene and Public Health, Baltimore, MD 21205.&lt;/auth-address&gt;&lt;titles&gt;&lt;title&gt;Development and application of a population-oriented measure of ambulatory care case-mix&lt;/title&gt;&lt;secondary-title&gt;Medical Care&lt;/secondary-title&gt;&lt;/titles&gt;&lt;periodical&gt;&lt;full-title&gt;Medical Care&lt;/full-title&gt;&lt;abbr-1&gt;Med. Care&lt;/abbr-1&gt;&lt;abbr-2&gt;Med Care&lt;/abbr-2&gt;&lt;/periodical&gt;&lt;pages&gt;452-72&lt;/pages&gt;&lt;volume&gt;29&lt;/volume&gt;&lt;number&gt;5&lt;/number&gt;&lt;keywords&gt;&lt;keyword&gt;Adolescence&lt;/keyword&gt;&lt;keyword&gt;Adult&lt;/keyword&gt;&lt;keyword&gt;Aged&lt;/keyword&gt;&lt;keyword&gt;Ambulatory Care/*classification&lt;/keyword&gt;&lt;keyword&gt;Child&lt;/keyword&gt;&lt;keyword&gt;Child, Preschool&lt;/keyword&gt;&lt;keyword&gt;Cluster Analysis&lt;/keyword&gt;&lt;keyword&gt;Decision Trees&lt;/keyword&gt;&lt;keyword&gt;Demography&lt;/keyword&gt;&lt;keyword&gt;Diagnosis-Related Groups/*methods&lt;/keyword&gt;&lt;keyword&gt;Female&lt;/keyword&gt;&lt;keyword&gt;Human&lt;/keyword&gt;&lt;keyword&gt;Infant&lt;/keyword&gt;&lt;keyword&gt;Male&lt;/keyword&gt;&lt;keyword&gt;Maryland/epidemiology&lt;/keyword&gt;&lt;keyword&gt;Middle Age&lt;/keyword&gt;&lt;keyword&gt;Models, Statistical&lt;/keyword&gt;&lt;keyword&gt;Morbidity&lt;/keyword&gt;&lt;keyword&gt;Multivariate Analysis&lt;/keyword&gt;&lt;keyword&gt;Rate Setting and Review&lt;/keyword&gt;&lt;keyword&gt;Support, U.S. Gov&amp;apos;t, P.H.S.&lt;/keyword&gt;&lt;keyword&gt;Utilization Review&lt;/keyword&gt;&lt;/keywords&gt;&lt;dates&gt;&lt;year&gt;1991&lt;/year&gt;&lt;pub-dates&gt;&lt;date&gt;May&lt;/date&gt;&lt;/pub-dates&gt;&lt;/dates&gt;&lt;accession-num&gt;1902278&lt;/accession-num&gt;&lt;urls&gt;&lt;related-urls&gt;&lt;url&gt;http://www.ncbi.nlm.nih.gov/entrez/query.fcgi?cmd=Retrieve&amp;amp;db=PubMed&amp;amp;dopt=Citation&amp;amp;list_uids=1902278&lt;/url&gt;&lt;/related-urls&gt;&lt;/urls&gt;&lt;/record&gt;&lt;/Cite&gt;&lt;/EndNote&gt;</w:instrText>
      </w:r>
      <w:r>
        <w:fldChar w:fldCharType="separate"/>
      </w:r>
      <w:bookmarkStart w:id="6" w:name="__Fieldmark__489_1322453857"/>
      <w:r>
        <w:rPr>
          <w:vertAlign w:val="superscript"/>
          <w:lang w:val="en-CA" w:eastAsia="en-CA"/>
        </w:rPr>
        <w:t>(13)</w:t>
      </w:r>
      <w:r>
        <w:rPr>
          <w:vertAlign w:val="superscript"/>
          <w:lang w:val="en-CA" w:eastAsia="en-CA"/>
        </w:rPr>
      </w:r>
      <w:r>
        <w:fldChar w:fldCharType="end"/>
      </w:r>
      <w:bookmarkEnd w:id="6"/>
      <w:r>
        <w:rPr>
          <w:lang w:val="en-CA"/>
        </w:rPr>
        <w:t xml:space="preserve"> A higher count of ADGs indicates a greater degree of overall clinical complexity and is predictive of increased likelihood of prescription drug use.</w:t>
      </w:r>
      <w:r>
        <w:fldChar w:fldCharType="begin"/>
      </w:r>
      <w:r>
        <w:instrText> ADDIN EN.CITE &lt;EndNote&gt;&lt;Cite&gt;&lt;Author&gt;Hanley&lt;/Author&gt;&lt;Year&gt;2010&lt;/Year&gt;&lt;RecNum&gt;18738&lt;/RecNum&gt;&lt;record&gt;&lt;rec-number&gt;18738&lt;/rec-number&gt;&lt;foreign-keys&gt;&lt;key app="EN" db-id="e5razrre359x0aetvvexesr5tfx2dpf0v522"&gt;18738&lt;/key&gt;&lt;/foreign-keys&gt;&lt;ref-type name="Journal Article"&gt;17&lt;/ref-type&gt;&lt;contributors&gt;&lt;authors&gt;&lt;author&gt;Hanley, Gillian E.&lt;/author&gt;&lt;author&gt;Morgan, Steve&lt;/author&gt;&lt;author&gt;Reid, Robert J.&lt;/author&gt;&lt;/authors&gt;&lt;/contributors&gt;&lt;titles&gt;&lt;title&gt;Explaining Prescription Drug Use and Expenditures Using the Adjusted Clinical Groups Case-Mix System in the Population of British Columbia, Canada&lt;/title&gt;&lt;secondary-title&gt;Medical Care&lt;/secondary-title&gt;&lt;/titles&gt;&lt;periodical&gt;&lt;full-title&gt;Medical Care&lt;/full-title&gt;&lt;abbr-1&gt;Med. Care&lt;/abbr-1&gt;&lt;abbr-2&gt;Med Care&lt;/abbr-2&gt;&lt;/periodical&gt;&lt;pages&gt;402-408 10.1097/MLR.0b013e3181ca3d5d&lt;/pages&gt;&lt;volume&gt;48&lt;/volume&gt;&lt;number&gt;5&lt;/number&gt;&lt;keywords&gt;&lt;keyword&gt;risk adjustment&lt;/keyword&gt;&lt;keyword&gt;predictive models&lt;/keyword&gt;&lt;keyword&gt;pharmacy profile&lt;/keyword&gt;&lt;keyword&gt;pharmaceutical expenditure&lt;/keyword&gt;&lt;keyword&gt;actuarial prediction&lt;/keyword&gt;&lt;keyword&gt;population disease burden&lt;/keyword&gt;&lt;keyword&gt;00005650-201005000-00003&lt;/keyword&gt;&lt;/keywords&gt;&lt;dates&gt;&lt;year&gt;2010&lt;/year&gt;&lt;/dates&gt;&lt;isbn&gt;0025-7079&lt;/isbn&gt;&lt;urls&gt;&lt;related-urls&gt;&lt;url&gt;http://journals.lww.com/lww-medicalcare/Fulltext/2010/05000/Explaining_Prescription_Drug_Use_and_Expenditures.3.aspx&lt;/url&gt;&lt;/related-urls&gt;&lt;/urls&gt;&lt;/record&gt;&lt;/Cite&gt;&lt;/EndNote&gt;</w:instrText>
      </w:r>
      <w:r>
        <w:fldChar w:fldCharType="separate"/>
      </w:r>
      <w:bookmarkStart w:id="7" w:name="__Fieldmark__490_1322453857"/>
      <w:r>
        <w:rPr>
          <w:vertAlign w:val="superscript"/>
          <w:lang w:val="en-CA" w:eastAsia="en-CA"/>
        </w:rPr>
        <w:t>(14)</w:t>
      </w:r>
      <w:r>
        <w:rPr>
          <w:vertAlign w:val="superscript"/>
          <w:lang w:val="en-CA" w:eastAsia="en-CA"/>
        </w:rPr>
      </w:r>
      <w:r>
        <w:fldChar w:fldCharType="end"/>
      </w:r>
      <w:bookmarkEnd w:id="7"/>
      <w:r>
        <w:rPr>
          <w:lang w:val="en-CA"/>
        </w:rPr>
        <w:t xml:space="preserve"> EDCs denote the diagnosis of specific clinical conditions; we used EDCs to identify common indications for each of the drug classes studied (see Appendix B). The EDCs included in each model were selected by practicing physicians and a clinical pharmacist for a previously published study of medicine use in BC.</w:t>
      </w:r>
      <w:r>
        <w:fldChar w:fldCharType="begin"/>
      </w:r>
      <w:r>
        <w:instrText> ADDIN EN.CITE &lt;EndNote&gt;&lt;Cite&gt;&lt;Author&gt;Morgan&lt;/Author&gt;&lt;Year&gt;2009&lt;/Year&gt;&lt;RecNum&gt;16145&lt;/RecNum&gt;&lt;record&gt;&lt;rec-number&gt;16145&lt;/rec-number&gt;&lt;foreign-keys&gt;&lt;key app="EN" db-id="e5razrre359x0aetvvexesr5tfx2dpf0v522"&gt;16145&lt;/key&gt;&lt;/foreign-keys&gt;&lt;ref-type name="Report"&gt;27&lt;/ref-type&gt;&lt;contributors&gt;&lt;authors&gt;&lt;author&gt;Morgan, Steve&lt;/author&gt;&lt;author&gt;Cunningham, Colleen&lt;/author&gt;&lt;author&gt;Hanley, Gillian&lt;/author&gt;&lt;author&gt;Mooney, Dawn&lt;/author&gt;&lt;/authors&gt;&lt;/contributors&gt;&lt;titles&gt;&lt;title&gt;The BC Rx Atlas, 2nd Edition&lt;/title&gt;&lt;/titles&gt;&lt;pages&gt;290&lt;/pages&gt;&lt;dates&gt;&lt;year&gt;2009&lt;/year&gt;&lt;pub-dates&gt;&lt;date&gt;September&lt;/date&gt;&lt;/pub-dates&gt;&lt;/dates&gt;&lt;pub-location&gt;Vancouver&lt;/pub-location&gt;&lt;publisher&gt;Centre for Health Services and Policy Research&lt;/publisher&gt;&lt;urls&gt;&lt;related-urls&gt;&lt;url&gt;http://www.chspr.ubc.ca/rxatlas/bc&lt;/url&gt;&lt;/related-urls&gt;&lt;/urls&gt;&lt;/record&gt;&lt;/Cite&gt;&lt;/EndNote&gt;</w:instrText>
      </w:r>
      <w:r>
        <w:fldChar w:fldCharType="separate"/>
      </w:r>
      <w:bookmarkStart w:id="8" w:name="__Fieldmark__491_1322453857"/>
      <w:r>
        <w:rPr>
          <w:vertAlign w:val="superscript"/>
          <w:lang w:val="en-CA" w:eastAsia="en-CA"/>
        </w:rPr>
        <w:t>(15)</w:t>
      </w:r>
      <w:bookmarkEnd w:id="8"/>
      <w:r>
        <w:rPr>
          <w:vertAlign w:val="superscript"/>
          <w:lang w:val="en-CA" w:eastAsia="en-CA"/>
        </w:rPr>
      </w:r>
      <w:r>
        <w:fldChar w:fldCharType="end"/>
      </w:r>
    </w:p>
    <w:p>
      <w:pPr>
        <w:pStyle w:val="Normal"/>
        <w:rPr/>
      </w:pPr>
      <w:r>
        <w:rPr>
          <w:lang w:val="en-CA"/>
        </w:rPr>
        <w:t>We used administrative records to construct household income quintiles based on a combination of household-specific and neighbourhood-level income data.</w:t>
      </w:r>
      <w:r>
        <w:fldChar w:fldCharType="begin"/>
      </w:r>
      <w:r>
        <w:instrText> ADDIN EN.CITE &lt;EndNote&gt;&lt;Cite&gt;&lt;Author&gt;Hanley&lt;/Author&gt;&lt;Year&gt;2008&lt;/Year&gt;&lt;RecNum&gt;16071&lt;/RecNum&gt;&lt;record&gt;&lt;rec-number&gt;16071&lt;/rec-number&gt;&lt;foreign-keys&gt;&lt;key app="EN" db-id="e5razrre359x0aetvvexesr5tfx2dpf0v522"&gt;16071&lt;/key&gt;&lt;/foreign-keys&gt;&lt;ref-type name="Journal Article"&gt;17&lt;/ref-type&gt;&lt;contributors&gt;&lt;authors&gt;&lt;author&gt;Hanley, Gillian&lt;/author&gt;&lt;author&gt;Morgan, Steve&lt;/author&gt;&lt;/authors&gt;&lt;/contributors&gt;&lt;titles&gt;&lt;title&gt;On the validity of area-based income measures to proxy household income&lt;/title&gt;&lt;secondary-title&gt;BMC Health Services Research&lt;/secondary-title&gt;&lt;/titles&gt;&lt;periodical&gt;&lt;full-title&gt;BMC Health Services Research&lt;/full-title&gt;&lt;/periodical&gt;&lt;pages&gt;79&lt;/pages&gt;&lt;volume&gt;8&lt;/volume&gt;&lt;number&gt;1&lt;/number&gt;&lt;dates&gt;&lt;year&gt;2008&lt;/year&gt;&lt;/dates&gt;&lt;isbn&gt;1472-6963&lt;/isbn&gt;&lt;accession-num&gt;doi:10.1186/1472-6963-8-79&lt;/accession-num&gt;&lt;urls&gt;&lt;related-urls&gt;&lt;url&gt;http://www.biomedcentral.com/1472-6963/8/79 &lt;/url&gt;&lt;/related-urls&gt;&lt;/urls&gt;&lt;/record&gt;&lt;/Cite&gt;&lt;/EndNote&gt;</w:instrText>
      </w:r>
      <w:r>
        <w:fldChar w:fldCharType="separate"/>
      </w:r>
      <w:bookmarkStart w:id="9" w:name="__Fieldmark__492_1322453857"/>
      <w:r>
        <w:rPr>
          <w:vertAlign w:val="superscript"/>
          <w:lang w:val="en-CA" w:eastAsia="en-CA"/>
        </w:rPr>
        <w:t>(16)</w:t>
      </w:r>
      <w:r>
        <w:rPr>
          <w:vertAlign w:val="superscript"/>
          <w:lang w:val="en-CA" w:eastAsia="en-CA"/>
        </w:rPr>
      </w:r>
      <w:r>
        <w:fldChar w:fldCharType="end"/>
      </w:r>
      <w:bookmarkEnd w:id="9"/>
      <w:r>
        <w:rPr>
          <w:lang w:val="en-CA"/>
        </w:rPr>
        <w:t xml:space="preserve"> To adjust for possible differences in access to private insurance benefits, we identified all individuals living in households for which the family’s provincial medical premiums was paid through a household member’s employment. Such medical premium payment is an indicator of employment-related health benefits that often also includes private drug coverage.</w:t>
      </w:r>
    </w:p>
    <w:p>
      <w:pPr>
        <w:pStyle w:val="Heading2"/>
        <w:numPr>
          <w:ilvl w:val="1"/>
          <w:numId w:val="1"/>
        </w:numPr>
        <w:ind w:hanging="0"/>
        <w:rPr>
          <w:lang w:val="en-CA"/>
        </w:rPr>
      </w:pPr>
      <w:r>
        <w:rPr>
          <w:lang w:val="en-CA"/>
        </w:rPr>
        <w:t>Statistical methods</w:t>
      </w:r>
    </w:p>
    <w:p>
      <w:pPr>
        <w:pStyle w:val="Normal"/>
        <w:rPr>
          <w:lang w:val="en-CA"/>
        </w:rPr>
      </w:pPr>
      <w:r>
        <w:rPr>
          <w:lang w:val="en-CA"/>
        </w:rPr>
        <w:t>We computed un-weighted, sex-stratified multivariate logistic regressions on our outcome variables. Informed by models of health services utilization and evidence concerning prediction of pharmaceutical use and costs, our models included age, health status, income, employment-related health benefits, and recent immigration. To allow for non-linear relationships between age and the likelihood of prescription purchases, we defined age using dummy variables for 10-year age groupings. Findings concerning ethnic variations were robust to the inclusion or exclusion of variables that were not consistently statistically significant – namely, employment-related health benefits and recent immigration.</w:t>
      </w:r>
    </w:p>
    <w:p>
      <w:pPr>
        <w:pStyle w:val="Heading2"/>
        <w:numPr>
          <w:ilvl w:val="1"/>
          <w:numId w:val="1"/>
        </w:numPr>
        <w:ind w:hanging="0"/>
        <w:rPr>
          <w:lang w:val="en-CA"/>
        </w:rPr>
      </w:pPr>
      <w:r>
        <w:rPr>
          <w:lang w:val="en-CA"/>
        </w:rPr>
        <w:t>Research support and ethics</w:t>
      </w:r>
    </w:p>
    <w:p>
      <w:pPr>
        <w:pStyle w:val="Normal"/>
        <w:rPr>
          <w:lang w:val="en-CA"/>
        </w:rPr>
      </w:pPr>
      <w:r>
        <w:rPr>
          <w:lang w:val="en-CA"/>
        </w:rPr>
        <w:t xml:space="preserve">This study was funded by an operating grant (“Equity in pharmacare: the effects of ethnicity and policy in British Columbia”) from the Canadian Institutes of Health Research. The construction of the research database was supported, in part, by contributions of the BC Ministry of Health Services to the UBC Centre for Health Services and Policy Research. Sponsors had no role in the project or in decisions to publish results. The de-identified data were provided by Population Data BC with permission of data stewards at the BC Ministry of Health Services and with the College of Pharmacists of BC. The study protocol was reviewed and approved by the UBC Behavioural Research Ethics Board. </w:t>
      </w:r>
    </w:p>
    <w:p>
      <w:pPr>
        <w:pStyle w:val="Heading1"/>
        <w:numPr>
          <w:ilvl w:val="0"/>
          <w:numId w:val="1"/>
        </w:numPr>
        <w:ind w:hanging="0"/>
        <w:rPr>
          <w:lang w:val="en-CA"/>
        </w:rPr>
      </w:pPr>
      <w:r>
        <w:rPr>
          <w:lang w:val="en-CA"/>
        </w:rPr>
        <w:t>Results</w:t>
      </w:r>
    </w:p>
    <w:p>
      <w:pPr>
        <w:pStyle w:val="Normal"/>
        <w:rPr>
          <w:lang w:val="en-CA"/>
        </w:rPr>
      </w:pPr>
      <w:r>
        <w:rPr>
          <w:lang w:val="en-CA"/>
        </w:rPr>
        <w:t>The final sample for our study included 19,370 individuals – Table 1. People who identified as white were older, wealthier, less healthy, and less likely to have recently immigrated to Canada than people who identified with non-white ethnicities. Respondents of mixed ethnicity (85% of which replied yes to ‘White’ and a visible minority group) were younger, wealthier, and less likely to be an immigrant than single-ethnicity visible minorities. Crude rates of diagnose of conditions for which antihypertensives, antibiotics, and antidepressants are indicated varied by ethnicity, with the largest variation observed for diagnoses for which antidepressants are indicated. Crude rates of antihypertensive and antidepressant use were highest among white women and men, whereas use of antibiotics was highest among women and men of South Asian ethnicity.</w:t>
      </w:r>
    </w:p>
    <w:p>
      <w:pPr>
        <w:pStyle w:val="Normal"/>
        <w:rPr>
          <w:lang w:val="en-CA"/>
        </w:rPr>
      </w:pPr>
      <w:r>
        <w:rPr>
          <w:lang w:val="en-CA"/>
        </w:rPr>
        <w:t>When adjusted for age, health status, and socioeconomic factors, several ethnic disparities in the use of antihypertensives, antibiotics, and antidepressants remained – Table 2. Women identifying as Chinese were approximately half as likely to purchase an antihypertensive as comparable women identifying as white (OR=0.46, p&lt;0.01); and Chinese men trended toward lower likelihood of purchasing antihypertensives than white men (OR=0.74, p=0.10). Other ethnic differences in the odds of an antihypertensive purchase were not statistically significant. South Asian men were approximately 50% more likely to purchase antibiotics than white men (OR=1.57, p&lt;0.01); whereas Chinese women and non-Asian, non-white women had statistically significantly lower odds of purchasing antibiotics than white women. Several ethnic groups had significantly lower odds of purchasing antidepressants than comparable whites: including, Chinese women and men, Other Asian men and women, and non-Asian, non-white women.</w:t>
      </w:r>
    </w:p>
    <w:p>
      <w:pPr>
        <w:pStyle w:val="Normal"/>
        <w:rPr>
          <w:lang w:val="en-CA"/>
        </w:rPr>
      </w:pPr>
      <w:r>
        <w:rPr>
          <w:lang w:val="en-CA"/>
        </w:rPr>
        <w:t>Supplementary analyses found in Appendix D found several statistically-significant ethnic variations in the use of statins, respiratory drugs, and non-steroidal anti-inflammatory drugs (NSAIDs): Chinese men had lower adjusted odds of purchasing statins than white men (OR=0.57, p=0.01); Chinese women had lower adjusted odds of purchasing respiratory medicines than white women (OR=0.37, p&lt;0.01); and South Asian women and men had higher adjusted odds of purchasing NSAIDs than white women and men (women’s OR=1.46, p=0.04; men’s OR=1.61, p=0.01).</w:t>
      </w:r>
    </w:p>
    <w:p>
      <w:pPr>
        <w:pStyle w:val="Heading1"/>
        <w:numPr>
          <w:ilvl w:val="0"/>
          <w:numId w:val="1"/>
        </w:numPr>
        <w:ind w:hanging="0"/>
        <w:rPr>
          <w:lang w:val="en-CA"/>
        </w:rPr>
      </w:pPr>
      <w:r>
        <w:rPr>
          <w:lang w:val="en-CA"/>
        </w:rPr>
        <w:t>Limitations</w:t>
      </w:r>
    </w:p>
    <w:p>
      <w:pPr>
        <w:pStyle w:val="Normal"/>
        <w:rPr/>
      </w:pPr>
      <w:r>
        <w:rPr>
          <w:lang w:val="en-CA"/>
        </w:rPr>
        <w:t>Although this study combines the benefits of self-reported ethnic identity with administrative data on medicine purchases, quantitative analysis of observational data can only provide a generalized account of the complex personal and social dimensions of ethnicity.</w:t>
      </w:r>
      <w:r>
        <w:fldChar w:fldCharType="begin"/>
      </w:r>
      <w:r>
        <w:instrText> ADDIN EN.CITE &lt;EndNote&gt;&lt;Cite&gt;&lt;Author&gt;Bhopal&lt;/Author&gt;&lt;Year&gt;2006&lt;/Year&gt;&lt;RecNum&gt;15956&lt;/RecNum&gt;&lt;record&gt;&lt;rec-number&gt;15956&lt;/rec-number&gt;&lt;foreign-keys&gt;&lt;key app="EN" db-id="e5razrre359x0aetvvexesr5tfx2dpf0v522"&gt;15956&lt;/key&gt;&lt;/foreign-keys&gt;&lt;ref-type name="Journal Article"&gt;17&lt;/ref-type&gt;&lt;contributors&gt;&lt;authors&gt;&lt;author&gt;Bhopal, R.&lt;/author&gt;&lt;/authors&gt;&lt;/contributors&gt;&lt;titles&gt;&lt;title&gt;Race and ethnicity: Responsible use from epidemiological and public health perspectives&lt;/title&gt;&lt;secondary-title&gt;Journal of Law Medicine &amp;amp; Ethics&lt;/secondary-title&gt;&lt;/titles&gt;&lt;periodical&gt;&lt;full-title&gt;Journal of Law Medicine &amp;amp; Ethics&lt;/full-title&gt;&lt;/periodical&gt;&lt;pages&gt;500-+&lt;/pages&gt;&lt;volume&gt;34&lt;/volume&gt;&lt;number&gt;3&lt;/number&gt;&lt;dates&gt;&lt;year&gt;2006&lt;/year&gt;&lt;pub-dates&gt;&lt;date&gt;Fal&lt;/date&gt;&lt;/pub-dates&gt;&lt;/dates&gt;&lt;isbn&gt;1073-1105&lt;/isbn&gt;&lt;accession-num&gt;ISI:000240230700005&lt;/accession-num&gt;&lt;urls&gt;&lt;related-urls&gt;&lt;url&gt;&amp;lt;Go to ISI&amp;gt;://000240230700005 &lt;/url&gt;&lt;/related-urls&gt;&lt;/urls&gt;&lt;/record&gt;&lt;/Cite&gt;&lt;/EndNote&gt;</w:instrText>
      </w:r>
      <w:r>
        <w:fldChar w:fldCharType="separate"/>
      </w:r>
      <w:bookmarkStart w:id="10" w:name="__Fieldmark__493_1322453857"/>
      <w:r>
        <w:rPr>
          <w:vertAlign w:val="superscript"/>
          <w:lang w:val="en-CA" w:eastAsia="en-CA"/>
        </w:rPr>
        <w:t>(17)</w:t>
      </w:r>
      <w:r>
        <w:rPr>
          <w:vertAlign w:val="superscript"/>
          <w:lang w:val="en-CA" w:eastAsia="en-CA"/>
        </w:rPr>
      </w:r>
      <w:r>
        <w:fldChar w:fldCharType="end"/>
      </w:r>
      <w:bookmarkEnd w:id="10"/>
      <w:r>
        <w:rPr>
          <w:lang w:val="en-CA"/>
        </w:rPr>
        <w:t xml:space="preserve"> Our measure of medicine use is based on the purchase of prescription drugs, which does is not guarantee that the medicines were actually taken as prescribed or at all. Rates of prescription purchase are, however, a better indicator of actual utilization than rates of prescribing. Prescriptions written by doctors may not be filled by patients due to cost, beliefs, or reasons. Some of the ethnic differences in medicine purchases identified in this study may have been due to ethnic differences in rates at which prescriptions written by practitioners are filled by patients.</w:t>
      </w:r>
    </w:p>
    <w:p>
      <w:pPr>
        <w:pStyle w:val="Normal"/>
        <w:rPr/>
      </w:pPr>
      <w:r>
        <w:rPr>
          <w:lang w:val="en-CA"/>
        </w:rPr>
        <w:t>Having pooled CCHS data across multiple years, we were unable to use self-reported health status and health care use information from the survey  because such measures are not time-invariant (the immigration and ethnicity variables, in contrast, are arguably time-invariant). We were, however, able to link self-reported ethnicity data to administrative health care data that is not subject to recall or social-desirability biases that might otherwise bias measurement of needs and medicine use. The linkage of three cycles of the CCHS data to administrative records produced a sample that, despite having a higher percentage of ethnic minorities than samples of the CCHS used in other studies,</w:t>
      </w:r>
      <w:r>
        <w:fldChar w:fldCharType="begin"/>
      </w:r>
      <w:r>
        <w:instrText> ADDIN EN.CITE &lt;EndNote&gt;&lt;Cite&gt;&lt;Author&gt;Quan&lt;/Author&gt;&lt;Year&gt;2006&lt;/Year&gt;&lt;RecNum&gt;15998&lt;/RecNum&gt;&lt;record&gt;&lt;rec-number&gt;15998&lt;/rec-number&gt;&lt;foreign-keys&gt;&lt;key app="EN" db-id="e5razrre359x0aetvvexesr5tfx2dpf0v522"&gt;15998&lt;/key&gt;&lt;/foreign-keys&gt;&lt;ref-type name="Journal Article"&gt;17&lt;/ref-type&gt;&lt;contributors&gt;&lt;authors&gt;&lt;author&gt;Quan, Hude&lt;/author&gt;&lt;author&gt;Fong, Andrew&lt;/author&gt;&lt;author&gt;De Coster, Carolyn&lt;/author&gt;&lt;author&gt;Wang, Jianli&lt;/author&gt;&lt;/authors&gt;&lt;tertiary-authors&gt;&lt;author&gt;Anonymous,&lt;/author&gt;&lt;/tertiary-authors&gt;&lt;/contributors&gt;&lt;titles&gt;&lt;title&gt;Variation in health services utilization among ethnic populations&lt;/title&gt;&lt;secondary-title&gt;Canadian Medical Association.Journal&lt;/secondary-title&gt;&lt;/titles&gt;&lt;periodical&gt;&lt;full-title&gt;Canadian Medical Association.Journal&lt;/full-title&gt;&lt;/periodical&gt;&lt;pages&gt;787&lt;/pages&gt;&lt;volume&gt;174&lt;/volume&gt;&lt;number&gt;6&lt;/number&gt;&lt;keywords&gt;&lt;keyword&gt;Health services utilization&lt;/keyword&gt;&lt;keyword&gt;Minority &amp;amp; ethnic groups&lt;/keyword&gt;&lt;keyword&gt;Polls &amp;amp; surveys&lt;/keyword&gt;&lt;keyword&gt;Regression analysis&lt;/keyword&gt;&lt;keyword&gt;Medical screening&lt;/keyword&gt;&lt;keyword&gt;Cancer&lt;/keyword&gt;&lt;/keywords&gt;&lt;dates&gt;&lt;year&gt;2006&lt;/year&gt;&lt;pub-dates&gt;&lt;date&gt;Mar 14&lt;/date&gt;&lt;/pub-dates&gt;&lt;/dates&gt;&lt;accession-num&gt;50&lt;/accession-num&gt;&lt;urls&gt;&lt;related-urls&gt;&lt;url&gt;http://proquest.umi.com/pqdweb?did=1014222091&amp;amp;Fmt=7&amp;amp;clientId=65345&amp;amp;RQT=309&amp;amp;VName=PQD &lt;/url&gt;&lt;/related-urls&gt;&lt;/urls&gt;&lt;/record&gt;&lt;/Cite&gt;&lt;/EndNote&gt;</w:instrText>
      </w:r>
      <w:r>
        <w:fldChar w:fldCharType="separate"/>
      </w:r>
      <w:bookmarkStart w:id="11" w:name="__Fieldmark__494_1322453857"/>
      <w:r>
        <w:rPr>
          <w:vertAlign w:val="superscript"/>
          <w:lang w:val="en-CA" w:eastAsia="en-CA"/>
        </w:rPr>
        <w:t>(6)</w:t>
      </w:r>
      <w:r>
        <w:rPr>
          <w:vertAlign w:val="superscript"/>
          <w:lang w:val="en-CA" w:eastAsia="en-CA"/>
        </w:rPr>
      </w:r>
      <w:r>
        <w:fldChar w:fldCharType="end"/>
      </w:r>
      <w:bookmarkEnd w:id="11"/>
      <w:r>
        <w:rPr>
          <w:lang w:val="en-CA"/>
        </w:rPr>
        <w:t xml:space="preserve"> under-represents immigrants and non-white ethnicities in BC when compared to Census data.</w:t>
      </w:r>
      <w:r>
        <w:fldChar w:fldCharType="begin"/>
      </w:r>
      <w:r>
        <w:instrText> ADDIN EN.CITE &lt;EndNote&gt;&lt;Cite&gt;&lt;Author&gt;Statistics Canada&lt;/Author&gt;&lt;Year&gt;2008&lt;/Year&gt;&lt;RecNum&gt;16065&lt;/RecNum&gt;&lt;record&gt;&lt;rec-number&gt;16065&lt;/rec-number&gt;&lt;foreign-keys&gt;&lt;key app="EN" db-id="e5razrre359x0aetvvexesr5tfx2dpf0v522"&gt;16065&lt;/key&gt;&lt;/foreign-keys&gt;&lt;ref-type name="Report"&gt;27&lt;/ref-type&gt;&lt;contributors&gt;&lt;authors&gt;&lt;author&gt;Statistics Canada,&lt;/author&gt;&lt;/authors&gt;&lt;secondary-authors&gt;&lt;author&gt;Statistics Canada&lt;/author&gt;&lt;/secondary-authors&gt;&lt;/contributors&gt;&lt;titles&gt;&lt;title&gt;Canada&amp;apos;s Ethnocultural Mosaic, 2006 Census&lt;/title&gt;&lt;/titles&gt;&lt;pages&gt;1-36&lt;/pages&gt;&lt;number&gt;Catalogue no. 97-562-X&lt;/number&gt;&lt;dates&gt;&lt;year&gt;2008&lt;/year&gt;&lt;/dates&gt;&lt;pub-location&gt;Ottawa&lt;/pub-location&gt;&lt;publisher&gt;Statistics Canada&lt;/publisher&gt;&lt;urls&gt;&lt;related-urls&gt;&lt;url&gt;http://www12.statcan.ca/english/census06/analysis/ethnicorigin/pdf/97-562-XIE2006001.pdf&lt;/url&gt;&lt;/related-urls&gt;&lt;/urls&gt;&lt;/record&gt;&lt;/Cite&gt;&lt;/EndNote&gt;</w:instrText>
      </w:r>
      <w:r>
        <w:fldChar w:fldCharType="separate"/>
      </w:r>
      <w:bookmarkStart w:id="12" w:name="__Fieldmark__495_1322453857"/>
      <w:r>
        <w:rPr>
          <w:vertAlign w:val="superscript"/>
          <w:lang w:val="en-CA" w:eastAsia="en-CA"/>
        </w:rPr>
        <w:t>(11)</w:t>
      </w:r>
      <w:r>
        <w:rPr>
          <w:vertAlign w:val="superscript"/>
          <w:lang w:val="en-CA" w:eastAsia="en-CA"/>
        </w:rPr>
      </w:r>
      <w:r>
        <w:fldChar w:fldCharType="end"/>
      </w:r>
      <w:bookmarkEnd w:id="12"/>
      <w:r>
        <w:rPr>
          <w:lang w:val="en-CA"/>
        </w:rPr>
        <w:t xml:space="preserve"> A larger, linkable source of ethnicity data may reduce confidence intervals around point estimates and thereby result in statistical significance of ethnic variations that appear clinically important but were not statistically significant in the present study (e.g., use of antihypertensives and statins by South Asians). </w:t>
      </w:r>
    </w:p>
    <w:p>
      <w:pPr>
        <w:pStyle w:val="Heading1"/>
        <w:numPr>
          <w:ilvl w:val="0"/>
          <w:numId w:val="1"/>
        </w:numPr>
        <w:ind w:hanging="0"/>
        <w:rPr>
          <w:lang w:val="en-CA"/>
        </w:rPr>
      </w:pPr>
      <w:r>
        <w:rPr>
          <w:lang w:val="en-CA"/>
        </w:rPr>
        <w:t>Interpretation</w:t>
      </w:r>
    </w:p>
    <w:p>
      <w:pPr>
        <w:pStyle w:val="Normal"/>
        <w:rPr>
          <w:lang w:val="en-CA"/>
        </w:rPr>
      </w:pPr>
      <w:r>
        <w:rPr>
          <w:lang w:val="en-CA"/>
        </w:rPr>
        <w:t>Using linked survey and administrative data on urban-dwelling BC residents, we found evidence of statistically significant ethnic variation in the use of prescription drugs even after ethnic differences in age, health status, socioeconomic characteristics, and recent immigration were accounted for. People of South Asian and mixed ethnicity were about as likely as whites to use most classes of medicines studied and were more likely to use antibiotics (table 2) and NSAIDs (Appendix D). Women and (to a lesser extent) men from BC who identify as Chinese appear to be less likely than those identifying as white to fill prescriptions for several types of drug. Overall, ethnic disparities were greater among women than men, suggesting that gender roles, relationships, and institutions may modify the effects of ethnicity on patient and/or provider behaviour. These findings are likely to generalize to other urban settings in Canada.</w:t>
      </w:r>
    </w:p>
    <w:p>
      <w:pPr>
        <w:pStyle w:val="Normal"/>
        <w:rPr/>
      </w:pPr>
      <w:r>
        <w:rPr>
          <w:lang w:val="en-CA"/>
        </w:rPr>
        <w:t>Differences in the use of medicines across ethnic groups could result from differences in access to medical care,</w:t>
      </w:r>
      <w:r>
        <w:fldChar w:fldCharType="begin"/>
      </w:r>
      <w:r>
        <w:instrText> ADDIN EN.CITE </w:instrText>
      </w:r>
      <w:r>
        <w:fldChar w:fldCharType="separate"/>
      </w:r>
      <w:bookmarkStart w:id="13" w:name="__Fieldmark__496_1322453857"/>
      <w:r>
        <w:rPr>
          <w:vertAlign w:val="superscript"/>
          <w:lang w:val="en-CA" w:eastAsia="en-CA"/>
        </w:rPr>
        <w:t>(2-6)</w:t>
      </w:r>
      <w:r>
        <w:rPr>
          <w:vertAlign w:val="superscript"/>
          <w:lang w:val="en-CA" w:eastAsia="en-CA"/>
        </w:rPr>
      </w:r>
      <w:r>
        <w:fldChar w:fldCharType="end"/>
      </w:r>
      <w:bookmarkEnd w:id="13"/>
      <w:r>
        <w:rPr>
          <w:lang w:val="en-CA"/>
        </w:rPr>
        <w:t xml:space="preserve"> burdens of illness,</w:t>
      </w:r>
      <w:r>
        <w:fldChar w:fldCharType="begin"/>
      </w:r>
      <w:r>
        <w:instrText> ADDIN EN.CITE </w:instrText>
      </w:r>
      <w:r>
        <w:fldChar w:fldCharType="separate"/>
      </w:r>
      <w:bookmarkStart w:id="14" w:name="__Fieldmark__497_1322453857"/>
      <w:r>
        <w:rPr>
          <w:vertAlign w:val="superscript"/>
          <w:lang w:val="en-CA" w:eastAsia="en-CA"/>
        </w:rPr>
        <w:t>(18-19)</w:t>
      </w:r>
      <w:r>
        <w:rPr>
          <w:vertAlign w:val="superscript"/>
          <w:lang w:val="en-CA" w:eastAsia="en-CA"/>
        </w:rPr>
      </w:r>
      <w:r>
        <w:fldChar w:fldCharType="end"/>
      </w:r>
      <w:bookmarkEnd w:id="14"/>
      <w:r>
        <w:rPr>
          <w:lang w:val="en-CA"/>
        </w:rPr>
        <w:t xml:space="preserve"> beliefs about medicines,</w:t>
      </w:r>
      <w:r>
        <w:fldChar w:fldCharType="begin"/>
      </w:r>
      <w:r>
        <w:instrText> ADDIN EN.CITE &lt;EndNote&gt;&lt;Cite&gt;&lt;Author&gt;Lin&lt;/Author&gt;&lt;Year&gt;2000&lt;/Year&gt;&lt;RecNum&gt;15983&lt;/RecNum&gt;&lt;record&gt;&lt;rec-number&gt;15983&lt;/rec-number&gt;&lt;foreign-keys&gt;&lt;key app="EN" db-id="e5razrre359x0aetvvexesr5tfx2dpf0v522"&gt;15983&lt;/key&gt;&lt;/foreign-keys&gt;&lt;ref-type name="Journal Article"&gt;17&lt;/ref-type&gt;&lt;contributors&gt;&lt;authors&gt;&lt;author&gt;Lin, S. S.&lt;/author&gt;&lt;author&gt;Kelsey, J. L.&lt;/author&gt;&lt;/authors&gt;&lt;/contributors&gt;&lt;titles&gt;&lt;title&gt;Use of race and ethnicity in epidemiologic research: Concepts, methodological issues, and suggestions for research&lt;/title&gt;&lt;secondary-title&gt;Epidemiologic Reviews&lt;/secondary-title&gt;&lt;/titles&gt;&lt;periodical&gt;&lt;full-title&gt;Epidemiologic Reviews&lt;/full-title&gt;&lt;abbr-1&gt;Epidemiol. Rev.&lt;/abbr-1&gt;&lt;abbr-2&gt;Epidemiol Rev&lt;/abbr-2&gt;&lt;/periodical&gt;&lt;pages&gt;187-202&lt;/pages&gt;&lt;volume&gt;22&lt;/volume&gt;&lt;number&gt;2&lt;/number&gt;&lt;dates&gt;&lt;year&gt;2000&lt;/year&gt;&lt;/dates&gt;&lt;isbn&gt;0193-936X&lt;/isbn&gt;&lt;accession-num&gt;ISI:000166573100001&lt;/accession-num&gt;&lt;urls&gt;&lt;related-urls&gt;&lt;url&gt;&amp;lt;Go to ISI&amp;gt;://000166573100001 &lt;/url&gt;&lt;/related-urls&gt;&lt;/urls&gt;&lt;/record&gt;&lt;/Cite&gt;&lt;/EndNote&gt;</w:instrText>
      </w:r>
      <w:r>
        <w:fldChar w:fldCharType="separate"/>
      </w:r>
      <w:bookmarkStart w:id="15" w:name="__Fieldmark__498_1322453857"/>
      <w:r>
        <w:rPr>
          <w:vertAlign w:val="superscript"/>
          <w:lang w:val="en-CA" w:eastAsia="en-CA"/>
        </w:rPr>
        <w:t>(20)</w:t>
      </w:r>
      <w:r>
        <w:rPr>
          <w:vertAlign w:val="superscript"/>
          <w:lang w:val="en-CA" w:eastAsia="en-CA"/>
        </w:rPr>
      </w:r>
      <w:r>
        <w:fldChar w:fldCharType="end"/>
      </w:r>
      <w:bookmarkEnd w:id="15"/>
      <w:r>
        <w:rPr>
          <w:lang w:val="en-CA"/>
        </w:rPr>
        <w:t xml:space="preserve"> or communications with practitioners.</w:t>
      </w:r>
      <w:r>
        <w:fldChar w:fldCharType="begin"/>
      </w:r>
      <w:r>
        <w:instrText> ADDIN EN.CITE &lt;EndNote&gt;&lt;Cite&gt;&lt;Author&gt;Grunau&lt;/Author&gt;&lt;Year&gt;2009&lt;/Year&gt;&lt;RecNum&gt;16870&lt;/RecNum&gt;&lt;record&gt;&lt;rec-number&gt;16870&lt;/rec-number&gt;&lt;foreign-keys&gt;&lt;key app="EN" db-id="e5razrre359x0aetvvexesr5tfx2dpf0v522"&gt;16870&lt;/key&gt;&lt;/foreign-keys&gt;&lt;ref-type name="Journal Article"&gt;17&lt;/ref-type&gt;&lt;contributors&gt;&lt;authors&gt;&lt;author&gt;Grunau, Gilat L.&lt;/author&gt;&lt;author&gt;Ratner, Pamela A.&lt;/author&gt;&lt;author&gt;Galdas, Paul M.&lt;/author&gt;&lt;author&gt;Hossain, Shahadut&lt;/author&gt;&lt;/authors&gt;&lt;/contributors&gt;&lt;titles&gt;&lt;title&gt;Ethnic and gender differences in patient education about heart disease risk and prevention&lt;/title&gt;&lt;secondary-title&gt;Patient Education and Counseling&lt;/secondary-title&gt;&lt;/titles&gt;&lt;periodical&gt;&lt;full-title&gt;Patient Education and Counseling&lt;/full-title&gt;&lt;abbr-1&gt;Patient Educ. Couns.&lt;/abbr-1&gt;&lt;abbr-2&gt;Patient Educ Couns&lt;/abbr-2&gt;&lt;/periodical&gt;&lt;pages&gt;181-188&lt;/pages&gt;&lt;volume&gt;76&lt;/volume&gt;&lt;number&gt;2&lt;/number&gt;&lt;keywords&gt;&lt;keyword&gt;Heart disease&lt;/keyword&gt;&lt;keyword&gt;Gender&lt;/keyword&gt;&lt;keyword&gt;Ethnic groups&lt;/keyword&gt;&lt;keyword&gt;Patient education&lt;/keyword&gt;&lt;keyword&gt;Physician-patient relations&lt;/keyword&gt;&lt;/keywords&gt;&lt;dates&gt;&lt;year&gt;2009&lt;/year&gt;&lt;/dates&gt;&lt;urls&gt;&lt;related-urls&gt;&lt;url&gt;http://www.sciencedirect.com/science/article/B6TBC-4VNCC13-1/2/0e263bea5aefa950039f99b144cafaf9 &lt;/url&gt;&lt;/related-urls&gt;&lt;/urls&gt;&lt;/record&gt;&lt;/Cite&gt;&lt;/EndNote&gt;</w:instrText>
      </w:r>
      <w:r>
        <w:fldChar w:fldCharType="separate"/>
      </w:r>
      <w:bookmarkStart w:id="16" w:name="__Fieldmark__499_1322453857"/>
      <w:r>
        <w:rPr>
          <w:vertAlign w:val="superscript"/>
          <w:lang w:val="en-CA" w:eastAsia="en-CA"/>
        </w:rPr>
        <w:t>(21)</w:t>
      </w:r>
      <w:r>
        <w:rPr>
          <w:vertAlign w:val="superscript"/>
          <w:lang w:val="en-CA" w:eastAsia="en-CA"/>
        </w:rPr>
      </w:r>
      <w:r>
        <w:fldChar w:fldCharType="end"/>
      </w:r>
      <w:bookmarkEnd w:id="16"/>
      <w:r>
        <w:rPr>
          <w:lang w:val="en-CA"/>
        </w:rPr>
        <w:t xml:space="preserve"> The pattern of findings across the drug classes studied here suggests that some utilization differences may stem from beliefs and preferences about the use of prescription drugs versus other treatment options. We found the greatest degree of ethnic variation in the use of antidepressants, which may be a category of medicines for which cultural beliefs about health and treatment affect patient choices. Patients of differing ethnicity may present differently when suffering from depression or anxiety; immigrants to Canada may also choose seek care through other sources, including from visits to their county of birth.</w:t>
      </w:r>
      <w:r>
        <w:fldChar w:fldCharType="begin"/>
      </w:r>
      <w:r>
        <w:instrText> ADDIN EN.CITE &lt;EndNote&gt;&lt;Cite&gt;&lt;Author&gt;Marshall&lt;/Author&gt;&lt;Year&gt;2010&lt;/Year&gt;&lt;RecNum&gt;18742&lt;/RecNum&gt;&lt;record&gt;&lt;rec-number&gt;18742&lt;/rec-number&gt;&lt;foreign-keys&gt;&lt;key app="EN" db-id="e5razrre359x0aetvvexesr5tfx2dpf0v522"&gt;18742&lt;/key&gt;&lt;/foreign-keys&gt;&lt;ref-type name="Journal Article"&gt;17&lt;/ref-type&gt;&lt;contributors&gt;&lt;authors&gt;&lt;author&gt;Marshall, Emily&lt;/author&gt;&lt;author&gt;Wong, Sabrina&lt;/author&gt;&lt;author&gt;Haggerty, Jeannie&lt;/author&gt;&lt;author&gt;Levesque, Jean-Frederic&lt;/author&gt;&lt;/authors&gt;&lt;/contributors&gt;&lt;titles&gt;&lt;title&gt;Perceptions of unmet healthcare needs: what do Punjabi and Chinese-speaking immigrants think? A qualitative study&lt;/title&gt;&lt;secondary-title&gt;BMC Health Services Research&lt;/secondary-title&gt;&lt;/titles&gt;&lt;periodical&gt;&lt;full-title&gt;BMC Health Services Research&lt;/full-title&gt;&lt;/periodical&gt;&lt;pages&gt;46&lt;/pages&gt;&lt;volume&gt;10&lt;/volume&gt;&lt;number&gt;1&lt;/number&gt;&lt;dates&gt;&lt;year&gt;2010&lt;/year&gt;&lt;/dates&gt;&lt;isbn&gt;1472-6963&lt;/isbn&gt;&lt;accession-num&gt;doi:10.1186/1472-6963-10-46&lt;/accession-num&gt;&lt;urls&gt;&lt;related-urls&gt;&lt;url&gt;http://www.biomedcentral.com/1472-6963/10/46&lt;/url&gt;&lt;/related-urls&gt;&lt;/urls&gt;&lt;/record&gt;&lt;/Cite&gt;&lt;/EndNote&gt;</w:instrText>
      </w:r>
      <w:r>
        <w:fldChar w:fldCharType="separate"/>
      </w:r>
      <w:bookmarkStart w:id="17" w:name="__Fieldmark__500_1322453857"/>
      <w:r>
        <w:rPr>
          <w:vertAlign w:val="superscript"/>
          <w:lang w:val="en-CA" w:eastAsia="en-CA"/>
        </w:rPr>
        <w:t>(22)</w:t>
      </w:r>
      <w:r>
        <w:rPr>
          <w:vertAlign w:val="superscript"/>
          <w:lang w:val="en-CA" w:eastAsia="en-CA"/>
        </w:rPr>
      </w:r>
      <w:r>
        <w:fldChar w:fldCharType="end"/>
      </w:r>
      <w:bookmarkEnd w:id="17"/>
      <w:r>
        <w:rPr>
          <w:lang w:val="en-CA"/>
        </w:rPr>
        <w:t xml:space="preserve"> It is potentially encouraging that ethnic disparities in the adjusted odds of using antihypertensives (table 2) and statins (Appendix D) were smaller than such differences in the other classes; nevertheless, there appear to be ethnic differences of potential clinical significance in such essential drug classes, particularly for persons of Chinese ethnicity. The source of such differences may not be limited to patient preference: a telephone survey of residents in Vancouver (the largest urban area of BC) found that Chinese immigrants to Canada are less likely than persons of other ethnicity to receive patient education about heart disease from their health care providers.</w:t>
      </w:r>
      <w:r>
        <w:fldChar w:fldCharType="begin"/>
      </w:r>
      <w:r>
        <w:instrText> ADDIN EN.CITE &lt;EndNote&gt;&lt;Cite&gt;&lt;Author&gt;Grunau&lt;/Author&gt;&lt;Year&gt;2009&lt;/Year&gt;&lt;RecNum&gt;16870&lt;/RecNum&gt;&lt;record&gt;&lt;rec-number&gt;16870&lt;/rec-number&gt;&lt;foreign-keys&gt;&lt;key app="EN" db-id="e5razrre359x0aetvvexesr5tfx2dpf0v522"&gt;16870&lt;/key&gt;&lt;/foreign-keys&gt;&lt;ref-type name="Journal Article"&gt;17&lt;/ref-type&gt;&lt;contributors&gt;&lt;authors&gt;&lt;author&gt;Grunau, Gilat L.&lt;/author&gt;&lt;author&gt;Ratner, Pamela A.&lt;/author&gt;&lt;author&gt;Galdas, Paul M.&lt;/author&gt;&lt;author&gt;Hossain, Shahadut&lt;/author&gt;&lt;/authors&gt;&lt;/contributors&gt;&lt;titles&gt;&lt;title&gt;Ethnic and gender differences in patient education about heart disease risk and prevention&lt;/title&gt;&lt;secondary-title&gt;Patient Education and Counseling&lt;/secondary-title&gt;&lt;/titles&gt;&lt;periodical&gt;&lt;full-title&gt;Patient Education and Counseling&lt;/full-title&gt;&lt;abbr-1&gt;Patient Educ. Couns.&lt;/abbr-1&gt;&lt;abbr-2&gt;Patient Educ Couns&lt;/abbr-2&gt;&lt;/periodical&gt;&lt;pages&gt;181-188&lt;/pages&gt;&lt;volume&gt;76&lt;/volume&gt;&lt;number&gt;2&lt;/number&gt;&lt;keywords&gt;&lt;keyword&gt;Heart disease&lt;/keyword&gt;&lt;keyword&gt;Gender&lt;/keyword&gt;&lt;keyword&gt;Ethnic groups&lt;/keyword&gt;&lt;keyword&gt;Patient education&lt;/keyword&gt;&lt;keyword&gt;Physician-patient relations&lt;/keyword&gt;&lt;/keywords&gt;&lt;dates&gt;&lt;year&gt;2009&lt;/year&gt;&lt;/dates&gt;&lt;urls&gt;&lt;related-urls&gt;&lt;url&gt;http://www.sciencedirect.com/science/article/B6TBC-4VNCC13-1/2/0e263bea5aefa950039f99b144cafaf9 &lt;/url&gt;&lt;/related-urls&gt;&lt;/urls&gt;&lt;/record&gt;&lt;/Cite&gt;&lt;/EndNote&gt;</w:instrText>
      </w:r>
      <w:r>
        <w:fldChar w:fldCharType="separate"/>
      </w:r>
      <w:bookmarkStart w:id="18" w:name="__Fieldmark__501_1322453857"/>
      <w:r>
        <w:rPr>
          <w:vertAlign w:val="superscript"/>
          <w:lang w:val="en-CA" w:eastAsia="en-CA"/>
        </w:rPr>
        <w:t>(21)</w:t>
      </w:r>
      <w:r>
        <w:rPr>
          <w:vertAlign w:val="superscript"/>
          <w:lang w:val="en-CA" w:eastAsia="en-CA"/>
        </w:rPr>
      </w:r>
      <w:r>
        <w:fldChar w:fldCharType="end"/>
      </w:r>
      <w:bookmarkEnd w:id="18"/>
      <w:r>
        <w:rPr>
          <w:lang w:val="en-CA"/>
        </w:rPr>
        <w:t xml:space="preserve"> </w:t>
      </w:r>
    </w:p>
    <w:p>
      <w:pPr>
        <w:pStyle w:val="Normal"/>
        <w:rPr>
          <w:lang w:val="en-CA"/>
        </w:rPr>
      </w:pPr>
      <w:r>
        <w:rPr>
          <w:lang w:val="en-CA"/>
        </w:rPr>
        <w:t>Despite a relatively equitable system of health care financing in Canada, there appear to be significant ethnic differences in prescription drug use. Some of these – such as marked ethnic variation in the use of antidepressants – may reflect acceptable differences resulting from patient preferences and beliefs; others may reflect unacceptable inequities in quality care and resulting outcomes. Further research is needed to separate the former from the latter. The differences in patterns of medicine use that we observed across ethnic groups in BC suggest that simple comparisons between whites and a singular “visible minority” group should be avoided wherever possible in future research. Moreover, our sex-specific findings suggest that gender and ethnicity interact in ways that are potentially important for health care practice and policy. To address these important issues with quality scientific evidence will require more routine collection of and research on information concerning ethnicity and health care in Canada.</w:t>
      </w:r>
    </w:p>
    <w:p>
      <w:pPr>
        <w:sectPr>
          <w:footerReference w:type="default" r:id="rId7"/>
          <w:type w:val="nextPage"/>
          <w:pgSz w:w="12240" w:h="15840"/>
          <w:pgMar w:left="1440" w:right="1440" w:header="0" w:top="1440" w:footer="708" w:bottom="1440" w:gutter="0"/>
          <w:pgNumType w:fmt="decimal"/>
          <w:formProt w:val="false"/>
          <w:textDirection w:val="lrTb"/>
          <w:docGrid w:type="default" w:linePitch="360" w:charSpace="0"/>
        </w:sectPr>
        <w:pStyle w:val="Normal"/>
        <w:rPr>
          <w:lang w:val="en-CA"/>
        </w:rPr>
      </w:pPr>
      <w:r>
        <w:rPr>
          <w:lang w:val="en-CA"/>
        </w:rPr>
      </w:r>
    </w:p>
    <w:p>
      <w:pPr>
        <w:pStyle w:val="Caption"/>
        <w:rPr/>
      </w:pPr>
      <w:bookmarkStart w:id="19" w:name="_Ref249937853"/>
      <w:r>
        <w:rPr>
          <w:lang w:val="en-CA"/>
        </w:rPr>
        <w:t xml:space="preserve">Table </w:t>
      </w:r>
      <w:r>
        <w:rPr>
          <w:lang w:val="en-CA"/>
        </w:rPr>
        <w:fldChar w:fldCharType="begin"/>
      </w:r>
      <w:r>
        <w:instrText> SEQ Table \* ARABIC </w:instrText>
      </w:r>
      <w:r>
        <w:fldChar w:fldCharType="separate"/>
      </w:r>
      <w:r>
        <w:t>1</w:t>
      </w:r>
      <w:r>
        <w:fldChar w:fldCharType="end"/>
      </w:r>
      <w:bookmarkEnd w:id="19"/>
      <w:r>
        <w:rPr/>
        <w:t>: Descriptive statistics of study sample</w:t>
      </w:r>
    </w:p>
    <w:tbl>
      <w:tblPr>
        <w:tblW w:w="12078"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2448"/>
        <w:gridCol w:w="802"/>
        <w:gridCol w:w="803"/>
        <w:gridCol w:w="802"/>
        <w:gridCol w:w="803"/>
        <w:gridCol w:w="802"/>
        <w:gridCol w:w="803"/>
        <w:gridCol w:w="802"/>
        <w:gridCol w:w="803"/>
        <w:gridCol w:w="802"/>
        <w:gridCol w:w="803"/>
        <w:gridCol w:w="802"/>
        <w:gridCol w:w="803"/>
      </w:tblGrid>
      <w:tr>
        <w:trPr>
          <w:trHeight w:val="300" w:hRule="atLeast"/>
        </w:trPr>
        <w:tc>
          <w:tcPr>
            <w:tcW w:w="2448" w:type="dxa"/>
            <w:tcBorders>
              <w:bottom w:val="single" w:sz="4" w:space="0" w:color="000000"/>
              <w:insideH w:val="single" w:sz="4" w:space="0" w:color="000000"/>
            </w:tcBorders>
            <w:shd w:fill="auto" w:val="clear"/>
            <w:vAlign w:val="bottom"/>
          </w:tcPr>
          <w:p>
            <w:pPr>
              <w:pStyle w:val="Normal"/>
              <w:snapToGrid w:val="false"/>
              <w:spacing w:lineRule="auto" w:line="240" w:before="0" w:after="0"/>
              <w:ind w:hanging="0"/>
              <w:jc w:val="center"/>
              <w:rPr>
                <w:b/>
                <w:b/>
                <w:bCs/>
                <w:color w:val="000000"/>
                <w:sz w:val="18"/>
                <w:szCs w:val="20"/>
                <w:lang w:val="en-CA"/>
              </w:rPr>
            </w:pPr>
            <w:r>
              <w:rPr>
                <w:b/>
                <w:bCs/>
                <w:color w:val="000000"/>
                <w:sz w:val="18"/>
                <w:szCs w:val="20"/>
                <w:lang w:val="en-CA"/>
              </w:rPr>
            </w:r>
          </w:p>
        </w:tc>
        <w:tc>
          <w:tcPr>
            <w:tcW w:w="4815" w:type="dxa"/>
            <w:gridSpan w:val="6"/>
            <w:tcBorders>
              <w:bottom w:val="single" w:sz="4" w:space="0" w:color="000000"/>
              <w:insideH w:val="single" w:sz="4" w:space="0" w:color="000000"/>
            </w:tcBorders>
            <w:shd w:fill="auto" w:val="clear"/>
            <w:vAlign w:val="bottom"/>
          </w:tcPr>
          <w:p>
            <w:pPr>
              <w:pStyle w:val="Normal"/>
              <w:spacing w:lineRule="auto" w:line="240" w:before="0" w:after="0"/>
              <w:ind w:hanging="0"/>
              <w:jc w:val="center"/>
              <w:rPr>
                <w:b/>
                <w:b/>
                <w:bCs/>
                <w:color w:val="000000"/>
                <w:sz w:val="16"/>
                <w:szCs w:val="16"/>
                <w:lang w:val="en-CA"/>
              </w:rPr>
            </w:pPr>
            <w:r>
              <w:rPr>
                <w:b/>
                <w:bCs/>
                <w:color w:val="000000"/>
                <w:sz w:val="16"/>
                <w:szCs w:val="16"/>
                <w:lang w:val="en-CA"/>
              </w:rPr>
              <w:t>Women</w:t>
            </w:r>
          </w:p>
        </w:tc>
        <w:tc>
          <w:tcPr>
            <w:tcW w:w="4815" w:type="dxa"/>
            <w:gridSpan w:val="6"/>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b/>
                <w:b/>
                <w:bCs/>
                <w:color w:val="000000"/>
                <w:sz w:val="16"/>
                <w:szCs w:val="16"/>
                <w:lang w:val="en-CA"/>
              </w:rPr>
            </w:pPr>
            <w:r>
              <w:rPr>
                <w:b/>
                <w:bCs/>
                <w:color w:val="000000"/>
                <w:sz w:val="16"/>
                <w:szCs w:val="16"/>
                <w:lang w:val="en-CA"/>
              </w:rPr>
              <w:t>Men</w:t>
            </w:r>
          </w:p>
        </w:tc>
      </w:tr>
      <w:tr>
        <w:trPr>
          <w:trHeight w:val="300" w:hRule="atLeast"/>
        </w:trPr>
        <w:tc>
          <w:tcPr>
            <w:tcW w:w="2448" w:type="dxa"/>
            <w:tcBorders>
              <w:bottom w:val="single" w:sz="4" w:space="0" w:color="000000"/>
              <w:insideH w:val="single" w:sz="4" w:space="0" w:color="000000"/>
            </w:tcBorders>
            <w:shd w:fill="auto" w:val="clear"/>
            <w:vAlign w:val="bottom"/>
          </w:tcPr>
          <w:p>
            <w:pPr>
              <w:pStyle w:val="Normal"/>
              <w:snapToGrid w:val="false"/>
              <w:spacing w:lineRule="auto" w:line="240" w:before="0" w:after="0"/>
              <w:ind w:hanging="0"/>
              <w:jc w:val="center"/>
              <w:rPr>
                <w:b/>
                <w:b/>
                <w:bCs/>
                <w:color w:val="000000"/>
                <w:sz w:val="18"/>
                <w:szCs w:val="20"/>
                <w:lang w:val="en-CA"/>
              </w:rPr>
            </w:pPr>
            <w:r>
              <w:rPr>
                <w:b/>
                <w:bCs/>
                <w:color w:val="000000"/>
                <w:sz w:val="18"/>
                <w:szCs w:val="20"/>
                <w:lang w:val="en-CA"/>
              </w:rPr>
            </w:r>
          </w:p>
        </w:tc>
        <w:tc>
          <w:tcPr>
            <w:tcW w:w="802"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White</w:t>
            </w:r>
          </w:p>
        </w:tc>
        <w:tc>
          <w:tcPr>
            <w:tcW w:w="803"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Chinese</w:t>
            </w:r>
          </w:p>
        </w:tc>
        <w:tc>
          <w:tcPr>
            <w:tcW w:w="802"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South Asian</w:t>
            </w:r>
          </w:p>
        </w:tc>
        <w:tc>
          <w:tcPr>
            <w:tcW w:w="803"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Other Asian</w:t>
            </w:r>
          </w:p>
        </w:tc>
        <w:tc>
          <w:tcPr>
            <w:tcW w:w="802"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Non-Asian Non-White</w:t>
            </w:r>
          </w:p>
        </w:tc>
        <w:tc>
          <w:tcPr>
            <w:tcW w:w="803"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Mixed ethnicity</w:t>
            </w:r>
          </w:p>
        </w:tc>
        <w:tc>
          <w:tcPr>
            <w:tcW w:w="802"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White</w:t>
            </w:r>
          </w:p>
        </w:tc>
        <w:tc>
          <w:tcPr>
            <w:tcW w:w="803"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Chinese</w:t>
            </w:r>
          </w:p>
        </w:tc>
        <w:tc>
          <w:tcPr>
            <w:tcW w:w="802"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South Asian</w:t>
            </w:r>
          </w:p>
        </w:tc>
        <w:tc>
          <w:tcPr>
            <w:tcW w:w="803"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Other Asian</w:t>
            </w:r>
          </w:p>
        </w:tc>
        <w:tc>
          <w:tcPr>
            <w:tcW w:w="802"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Non-Asian Non-White</w:t>
            </w:r>
          </w:p>
        </w:tc>
        <w:tc>
          <w:tcPr>
            <w:tcW w:w="803" w:type="dxa"/>
            <w:tcBorders>
              <w:bottom w:val="single" w:sz="4" w:space="0" w:color="000000"/>
              <w:insideH w:val="single" w:sz="4" w:space="0" w:color="000000"/>
            </w:tcBorders>
            <w:shd w:fill="auto" w:val="clear"/>
            <w:vAlign w:val="bottom"/>
          </w:tcPr>
          <w:p>
            <w:pPr>
              <w:pStyle w:val="Normal"/>
              <w:spacing w:lineRule="auto" w:line="240" w:before="0" w:after="0"/>
              <w:ind w:hanging="0"/>
              <w:jc w:val="right"/>
              <w:rPr>
                <w:b/>
                <w:b/>
                <w:color w:val="000000"/>
                <w:sz w:val="16"/>
                <w:szCs w:val="16"/>
                <w:lang w:val="en-CA"/>
              </w:rPr>
            </w:pPr>
            <w:r>
              <w:rPr>
                <w:b/>
                <w:color w:val="000000"/>
                <w:sz w:val="16"/>
                <w:szCs w:val="16"/>
                <w:lang w:val="en-CA"/>
              </w:rPr>
              <w:t>Mixed ethnicity</w:t>
            </w:r>
          </w:p>
        </w:tc>
      </w:tr>
      <w:tr>
        <w:trPr>
          <w:trHeight w:val="300" w:hRule="atLeast"/>
        </w:trPr>
        <w:tc>
          <w:tcPr>
            <w:tcW w:w="2448" w:type="dxa"/>
            <w:tcBorders>
              <w:top w:val="single" w:sz="4" w:space="0" w:color="000000"/>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N</w:t>
            </w:r>
          </w:p>
        </w:tc>
        <w:tc>
          <w:tcPr>
            <w:tcW w:w="802"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9,205</w:t>
            </w:r>
          </w:p>
        </w:tc>
        <w:tc>
          <w:tcPr>
            <w:tcW w:w="803"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683</w:t>
            </w:r>
          </w:p>
        </w:tc>
        <w:tc>
          <w:tcPr>
            <w:tcW w:w="802"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260</w:t>
            </w:r>
          </w:p>
        </w:tc>
        <w:tc>
          <w:tcPr>
            <w:tcW w:w="803"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348</w:t>
            </w:r>
          </w:p>
        </w:tc>
        <w:tc>
          <w:tcPr>
            <w:tcW w:w="802"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218</w:t>
            </w:r>
          </w:p>
        </w:tc>
        <w:tc>
          <w:tcPr>
            <w:tcW w:w="803"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151</w:t>
            </w:r>
          </w:p>
        </w:tc>
        <w:tc>
          <w:tcPr>
            <w:tcW w:w="802" w:type="dxa"/>
            <w:tcBorders>
              <w:top w:val="single" w:sz="4" w:space="0" w:color="000000"/>
              <w:left w:val="single" w:sz="4" w:space="0" w:color="000000"/>
            </w:tcBorders>
            <w:shd w:fill="auto" w:val="clear"/>
            <w:tcMar>
              <w:left w:w="103" w:type="dxa"/>
            </w:tcMar>
            <w:vAlign w:val="center"/>
          </w:tcPr>
          <w:p>
            <w:pPr>
              <w:pStyle w:val="Normal"/>
              <w:spacing w:lineRule="auto" w:line="240" w:before="0" w:after="0"/>
              <w:ind w:hanging="0"/>
              <w:jc w:val="right"/>
              <w:rPr/>
            </w:pPr>
            <w:r>
              <w:rPr>
                <w:color w:val="000000"/>
                <w:sz w:val="18"/>
                <w:szCs w:val="20"/>
                <w:lang w:val="en-CA"/>
              </w:rPr>
              <w:t>7,069</w:t>
            </w:r>
          </w:p>
        </w:tc>
        <w:tc>
          <w:tcPr>
            <w:tcW w:w="803"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625</w:t>
            </w:r>
          </w:p>
        </w:tc>
        <w:tc>
          <w:tcPr>
            <w:tcW w:w="802"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266</w:t>
            </w:r>
          </w:p>
        </w:tc>
        <w:tc>
          <w:tcPr>
            <w:tcW w:w="803"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226</w:t>
            </w:r>
          </w:p>
        </w:tc>
        <w:tc>
          <w:tcPr>
            <w:tcW w:w="802"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207</w:t>
            </w:r>
          </w:p>
        </w:tc>
        <w:tc>
          <w:tcPr>
            <w:tcW w:w="803" w:type="dxa"/>
            <w:tcBorders>
              <w:top w:val="single" w:sz="4"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112</w:t>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Average age</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51.8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43.4</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40.3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42.9</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43.4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39.0</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49.9</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41.8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42.3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42.0</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42.1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36.1</w:t>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Average # of ADGs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3.5</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3.5</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4.0</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3.2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2.5</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2.8</w:t>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 recently immigrated</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32.7%</w:t>
            </w:r>
          </w:p>
        </w:tc>
        <w:tc>
          <w:tcPr>
            <w:tcW w:w="802" w:type="dxa"/>
            <w:tcBorders/>
            <w:shd w:fill="auto" w:val="clear"/>
            <w:vAlign w:val="center"/>
          </w:tcPr>
          <w:p>
            <w:pPr>
              <w:pStyle w:val="Normal"/>
              <w:spacing w:lineRule="auto" w:line="240" w:before="0" w:after="0"/>
              <w:ind w:hanging="0"/>
              <w:jc w:val="right"/>
              <w:rPr/>
            </w:pPr>
            <w:r>
              <w:rPr>
                <w:color w:val="000000"/>
                <w:sz w:val="18"/>
                <w:szCs w:val="20"/>
                <w:lang w:val="en-CA"/>
              </w:rPr>
              <w:t>21.9%</w:t>
            </w:r>
          </w:p>
        </w:tc>
        <w:tc>
          <w:tcPr>
            <w:tcW w:w="803" w:type="dxa"/>
            <w:tcBorders/>
            <w:shd w:fill="auto" w:val="clear"/>
            <w:vAlign w:val="center"/>
          </w:tcPr>
          <w:p>
            <w:pPr>
              <w:pStyle w:val="Normal"/>
              <w:spacing w:lineRule="auto" w:line="240" w:before="0" w:after="0"/>
              <w:ind w:hanging="0"/>
              <w:jc w:val="right"/>
              <w:rPr/>
            </w:pPr>
            <w:r>
              <w:rPr>
                <w:color w:val="000000"/>
                <w:sz w:val="18"/>
                <w:szCs w:val="20"/>
                <w:lang w:val="en-CA"/>
              </w:rPr>
              <w:t>27.6%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27.5%</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2.7%</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1.7%</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30.4%</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27.9%</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21.7%</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1.8%</w:t>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 in lowest income quintile</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34.8%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27.5%</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26.2%</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36.2%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22.1%</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13.8%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29.6%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17.2%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26.8%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31.7%</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22.8%</w:t>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 in highest income quintile</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20.1%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13.4%</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14.0%</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19.1%</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25.5%</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16.9%</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19.9%</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15.6%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12.6%</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21.8%</w:t>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 with employment benefits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47.3%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30.9%</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41.8%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41.9%</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37.2%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39.7%</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49.4%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32.6%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38.0%</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39.8%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33.3%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34.8%</w:t>
            </w:r>
          </w:p>
        </w:tc>
      </w:tr>
      <w:tr>
        <w:trPr>
          <w:trHeight w:val="300" w:hRule="atLeast"/>
        </w:trPr>
        <w:tc>
          <w:tcPr>
            <w:tcW w:w="2448" w:type="dxa"/>
            <w:tcBorders/>
            <w:shd w:fill="auto" w:val="clear"/>
            <w:vAlign w:val="center"/>
          </w:tcPr>
          <w:p>
            <w:pPr>
              <w:pStyle w:val="Normal"/>
              <w:snapToGrid w:val="false"/>
              <w:spacing w:lineRule="auto" w:line="240" w:before="0" w:after="0"/>
              <w:ind w:hanging="0"/>
              <w:rPr>
                <w:b/>
                <w:b/>
                <w:bCs/>
                <w:color w:val="000000"/>
                <w:sz w:val="18"/>
                <w:szCs w:val="20"/>
                <w:lang w:val="en-CA"/>
              </w:rPr>
            </w:pPr>
            <w:r>
              <w:rPr>
                <w:b/>
                <w:bCs/>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b/>
                <w:b/>
                <w:bCs/>
                <w:color w:val="000000"/>
                <w:sz w:val="18"/>
                <w:szCs w:val="20"/>
                <w:lang w:val="en-CA"/>
              </w:rPr>
            </w:pPr>
            <w:r>
              <w:rPr>
                <w:b/>
                <w:bCs/>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left w:val="single" w:sz="4" w:space="0" w:color="000000"/>
            </w:tcBorders>
            <w:shd w:fill="auto" w:val="clear"/>
            <w:tcMar>
              <w:left w:w="103" w:type="dxa"/>
            </w:tcM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 with diagnoses of one or more condition that is a primary indication for...</w:t>
            </w:r>
          </w:p>
        </w:tc>
        <w:tc>
          <w:tcPr>
            <w:tcW w:w="802" w:type="dxa"/>
            <w:tcBorders/>
            <w:shd w:fill="auto" w:val="clear"/>
            <w:vAlign w:val="center"/>
          </w:tcPr>
          <w:p>
            <w:pPr>
              <w:pStyle w:val="Normal"/>
              <w:snapToGrid w:val="false"/>
              <w:spacing w:lineRule="auto" w:line="240" w:before="0" w:after="0"/>
              <w:ind w:hanging="0"/>
              <w:jc w:val="right"/>
              <w:rPr>
                <w:b/>
                <w:b/>
                <w:bCs/>
                <w:color w:val="000000"/>
                <w:sz w:val="18"/>
                <w:szCs w:val="20"/>
                <w:lang w:val="en-CA"/>
              </w:rPr>
            </w:pPr>
            <w:r>
              <w:rPr>
                <w:b/>
                <w:bCs/>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left w:val="single" w:sz="4" w:space="0" w:color="000000"/>
            </w:tcBorders>
            <w:shd w:fill="auto" w:val="clear"/>
            <w:tcMar>
              <w:left w:w="103" w:type="dxa"/>
            </w:tcM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r>
      <w:tr>
        <w:trPr>
          <w:trHeight w:val="300" w:hRule="atLeast"/>
        </w:trPr>
        <w:tc>
          <w:tcPr>
            <w:tcW w:w="2448" w:type="dxa"/>
            <w:tcBorders/>
            <w:shd w:fill="auto" w:val="clear"/>
            <w:vAlign w:val="center"/>
          </w:tcPr>
          <w:p>
            <w:pPr>
              <w:pStyle w:val="Normal"/>
              <w:spacing w:lineRule="auto" w:line="240" w:before="0" w:after="0"/>
              <w:ind w:left="810" w:hanging="0"/>
              <w:rPr>
                <w:b/>
                <w:b/>
                <w:bCs/>
                <w:color w:val="000000"/>
                <w:sz w:val="18"/>
                <w:szCs w:val="20"/>
                <w:lang w:val="en-CA"/>
              </w:rPr>
            </w:pPr>
            <w:r>
              <w:rPr>
                <w:b/>
                <w:bCs/>
                <w:color w:val="000000"/>
                <w:sz w:val="18"/>
                <w:szCs w:val="20"/>
                <w:lang w:val="en-CA"/>
              </w:rPr>
              <w:t>Antihypertensives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32.2%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21.2%</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20.7%</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21.1%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18.5%</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31.8%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22.7%</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30.1%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28.8%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23.7%</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22.3%</w:t>
            </w:r>
          </w:p>
        </w:tc>
      </w:tr>
      <w:tr>
        <w:trPr>
          <w:trHeight w:val="300" w:hRule="atLeast"/>
        </w:trPr>
        <w:tc>
          <w:tcPr>
            <w:tcW w:w="2448" w:type="dxa"/>
            <w:tcBorders/>
            <w:shd w:fill="auto" w:val="clear"/>
            <w:vAlign w:val="center"/>
          </w:tcPr>
          <w:p>
            <w:pPr>
              <w:pStyle w:val="Normal"/>
              <w:spacing w:lineRule="auto" w:line="240" w:before="0" w:after="0"/>
              <w:ind w:left="810" w:hanging="0"/>
              <w:rPr>
                <w:b/>
                <w:b/>
                <w:bCs/>
                <w:color w:val="000000"/>
                <w:sz w:val="18"/>
                <w:szCs w:val="20"/>
                <w:lang w:val="en-CA"/>
              </w:rPr>
            </w:pPr>
            <w:r>
              <w:rPr>
                <w:b/>
                <w:bCs/>
                <w:color w:val="000000"/>
                <w:sz w:val="18"/>
                <w:szCs w:val="20"/>
                <w:lang w:val="en-CA"/>
              </w:rPr>
              <w:t>Antibiotics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36.8%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35.6%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45.4%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40.4%</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38.5%</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37.8%</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26.8%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34.4%</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44.0%</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30.1%</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31.9%</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29.5%</w:t>
            </w:r>
          </w:p>
        </w:tc>
      </w:tr>
      <w:tr>
        <w:trPr>
          <w:trHeight w:val="300" w:hRule="atLeast"/>
        </w:trPr>
        <w:tc>
          <w:tcPr>
            <w:tcW w:w="2448" w:type="dxa"/>
            <w:tcBorders/>
            <w:shd w:fill="auto" w:val="clear"/>
            <w:vAlign w:val="center"/>
          </w:tcPr>
          <w:p>
            <w:pPr>
              <w:pStyle w:val="Normal"/>
              <w:spacing w:lineRule="auto" w:line="240" w:before="0" w:after="0"/>
              <w:ind w:left="810" w:hanging="0"/>
              <w:rPr>
                <w:b/>
                <w:b/>
                <w:bCs/>
                <w:color w:val="000000"/>
                <w:sz w:val="18"/>
                <w:szCs w:val="20"/>
                <w:lang w:val="en-CA"/>
              </w:rPr>
            </w:pPr>
            <w:r>
              <w:rPr>
                <w:b/>
                <w:bCs/>
                <w:color w:val="000000"/>
                <w:sz w:val="18"/>
                <w:szCs w:val="20"/>
                <w:lang w:val="en-CA"/>
              </w:rPr>
              <w:t>Antidepressants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22.5%</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14.6%</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13.8%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22.9%</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17.9%</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12.7%</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5.0%</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9.4%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7.1%</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12.1%</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17.0%</w:t>
            </w:r>
          </w:p>
        </w:tc>
      </w:tr>
      <w:tr>
        <w:trPr>
          <w:trHeight w:val="300" w:hRule="atLeast"/>
        </w:trPr>
        <w:tc>
          <w:tcPr>
            <w:tcW w:w="2448" w:type="dxa"/>
            <w:tcBorders/>
            <w:shd w:fill="auto" w:val="clear"/>
            <w:vAlign w:val="center"/>
          </w:tcPr>
          <w:p>
            <w:pPr>
              <w:pStyle w:val="Normal"/>
              <w:snapToGrid w:val="false"/>
              <w:spacing w:lineRule="auto" w:line="240" w:before="0" w:after="0"/>
              <w:ind w:hanging="0"/>
              <w:rPr>
                <w:b/>
                <w:b/>
                <w:bCs/>
                <w:color w:val="000000"/>
                <w:sz w:val="18"/>
                <w:szCs w:val="20"/>
                <w:lang w:val="en-CA"/>
              </w:rPr>
            </w:pPr>
            <w:r>
              <w:rPr>
                <w:b/>
                <w:bCs/>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b/>
                <w:b/>
                <w:bCs/>
                <w:color w:val="000000"/>
                <w:sz w:val="18"/>
                <w:szCs w:val="20"/>
                <w:lang w:val="en-CA"/>
              </w:rPr>
            </w:pPr>
            <w:r>
              <w:rPr>
                <w:b/>
                <w:bCs/>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left w:val="single" w:sz="4" w:space="0" w:color="000000"/>
            </w:tcBorders>
            <w:shd w:fill="auto" w:val="clear"/>
            <w:tcMar>
              <w:left w:w="103" w:type="dxa"/>
            </w:tcM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r>
      <w:tr>
        <w:trPr>
          <w:trHeight w:val="300" w:hRule="atLeast"/>
        </w:trPr>
        <w:tc>
          <w:tcPr>
            <w:tcW w:w="2448" w:type="dxa"/>
            <w:tcBorders/>
            <w:shd w:fill="auto" w:val="clear"/>
            <w:vAlign w:val="center"/>
          </w:tcPr>
          <w:p>
            <w:pPr>
              <w:pStyle w:val="Normal"/>
              <w:spacing w:lineRule="auto" w:line="240" w:before="0" w:after="0"/>
              <w:ind w:hanging="0"/>
              <w:rPr>
                <w:b/>
                <w:b/>
                <w:bCs/>
                <w:color w:val="000000"/>
                <w:sz w:val="18"/>
                <w:szCs w:val="20"/>
                <w:lang w:val="en-CA"/>
              </w:rPr>
            </w:pPr>
            <w:r>
              <w:rPr>
                <w:b/>
                <w:bCs/>
                <w:color w:val="000000"/>
                <w:sz w:val="18"/>
                <w:szCs w:val="20"/>
                <w:lang w:val="en-CA"/>
              </w:rPr>
              <w:t>% that purchased…</w:t>
            </w:r>
          </w:p>
        </w:tc>
        <w:tc>
          <w:tcPr>
            <w:tcW w:w="802" w:type="dxa"/>
            <w:tcBorders/>
            <w:shd w:fill="auto" w:val="clear"/>
            <w:vAlign w:val="center"/>
          </w:tcPr>
          <w:p>
            <w:pPr>
              <w:pStyle w:val="Normal"/>
              <w:snapToGrid w:val="false"/>
              <w:spacing w:lineRule="auto" w:line="240" w:before="0" w:after="0"/>
              <w:ind w:hanging="0"/>
              <w:jc w:val="right"/>
              <w:rPr>
                <w:b/>
                <w:b/>
                <w:bCs/>
                <w:color w:val="000000"/>
                <w:sz w:val="18"/>
                <w:szCs w:val="20"/>
                <w:lang w:val="en-CA"/>
              </w:rPr>
            </w:pPr>
            <w:r>
              <w:rPr>
                <w:b/>
                <w:bCs/>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left w:val="single" w:sz="4" w:space="0" w:color="000000"/>
            </w:tcBorders>
            <w:shd w:fill="auto" w:val="clear"/>
            <w:tcMar>
              <w:left w:w="103" w:type="dxa"/>
            </w:tcM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2"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c>
          <w:tcPr>
            <w:tcW w:w="803" w:type="dxa"/>
            <w:tcBorders/>
            <w:shd w:fill="auto" w:val="clear"/>
            <w:vAlign w:val="center"/>
          </w:tcPr>
          <w:p>
            <w:pPr>
              <w:pStyle w:val="Normal"/>
              <w:snapToGrid w:val="false"/>
              <w:spacing w:lineRule="auto" w:line="240" w:before="0" w:after="0"/>
              <w:ind w:hanging="0"/>
              <w:jc w:val="right"/>
              <w:rPr>
                <w:color w:val="000000"/>
                <w:sz w:val="18"/>
                <w:szCs w:val="20"/>
                <w:lang w:val="en-CA"/>
              </w:rPr>
            </w:pPr>
            <w:r>
              <w:rPr>
                <w:color w:val="000000"/>
                <w:sz w:val="18"/>
                <w:szCs w:val="20"/>
                <w:lang w:val="en-CA"/>
              </w:rPr>
            </w:r>
          </w:p>
        </w:tc>
      </w:tr>
      <w:tr>
        <w:trPr>
          <w:trHeight w:val="300" w:hRule="atLeast"/>
        </w:trPr>
        <w:tc>
          <w:tcPr>
            <w:tcW w:w="2448" w:type="dxa"/>
            <w:tcBorders/>
            <w:shd w:fill="auto" w:val="clear"/>
            <w:vAlign w:val="center"/>
          </w:tcPr>
          <w:p>
            <w:pPr>
              <w:pStyle w:val="Normal"/>
              <w:spacing w:lineRule="auto" w:line="240" w:before="0" w:after="0"/>
              <w:ind w:left="810" w:hanging="0"/>
              <w:rPr>
                <w:b/>
                <w:b/>
                <w:bCs/>
                <w:color w:val="000000"/>
                <w:sz w:val="18"/>
                <w:szCs w:val="20"/>
                <w:lang w:val="en-CA"/>
              </w:rPr>
            </w:pPr>
            <w:r>
              <w:rPr>
                <w:b/>
                <w:bCs/>
                <w:color w:val="000000"/>
                <w:sz w:val="18"/>
                <w:szCs w:val="20"/>
                <w:lang w:val="en-CA"/>
              </w:rPr>
              <w:t>Antihypertensives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26.6%</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13.2%</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14.2%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14.8%</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14.2%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11.3%</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23.0%</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13.6%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16.2%</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18.6%</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15.9%</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11.6%</w:t>
            </w:r>
          </w:p>
        </w:tc>
      </w:tr>
      <w:tr>
        <w:trPr>
          <w:trHeight w:val="300" w:hRule="atLeast"/>
        </w:trPr>
        <w:tc>
          <w:tcPr>
            <w:tcW w:w="2448" w:type="dxa"/>
            <w:tcBorders/>
            <w:shd w:fill="auto" w:val="clear"/>
            <w:vAlign w:val="center"/>
          </w:tcPr>
          <w:p>
            <w:pPr>
              <w:pStyle w:val="Normal"/>
              <w:spacing w:lineRule="auto" w:line="240" w:before="0" w:after="0"/>
              <w:ind w:left="810" w:hanging="0"/>
              <w:rPr>
                <w:b/>
                <w:b/>
                <w:bCs/>
                <w:color w:val="000000"/>
                <w:sz w:val="18"/>
                <w:szCs w:val="20"/>
                <w:lang w:val="en-CA"/>
              </w:rPr>
            </w:pPr>
            <w:r>
              <w:rPr>
                <w:b/>
                <w:bCs/>
                <w:color w:val="000000"/>
                <w:sz w:val="18"/>
                <w:szCs w:val="20"/>
                <w:lang w:val="en-CA"/>
              </w:rPr>
              <w:t>Antibiotics</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40.4%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32.2%</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44.8%</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35.9%</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35.3%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37.8%</w:t>
            </w:r>
          </w:p>
        </w:tc>
        <w:tc>
          <w:tcPr>
            <w:tcW w:w="802" w:type="dxa"/>
            <w:tcBorders>
              <w:left w:val="single" w:sz="4"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30.4%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28.0%</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47.4%</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25.2%</w:t>
            </w:r>
          </w:p>
        </w:tc>
        <w:tc>
          <w:tcPr>
            <w:tcW w:w="802"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33.3%</w:t>
            </w:r>
          </w:p>
        </w:tc>
        <w:tc>
          <w:tcPr>
            <w:tcW w:w="803" w:type="dxa"/>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32.1%</w:t>
            </w:r>
          </w:p>
        </w:tc>
      </w:tr>
      <w:tr>
        <w:trPr>
          <w:trHeight w:val="300" w:hRule="atLeast"/>
        </w:trPr>
        <w:tc>
          <w:tcPr>
            <w:tcW w:w="2448" w:type="dxa"/>
            <w:tcBorders>
              <w:bottom w:val="single" w:sz="8" w:space="0" w:color="000000"/>
              <w:insideH w:val="single" w:sz="8" w:space="0" w:color="000000"/>
            </w:tcBorders>
            <w:shd w:fill="auto" w:val="clear"/>
            <w:vAlign w:val="center"/>
          </w:tcPr>
          <w:p>
            <w:pPr>
              <w:pStyle w:val="Normal"/>
              <w:spacing w:lineRule="auto" w:line="240" w:before="0" w:after="0"/>
              <w:ind w:left="810" w:hanging="0"/>
              <w:rPr>
                <w:b/>
                <w:b/>
                <w:bCs/>
                <w:color w:val="000000"/>
                <w:sz w:val="18"/>
                <w:szCs w:val="20"/>
                <w:lang w:val="en-CA"/>
              </w:rPr>
            </w:pPr>
            <w:r>
              <w:rPr>
                <w:b/>
                <w:bCs/>
                <w:color w:val="000000"/>
                <w:sz w:val="18"/>
                <w:szCs w:val="20"/>
                <w:lang w:val="en-CA"/>
              </w:rPr>
              <w:t>Antidepressants</w:t>
            </w:r>
          </w:p>
        </w:tc>
        <w:tc>
          <w:tcPr>
            <w:tcW w:w="802"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19.8%</w:t>
            </w:r>
          </w:p>
        </w:tc>
        <w:tc>
          <w:tcPr>
            <w:tcW w:w="803"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5.0%</w:t>
            </w:r>
          </w:p>
        </w:tc>
        <w:tc>
          <w:tcPr>
            <w:tcW w:w="802"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12.3%</w:t>
            </w:r>
          </w:p>
        </w:tc>
        <w:tc>
          <w:tcPr>
            <w:tcW w:w="803"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5.1%</w:t>
            </w:r>
          </w:p>
        </w:tc>
        <w:tc>
          <w:tcPr>
            <w:tcW w:w="802"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12.4%</w:t>
            </w:r>
          </w:p>
        </w:tc>
        <w:tc>
          <w:tcPr>
            <w:tcW w:w="803"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17.9%</w:t>
            </w:r>
          </w:p>
        </w:tc>
        <w:tc>
          <w:tcPr>
            <w:tcW w:w="802" w:type="dxa"/>
            <w:tcBorders>
              <w:left w:val="single" w:sz="4" w:space="0" w:color="000000"/>
              <w:bottom w:val="single" w:sz="8" w:space="0" w:color="000000"/>
              <w:insideH w:val="single" w:sz="8" w:space="0" w:color="000000"/>
            </w:tcBorders>
            <w:shd w:fill="auto" w:val="clear"/>
            <w:tcMar>
              <w:left w:w="103" w:type="dxa"/>
            </w:tcMar>
            <w:vAlign w:val="center"/>
          </w:tcPr>
          <w:p>
            <w:pPr>
              <w:pStyle w:val="Normal"/>
              <w:spacing w:lineRule="auto" w:line="240" w:before="0" w:after="0"/>
              <w:ind w:hanging="0"/>
              <w:jc w:val="right"/>
              <w:rPr>
                <w:color w:val="000000"/>
                <w:sz w:val="18"/>
                <w:szCs w:val="20"/>
                <w:lang w:val="en-CA"/>
              </w:rPr>
            </w:pPr>
            <w:r>
              <w:rPr>
                <w:color w:val="000000"/>
                <w:sz w:val="18"/>
                <w:szCs w:val="20"/>
                <w:lang w:val="en-CA"/>
              </w:rPr>
              <w:t>9.0%</w:t>
            </w:r>
          </w:p>
        </w:tc>
        <w:tc>
          <w:tcPr>
            <w:tcW w:w="803"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0.8%</w:t>
            </w:r>
          </w:p>
        </w:tc>
        <w:tc>
          <w:tcPr>
            <w:tcW w:w="802"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7.5%</w:t>
            </w:r>
          </w:p>
        </w:tc>
        <w:tc>
          <w:tcPr>
            <w:tcW w:w="803"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2.7%</w:t>
            </w:r>
          </w:p>
        </w:tc>
        <w:tc>
          <w:tcPr>
            <w:tcW w:w="802"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5.3%</w:t>
            </w:r>
          </w:p>
        </w:tc>
        <w:tc>
          <w:tcPr>
            <w:tcW w:w="803" w:type="dxa"/>
            <w:tcBorders>
              <w:bottom w:val="single" w:sz="8" w:space="0" w:color="000000"/>
              <w:insideH w:val="single" w:sz="8" w:space="0" w:color="000000"/>
            </w:tcBorders>
            <w:shd w:fill="auto" w:val="clear"/>
            <w:vAlign w:val="center"/>
          </w:tcPr>
          <w:p>
            <w:pPr>
              <w:pStyle w:val="Normal"/>
              <w:spacing w:lineRule="auto" w:line="240" w:before="0" w:after="0"/>
              <w:ind w:hanging="0"/>
              <w:jc w:val="right"/>
              <w:rPr>
                <w:color w:val="000000"/>
                <w:sz w:val="18"/>
                <w:szCs w:val="20"/>
                <w:lang w:val="en-CA"/>
              </w:rPr>
            </w:pPr>
            <w:r>
              <w:rPr>
                <w:color w:val="000000"/>
                <w:sz w:val="18"/>
                <w:szCs w:val="20"/>
                <w:lang w:val="en-CA"/>
              </w:rPr>
              <w:t>6.3%</w:t>
            </w:r>
          </w:p>
        </w:tc>
      </w:tr>
    </w:tbl>
    <w:p>
      <w:pPr>
        <w:sectPr>
          <w:footerReference w:type="default" r:id="rId8"/>
          <w:type w:val="nextPage"/>
          <w:pgSz w:orient="landscape" w:w="15840" w:h="12240"/>
          <w:pgMar w:left="1440" w:right="1440" w:header="0" w:top="1440" w:footer="708" w:bottom="1440" w:gutter="0"/>
          <w:pgNumType w:fmt="decimal"/>
          <w:formProt w:val="false"/>
          <w:textDirection w:val="lrTb"/>
          <w:docGrid w:type="default" w:linePitch="360" w:charSpace="0"/>
        </w:sectPr>
        <w:pStyle w:val="Normal"/>
        <w:rPr>
          <w:lang w:val="en-CA"/>
        </w:rPr>
      </w:pPr>
      <w:r>
        <w:rPr>
          <w:lang w:val="en-CA"/>
        </w:rPr>
        <w:t xml:space="preserve">Note: See Appendix for specific conditions included as indications for each type of treatment </w:t>
      </w:r>
    </w:p>
    <w:p>
      <w:pPr>
        <w:pStyle w:val="Normal"/>
        <w:rPr>
          <w:lang w:val="en-CA"/>
        </w:rPr>
      </w:pPr>
      <w:r>
        <w:rPr>
          <w:lang w:val="en-CA"/>
        </w:rPr>
      </w:r>
    </w:p>
    <w:p>
      <w:pPr>
        <w:pStyle w:val="Caption"/>
        <w:rPr/>
      </w:pPr>
      <w:bookmarkStart w:id="20" w:name="_Ref256427808"/>
      <w:r>
        <w:rPr>
          <w:lang w:val="en-CA"/>
        </w:rPr>
        <w:t xml:space="preserve">Table </w:t>
      </w:r>
      <w:r>
        <w:rPr>
          <w:lang w:val="en-CA"/>
        </w:rPr>
        <w:fldChar w:fldCharType="begin"/>
      </w:r>
      <w:r>
        <w:instrText> SEQ Table \* ARABIC </w:instrText>
      </w:r>
      <w:r>
        <w:fldChar w:fldCharType="separate"/>
      </w:r>
      <w:r>
        <w:t>2</w:t>
      </w:r>
      <w:r>
        <w:fldChar w:fldCharType="end"/>
      </w:r>
      <w:bookmarkEnd w:id="20"/>
      <w:r>
        <w:rPr/>
        <w:t>: Adjusted odds ratios for the purchase of antihypertensives, antibiotics and antidepressants by persons of different self-identified ethnicity</w:t>
      </w:r>
    </w:p>
    <w:tbl>
      <w:tblPr>
        <w:tblW w:w="9014" w:type="dxa"/>
        <w:jc w:val="left"/>
        <w:tblInd w:w="94"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420"/>
        <w:gridCol w:w="3297"/>
        <w:gridCol w:w="3297"/>
      </w:tblGrid>
      <w:tr>
        <w:trPr>
          <w:trHeight w:val="300" w:hRule="atLeast"/>
        </w:trPr>
        <w:tc>
          <w:tcPr>
            <w:tcW w:w="2420"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 </w:t>
            </w:r>
          </w:p>
        </w:tc>
        <w:tc>
          <w:tcPr>
            <w:tcW w:w="329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b/>
                <w:b/>
                <w:bCs/>
                <w:color w:val="000000"/>
                <w:lang w:val="en-CA" w:eastAsia="en-CA"/>
              </w:rPr>
            </w:pPr>
            <w:r>
              <w:rPr>
                <w:rFonts w:eastAsia="Times New Roman"/>
                <w:b/>
                <w:bCs/>
                <w:color w:val="000000"/>
                <w:lang w:val="en-CA" w:eastAsia="en-CA"/>
              </w:rPr>
              <w:t>Women</w:t>
            </w:r>
          </w:p>
        </w:tc>
        <w:tc>
          <w:tcPr>
            <w:tcW w:w="32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bCs/>
                <w:color w:val="000000"/>
                <w:lang w:val="en-CA" w:eastAsia="en-CA"/>
              </w:rPr>
            </w:pPr>
            <w:r>
              <w:rPr>
                <w:rFonts w:eastAsia="Times New Roman"/>
                <w:b/>
                <w:bCs/>
                <w:color w:val="000000"/>
                <w:lang w:val="en-CA" w:eastAsia="en-CA"/>
              </w:rPr>
              <w:t>Men</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Antihypertensives</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Chinese</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0.46 (0.32, 0.65)</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0.74 (0.52, 1.06)</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South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0.77 (0.45, 1.32)</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0.71 (0.43, 1.18)</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Other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0.85 (0.55, 1.33)</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1.57 (0.96, 2.57)</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Non-Asian, Non-White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0.66 (0.38, 1.13)</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0.86 (0.48, 1.55)</w:t>
            </w:r>
          </w:p>
        </w:tc>
      </w:tr>
      <w:tr>
        <w:trPr>
          <w:trHeight w:val="300" w:hRule="atLeast"/>
        </w:trPr>
        <w:tc>
          <w:tcPr>
            <w:tcW w:w="2420" w:type="dxa"/>
            <w:tcBorders>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Mixed ethnicity</w:t>
            </w:r>
          </w:p>
        </w:tc>
        <w:tc>
          <w:tcPr>
            <w:tcW w:w="3297" w:type="dxa"/>
            <w:tcBorders>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0.53 (0.25, 1.12)</w:t>
            </w:r>
          </w:p>
        </w:tc>
        <w:tc>
          <w:tcPr>
            <w:tcW w:w="3297"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0.94 (0.43, 2.06)</w:t>
            </w:r>
          </w:p>
        </w:tc>
      </w:tr>
      <w:tr>
        <w:trPr>
          <w:trHeight w:val="300" w:hRule="atLeast"/>
        </w:trPr>
        <w:tc>
          <w:tcPr>
            <w:tcW w:w="2420" w:type="dxa"/>
            <w:tcBorders>
              <w:top w:val="single" w:sz="4" w:space="0" w:color="000000"/>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Antibiotics</w:t>
            </w:r>
          </w:p>
        </w:tc>
        <w:tc>
          <w:tcPr>
            <w:tcW w:w="3297" w:type="dxa"/>
            <w:tcBorders>
              <w:top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c>
          <w:tcPr>
            <w:tcW w:w="3297" w:type="dxa"/>
            <w:tcBorders>
              <w:top w:val="single" w:sz="4" w:space="0" w:color="000000"/>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Chinese</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0.71 (0.57, 0.89)</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0.84 (0.67, 1.05)</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South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1.08 (0.79, 1.47)</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1.57 (1.16, 2.12)</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Other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0.90 (0.68, 1.18)</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0.67 (0.46, 0.97)</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Non-Asian, Non-White</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0.60 (0.42, 0.87)</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1.10 (0.77, 1.56)</w:t>
            </w:r>
          </w:p>
        </w:tc>
      </w:tr>
      <w:tr>
        <w:trPr>
          <w:trHeight w:val="300" w:hRule="atLeast"/>
        </w:trPr>
        <w:tc>
          <w:tcPr>
            <w:tcW w:w="2420" w:type="dxa"/>
            <w:tcBorders>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Mixed ethnicity</w:t>
            </w:r>
          </w:p>
        </w:tc>
        <w:tc>
          <w:tcPr>
            <w:tcW w:w="3297" w:type="dxa"/>
            <w:tcBorders>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0.85 (0.56, 1.28)</w:t>
            </w:r>
          </w:p>
        </w:tc>
        <w:tc>
          <w:tcPr>
            <w:tcW w:w="3297"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0.97 (0.60, 1.58)</w:t>
            </w:r>
          </w:p>
        </w:tc>
      </w:tr>
      <w:tr>
        <w:trPr>
          <w:trHeight w:val="300" w:hRule="atLeast"/>
        </w:trPr>
        <w:tc>
          <w:tcPr>
            <w:tcW w:w="2420" w:type="dxa"/>
            <w:tcBorders>
              <w:top w:val="single" w:sz="4" w:space="0" w:color="000000"/>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Antidepressants</w:t>
            </w:r>
          </w:p>
        </w:tc>
        <w:tc>
          <w:tcPr>
            <w:tcW w:w="3297" w:type="dxa"/>
            <w:tcBorders>
              <w:top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c>
          <w:tcPr>
            <w:tcW w:w="3297" w:type="dxa"/>
            <w:tcBorders>
              <w:top w:val="single" w:sz="4" w:space="0" w:color="000000"/>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Chinese</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0.29 (0.20, 0.42)</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0.11 (0.04, 0.28)</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South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0.80 (0.53, 1.23)</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0.94 (0.55, 1.61)</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Other Asian</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0.31 (0.19, 0.52)</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0.31 (0.12, 0.77)</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Non-Asian, Non-White</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0.59 (0.37, 0.94)</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0.51 (0.25, 1.03)</w:t>
            </w:r>
          </w:p>
        </w:tc>
      </w:tr>
      <w:tr>
        <w:trPr>
          <w:trHeight w:val="300" w:hRule="atLeast"/>
        </w:trPr>
        <w:tc>
          <w:tcPr>
            <w:tcW w:w="2420" w:type="dxa"/>
            <w:tcBorders>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Mixed ethnicity</w:t>
            </w:r>
          </w:p>
        </w:tc>
        <w:tc>
          <w:tcPr>
            <w:tcW w:w="3297" w:type="dxa"/>
            <w:tcBorders>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1.23 (0.76, 1.99)</w:t>
            </w:r>
          </w:p>
        </w:tc>
        <w:tc>
          <w:tcPr>
            <w:tcW w:w="3297"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0.45 (0.19, 1.09)</w:t>
            </w:r>
          </w:p>
        </w:tc>
      </w:tr>
    </w:tbl>
    <w:p>
      <w:pPr>
        <w:pStyle w:val="NoSpacing"/>
        <w:rPr>
          <w:lang w:val="en-CA"/>
        </w:rPr>
      </w:pPr>
      <w:r>
        <w:rPr>
          <w:lang w:val="en-CA"/>
        </w:rPr>
      </w:r>
    </w:p>
    <w:p>
      <w:pPr>
        <w:pStyle w:val="NoSpacing"/>
        <w:rPr>
          <w:lang w:val="en-CA"/>
        </w:rPr>
      </w:pPr>
      <w:r>
        <w:rPr>
          <w:lang w:val="en-CA"/>
        </w:rPr>
        <w:t>Note: models are adjusted for age (10-year age bands), general health status (Aggregated Diagnostic Groups), treatment-specific indications of potential need (Expanded Diagnostic Clusters outlined in Appendix B), income quintiles, evidence of employment-related health benefits, and recent immigration (within 10 years).</w:t>
      </w:r>
    </w:p>
    <w:p>
      <w:pPr>
        <w:pStyle w:val="NoSpacing"/>
        <w:rPr>
          <w:lang w:val="en-CA"/>
        </w:rPr>
      </w:pPr>
      <w:r>
        <w:rPr>
          <w:lang w:val="en-CA"/>
        </w:rPr>
      </w:r>
      <w:r>
        <w:br w:type="page"/>
      </w:r>
    </w:p>
    <w:p>
      <w:pPr>
        <w:pStyle w:val="Heading1"/>
        <w:numPr>
          <w:ilvl w:val="0"/>
          <w:numId w:val="1"/>
        </w:numPr>
        <w:ind w:hanging="0"/>
        <w:rPr>
          <w:lang w:val="en-CA"/>
        </w:rPr>
      </w:pPr>
      <w:r>
        <w:rPr>
          <w:lang w:val="en-CA"/>
        </w:rPr>
        <w:t>References</w:t>
      </w:r>
    </w:p>
    <w:p>
      <w:pPr>
        <w:pStyle w:val="Normal"/>
        <w:spacing w:lineRule="auto" w:line="240" w:before="0" w:after="0"/>
        <w:ind w:left="720" w:hanging="720"/>
        <w:rPr>
          <w:lang w:val="en-CA" w:eastAsia="en-CA"/>
        </w:rPr>
      </w:pPr>
      <w:r>
        <w:fldChar w:fldCharType="begin"/>
      </w:r>
      <w:r>
        <w:instrText> ADDIN EN.REFLIST </w:instrText>
      </w:r>
      <w:r>
        <w:fldChar w:fldCharType="separate"/>
      </w:r>
      <w:bookmarkStart w:id="21" w:name="__Fieldmark__502_1322453857"/>
      <w:r>
        <w:rPr>
          <w:lang w:val="en-CA" w:eastAsia="en-CA"/>
        </w:rPr>
        <w:t>1.</w:t>
        <w:tab/>
        <w:t>Bhopal R. Revisiting race/ethnicity as a variable in health research. American Journal of Public Health 2002;92(2):156-157.</w:t>
      </w:r>
    </w:p>
    <w:p>
      <w:pPr>
        <w:pStyle w:val="Normal"/>
        <w:spacing w:lineRule="auto" w:line="240" w:before="0" w:after="0"/>
        <w:ind w:left="720" w:hanging="720"/>
        <w:rPr>
          <w:lang w:val="en-CA" w:eastAsia="en-CA"/>
        </w:rPr>
      </w:pPr>
      <w:r>
        <w:rPr>
          <w:lang w:val="en-CA" w:eastAsia="en-CA"/>
        </w:rPr>
        <w:t>2.</w:t>
        <w:tab/>
        <w:t>Sproston KA, Pitson LB, Walker E. The Use of Primary Care Services by the Chinese Population Living in England: examining inequalities. Ethnicity &amp; health 2001;6(3):189-196.</w:t>
      </w:r>
    </w:p>
    <w:p>
      <w:pPr>
        <w:pStyle w:val="Normal"/>
        <w:spacing w:lineRule="auto" w:line="240" w:before="0" w:after="0"/>
        <w:ind w:left="720" w:hanging="720"/>
        <w:rPr>
          <w:lang w:val="en-CA" w:eastAsia="en-CA"/>
        </w:rPr>
      </w:pPr>
      <w:r>
        <w:rPr>
          <w:lang w:val="en-CA" w:eastAsia="en-CA"/>
        </w:rPr>
        <w:t>3.</w:t>
        <w:tab/>
        <w:t>Mayberry RM, Mili F, Ofili E. Racial and ethnic differences in access to medical care. Medical care research and review 2000;57:108.</w:t>
      </w:r>
    </w:p>
    <w:p>
      <w:pPr>
        <w:pStyle w:val="Normal"/>
        <w:spacing w:lineRule="auto" w:line="240" w:before="0" w:after="0"/>
        <w:ind w:left="720" w:hanging="720"/>
        <w:rPr>
          <w:lang w:val="en-CA" w:eastAsia="en-CA"/>
        </w:rPr>
      </w:pPr>
      <w:r>
        <w:rPr>
          <w:lang w:val="en-CA" w:eastAsia="en-CA"/>
        </w:rPr>
        <w:t>4.</w:t>
        <w:tab/>
        <w:t>Fiscella K, Franks P, Doescher MP, Saver BG. Disparities in Health Care by Race, Ethnicity, and Language Among the Insured: Findings From a National Sample. In; 2002. p. 52.</w:t>
      </w:r>
    </w:p>
    <w:p>
      <w:pPr>
        <w:pStyle w:val="Normal"/>
        <w:spacing w:lineRule="auto" w:line="240" w:before="0" w:after="0"/>
        <w:ind w:left="720" w:hanging="720"/>
        <w:rPr>
          <w:lang w:val="en-CA" w:eastAsia="en-CA"/>
        </w:rPr>
      </w:pPr>
      <w:r>
        <w:rPr>
          <w:lang w:val="en-CA" w:eastAsia="en-CA"/>
        </w:rPr>
        <w:t>5.</w:t>
        <w:tab/>
        <w:t>Yu SM, Huang ZJ, Singh GK. Health Status and Health Services Utilization Among US Chinese, Asian Indian, Filipino, and Other Asian/Pacific Islander Children. Pediatrics 2004;113(1):101-107.</w:t>
      </w:r>
    </w:p>
    <w:p>
      <w:pPr>
        <w:pStyle w:val="Normal"/>
        <w:spacing w:lineRule="auto" w:line="240" w:before="0" w:after="0"/>
        <w:ind w:left="720" w:hanging="720"/>
        <w:rPr>
          <w:lang w:val="en-CA" w:eastAsia="en-CA"/>
        </w:rPr>
      </w:pPr>
      <w:r>
        <w:rPr>
          <w:lang w:val="en-CA" w:eastAsia="en-CA"/>
        </w:rPr>
        <w:t>6.</w:t>
        <w:tab/>
        <w:t>Quan H, Fong A, De Coster C, Wang J. Variation in health services utilization among ethnic populations. Canadian Medical Association.Journal 2006;174(6):787.</w:t>
      </w:r>
    </w:p>
    <w:p>
      <w:pPr>
        <w:pStyle w:val="Normal"/>
        <w:spacing w:lineRule="auto" w:line="240" w:before="0" w:after="0"/>
        <w:ind w:left="720" w:hanging="720"/>
        <w:rPr>
          <w:lang w:val="en-CA" w:eastAsia="en-CA"/>
        </w:rPr>
      </w:pPr>
      <w:r>
        <w:rPr>
          <w:lang w:val="en-CA" w:eastAsia="en-CA"/>
        </w:rPr>
        <w:t>7.</w:t>
        <w:tab/>
        <w:t>Hahn BA. Children's health: racial and ethnic differences in the use of prescription medications. In: Am Acad Pediatrics; 1995. p. 727-732.</w:t>
      </w:r>
    </w:p>
    <w:p>
      <w:pPr>
        <w:pStyle w:val="Normal"/>
        <w:spacing w:lineRule="auto" w:line="240" w:before="0" w:after="0"/>
        <w:ind w:left="720" w:hanging="720"/>
        <w:rPr>
          <w:lang w:val="en-CA" w:eastAsia="en-CA"/>
        </w:rPr>
      </w:pPr>
      <w:r>
        <w:rPr>
          <w:lang w:val="en-CA" w:eastAsia="en-CA"/>
        </w:rPr>
        <w:t>8.</w:t>
        <w:tab/>
        <w:t>Wang J, Noel JM, Zuckerman IH, Miller NA, Shaya FT, Mullins CD. Disparities in Access to Essential New Prescription Drugs between Non-Hispanic Whites, Non-Hispanic Blacks, and Hispanic Whites. Medical Care Research &amp; Review 2006;63(6):742.</w:t>
      </w:r>
    </w:p>
    <w:p>
      <w:pPr>
        <w:pStyle w:val="Normal"/>
        <w:spacing w:lineRule="auto" w:line="240" w:before="0" w:after="0"/>
        <w:ind w:left="720" w:hanging="720"/>
        <w:rPr>
          <w:lang w:val="en-CA" w:eastAsia="en-CA"/>
        </w:rPr>
      </w:pPr>
      <w:r>
        <w:rPr>
          <w:lang w:val="en-CA" w:eastAsia="en-CA"/>
        </w:rPr>
        <w:t>9.</w:t>
        <w:tab/>
        <w:t>Ringbäck Weitoft G, Ericsson Ö, Löfroth E, Rosén M. Equal access to treatment? Population-based follow-up of drugs dispensed to patients after acute myocardial infarction in Sweden. European Journal of Clinical Pharmacology 2008;64(4):417-424.</w:t>
      </w:r>
    </w:p>
    <w:p>
      <w:pPr>
        <w:pStyle w:val="Normal"/>
        <w:spacing w:lineRule="auto" w:line="240" w:before="0" w:after="0"/>
        <w:ind w:left="720" w:hanging="720"/>
        <w:rPr>
          <w:lang w:val="en-CA" w:eastAsia="en-CA"/>
        </w:rPr>
      </w:pPr>
      <w:r>
        <w:rPr>
          <w:lang w:val="en-CA" w:eastAsia="en-CA"/>
        </w:rPr>
        <w:t>10.</w:t>
        <w:tab/>
        <w:t>CIHI. National Health Expenditure Trends, 1975 to 2009. Ottawa: Canadian Institute for Health Information; 2009.</w:t>
      </w:r>
    </w:p>
    <w:p>
      <w:pPr>
        <w:pStyle w:val="Normal"/>
        <w:spacing w:lineRule="auto" w:line="240" w:before="0" w:after="0"/>
        <w:ind w:left="720" w:hanging="720"/>
        <w:rPr>
          <w:lang w:val="en-CA" w:eastAsia="en-CA"/>
        </w:rPr>
      </w:pPr>
      <w:r>
        <w:rPr>
          <w:lang w:val="en-CA" w:eastAsia="en-CA"/>
        </w:rPr>
        <w:t>11.</w:t>
        <w:tab/>
        <w:t>Statistics Canada. Canada's Ethnocultural Mosaic, 2006 Census. Ottawa: Statistics Canada; 2008.</w:t>
      </w:r>
    </w:p>
    <w:p>
      <w:pPr>
        <w:pStyle w:val="Normal"/>
        <w:spacing w:lineRule="auto" w:line="240" w:before="0" w:after="0"/>
        <w:ind w:left="720" w:hanging="720"/>
        <w:rPr>
          <w:lang w:val="en-CA" w:eastAsia="en-CA"/>
        </w:rPr>
      </w:pPr>
      <w:r>
        <w:rPr>
          <w:lang w:val="en-CA" w:eastAsia="en-CA"/>
        </w:rPr>
        <w:t>12.</w:t>
        <w:tab/>
        <w:t>Béland Y. Canadian community health survey--methodological overview. Health Reports 2002;13(3):9-14.</w:t>
      </w:r>
    </w:p>
    <w:p>
      <w:pPr>
        <w:pStyle w:val="Normal"/>
        <w:spacing w:lineRule="auto" w:line="240" w:before="0" w:after="0"/>
        <w:ind w:left="720" w:hanging="720"/>
        <w:rPr>
          <w:lang w:val="en-CA" w:eastAsia="en-CA"/>
        </w:rPr>
      </w:pPr>
      <w:r>
        <w:rPr>
          <w:lang w:val="en-CA" w:eastAsia="en-CA"/>
        </w:rPr>
        <w:t>13.</w:t>
        <w:tab/>
        <w:t>Weiner JP, Starfield BH, Steinwachs DM, Mumford LM. Development and application of a population-oriented measure of ambulatory care case-mix. Medical Care 1991;29(5):452-72.</w:t>
      </w:r>
    </w:p>
    <w:p>
      <w:pPr>
        <w:pStyle w:val="Normal"/>
        <w:spacing w:lineRule="auto" w:line="240" w:before="0" w:after="0"/>
        <w:ind w:left="720" w:hanging="720"/>
        <w:rPr>
          <w:lang w:val="en-CA" w:eastAsia="en-CA"/>
        </w:rPr>
      </w:pPr>
      <w:r>
        <w:rPr>
          <w:lang w:val="en-CA" w:eastAsia="en-CA"/>
        </w:rPr>
        <w:t>14.</w:t>
        <w:tab/>
        <w:t>Hanley GE, Morgan S, Reid RJ. Explaining Prescription Drug Use and Expenditures Using the Adjusted Clinical Groups Case-Mix System in the Population of British Columbia, Canada. Medical Care 2010;48(5):402-408 10.1097/MLR.0b013e3181ca3d5d.</w:t>
      </w:r>
    </w:p>
    <w:p>
      <w:pPr>
        <w:pStyle w:val="Normal"/>
        <w:spacing w:lineRule="auto" w:line="240" w:before="0" w:after="0"/>
        <w:ind w:left="720" w:hanging="720"/>
        <w:rPr>
          <w:lang w:val="en-CA" w:eastAsia="en-CA"/>
        </w:rPr>
      </w:pPr>
      <w:r>
        <w:rPr>
          <w:lang w:val="en-CA" w:eastAsia="en-CA"/>
        </w:rPr>
        <w:t>15.</w:t>
        <w:tab/>
        <w:t>Morgan S, Cunningham C, Hanley G, Mooney D. The BC Rx Atlas, 2nd Edition. Vancouver: Centre for Health Services and Policy Research; 2009 September.</w:t>
      </w:r>
    </w:p>
    <w:p>
      <w:pPr>
        <w:pStyle w:val="Normal"/>
        <w:spacing w:lineRule="auto" w:line="240" w:before="0" w:after="0"/>
        <w:ind w:left="720" w:hanging="720"/>
        <w:rPr>
          <w:lang w:val="en-CA" w:eastAsia="en-CA"/>
        </w:rPr>
      </w:pPr>
      <w:r>
        <w:rPr>
          <w:lang w:val="en-CA" w:eastAsia="en-CA"/>
        </w:rPr>
        <w:t>16.</w:t>
        <w:tab/>
        <w:t>Hanley G, Morgan S. On the validity of area-based income measures to proxy household income. BMC Health Services Research 2008;8(1):79.</w:t>
      </w:r>
    </w:p>
    <w:p>
      <w:pPr>
        <w:pStyle w:val="Normal"/>
        <w:spacing w:lineRule="auto" w:line="240" w:before="0" w:after="0"/>
        <w:ind w:left="720" w:hanging="720"/>
        <w:rPr>
          <w:lang w:val="en-CA" w:eastAsia="en-CA"/>
        </w:rPr>
      </w:pPr>
      <w:r>
        <w:rPr>
          <w:lang w:val="en-CA" w:eastAsia="en-CA"/>
        </w:rPr>
        <w:t>17.</w:t>
        <w:tab/>
        <w:t>Bhopal R. Race and ethnicity: Responsible use from epidemiological and public health perspectives. Journal of Law Medicine &amp; Ethics 2006;34(3):500-+.</w:t>
      </w:r>
    </w:p>
    <w:p>
      <w:pPr>
        <w:pStyle w:val="Normal"/>
        <w:spacing w:lineRule="auto" w:line="240" w:before="0" w:after="0"/>
        <w:ind w:left="720" w:hanging="720"/>
        <w:rPr>
          <w:lang w:val="en-CA" w:eastAsia="en-CA"/>
        </w:rPr>
      </w:pPr>
      <w:r>
        <w:rPr>
          <w:lang w:val="en-CA" w:eastAsia="en-CA"/>
        </w:rPr>
        <w:t>18.</w:t>
        <w:tab/>
        <w:t>Chiu M, Austin PC, Manuel DG, Tu JV. Comparison of cardiovascular risk profiles among ethnic groups using population health surveys between 1996 and 2007. CMAJ 2010:cmaj.091676.</w:t>
      </w:r>
    </w:p>
    <w:p>
      <w:pPr>
        <w:pStyle w:val="Normal"/>
        <w:spacing w:lineRule="auto" w:line="240" w:before="0" w:after="0"/>
        <w:ind w:left="720" w:hanging="720"/>
        <w:rPr>
          <w:lang w:val="en-CA" w:eastAsia="en-CA"/>
        </w:rPr>
      </w:pPr>
      <w:r>
        <w:rPr>
          <w:lang w:val="en-CA" w:eastAsia="en-CA"/>
        </w:rPr>
        <w:t>19.</w:t>
        <w:tab/>
        <w:t>Creatore MI, Moineddin R, Booth G, Manuel DH, DesMeules M, McDermott S, et al. Age- and sex-related prevalence of diabetes mellitus among immigrants to Ontario, Canada. CMAJ 2010:cmaj.091551.</w:t>
      </w:r>
    </w:p>
    <w:p>
      <w:pPr>
        <w:pStyle w:val="Normal"/>
        <w:spacing w:lineRule="auto" w:line="240" w:before="0" w:after="0"/>
        <w:ind w:left="720" w:hanging="720"/>
        <w:rPr>
          <w:lang w:val="en-CA" w:eastAsia="en-CA"/>
        </w:rPr>
      </w:pPr>
      <w:r>
        <w:rPr>
          <w:lang w:val="en-CA" w:eastAsia="en-CA"/>
        </w:rPr>
        <w:t>20.</w:t>
        <w:tab/>
        <w:t>Lin SS, Kelsey JL. Use of race and ethnicity in epidemiologic research: Concepts, methodological issues, and suggestions for research. Epidemiologic Reviews 2000;22(2):187-202.</w:t>
      </w:r>
    </w:p>
    <w:p>
      <w:pPr>
        <w:pStyle w:val="Normal"/>
        <w:spacing w:lineRule="auto" w:line="240" w:before="0" w:after="0"/>
        <w:ind w:left="720" w:hanging="720"/>
        <w:rPr>
          <w:lang w:val="en-CA" w:eastAsia="en-CA"/>
        </w:rPr>
      </w:pPr>
      <w:r>
        <w:rPr>
          <w:lang w:val="en-CA" w:eastAsia="en-CA"/>
        </w:rPr>
        <w:t>21.</w:t>
        <w:tab/>
        <w:t>Grunau GL, Ratner PA, Galdas PM, Hossain S. Ethnic and gender differences in patient education about heart disease risk and prevention. Patient Education and Counseling 2009;76(2):181-188.</w:t>
      </w:r>
    </w:p>
    <w:p>
      <w:pPr>
        <w:pStyle w:val="Normal"/>
        <w:spacing w:lineRule="auto" w:line="240" w:before="0" w:after="0"/>
        <w:ind w:left="720" w:hanging="720"/>
        <w:rPr>
          <w:lang w:val="en-CA" w:eastAsia="en-CA"/>
        </w:rPr>
      </w:pPr>
      <w:r>
        <w:rPr>
          <w:lang w:val="en-CA" w:eastAsia="en-CA"/>
        </w:rPr>
        <w:t>22.</w:t>
        <w:tab/>
        <w:t>Marshall E, Wong S, Haggerty J, Levesque J-F. Perceptions of unmet healthcare needs: what do Punjabi and Chinese-speaking immigrants think? A qualitative study. BMC Health Services Research 2010;10(1):46.</w:t>
      </w:r>
    </w:p>
    <w:p>
      <w:pPr>
        <w:pStyle w:val="Normal"/>
        <w:spacing w:lineRule="auto" w:line="240" w:before="0" w:after="0"/>
        <w:ind w:left="720" w:hanging="720"/>
        <w:rPr>
          <w:lang w:val="en-CA" w:eastAsia="en-CA"/>
        </w:rPr>
      </w:pPr>
      <w:r>
        <w:rPr>
          <w:lang w:val="en-CA" w:eastAsia="en-CA"/>
        </w:rPr>
      </w:r>
    </w:p>
    <w:p>
      <w:pPr>
        <w:pStyle w:val="Normal"/>
        <w:tabs>
          <w:tab w:val="left" w:pos="7440" w:leader="none"/>
        </w:tabs>
        <w:rPr>
          <w:lang w:val="en-CA"/>
        </w:rPr>
      </w:pPr>
      <w:bookmarkStart w:id="22" w:name="__Fieldmark__502_1322453857"/>
      <w:bookmarkEnd w:id="22"/>
      <w:r>
        <w:rPr>
          <w:lang w:val="en-CA" w:eastAsia="en-CA"/>
        </w:rPr>
      </w:r>
      <w:r>
        <w:fldChar w:fldCharType="end"/>
      </w:r>
      <w:r>
        <w:br w:type="page"/>
      </w:r>
    </w:p>
    <w:p>
      <w:pPr>
        <w:pStyle w:val="Heading1"/>
        <w:numPr>
          <w:ilvl w:val="0"/>
          <w:numId w:val="1"/>
        </w:numPr>
        <w:ind w:hanging="0"/>
        <w:rPr>
          <w:lang w:val="en-CA"/>
        </w:rPr>
      </w:pPr>
      <w:r>
        <w:rPr>
          <w:lang w:val="en-CA"/>
        </w:rPr>
        <w:t xml:space="preserve">Appendix A </w:t>
      </w:r>
    </w:p>
    <w:p>
      <w:pPr>
        <w:pStyle w:val="Caption"/>
        <w:rPr>
          <w:lang w:val="en-CA"/>
        </w:rPr>
      </w:pPr>
      <w:r>
        <w:rPr/>
        <w:t xml:space="preserve">Figure </w:t>
      </w:r>
      <w:r>
        <w:rPr/>
        <w:fldChar w:fldCharType="begin"/>
      </w:r>
      <w:r>
        <w:instrText> SEQ Figure \* ARABIC </w:instrText>
      </w:r>
      <w:r>
        <w:fldChar w:fldCharType="separate"/>
      </w:r>
      <w:r>
        <w:t>1</w:t>
      </w:r>
      <w:r>
        <w:fldChar w:fldCharType="end"/>
      </w:r>
      <w:r>
        <w:rPr/>
        <w:t xml:space="preserve"> : Sample description information</w:t>
      </w:r>
    </w:p>
    <w:p>
      <w:pPr>
        <w:pStyle w:val="NoSpacing"/>
        <w:rPr>
          <w:lang w:val="en-CA"/>
        </w:rPr>
      </w:pPr>
      <w:r>
        <w:rPr>
          <w:lang w:val="en-CA"/>
        </w:rPr>
        <mc:AlternateContent>
          <mc:Choice Requires="wpg">
            <w:drawing>
              <wp:inline distT="0" distB="0" distL="0" distR="0">
                <wp:extent cx="5321300" cy="6882765"/>
                <wp:effectExtent l="0" t="0" r="0" b="0"/>
                <wp:docPr id="1" name=""/>
                <a:graphic xmlns:a="http://schemas.openxmlformats.org/drawingml/2006/main">
                  <a:graphicData uri="http://schemas.microsoft.com/office/word/2010/wordprocessingGroup">
                    <wpg:wgp>
                      <wpg:cNvGrpSpPr/>
                      <wpg:grpSpPr>
                        <a:xfrm>
                          <a:off x="0" y="0"/>
                          <a:ext cx="5320800" cy="6882120"/>
                        </a:xfrm>
                      </wpg:grpSpPr>
                      <wps:wsp>
                        <wps:cNvSpPr/>
                        <wps:nvSpPr>
                          <wps:cNvPr id="0" name="Rectangle 1"/>
                          <wps:cNvSpPr/>
                        </wps:nvSpPr>
                        <wps:spPr>
                          <a:xfrm>
                            <a:off x="0" y="0"/>
                            <a:ext cx="5320800" cy="6882120"/>
                          </a:xfrm>
                          <a:prstGeom prst="rect">
                            <a:avLst/>
                          </a:prstGeom>
                          <a:noFill/>
                          <a:ln>
                            <a:noFill/>
                          </a:ln>
                        </wps:spPr>
                        <wps:bodyPr/>
                      </wps:wsp>
                      <wpg:grpSp>
                        <wpg:cNvGrpSpPr/>
                        <wpg:grpSpPr>
                          <a:xfrm>
                            <a:off x="685800" y="47520"/>
                            <a:ext cx="1943280" cy="922680"/>
                          </a:xfrm>
                        </wpg:grpSpPr>
                        <wps:wsp>
                          <wps:cNvSpPr/>
                          <wps:spPr>
                            <a:xfrm>
                              <a:off x="0" y="0"/>
                              <a:ext cx="1943280" cy="9226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14480" y="68760"/>
                              <a:ext cx="1714680" cy="78408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All BC respondents who agreed to have CCHS data linked</w:t>
                                </w:r>
                              </w:p>
                              <w:p>
                                <w:pPr>
                                  <w:bidi w:val="0"/>
                                  <w:spacing w:before="0" w:after="0" w:lineRule="auto" w:line="240"/>
                                  <w:ind w:hanging="0"/>
                                  <w:jc w:val="center"/>
                                  <w:rPr/>
                                </w:pPr>
                                <w:r>
                                  <w:rPr>
                                    <w:sz w:val="22"/>
                                    <w:szCs w:val="22"/>
                                    <w:rFonts w:ascii="Calibri" w:hAnsi="Calibri" w:eastAsia="SimSun;宋体" w:cs="Times New Roman"/>
                                    <w:color w:val="auto"/>
                                    <w:lang w:val="en-US" w:bidi="en-US"/>
                                  </w:rPr>
                                  <w:t>n= 30,062</w:t>
                                </w:r>
                              </w:p>
                            </w:txbxContent>
                          </wps:txbx>
                          <wps:bodyPr wrap="square">
                            <a:noAutofit/>
                          </wps:bodyPr>
                        </wps:wsp>
                      </wpg:grpSp>
                      <wpg:grpSp>
                        <wpg:cNvGrpSpPr/>
                        <wpg:grpSpPr>
                          <a:xfrm>
                            <a:off x="685800" y="1341720"/>
                            <a:ext cx="1943280" cy="1029240"/>
                          </a:xfrm>
                        </wpg:grpSpPr>
                        <wps:wsp>
                          <wps:cNvSpPr/>
                          <wps:spPr>
                            <a:xfrm>
                              <a:off x="0" y="0"/>
                              <a:ext cx="1943280" cy="102924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14480" y="114840"/>
                              <a:ext cx="1714680" cy="80028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BC respondents residing in BC for at least 275 days during 2005</w:t>
                                </w:r>
                              </w:p>
                              <w:p>
                                <w:pPr>
                                  <w:bidi w:val="0"/>
                                  <w:spacing w:before="0" w:after="0" w:lineRule="auto" w:line="240"/>
                                  <w:ind w:hanging="0"/>
                                  <w:jc w:val="center"/>
                                  <w:rPr/>
                                </w:pPr>
                                <w:r>
                                  <w:rPr>
                                    <w:sz w:val="22"/>
                                    <w:szCs w:val="22"/>
                                    <w:rFonts w:ascii="Calibri" w:hAnsi="Calibri" w:eastAsia="SimSun;宋体" w:cs="Times New Roman"/>
                                    <w:color w:val="auto"/>
                                    <w:lang w:val="en-US" w:bidi="en-US"/>
                                  </w:rPr>
                                  <w:t>n=29,013</w:t>
                                </w:r>
                              </w:p>
                            </w:txbxContent>
                          </wps:txbx>
                          <wps:bodyPr wrap="square">
                            <a:noAutofit/>
                          </wps:bodyPr>
                        </wps:wsp>
                      </wpg:grpSp>
                      <wps:wsp>
                        <wps:cNvSpPr/>
                        <wps:spPr>
                          <a:xfrm>
                            <a:off x="1652400" y="970920"/>
                            <a:ext cx="720" cy="370800"/>
                          </a:xfrm>
                          <a:prstGeom prst="line">
                            <a:avLst/>
                          </a:prstGeom>
                          <a:ln w="9360">
                            <a:solidFill>
                              <a:srgbClr val="000000"/>
                            </a:solidFill>
                            <a:miter/>
                            <a:tailEnd len="med" type="triangle" w="med"/>
                          </a:ln>
                        </wps:spPr>
                        <wps:bodyPr/>
                      </wps:wsp>
                      <wps:wsp>
                        <wps:cNvSpPr/>
                        <wps:spPr>
                          <a:xfrm>
                            <a:off x="1653480" y="1081440"/>
                            <a:ext cx="1371600" cy="720"/>
                          </a:xfrm>
                          <a:prstGeom prst="line">
                            <a:avLst/>
                          </a:prstGeom>
                          <a:ln w="9360">
                            <a:solidFill>
                              <a:srgbClr val="000000"/>
                            </a:solidFill>
                            <a:miter/>
                            <a:tailEnd len="med" type="triangle" w="med"/>
                          </a:ln>
                        </wps:spPr>
                        <wps:bodyPr/>
                      </wps:wsp>
                      <wpg:grpSp>
                        <wpg:cNvGrpSpPr/>
                        <wpg:grpSpPr>
                          <a:xfrm>
                            <a:off x="3025080" y="556920"/>
                            <a:ext cx="2137320" cy="1039320"/>
                          </a:xfrm>
                        </wpg:grpSpPr>
                        <wps:wsp>
                          <wps:cNvSpPr/>
                          <wps:spPr>
                            <a:xfrm>
                              <a:off x="0" y="0"/>
                              <a:ext cx="2137320" cy="103932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16280" y="107280"/>
                              <a:ext cx="1905120" cy="82440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 xml:space="preserve">Eliminated those who did not reside in BC for at least 275 days during 2005 </w:t>
                                </w:r>
                              </w:p>
                              <w:p>
                                <w:pPr>
                                  <w:bidi w:val="0"/>
                                  <w:spacing w:before="0" w:after="0" w:lineRule="auto" w:line="240"/>
                                  <w:ind w:hanging="0"/>
                                  <w:jc w:val="center"/>
                                  <w:rPr/>
                                </w:pPr>
                                <w:r>
                                  <w:rPr>
                                    <w:sz w:val="22"/>
                                    <w:szCs w:val="22"/>
                                    <w:rFonts w:ascii="Calibri" w:hAnsi="Calibri" w:eastAsia="SimSun;宋体" w:cs="Times New Roman"/>
                                    <w:color w:val="auto"/>
                                    <w:lang w:val="en-US" w:bidi="en-US"/>
                                  </w:rPr>
                                  <w:t>n=1,049</w:t>
                                </w:r>
                              </w:p>
                            </w:txbxContent>
                          </wps:txbx>
                          <wps:bodyPr wrap="square">
                            <a:noAutofit/>
                          </wps:bodyPr>
                        </wps:wsp>
                      </wpg:grpSp>
                      <wpg:grpSp>
                        <wpg:cNvGrpSpPr/>
                        <wpg:grpSpPr>
                          <a:xfrm>
                            <a:off x="685800" y="2831400"/>
                            <a:ext cx="1943280" cy="1029240"/>
                          </a:xfrm>
                        </wpg:grpSpPr>
                        <wps:wsp>
                          <wps:cNvSpPr/>
                          <wps:spPr>
                            <a:xfrm>
                              <a:off x="0" y="0"/>
                              <a:ext cx="1943280" cy="102924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85680" y="51480"/>
                              <a:ext cx="1771560" cy="92520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Non-aboriginal BC respondents residing in BC for at least 275 days during 2005</w:t>
                                </w:r>
                              </w:p>
                              <w:p>
                                <w:pPr>
                                  <w:bidi w:val="0"/>
                                  <w:spacing w:before="0" w:after="0" w:lineRule="auto" w:line="240"/>
                                  <w:ind w:hanging="0"/>
                                  <w:jc w:val="center"/>
                                  <w:rPr/>
                                </w:pPr>
                                <w:r>
                                  <w:rPr>
                                    <w:sz w:val="22"/>
                                    <w:szCs w:val="22"/>
                                    <w:rFonts w:ascii="Calibri" w:hAnsi="Calibri" w:eastAsia="SimSun;宋体" w:cs="Times New Roman"/>
                                    <w:color w:val="auto"/>
                                    <w:lang w:val="en-US" w:bidi="en-US"/>
                                  </w:rPr>
                                  <w:t>n=28,408</w:t>
                                </w:r>
                              </w:p>
                            </w:txbxContent>
                          </wps:txbx>
                          <wps:bodyPr wrap="square">
                            <a:noAutofit/>
                          </wps:bodyPr>
                        </wps:wsp>
                      </wpg:grpSp>
                      <wps:wsp>
                        <wps:cNvSpPr/>
                        <wps:spPr>
                          <a:xfrm>
                            <a:off x="1651680" y="2370960"/>
                            <a:ext cx="720" cy="460440"/>
                          </a:xfrm>
                          <a:prstGeom prst="line">
                            <a:avLst/>
                          </a:prstGeom>
                          <a:ln w="9360">
                            <a:solidFill>
                              <a:srgbClr val="000000"/>
                            </a:solidFill>
                            <a:miter/>
                            <a:tailEnd len="med" type="triangle" w="med"/>
                          </a:ln>
                        </wps:spPr>
                        <wps:bodyPr/>
                      </wps:wsp>
                      <wps:wsp>
                        <wps:cNvSpPr/>
                        <wps:spPr>
                          <a:xfrm>
                            <a:off x="1654200" y="2627640"/>
                            <a:ext cx="1371600" cy="720"/>
                          </a:xfrm>
                          <a:prstGeom prst="line">
                            <a:avLst/>
                          </a:prstGeom>
                          <a:ln w="9360">
                            <a:solidFill>
                              <a:srgbClr val="000000"/>
                            </a:solidFill>
                            <a:miter/>
                            <a:tailEnd len="med" type="triangle" w="med"/>
                          </a:ln>
                        </wps:spPr>
                        <wps:bodyPr/>
                      </wps:wsp>
                      <wpg:grpSp>
                        <wpg:cNvGrpSpPr/>
                        <wpg:grpSpPr>
                          <a:xfrm>
                            <a:off x="3025080" y="2218680"/>
                            <a:ext cx="2137320" cy="835560"/>
                          </a:xfrm>
                        </wpg:grpSpPr>
                        <wps:wsp>
                          <wps:cNvSpPr/>
                          <wps:spPr>
                            <a:xfrm>
                              <a:off x="0" y="0"/>
                              <a:ext cx="2137320" cy="83556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17000" y="103680"/>
                              <a:ext cx="1901880" cy="62856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Eliminated aboriginal respondents</w:t>
                                </w:r>
                              </w:p>
                              <w:p>
                                <w:pPr>
                                  <w:bidi w:val="0"/>
                                  <w:spacing w:before="0" w:after="0" w:lineRule="auto" w:line="240"/>
                                  <w:ind w:hanging="0"/>
                                  <w:jc w:val="center"/>
                                  <w:rPr/>
                                </w:pPr>
                                <w:r>
                                  <w:rPr>
                                    <w:sz w:val="22"/>
                                    <w:szCs w:val="22"/>
                                    <w:rFonts w:ascii="Calibri" w:hAnsi="Calibri" w:eastAsia="SimSun;宋体" w:cs="Times New Roman"/>
                                    <w:color w:val="auto"/>
                                    <w:lang w:val="en-US" w:bidi="en-US"/>
                                  </w:rPr>
                                  <w:t>n=605</w:t>
                                </w:r>
                              </w:p>
                            </w:txbxContent>
                          </wps:txbx>
                          <wps:bodyPr wrap="square">
                            <a:noAutofit/>
                          </wps:bodyPr>
                        </wps:wsp>
                      </wpg:grpSp>
                      <wpg:grpSp>
                        <wpg:cNvGrpSpPr/>
                        <wpg:grpSpPr>
                          <a:xfrm>
                            <a:off x="685800" y="4282920"/>
                            <a:ext cx="1943280" cy="1029240"/>
                          </a:xfrm>
                        </wpg:grpSpPr>
                        <wps:wsp>
                          <wps:cNvSpPr/>
                          <wps:spPr>
                            <a:xfrm>
                              <a:off x="0" y="0"/>
                              <a:ext cx="1943280" cy="102924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14480" y="57240"/>
                              <a:ext cx="1714680" cy="91440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 xml:space="preserve">Urban non-aboriginal BC respondents residing in BC for at least 275 days during 2005 </w:t>
                                </w:r>
                              </w:p>
                              <w:p>
                                <w:pPr>
                                  <w:bidi w:val="0"/>
                                  <w:spacing w:before="0" w:after="0" w:lineRule="auto" w:line="240"/>
                                  <w:ind w:hanging="0"/>
                                  <w:jc w:val="center"/>
                                  <w:rPr/>
                                </w:pPr>
                                <w:r>
                                  <w:rPr>
                                    <w:sz w:val="22"/>
                                    <w:szCs w:val="22"/>
                                    <w:rFonts w:ascii="Calibri" w:hAnsi="Calibri" w:eastAsia="SimSun;宋体" w:cs="Times New Roman"/>
                                    <w:color w:val="auto"/>
                                    <w:lang w:val="en-US" w:bidi="en-US"/>
                                  </w:rPr>
                                  <w:t>n=20,387</w:t>
                                </w:r>
                              </w:p>
                            </w:txbxContent>
                          </wps:txbx>
                          <wps:bodyPr wrap="square">
                            <a:noAutofit/>
                          </wps:bodyPr>
                        </wps:wsp>
                      </wpg:grpSp>
                      <wps:wsp>
                        <wps:cNvSpPr/>
                        <wps:spPr>
                          <a:xfrm>
                            <a:off x="1654200" y="3860640"/>
                            <a:ext cx="720" cy="422280"/>
                          </a:xfrm>
                          <a:prstGeom prst="line">
                            <a:avLst/>
                          </a:prstGeom>
                          <a:ln w="9360">
                            <a:solidFill>
                              <a:srgbClr val="000000"/>
                            </a:solidFill>
                            <a:miter/>
                            <a:tailEnd len="med" type="triangle" w="med"/>
                          </a:ln>
                        </wps:spPr>
                        <wps:bodyPr/>
                      </wps:wsp>
                      <wps:wsp>
                        <wps:cNvSpPr/>
                        <wps:spPr>
                          <a:xfrm>
                            <a:off x="1654920" y="4051800"/>
                            <a:ext cx="1371600" cy="720"/>
                          </a:xfrm>
                          <a:prstGeom prst="line">
                            <a:avLst/>
                          </a:prstGeom>
                          <a:ln w="9360">
                            <a:solidFill>
                              <a:srgbClr val="000000"/>
                            </a:solidFill>
                            <a:miter/>
                            <a:tailEnd len="med" type="triangle" w="med"/>
                          </a:ln>
                        </wps:spPr>
                        <wps:bodyPr/>
                      </wps:wsp>
                      <wpg:grpSp>
                        <wpg:cNvGrpSpPr/>
                        <wpg:grpSpPr>
                          <a:xfrm>
                            <a:off x="3026880" y="4879800"/>
                            <a:ext cx="2137320" cy="1412280"/>
                          </a:xfrm>
                        </wpg:grpSpPr>
                        <wps:wsp>
                          <wps:cNvSpPr/>
                          <wps:spPr>
                            <a:xfrm>
                              <a:off x="0" y="0"/>
                              <a:ext cx="2137320" cy="14122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75600" y="55440"/>
                              <a:ext cx="1986120" cy="129996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Eliminated those who lived in areas with high rates of non-fee-for-service medical care</w:t>
                                </w:r>
                              </w:p>
                              <w:p>
                                <w:pPr>
                                  <w:bidi w:val="0"/>
                                  <w:spacing w:before="0" w:after="0" w:lineRule="auto" w:line="240"/>
                                  <w:ind w:hanging="0"/>
                                  <w:jc w:val="center"/>
                                  <w:rPr/>
                                </w:pPr>
                                <w:r>
                                  <w:rPr>
                                    <w:sz w:val="22"/>
                                    <w:szCs w:val="22"/>
                                    <w:rFonts w:ascii="Calibri" w:hAnsi="Calibri" w:eastAsia="SimSun;宋体" w:cs="Times New Roman"/>
                                    <w:color w:val="auto"/>
                                    <w:lang w:val="en-US" w:bidi="en-US"/>
                                  </w:rPr>
                                  <w:t>n=963</w:t>
                                </w:r>
                              </w:p>
                              <w:p>
                                <w:pPr>
                                  <w:bidi w:val="0"/>
                                  <w:spacing w:before="0" w:after="0" w:lineRule="auto" w:line="240"/>
                                  <w:ind w:hanging="0"/>
                                  <w:jc w:val="center"/>
                                  <w:rPr/>
                                </w:pPr>
                                <w:r>
                                  <w:rPr>
                                    <w:sz w:val="22"/>
                                    <w:szCs w:val="22"/>
                                    <w:rFonts w:ascii="Calibri" w:hAnsi="Calibri" w:eastAsia="SimSun;宋体" w:cs="Times New Roman"/>
                                    <w:color w:val="auto"/>
                                    <w:lang w:val="en-US" w:bidi="en-US"/>
                                  </w:rPr>
                                  <w:t>Eliminated those with missing data</w:t>
                                </w:r>
                              </w:p>
                              <w:p>
                                <w:pPr>
                                  <w:bidi w:val="0"/>
                                  <w:spacing w:before="0" w:after="0" w:lineRule="auto" w:line="240"/>
                                  <w:ind w:hanging="0"/>
                                  <w:jc w:val="center"/>
                                  <w:rPr/>
                                </w:pPr>
                                <w:r>
                                  <w:rPr>
                                    <w:sz w:val="22"/>
                                    <w:szCs w:val="22"/>
                                    <w:rFonts w:ascii="Calibri" w:hAnsi="Calibri" w:eastAsia="SimSun;宋体" w:cs="Times New Roman"/>
                                    <w:color w:val="auto"/>
                                    <w:lang w:val="en-US" w:bidi="en-US"/>
                                  </w:rPr>
                                  <w:t>n=54</w:t>
                                </w:r>
                              </w:p>
                              <w:p>
                                <w:pPr>
                                  <w:bidi w:val="0"/>
                                  <w:spacing w:before="0" w:after="0" w:lineRule="auto" w:line="240"/>
                                  <w:ind w:hanging="0"/>
                                  <w:jc w:val="center"/>
                                  <w:rPr/>
                                </w:pPr>
                                <w:r>
                                  <w:rPr/>
                                </w:r>
                              </w:p>
                            </w:txbxContent>
                          </wps:txbx>
                          <wps:bodyPr wrap="square">
                            <a:noAutofit/>
                          </wps:bodyPr>
                        </wps:wsp>
                      </wpg:grpSp>
                      <wps:wsp>
                        <wps:cNvSpPr/>
                        <wps:spPr>
                          <a:xfrm>
                            <a:off x="1654920" y="5312520"/>
                            <a:ext cx="720" cy="414720"/>
                          </a:xfrm>
                          <a:prstGeom prst="line">
                            <a:avLst/>
                          </a:prstGeom>
                          <a:ln w="9360">
                            <a:solidFill>
                              <a:srgbClr val="000000"/>
                            </a:solidFill>
                            <a:miter/>
                            <a:tailEnd len="med" type="triangle" w="med"/>
                          </a:ln>
                        </wps:spPr>
                        <wps:bodyPr/>
                      </wps:wsp>
                      <wps:wsp>
                        <wps:cNvSpPr/>
                        <wps:spPr>
                          <a:xfrm>
                            <a:off x="1655280" y="5495760"/>
                            <a:ext cx="1371600" cy="720"/>
                          </a:xfrm>
                          <a:prstGeom prst="line">
                            <a:avLst/>
                          </a:prstGeom>
                          <a:ln w="9360">
                            <a:solidFill>
                              <a:srgbClr val="000000"/>
                            </a:solidFill>
                            <a:miter/>
                            <a:tailEnd len="med" type="triangle" w="med"/>
                          </a:ln>
                        </wps:spPr>
                        <wps:bodyPr/>
                      </wps:wsp>
                      <wpg:grpSp>
                        <wpg:cNvGrpSpPr/>
                        <wpg:grpSpPr>
                          <a:xfrm>
                            <a:off x="685800" y="5727240"/>
                            <a:ext cx="1943280" cy="1029240"/>
                          </a:xfrm>
                        </wpg:grpSpPr>
                        <wps:wsp>
                          <wps:cNvSpPr/>
                          <wps:spPr>
                            <a:xfrm>
                              <a:off x="0" y="0"/>
                              <a:ext cx="1943280" cy="102924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14480" y="48240"/>
                              <a:ext cx="1714680" cy="93168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Final sample of urban non-aboriginal BC respondents residing in BC for at least 275 days during 2005</w:t>
                                </w:r>
                              </w:p>
                              <w:p>
                                <w:pPr>
                                  <w:bidi w:val="0"/>
                                  <w:spacing w:before="0" w:after="0" w:lineRule="auto" w:line="240"/>
                                  <w:ind w:hanging="0"/>
                                  <w:jc w:val="center"/>
                                  <w:rPr/>
                                </w:pPr>
                                <w:r>
                                  <w:rPr>
                                    <w:sz w:val="22"/>
                                    <w:szCs w:val="22"/>
                                    <w:rFonts w:ascii="Calibri" w:hAnsi="Calibri" w:eastAsia="SimSun;宋体" w:cs="Times New Roman"/>
                                    <w:color w:val="auto"/>
                                    <w:lang w:val="en-US" w:bidi="en-US"/>
                                  </w:rPr>
                                  <w:t>n=19,370</w:t>
                                </w:r>
                              </w:p>
                            </w:txbxContent>
                          </wps:txbx>
                          <wps:bodyPr wrap="square">
                            <a:noAutofit/>
                          </wps:bodyPr>
                        </wps:wsp>
                      </wpg:grpSp>
                      <wpg:grpSp>
                        <wpg:cNvGrpSpPr/>
                        <wpg:grpSpPr>
                          <a:xfrm>
                            <a:off x="3025080" y="3590280"/>
                            <a:ext cx="2137320" cy="1000080"/>
                          </a:xfrm>
                        </wpg:grpSpPr>
                        <wps:wsp>
                          <wps:cNvSpPr/>
                          <wps:spPr>
                            <a:xfrm>
                              <a:off x="0" y="0"/>
                              <a:ext cx="2137320" cy="1000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20240" y="100440"/>
                              <a:ext cx="1895400" cy="798840"/>
                            </a:xfrm>
                            <a:prstGeom prst="rect">
                              <a:avLst/>
                            </a:prstGeom>
                            <a:solidFill>
                              <a:srgbClr val="ffffff"/>
                            </a:solidFill>
                            <a:ln>
                              <a:noFill/>
                            </a:ln>
                          </wps:spPr>
                          <wps:txb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Eliminated respondents living in areas characterized as rural or mixed urban-rural</w:t>
                                </w:r>
                              </w:p>
                              <w:p>
                                <w:pPr>
                                  <w:bidi w:val="0"/>
                                  <w:spacing w:before="0" w:after="0" w:lineRule="auto" w:line="240"/>
                                  <w:ind w:hanging="0"/>
                                  <w:jc w:val="center"/>
                                  <w:rPr/>
                                </w:pPr>
                                <w:r>
                                  <w:rPr>
                                    <w:sz w:val="22"/>
                                    <w:szCs w:val="22"/>
                                    <w:rFonts w:ascii="Calibri" w:hAnsi="Calibri" w:eastAsia="SimSun;宋体" w:cs="Times New Roman"/>
                                    <w:color w:val="auto"/>
                                    <w:lang w:val="en-US" w:bidi="en-US"/>
                                  </w:rPr>
                                  <w:t>n=8,021</w:t>
                                </w:r>
                              </w:p>
                            </w:txbxContent>
                          </wps:txbx>
                          <wps:bodyPr wrap="square">
                            <a:noAutofit/>
                          </wps:bodyPr>
                        </wps:wsp>
                      </wpg:grpSp>
                    </wpg:wgp>
                  </a:graphicData>
                </a:graphic>
              </wp:inline>
            </w:drawing>
          </mc:Choice>
          <mc:Fallback>
            <w:pict>
              <v:group id="shape_0" style="position:absolute;margin-left:0pt;margin-top:0pt;width:418.95pt;height:541.9pt" coordorigin="0,0" coordsize="8379,10838">
                <v:rect id="shape_0" stroked="f" style="position:absolute;left:0;top:0;width:8378;height:10837;mso-position-horizontal-relative:char">
                  <w10:wrap type="none"/>
                  <v:fill on="false" o:detectmouseclick="t"/>
                  <v:stroke color="#3465a4" joinstyle="round" endcap="flat"/>
                </v:rect>
                <v:group id="shape_0" style="position:absolute;left:1080;top:75;width:3060;height:1453">
                  <v:rect id="shape_0" fillcolor="white" stroked="t" style="position:absolute;left:1080;top:75;width:3059;height:1452;mso-position-horizontal-relative:char">
                    <w10:wrap type="none"/>
                    <v:fill type="solid" color2="black" o:detectmouseclick="t"/>
                    <v:stroke color="black" weight="9360" joinstyle="miter" endcap="square"/>
                  </v:rect>
                  <v:shapetype id="shapetype_202" coordsize="21600,21600" o:spt="202" path="m,l,21600l21600,21600l21600,xe">
                    <v:stroke joinstyle="miter"/>
                    <v:path gradientshapeok="t" o:connecttype="rect"/>
                  </v:shapetype>
                  <v:shape id="shape_0" fillcolor="white" stroked="f" style="position:absolute;left:1260;top:183;width:2699;height:1234;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All BC respondents who agreed to have CCHS data linked</w:t>
                          </w:r>
                        </w:p>
                        <w:p>
                          <w:pPr>
                            <w:bidi w:val="0"/>
                            <w:spacing w:before="0" w:after="0" w:lineRule="auto" w:line="240"/>
                            <w:ind w:hanging="0"/>
                            <w:jc w:val="center"/>
                            <w:rPr/>
                          </w:pPr>
                          <w:r>
                            <w:rPr>
                              <w:sz w:val="22"/>
                              <w:szCs w:val="22"/>
                              <w:rFonts w:ascii="Calibri" w:hAnsi="Calibri" w:eastAsia="SimSun;宋体" w:cs="Times New Roman"/>
                              <w:color w:val="auto"/>
                              <w:lang w:val="en-US" w:bidi="en-US"/>
                            </w:rPr>
                            <w:t>n= 30,062</w:t>
                          </w:r>
                        </w:p>
                      </w:txbxContent>
                    </v:textbox>
                    <w10:wrap type="square"/>
                    <v:fill type="solid" color2="black" o:detectmouseclick="t"/>
                    <v:stroke color="#3465a4" joinstyle="round" endcap="flat"/>
                  </v:shape>
                </v:group>
                <v:group id="shape_0" style="position:absolute;left:1080;top:2113;width:3060;height:1621">
                  <v:rect id="shape_0" fillcolor="white" stroked="t" style="position:absolute;left:1080;top:2113;width:3059;height:1620;mso-position-horizontal-relative:char">
                    <w10:wrap type="none"/>
                    <v:fill type="solid" color2="black" o:detectmouseclick="t"/>
                    <v:stroke color="black" weight="9360" joinstyle="miter" endcap="square"/>
                  </v:rect>
                  <v:shape id="shape_0" fillcolor="white" stroked="f" style="position:absolute;left:1260;top:2294;width:2699;height:1259;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BC respondents residing in BC for at least 275 days during 2005</w:t>
                          </w:r>
                        </w:p>
                        <w:p>
                          <w:pPr>
                            <w:bidi w:val="0"/>
                            <w:spacing w:before="0" w:after="0" w:lineRule="auto" w:line="240"/>
                            <w:ind w:hanging="0"/>
                            <w:jc w:val="center"/>
                            <w:rPr/>
                          </w:pPr>
                          <w:r>
                            <w:rPr>
                              <w:sz w:val="22"/>
                              <w:szCs w:val="22"/>
                              <w:rFonts w:ascii="Calibri" w:hAnsi="Calibri" w:eastAsia="SimSun;宋体" w:cs="Times New Roman"/>
                              <w:color w:val="auto"/>
                              <w:lang w:val="en-US" w:bidi="en-US"/>
                            </w:rPr>
                            <w:t>n=29,013</w:t>
                          </w:r>
                        </w:p>
                      </w:txbxContent>
                    </v:textbox>
                    <w10:wrap type="square"/>
                    <v:fill type="solid" color2="black" o:detectmouseclick="t"/>
                    <v:stroke color="#3465a4" joinstyle="round" endcap="flat"/>
                  </v:shape>
                </v:group>
                <v:line id="shape_0" from="2602,1529" to="2602,2112" stroked="t" style="position:absolute;mso-position-horizontal-relative:char">
                  <v:stroke color="black" weight="9360" endarrow="block" endarrowwidth="medium" endarrowlength="medium" joinstyle="miter" endcap="square"/>
                  <v:fill on="false" o:detectmouseclick="t"/>
                </v:line>
                <v:line id="shape_0" from="2604,1703" to="4763,1703" stroked="t" style="position:absolute;mso-position-horizontal-relative:char">
                  <v:stroke color="black" weight="9360" endarrow="block" endarrowwidth="medium" endarrowlength="medium" joinstyle="miter" endcap="square"/>
                  <v:fill on="false" o:detectmouseclick="t"/>
                </v:line>
                <v:group id="shape_0" style="position:absolute;left:4764;top:877;width:3366;height:1637">
                  <v:rect id="shape_0" fillcolor="white" stroked="t" style="position:absolute;left:4764;top:877;width:3365;height:1636;mso-position-horizontal-relative:char">
                    <w10:wrap type="none"/>
                    <v:fill type="solid" color2="black" o:detectmouseclick="t"/>
                    <v:stroke color="black" weight="9360" joinstyle="miter" endcap="square"/>
                  </v:rect>
                  <v:shape id="shape_0" fillcolor="white" stroked="f" style="position:absolute;left:4947;top:1046;width:2999;height:1297;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 xml:space="preserve">Eliminated those who did not reside in BC for at least 275 days during 2005 </w:t>
                          </w:r>
                        </w:p>
                        <w:p>
                          <w:pPr>
                            <w:bidi w:val="0"/>
                            <w:spacing w:before="0" w:after="0" w:lineRule="auto" w:line="240"/>
                            <w:ind w:hanging="0"/>
                            <w:jc w:val="center"/>
                            <w:rPr/>
                          </w:pPr>
                          <w:r>
                            <w:rPr>
                              <w:sz w:val="22"/>
                              <w:szCs w:val="22"/>
                              <w:rFonts w:ascii="Calibri" w:hAnsi="Calibri" w:eastAsia="SimSun;宋体" w:cs="Times New Roman"/>
                              <w:color w:val="auto"/>
                              <w:lang w:val="en-US" w:bidi="en-US"/>
                            </w:rPr>
                            <w:t>n=1,049</w:t>
                          </w:r>
                        </w:p>
                      </w:txbxContent>
                    </v:textbox>
                    <w10:wrap type="square"/>
                    <v:fill type="solid" color2="black" o:detectmouseclick="t"/>
                    <v:stroke color="#3465a4" joinstyle="round" endcap="flat"/>
                  </v:shape>
                </v:group>
                <v:group id="shape_0" style="position:absolute;left:1080;top:4459;width:3060;height:1621">
                  <v:rect id="shape_0" fillcolor="white" stroked="t" style="position:absolute;left:1080;top:4459;width:3059;height:1620;mso-position-horizontal-relative:char">
                    <w10:wrap type="none"/>
                    <v:fill type="solid" color2="black" o:detectmouseclick="t"/>
                    <v:stroke color="black" weight="9360" joinstyle="miter" endcap="square"/>
                  </v:rect>
                  <v:shape id="shape_0" fillcolor="white" stroked="f" style="position:absolute;left:1215;top:4540;width:2789;height:1456;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Non-aboriginal BC respondents residing in BC for at least 275 days during 2005</w:t>
                          </w:r>
                        </w:p>
                        <w:p>
                          <w:pPr>
                            <w:bidi w:val="0"/>
                            <w:spacing w:before="0" w:after="0" w:lineRule="auto" w:line="240"/>
                            <w:ind w:hanging="0"/>
                            <w:jc w:val="center"/>
                            <w:rPr/>
                          </w:pPr>
                          <w:r>
                            <w:rPr>
                              <w:sz w:val="22"/>
                              <w:szCs w:val="22"/>
                              <w:rFonts w:ascii="Calibri" w:hAnsi="Calibri" w:eastAsia="SimSun;宋体" w:cs="Times New Roman"/>
                              <w:color w:val="auto"/>
                              <w:lang w:val="en-US" w:bidi="en-US"/>
                            </w:rPr>
                            <w:t>n=28,408</w:t>
                          </w:r>
                        </w:p>
                      </w:txbxContent>
                    </v:textbox>
                    <w10:wrap type="square"/>
                    <v:fill type="solid" color2="black" o:detectmouseclick="t"/>
                    <v:stroke color="#3465a4" joinstyle="round" endcap="flat"/>
                  </v:shape>
                </v:group>
                <v:line id="shape_0" from="2601,3734" to="2601,4458" stroked="t" style="position:absolute;mso-position-horizontal-relative:char">
                  <v:stroke color="black" weight="9360" endarrow="block" endarrowwidth="medium" endarrowlength="medium" joinstyle="miter" endcap="square"/>
                  <v:fill on="false" o:detectmouseclick="t"/>
                </v:line>
                <v:line id="shape_0" from="2605,4138" to="4764,4138" stroked="t" style="position:absolute;mso-position-horizontal-relative:char">
                  <v:stroke color="black" weight="9360" endarrow="block" endarrowwidth="medium" endarrowlength="medium" joinstyle="miter" endcap="square"/>
                  <v:fill on="false" o:detectmouseclick="t"/>
                </v:line>
                <v:group id="shape_0" style="position:absolute;left:4764;top:3494;width:3366;height:1316">
                  <v:rect id="shape_0" fillcolor="white" stroked="t" style="position:absolute;left:4764;top:3494;width:3365;height:1315;mso-position-horizontal-relative:char">
                    <w10:wrap type="none"/>
                    <v:fill type="solid" color2="black" o:detectmouseclick="t"/>
                    <v:stroke color="black" weight="9360" joinstyle="miter" endcap="square"/>
                  </v:rect>
                  <v:shape id="shape_0" fillcolor="white" stroked="f" style="position:absolute;left:4948;top:3657;width:2994;height:989;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Eliminated aboriginal respondents</w:t>
                          </w:r>
                        </w:p>
                        <w:p>
                          <w:pPr>
                            <w:bidi w:val="0"/>
                            <w:spacing w:before="0" w:after="0" w:lineRule="auto" w:line="240"/>
                            <w:ind w:hanging="0"/>
                            <w:jc w:val="center"/>
                            <w:rPr/>
                          </w:pPr>
                          <w:r>
                            <w:rPr>
                              <w:sz w:val="22"/>
                              <w:szCs w:val="22"/>
                              <w:rFonts w:ascii="Calibri" w:hAnsi="Calibri" w:eastAsia="SimSun;宋体" w:cs="Times New Roman"/>
                              <w:color w:val="auto"/>
                              <w:lang w:val="en-US" w:bidi="en-US"/>
                            </w:rPr>
                            <w:t>n=605</w:t>
                          </w:r>
                        </w:p>
                      </w:txbxContent>
                    </v:textbox>
                    <w10:wrap type="square"/>
                    <v:fill type="solid" color2="black" o:detectmouseclick="t"/>
                    <v:stroke color="#3465a4" joinstyle="round" endcap="flat"/>
                  </v:shape>
                </v:group>
                <v:group id="shape_0" style="position:absolute;left:1080;top:6745;width:3060;height:1621">
                  <v:rect id="shape_0" fillcolor="white" stroked="t" style="position:absolute;left:1080;top:6745;width:3059;height:1620;mso-position-horizontal-relative:char">
                    <w10:wrap type="none"/>
                    <v:fill type="solid" color2="black" o:detectmouseclick="t"/>
                    <v:stroke color="black" weight="9360" joinstyle="miter" endcap="square"/>
                  </v:rect>
                  <v:shape id="shape_0" fillcolor="white" stroked="f" style="position:absolute;left:1260;top:6835;width:2699;height:1439;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 xml:space="preserve">Urban non-aboriginal BC respondents residing in BC for at least 275 days during 2005 </w:t>
                          </w:r>
                        </w:p>
                        <w:p>
                          <w:pPr>
                            <w:bidi w:val="0"/>
                            <w:spacing w:before="0" w:after="0" w:lineRule="auto" w:line="240"/>
                            <w:ind w:hanging="0"/>
                            <w:jc w:val="center"/>
                            <w:rPr/>
                          </w:pPr>
                          <w:r>
                            <w:rPr>
                              <w:sz w:val="22"/>
                              <w:szCs w:val="22"/>
                              <w:rFonts w:ascii="Calibri" w:hAnsi="Calibri" w:eastAsia="SimSun;宋体" w:cs="Times New Roman"/>
                              <w:color w:val="auto"/>
                              <w:lang w:val="en-US" w:bidi="en-US"/>
                            </w:rPr>
                            <w:t>n=20,387</w:t>
                          </w:r>
                        </w:p>
                      </w:txbxContent>
                    </v:textbox>
                    <w10:wrap type="square"/>
                    <v:fill type="solid" color2="black" o:detectmouseclick="t"/>
                    <v:stroke color="#3465a4" joinstyle="round" endcap="flat"/>
                  </v:shape>
                </v:group>
                <v:line id="shape_0" from="2605,6080" to="2605,6744" stroked="t" style="position:absolute;mso-position-horizontal-relative:char">
                  <v:stroke color="black" weight="9360" endarrow="block" endarrowwidth="medium" endarrowlength="medium" joinstyle="miter" endcap="square"/>
                  <v:fill on="false" o:detectmouseclick="t"/>
                </v:line>
                <v:line id="shape_0" from="2606,6381" to="4765,6381" stroked="t" style="position:absolute;mso-position-horizontal-relative:char">
                  <v:stroke color="black" weight="9360" endarrow="block" endarrowwidth="medium" endarrowlength="medium" joinstyle="miter" endcap="square"/>
                  <v:fill on="false" o:detectmouseclick="t"/>
                </v:line>
                <v:group id="shape_0" style="position:absolute;left:4767;top:7685;width:3366;height:2224">
                  <v:rect id="shape_0" fillcolor="white" stroked="t" style="position:absolute;left:4767;top:7685;width:3365;height:2223;mso-position-horizontal-relative:char">
                    <w10:wrap type="none"/>
                    <v:fill type="solid" color2="black" o:detectmouseclick="t"/>
                    <v:stroke color="black" weight="9360" joinstyle="miter" endcap="square"/>
                  </v:rect>
                  <v:shape id="shape_0" fillcolor="white" stroked="f" style="position:absolute;left:4886;top:7772;width:3127;height:2046;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Eliminated those who lived in areas with high rates of non-fee-for-service medical care</w:t>
                          </w:r>
                        </w:p>
                        <w:p>
                          <w:pPr>
                            <w:bidi w:val="0"/>
                            <w:spacing w:before="0" w:after="0" w:lineRule="auto" w:line="240"/>
                            <w:ind w:hanging="0"/>
                            <w:jc w:val="center"/>
                            <w:rPr/>
                          </w:pPr>
                          <w:r>
                            <w:rPr>
                              <w:sz w:val="22"/>
                              <w:szCs w:val="22"/>
                              <w:rFonts w:ascii="Calibri" w:hAnsi="Calibri" w:eastAsia="SimSun;宋体" w:cs="Times New Roman"/>
                              <w:color w:val="auto"/>
                              <w:lang w:val="en-US" w:bidi="en-US"/>
                            </w:rPr>
                            <w:t>n=963</w:t>
                          </w:r>
                        </w:p>
                        <w:p>
                          <w:pPr>
                            <w:bidi w:val="0"/>
                            <w:spacing w:before="0" w:after="0" w:lineRule="auto" w:line="240"/>
                            <w:ind w:hanging="0"/>
                            <w:jc w:val="center"/>
                            <w:rPr/>
                          </w:pPr>
                          <w:r>
                            <w:rPr>
                              <w:sz w:val="22"/>
                              <w:szCs w:val="22"/>
                              <w:rFonts w:ascii="Calibri" w:hAnsi="Calibri" w:eastAsia="SimSun;宋体" w:cs="Times New Roman"/>
                              <w:color w:val="auto"/>
                              <w:lang w:val="en-US" w:bidi="en-US"/>
                            </w:rPr>
                            <w:t>Eliminated those with missing data</w:t>
                          </w:r>
                        </w:p>
                        <w:p>
                          <w:pPr>
                            <w:bidi w:val="0"/>
                            <w:spacing w:before="0" w:after="0" w:lineRule="auto" w:line="240"/>
                            <w:ind w:hanging="0"/>
                            <w:jc w:val="center"/>
                            <w:rPr/>
                          </w:pPr>
                          <w:r>
                            <w:rPr>
                              <w:sz w:val="22"/>
                              <w:szCs w:val="22"/>
                              <w:rFonts w:ascii="Calibri" w:hAnsi="Calibri" w:eastAsia="SimSun;宋体" w:cs="Times New Roman"/>
                              <w:color w:val="auto"/>
                              <w:lang w:val="en-US" w:bidi="en-US"/>
                            </w:rPr>
                            <w:t>n=54</w:t>
                          </w:r>
                        </w:p>
                        <w:p>
                          <w:pPr>
                            <w:bidi w:val="0"/>
                            <w:spacing w:before="0" w:after="0" w:lineRule="auto" w:line="240"/>
                            <w:ind w:hanging="0"/>
                            <w:jc w:val="center"/>
                            <w:rPr/>
                          </w:pPr>
                          <w:r>
                            <w:rPr/>
                          </w:r>
                        </w:p>
                      </w:txbxContent>
                    </v:textbox>
                    <w10:wrap type="square"/>
                    <v:fill type="solid" color2="black" o:detectmouseclick="t"/>
                    <v:stroke color="#3465a4" joinstyle="round" endcap="flat"/>
                  </v:shape>
                </v:group>
                <v:line id="shape_0" from="2606,8366" to="2606,9018" stroked="t" style="position:absolute;mso-position-horizontal-relative:char">
                  <v:stroke color="black" weight="9360" endarrow="block" endarrowwidth="medium" endarrowlength="medium" joinstyle="miter" endcap="square"/>
                  <v:fill on="false" o:detectmouseclick="t"/>
                </v:line>
                <v:line id="shape_0" from="2607,8655" to="4766,8655" stroked="t" style="position:absolute;mso-position-horizontal-relative:char">
                  <v:stroke color="black" weight="9360" endarrow="block" endarrowwidth="medium" endarrowlength="medium" joinstyle="miter" endcap="square"/>
                  <v:fill on="false" o:detectmouseclick="t"/>
                </v:line>
                <v:group id="shape_0" style="position:absolute;left:1080;top:9019;width:3060;height:1621">
                  <v:rect id="shape_0" fillcolor="white" stroked="t" style="position:absolute;left:1080;top:9019;width:3059;height:1620;mso-position-horizontal-relative:char">
                    <w10:wrap type="none"/>
                    <v:fill type="solid" color2="black" o:detectmouseclick="t"/>
                    <v:stroke color="black" weight="9360" joinstyle="miter" endcap="square"/>
                  </v:rect>
                  <v:shape id="shape_0" fillcolor="white" stroked="f" style="position:absolute;left:1260;top:9095;width:2699;height:1466;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Final sample of urban non-aboriginal BC respondents residing in BC for at least 275 days during 2005</w:t>
                          </w:r>
                        </w:p>
                        <w:p>
                          <w:pPr>
                            <w:bidi w:val="0"/>
                            <w:spacing w:before="0" w:after="0" w:lineRule="auto" w:line="240"/>
                            <w:ind w:hanging="0"/>
                            <w:jc w:val="center"/>
                            <w:rPr/>
                          </w:pPr>
                          <w:r>
                            <w:rPr>
                              <w:sz w:val="22"/>
                              <w:szCs w:val="22"/>
                              <w:rFonts w:ascii="Calibri" w:hAnsi="Calibri" w:eastAsia="SimSun;宋体" w:cs="Times New Roman"/>
                              <w:color w:val="auto"/>
                              <w:lang w:val="en-US" w:bidi="en-US"/>
                            </w:rPr>
                            <w:t>n=19,370</w:t>
                          </w:r>
                        </w:p>
                      </w:txbxContent>
                    </v:textbox>
                    <w10:wrap type="square"/>
                    <v:fill type="solid" color2="black" o:detectmouseclick="t"/>
                    <v:stroke color="#3465a4" joinstyle="round" endcap="flat"/>
                  </v:shape>
                </v:group>
                <v:group id="shape_0" style="position:absolute;left:4764;top:5654;width:3366;height:1575">
                  <v:rect id="shape_0" fillcolor="white" stroked="t" style="position:absolute;left:4764;top:5654;width:3365;height:1574;mso-position-horizontal-relative:char">
                    <w10:wrap type="none"/>
                    <v:fill type="solid" color2="black" o:detectmouseclick="t"/>
                    <v:stroke color="black" weight="9360" joinstyle="miter" endcap="square"/>
                  </v:rect>
                  <v:shape id="shape_0" fillcolor="white" stroked="f" style="position:absolute;left:4953;top:5812;width:2984;height:1257;mso-position-horizontal-relative:char" type="shapetype_202">
                    <v:textbox>
                      <w:txbxContent>
                        <w:p>
                          <w:pPr>
                            <w:bidi w:val="0"/>
                            <w:spacing w:before="0" w:after="0" w:lineRule="auto" w:line="240"/>
                            <w:ind w:hanging="0"/>
                            <w:jc w:val="center"/>
                            <w:rPr/>
                          </w:pPr>
                          <w:r>
                            <w:rPr>
                              <w:sz w:val="22"/>
                              <w:szCs w:val="22"/>
                              <w:rFonts w:ascii="Calibri" w:hAnsi="Calibri" w:eastAsia="SimSun;宋体" w:cs="Times New Roman"/>
                              <w:color w:val="auto"/>
                              <w:lang w:val="en-US" w:bidi="en-US"/>
                            </w:rPr>
                            <w:t>Eliminated respondents living in areas characterized as rural or mixed urban-rural</w:t>
                          </w:r>
                        </w:p>
                        <w:p>
                          <w:pPr>
                            <w:bidi w:val="0"/>
                            <w:spacing w:before="0" w:after="0" w:lineRule="auto" w:line="240"/>
                            <w:ind w:hanging="0"/>
                            <w:jc w:val="center"/>
                            <w:rPr/>
                          </w:pPr>
                          <w:r>
                            <w:rPr>
                              <w:sz w:val="22"/>
                              <w:szCs w:val="22"/>
                              <w:rFonts w:ascii="Calibri" w:hAnsi="Calibri" w:eastAsia="SimSun;宋体" w:cs="Times New Roman"/>
                              <w:color w:val="auto"/>
                              <w:lang w:val="en-US" w:bidi="en-US"/>
                            </w:rPr>
                            <w:t>n=8,021</w:t>
                          </w:r>
                        </w:p>
                      </w:txbxContent>
                    </v:textbox>
                    <w10:wrap type="square"/>
                    <v:fill type="solid" color2="black" o:detectmouseclick="t"/>
                    <v:stroke color="#3465a4" joinstyle="round" endcap="flat"/>
                  </v:shape>
                </v:group>
              </v:group>
            </w:pict>
          </mc:Fallback>
        </mc:AlternateContent>
      </w:r>
      <w:r>
        <w:br w:type="page"/>
      </w:r>
    </w:p>
    <w:p>
      <w:pPr>
        <w:pStyle w:val="Heading1"/>
        <w:numPr>
          <w:ilvl w:val="0"/>
          <w:numId w:val="1"/>
        </w:numPr>
        <w:ind w:hanging="0"/>
        <w:rPr>
          <w:lang w:val="en-CA"/>
        </w:rPr>
      </w:pPr>
      <w:r>
        <w:rPr>
          <w:lang w:val="en-CA"/>
        </w:rPr>
        <w:t>Appendix B</w:t>
      </w:r>
    </w:p>
    <w:p>
      <w:pPr>
        <w:pStyle w:val="Caption"/>
        <w:rPr/>
      </w:pPr>
      <w:r>
        <w:rPr>
          <w:lang w:val="en-CA"/>
        </w:rPr>
        <w:t xml:space="preserve">Table </w:t>
      </w:r>
      <w:r>
        <w:rPr>
          <w:lang w:val="en-CA"/>
        </w:rPr>
        <w:fldChar w:fldCharType="begin"/>
      </w:r>
      <w:r>
        <w:instrText> SEQ Table \* ARABIC </w:instrText>
      </w:r>
      <w:r>
        <w:fldChar w:fldCharType="separate"/>
      </w:r>
      <w:r>
        <w:t>3</w:t>
      </w:r>
      <w:r>
        <w:fldChar w:fldCharType="end"/>
      </w:r>
      <w:r>
        <w:rPr/>
        <w:t>: Drug types and diagnoses included by therapeutic categories studied</w:t>
      </w:r>
    </w:p>
    <w:tbl>
      <w:tblPr>
        <w:tblW w:w="9576" w:type="dxa"/>
        <w:jc w:val="left"/>
        <w:tblInd w:w="0" w:type="dxa"/>
        <w:tblBorders>
          <w:top w:val="single" w:sz="8" w:space="0" w:color="4F81BD"/>
          <w:bottom w:val="single" w:sz="8" w:space="0" w:color="4F81BD"/>
          <w:insideH w:val="single" w:sz="8" w:space="0" w:color="4F81BD"/>
        </w:tblBorders>
        <w:tblCellMar>
          <w:top w:w="0" w:type="dxa"/>
          <w:left w:w="108" w:type="dxa"/>
          <w:bottom w:w="0" w:type="dxa"/>
          <w:right w:w="108" w:type="dxa"/>
        </w:tblCellMar>
      </w:tblPr>
      <w:tblGrid>
        <w:gridCol w:w="1638"/>
        <w:gridCol w:w="3969"/>
        <w:gridCol w:w="3969"/>
      </w:tblGrid>
      <w:tr>
        <w:trPr>
          <w:tblHeader w:val="true"/>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b/>
                <w:b/>
                <w:bCs/>
                <w:sz w:val="18"/>
                <w:lang w:val="en-CA"/>
              </w:rPr>
            </w:pPr>
            <w:r>
              <w:rPr>
                <w:b/>
                <w:bCs/>
                <w:sz w:val="18"/>
                <w:lang w:val="en-CA"/>
              </w:rPr>
              <w:t>Category</w:t>
            </w:r>
          </w:p>
        </w:tc>
        <w:tc>
          <w:tcPr>
            <w:tcW w:w="3969" w:type="dxa"/>
            <w:tcBorders>
              <w:top w:val="single" w:sz="8" w:space="0" w:color="4F81BD"/>
              <w:bottom w:val="single" w:sz="8" w:space="0" w:color="4F81BD"/>
              <w:insideH w:val="single" w:sz="8" w:space="0" w:color="4F81BD"/>
            </w:tcBorders>
            <w:shd w:fill="auto" w:val="clear"/>
          </w:tcPr>
          <w:p>
            <w:pPr>
              <w:pStyle w:val="Normal"/>
              <w:spacing w:lineRule="auto" w:line="240" w:before="0" w:after="0"/>
              <w:ind w:left="-18" w:hanging="0"/>
              <w:rPr>
                <w:b/>
                <w:b/>
                <w:bCs/>
                <w:sz w:val="18"/>
                <w:lang w:val="en-CA"/>
              </w:rPr>
            </w:pPr>
            <w:r>
              <w:rPr>
                <w:b/>
                <w:bCs/>
                <w:sz w:val="18"/>
                <w:lang w:val="en-CA"/>
              </w:rPr>
              <w:t>Drug types</w:t>
            </w:r>
          </w:p>
        </w:tc>
        <w:tc>
          <w:tcPr>
            <w:tcW w:w="3969" w:type="dxa"/>
            <w:tcBorders>
              <w:top w:val="single" w:sz="8" w:space="0" w:color="4F81BD"/>
              <w:bottom w:val="single" w:sz="8" w:space="0" w:color="4F81BD"/>
              <w:insideH w:val="single" w:sz="8" w:space="0" w:color="4F81BD"/>
            </w:tcBorders>
            <w:shd w:fill="auto" w:val="clear"/>
          </w:tcPr>
          <w:p>
            <w:pPr>
              <w:pStyle w:val="Normal"/>
              <w:spacing w:lineRule="auto" w:line="240" w:before="0" w:after="0"/>
              <w:ind w:left="-18" w:hanging="0"/>
              <w:rPr>
                <w:b/>
                <w:b/>
                <w:bCs/>
                <w:sz w:val="18"/>
                <w:lang w:val="en-CA"/>
              </w:rPr>
            </w:pPr>
            <w:r>
              <w:rPr>
                <w:b/>
                <w:bCs/>
                <w:sz w:val="18"/>
                <w:lang w:val="en-CA"/>
              </w:rPr>
              <w:t>Specific Expanded Diagnostic Clusters (EDCs) used as treatment-specific indicators of potential need</w:t>
            </w:r>
          </w:p>
        </w:tc>
      </w:tr>
      <w:tr>
        <w:trPr>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b/>
                <w:b/>
                <w:bCs/>
                <w:sz w:val="18"/>
                <w:lang w:val="en-CA"/>
              </w:rPr>
            </w:pPr>
            <w:r>
              <w:rPr>
                <w:b/>
                <w:bCs/>
                <w:sz w:val="18"/>
                <w:lang w:val="en-CA"/>
              </w:rPr>
              <w:t>Antihypertensives</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Thiazide diuretics (e.g. hydrochlorothiazide)</w:t>
            </w:r>
          </w:p>
          <w:p>
            <w:pPr>
              <w:pStyle w:val="ListParagraph"/>
              <w:numPr>
                <w:ilvl w:val="0"/>
                <w:numId w:val="2"/>
              </w:numPr>
              <w:spacing w:lineRule="auto" w:line="240" w:before="0" w:after="0"/>
              <w:ind w:left="162" w:hanging="180"/>
              <w:contextualSpacing/>
              <w:rPr>
                <w:b/>
                <w:b/>
                <w:bCs/>
                <w:sz w:val="18"/>
                <w:lang w:val="en-CA"/>
              </w:rPr>
            </w:pPr>
            <w:r>
              <w:rPr>
                <w:bCs/>
                <w:sz w:val="18"/>
                <w:lang w:val="en-CA"/>
              </w:rPr>
              <w:t>Beta blocking agents (e.g. atenolol)</w:t>
            </w:r>
          </w:p>
          <w:p>
            <w:pPr>
              <w:pStyle w:val="ListParagraph"/>
              <w:numPr>
                <w:ilvl w:val="0"/>
                <w:numId w:val="2"/>
              </w:numPr>
              <w:spacing w:lineRule="auto" w:line="240" w:before="0" w:after="0"/>
              <w:ind w:left="162" w:hanging="180"/>
              <w:contextualSpacing/>
              <w:rPr>
                <w:b/>
                <w:b/>
                <w:bCs/>
                <w:sz w:val="18"/>
                <w:lang w:val="en-CA"/>
              </w:rPr>
            </w:pPr>
            <w:r>
              <w:rPr>
                <w:bCs/>
                <w:sz w:val="18"/>
                <w:lang w:val="en-CA"/>
              </w:rPr>
              <w:t>Calcium channel blockers (e.g. nifedipine)</w:t>
            </w:r>
          </w:p>
          <w:p>
            <w:pPr>
              <w:pStyle w:val="ListParagraph"/>
              <w:numPr>
                <w:ilvl w:val="0"/>
                <w:numId w:val="2"/>
              </w:numPr>
              <w:spacing w:lineRule="auto" w:line="240" w:before="0" w:after="0"/>
              <w:ind w:left="162" w:hanging="180"/>
              <w:contextualSpacing/>
              <w:rPr>
                <w:b/>
                <w:b/>
                <w:bCs/>
                <w:sz w:val="18"/>
                <w:lang w:val="en-CA"/>
              </w:rPr>
            </w:pPr>
            <w:r>
              <w:rPr>
                <w:bCs/>
                <w:sz w:val="18"/>
                <w:lang w:val="en-CA"/>
              </w:rPr>
              <w:t>Angiotensin converting enzyme</w:t>
            </w:r>
          </w:p>
          <w:p>
            <w:pPr>
              <w:pStyle w:val="ListParagraph"/>
              <w:numPr>
                <w:ilvl w:val="0"/>
                <w:numId w:val="2"/>
              </w:numPr>
              <w:spacing w:lineRule="auto" w:line="240" w:before="0" w:after="0"/>
              <w:ind w:left="162" w:hanging="180"/>
              <w:contextualSpacing/>
              <w:rPr>
                <w:b/>
                <w:b/>
                <w:bCs/>
                <w:sz w:val="18"/>
                <w:lang w:val="en-CA"/>
              </w:rPr>
            </w:pPr>
            <w:r>
              <w:rPr>
                <w:bCs/>
                <w:sz w:val="18"/>
                <w:lang w:val="en-CA"/>
              </w:rPr>
              <w:t>inhibitors (e.g. ramipril)</w:t>
            </w:r>
          </w:p>
          <w:p>
            <w:pPr>
              <w:pStyle w:val="ListParagraph"/>
              <w:numPr>
                <w:ilvl w:val="0"/>
                <w:numId w:val="2"/>
              </w:numPr>
              <w:spacing w:lineRule="auto" w:line="240" w:before="0" w:after="0"/>
              <w:ind w:left="162" w:hanging="180"/>
              <w:contextualSpacing/>
              <w:rPr>
                <w:b/>
                <w:b/>
                <w:bCs/>
                <w:sz w:val="18"/>
                <w:lang w:val="en-CA"/>
              </w:rPr>
            </w:pPr>
            <w:r>
              <w:rPr>
                <w:bCs/>
                <w:sz w:val="18"/>
                <w:lang w:val="en-CA"/>
              </w:rPr>
              <w:t>Angiotensin receptor blockers (e.g. losartan)</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CAR14: Hypertension, w/o major complications</w:t>
            </w:r>
          </w:p>
          <w:p>
            <w:pPr>
              <w:pStyle w:val="ListParagraph"/>
              <w:numPr>
                <w:ilvl w:val="0"/>
                <w:numId w:val="2"/>
              </w:numPr>
              <w:spacing w:lineRule="auto" w:line="240" w:before="0" w:after="0"/>
              <w:ind w:left="162" w:hanging="180"/>
              <w:contextualSpacing/>
              <w:rPr>
                <w:b/>
                <w:b/>
                <w:bCs/>
                <w:sz w:val="18"/>
                <w:lang w:val="en-CA"/>
              </w:rPr>
            </w:pPr>
            <w:r>
              <w:rPr>
                <w:bCs/>
                <w:sz w:val="18"/>
                <w:lang w:val="en-CA"/>
              </w:rPr>
              <w:t>CAR15: Hypertension, with major complications</w:t>
            </w:r>
          </w:p>
          <w:p>
            <w:pPr>
              <w:pStyle w:val="ListParagraph"/>
              <w:numPr>
                <w:ilvl w:val="0"/>
                <w:numId w:val="2"/>
              </w:numPr>
              <w:spacing w:lineRule="auto" w:line="240" w:before="0" w:after="0"/>
              <w:ind w:left="162" w:hanging="180"/>
              <w:contextualSpacing/>
              <w:rPr>
                <w:b/>
                <w:b/>
                <w:bCs/>
                <w:sz w:val="18"/>
                <w:lang w:val="en-CA"/>
              </w:rPr>
            </w:pPr>
            <w:r>
              <w:rPr>
                <w:bCs/>
                <w:sz w:val="18"/>
                <w:lang w:val="en-CA"/>
              </w:rPr>
              <w:t>CAR01: cardiovascular signs and symptoms</w:t>
            </w:r>
          </w:p>
          <w:p>
            <w:pPr>
              <w:pStyle w:val="ListParagraph"/>
              <w:numPr>
                <w:ilvl w:val="0"/>
                <w:numId w:val="2"/>
              </w:numPr>
              <w:spacing w:lineRule="auto" w:line="240" w:before="0" w:after="0"/>
              <w:ind w:left="162" w:hanging="180"/>
              <w:contextualSpacing/>
              <w:rPr>
                <w:b/>
                <w:b/>
                <w:bCs/>
                <w:sz w:val="18"/>
                <w:lang w:val="en-CA"/>
              </w:rPr>
            </w:pPr>
            <w:r>
              <w:rPr>
                <w:bCs/>
                <w:sz w:val="18"/>
                <w:lang w:val="en-CA"/>
              </w:rPr>
              <w:t>CAR03: Ishemic heart disease</w:t>
            </w:r>
          </w:p>
          <w:p>
            <w:pPr>
              <w:pStyle w:val="ListParagraph"/>
              <w:numPr>
                <w:ilvl w:val="0"/>
                <w:numId w:val="2"/>
              </w:numPr>
              <w:spacing w:lineRule="auto" w:line="240" w:before="0" w:after="0"/>
              <w:ind w:left="162" w:hanging="180"/>
              <w:contextualSpacing/>
              <w:rPr>
                <w:b/>
                <w:b/>
                <w:bCs/>
                <w:sz w:val="18"/>
                <w:lang w:val="en-CA"/>
              </w:rPr>
            </w:pPr>
            <w:r>
              <w:rPr>
                <w:bCs/>
                <w:sz w:val="18"/>
                <w:lang w:val="en-CA"/>
              </w:rPr>
              <w:t>CAR05: Congestive heart failure</w:t>
            </w:r>
          </w:p>
          <w:p>
            <w:pPr>
              <w:pStyle w:val="ListParagraph"/>
              <w:numPr>
                <w:ilvl w:val="0"/>
                <w:numId w:val="2"/>
              </w:numPr>
              <w:spacing w:lineRule="auto" w:line="240" w:before="0" w:after="0"/>
              <w:ind w:left="162" w:hanging="180"/>
              <w:contextualSpacing/>
              <w:rPr>
                <w:b/>
                <w:b/>
                <w:bCs/>
                <w:sz w:val="18"/>
                <w:lang w:val="en-CA"/>
              </w:rPr>
            </w:pPr>
            <w:r>
              <w:rPr>
                <w:bCs/>
                <w:sz w:val="18"/>
                <w:lang w:val="en-CA"/>
              </w:rPr>
              <w:t>CAR07: Cardiomyopathy</w:t>
            </w:r>
          </w:p>
          <w:p>
            <w:pPr>
              <w:pStyle w:val="ListParagraph"/>
              <w:numPr>
                <w:ilvl w:val="0"/>
                <w:numId w:val="2"/>
              </w:numPr>
              <w:spacing w:lineRule="auto" w:line="240" w:before="0" w:after="0"/>
              <w:ind w:left="162" w:hanging="180"/>
              <w:contextualSpacing/>
              <w:rPr>
                <w:b/>
                <w:b/>
                <w:bCs/>
                <w:sz w:val="18"/>
                <w:lang w:val="en-CA"/>
              </w:rPr>
            </w:pPr>
            <w:r>
              <w:rPr>
                <w:bCs/>
                <w:sz w:val="18"/>
                <w:lang w:val="en-CA"/>
              </w:rPr>
              <w:t>CAR10: Generalized atherosclerosis</w:t>
            </w:r>
          </w:p>
          <w:p>
            <w:pPr>
              <w:pStyle w:val="ListParagraph"/>
              <w:numPr>
                <w:ilvl w:val="0"/>
                <w:numId w:val="2"/>
              </w:numPr>
              <w:spacing w:lineRule="auto" w:line="240" w:before="0" w:after="0"/>
              <w:ind w:left="162" w:hanging="180"/>
              <w:contextualSpacing/>
              <w:rPr>
                <w:b/>
                <w:b/>
                <w:bCs/>
                <w:sz w:val="18"/>
                <w:lang w:val="en-CA"/>
              </w:rPr>
            </w:pPr>
            <w:r>
              <w:rPr>
                <w:bCs/>
                <w:sz w:val="18"/>
                <w:lang w:val="en-CA"/>
              </w:rPr>
              <w:t>CAR12: Acute myocardial infarction</w:t>
            </w:r>
          </w:p>
          <w:p>
            <w:pPr>
              <w:pStyle w:val="ListParagraph"/>
              <w:numPr>
                <w:ilvl w:val="0"/>
                <w:numId w:val="2"/>
              </w:numPr>
              <w:spacing w:lineRule="auto" w:line="240" w:before="0" w:after="0"/>
              <w:ind w:left="162" w:hanging="180"/>
              <w:contextualSpacing/>
              <w:rPr>
                <w:b/>
                <w:b/>
                <w:bCs/>
                <w:sz w:val="18"/>
                <w:lang w:val="en-CA"/>
              </w:rPr>
            </w:pPr>
            <w:r>
              <w:rPr>
                <w:bCs/>
                <w:sz w:val="18"/>
                <w:lang w:val="en-CA"/>
              </w:rPr>
              <w:t>END06: Type 2 diabetes, w/o complication</w:t>
            </w:r>
          </w:p>
          <w:p>
            <w:pPr>
              <w:pStyle w:val="ListParagraph"/>
              <w:numPr>
                <w:ilvl w:val="0"/>
                <w:numId w:val="2"/>
              </w:numPr>
              <w:spacing w:lineRule="auto" w:line="240" w:before="0" w:after="0"/>
              <w:ind w:left="162" w:hanging="180"/>
              <w:contextualSpacing/>
              <w:rPr>
                <w:b/>
                <w:b/>
                <w:bCs/>
                <w:sz w:val="18"/>
                <w:lang w:val="en-CA"/>
              </w:rPr>
            </w:pPr>
            <w:r>
              <w:rPr>
                <w:bCs/>
                <w:sz w:val="18"/>
                <w:lang w:val="en-CA"/>
              </w:rPr>
              <w:t>END07: Type 2 diabetes, w/ complication</w:t>
            </w:r>
          </w:p>
          <w:p>
            <w:pPr>
              <w:pStyle w:val="ListParagraph"/>
              <w:numPr>
                <w:ilvl w:val="0"/>
                <w:numId w:val="2"/>
              </w:numPr>
              <w:spacing w:lineRule="auto" w:line="240" w:before="0" w:after="0"/>
              <w:ind w:left="162" w:hanging="180"/>
              <w:contextualSpacing/>
              <w:rPr>
                <w:b/>
                <w:b/>
                <w:bCs/>
                <w:sz w:val="18"/>
                <w:lang w:val="en-CA"/>
              </w:rPr>
            </w:pPr>
            <w:r>
              <w:rPr>
                <w:bCs/>
                <w:sz w:val="18"/>
                <w:lang w:val="en-CA"/>
              </w:rPr>
              <w:t>END08: Type 1 diabetes, w/o complication</w:t>
            </w:r>
          </w:p>
          <w:p>
            <w:pPr>
              <w:pStyle w:val="ListParagraph"/>
              <w:numPr>
                <w:ilvl w:val="0"/>
                <w:numId w:val="2"/>
              </w:numPr>
              <w:spacing w:lineRule="auto" w:line="240" w:before="0" w:after="0"/>
              <w:ind w:left="162" w:hanging="180"/>
              <w:contextualSpacing/>
              <w:rPr>
                <w:b/>
                <w:b/>
                <w:bCs/>
                <w:sz w:val="18"/>
                <w:lang w:val="en-CA"/>
              </w:rPr>
            </w:pPr>
            <w:r>
              <w:rPr>
                <w:bCs/>
                <w:sz w:val="18"/>
                <w:lang w:val="en-CA"/>
              </w:rPr>
              <w:t>END09: Type 1 diabetes, w/ complication</w:t>
            </w:r>
          </w:p>
        </w:tc>
      </w:tr>
      <w:tr>
        <w:trPr>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b/>
                <w:b/>
                <w:bCs/>
                <w:sz w:val="18"/>
                <w:lang w:val="en-CA"/>
              </w:rPr>
            </w:pPr>
            <w:r>
              <w:rPr>
                <w:b/>
                <w:bCs/>
                <w:sz w:val="18"/>
                <w:lang w:val="en-CA"/>
              </w:rPr>
              <w:t>Antidepressants</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Nonselective</w:t>
            </w:r>
          </w:p>
          <w:p>
            <w:pPr>
              <w:pStyle w:val="ListParagraph"/>
              <w:numPr>
                <w:ilvl w:val="0"/>
                <w:numId w:val="2"/>
              </w:numPr>
              <w:spacing w:lineRule="auto" w:line="240" w:before="0" w:after="0"/>
              <w:ind w:left="162" w:hanging="180"/>
              <w:contextualSpacing/>
              <w:rPr>
                <w:b/>
                <w:b/>
                <w:bCs/>
                <w:sz w:val="18"/>
                <w:lang w:val="en-CA"/>
              </w:rPr>
            </w:pPr>
            <w:r>
              <w:rPr>
                <w:bCs/>
                <w:sz w:val="18"/>
                <w:lang w:val="en-CA"/>
              </w:rPr>
              <w:t>monoamine reuptake inhibitors (e.g. amitriptyline)</w:t>
            </w:r>
          </w:p>
          <w:p>
            <w:pPr>
              <w:pStyle w:val="ListParagraph"/>
              <w:numPr>
                <w:ilvl w:val="0"/>
                <w:numId w:val="2"/>
              </w:numPr>
              <w:spacing w:lineRule="auto" w:line="240" w:before="0" w:after="0"/>
              <w:ind w:left="162" w:hanging="180"/>
              <w:contextualSpacing/>
              <w:rPr>
                <w:b/>
                <w:b/>
                <w:bCs/>
                <w:sz w:val="18"/>
                <w:lang w:val="en-CA"/>
              </w:rPr>
            </w:pPr>
            <w:r>
              <w:rPr>
                <w:bCs/>
                <w:sz w:val="18"/>
                <w:lang w:val="en-CA"/>
              </w:rPr>
              <w:t>Monoamine oxidase inhibitors (e.g. phenelzine)</w:t>
            </w:r>
          </w:p>
          <w:p>
            <w:pPr>
              <w:pStyle w:val="ListParagraph"/>
              <w:numPr>
                <w:ilvl w:val="0"/>
                <w:numId w:val="2"/>
              </w:numPr>
              <w:spacing w:lineRule="auto" w:line="240" w:before="0" w:after="0"/>
              <w:ind w:left="162" w:hanging="180"/>
              <w:contextualSpacing/>
              <w:rPr>
                <w:b/>
                <w:b/>
                <w:bCs/>
                <w:sz w:val="18"/>
                <w:lang w:val="en-CA"/>
              </w:rPr>
            </w:pPr>
            <w:r>
              <w:rPr>
                <w:bCs/>
                <w:sz w:val="18"/>
                <w:lang w:val="en-CA"/>
              </w:rPr>
              <w:t xml:space="preserve">Trazodone </w:t>
            </w:r>
          </w:p>
          <w:p>
            <w:pPr>
              <w:pStyle w:val="ListParagraph"/>
              <w:numPr>
                <w:ilvl w:val="0"/>
                <w:numId w:val="2"/>
              </w:numPr>
              <w:spacing w:lineRule="auto" w:line="240" w:before="0" w:after="0"/>
              <w:ind w:left="162" w:hanging="180"/>
              <w:contextualSpacing/>
              <w:rPr>
                <w:b/>
                <w:b/>
                <w:bCs/>
                <w:sz w:val="18"/>
                <w:lang w:val="en-CA"/>
              </w:rPr>
            </w:pPr>
            <w:r>
              <w:rPr>
                <w:bCs/>
                <w:sz w:val="18"/>
                <w:lang w:val="en-CA"/>
              </w:rPr>
              <w:t>Selective serotonin</w:t>
            </w:r>
          </w:p>
          <w:p>
            <w:pPr>
              <w:pStyle w:val="ListParagraph"/>
              <w:numPr>
                <w:ilvl w:val="0"/>
                <w:numId w:val="2"/>
              </w:numPr>
              <w:spacing w:lineRule="auto" w:line="240" w:before="0" w:after="0"/>
              <w:ind w:left="162" w:hanging="180"/>
              <w:contextualSpacing/>
              <w:rPr>
                <w:b/>
                <w:b/>
                <w:bCs/>
                <w:sz w:val="18"/>
                <w:lang w:val="en-CA"/>
              </w:rPr>
            </w:pPr>
            <w:r>
              <w:rPr>
                <w:bCs/>
                <w:sz w:val="18"/>
                <w:lang w:val="en-CA"/>
              </w:rPr>
              <w:t>reuptake inhibitors (e.g. citalopram)</w:t>
            </w:r>
          </w:p>
          <w:p>
            <w:pPr>
              <w:pStyle w:val="ListParagraph"/>
              <w:numPr>
                <w:ilvl w:val="0"/>
                <w:numId w:val="2"/>
              </w:numPr>
              <w:spacing w:lineRule="auto" w:line="240" w:before="0" w:after="0"/>
              <w:ind w:left="162" w:hanging="180"/>
              <w:contextualSpacing/>
              <w:rPr>
                <w:b/>
                <w:b/>
                <w:bCs/>
                <w:sz w:val="18"/>
                <w:lang w:val="en-CA"/>
              </w:rPr>
            </w:pPr>
            <w:r>
              <w:rPr>
                <w:bCs/>
                <w:sz w:val="18"/>
                <w:lang w:val="en-CA"/>
              </w:rPr>
              <w:t>Venlafaxine</w:t>
            </w:r>
          </w:p>
          <w:p>
            <w:pPr>
              <w:pStyle w:val="ListParagraph"/>
              <w:numPr>
                <w:ilvl w:val="0"/>
                <w:numId w:val="2"/>
              </w:numPr>
              <w:spacing w:lineRule="auto" w:line="240" w:before="0" w:after="0"/>
              <w:ind w:left="162" w:hanging="180"/>
              <w:contextualSpacing/>
              <w:rPr>
                <w:b/>
                <w:b/>
                <w:bCs/>
                <w:sz w:val="18"/>
                <w:lang w:val="en-CA"/>
              </w:rPr>
            </w:pPr>
            <w:r>
              <w:rPr>
                <w:bCs/>
                <w:sz w:val="18"/>
                <w:lang w:val="en-CA"/>
              </w:rPr>
              <w:t>Mirtazapine</w:t>
            </w:r>
          </w:p>
          <w:p>
            <w:pPr>
              <w:pStyle w:val="ListParagraph"/>
              <w:numPr>
                <w:ilvl w:val="0"/>
                <w:numId w:val="2"/>
              </w:numPr>
              <w:spacing w:lineRule="auto" w:line="240" w:before="0" w:after="0"/>
              <w:ind w:left="162" w:hanging="180"/>
              <w:contextualSpacing/>
              <w:rPr>
                <w:b/>
                <w:b/>
                <w:bCs/>
                <w:sz w:val="18"/>
                <w:lang w:val="en-CA"/>
              </w:rPr>
            </w:pPr>
            <w:r>
              <w:rPr>
                <w:bCs/>
                <w:sz w:val="18"/>
                <w:lang w:val="en-CA"/>
              </w:rPr>
              <w:t>Moclobamide</w:t>
            </w:r>
          </w:p>
          <w:p>
            <w:pPr>
              <w:pStyle w:val="ListParagraph"/>
              <w:numPr>
                <w:ilvl w:val="0"/>
                <w:numId w:val="2"/>
              </w:numPr>
              <w:spacing w:lineRule="auto" w:line="240" w:before="0" w:after="0"/>
              <w:ind w:left="162" w:hanging="180"/>
              <w:contextualSpacing/>
              <w:rPr>
                <w:b/>
                <w:b/>
                <w:bCs/>
                <w:sz w:val="18"/>
                <w:lang w:val="en-CA"/>
              </w:rPr>
            </w:pPr>
            <w:r>
              <w:rPr>
                <w:bCs/>
                <w:sz w:val="18"/>
                <w:lang w:val="en-CA"/>
              </w:rPr>
              <w:t>Bupropion</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PSY01: Anxiety, neuroses</w:t>
            </w:r>
          </w:p>
          <w:p>
            <w:pPr>
              <w:pStyle w:val="ListParagraph"/>
              <w:numPr>
                <w:ilvl w:val="0"/>
                <w:numId w:val="2"/>
              </w:numPr>
              <w:spacing w:lineRule="auto" w:line="240" w:before="0" w:after="0"/>
              <w:ind w:left="162" w:hanging="180"/>
              <w:contextualSpacing/>
              <w:rPr>
                <w:b/>
                <w:b/>
                <w:bCs/>
                <w:sz w:val="18"/>
                <w:lang w:val="en-CA"/>
              </w:rPr>
            </w:pPr>
            <w:r>
              <w:rPr>
                <w:bCs/>
                <w:sz w:val="18"/>
                <w:lang w:val="en-CA"/>
              </w:rPr>
              <w:t>PSY09: Depression</w:t>
            </w:r>
          </w:p>
          <w:p>
            <w:pPr>
              <w:pStyle w:val="ListParagraph"/>
              <w:numPr>
                <w:ilvl w:val="0"/>
                <w:numId w:val="2"/>
              </w:numPr>
              <w:spacing w:lineRule="auto" w:line="240" w:before="0" w:after="0"/>
              <w:ind w:left="162" w:hanging="180"/>
              <w:contextualSpacing/>
              <w:rPr>
                <w:b/>
                <w:b/>
                <w:bCs/>
                <w:sz w:val="18"/>
                <w:lang w:val="en-CA"/>
              </w:rPr>
            </w:pPr>
            <w:r>
              <w:rPr>
                <w:bCs/>
                <w:sz w:val="18"/>
                <w:lang w:val="en-CA"/>
              </w:rPr>
              <w:t>PSY10: Psychological signs and symptoms</w:t>
            </w:r>
          </w:p>
        </w:tc>
      </w:tr>
      <w:tr>
        <w:trPr>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pPr>
            <w:r>
              <w:rPr>
                <w:b/>
                <w:bCs/>
                <w:sz w:val="18"/>
                <w:lang w:val="en-CA"/>
              </w:rPr>
              <w:t>Antibiotics</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Penicillins, (e.g.amoxicillin)</w:t>
            </w:r>
          </w:p>
          <w:p>
            <w:pPr>
              <w:pStyle w:val="ListParagraph"/>
              <w:numPr>
                <w:ilvl w:val="0"/>
                <w:numId w:val="2"/>
              </w:numPr>
              <w:spacing w:lineRule="auto" w:line="240" w:before="0" w:after="0"/>
              <w:ind w:left="162" w:hanging="180"/>
              <w:contextualSpacing/>
              <w:rPr>
                <w:b/>
                <w:b/>
                <w:bCs/>
                <w:sz w:val="18"/>
                <w:lang w:val="en-CA"/>
              </w:rPr>
            </w:pPr>
            <w:r>
              <w:rPr>
                <w:bCs/>
                <w:sz w:val="18"/>
                <w:lang w:val="en-CA"/>
              </w:rPr>
              <w:t>Sulfa drugs (e.g. trimethoprim / sulfamethoxizole)</w:t>
            </w:r>
          </w:p>
          <w:p>
            <w:pPr>
              <w:pStyle w:val="ListParagraph"/>
              <w:numPr>
                <w:ilvl w:val="0"/>
                <w:numId w:val="2"/>
              </w:numPr>
              <w:spacing w:lineRule="auto" w:line="240" w:before="0" w:after="0"/>
              <w:ind w:left="162" w:hanging="180"/>
              <w:contextualSpacing/>
              <w:rPr>
                <w:b/>
                <w:b/>
                <w:bCs/>
                <w:sz w:val="18"/>
                <w:lang w:val="en-CA"/>
              </w:rPr>
            </w:pPr>
            <w:r>
              <w:rPr>
                <w:bCs/>
                <w:sz w:val="18"/>
                <w:lang w:val="en-CA"/>
              </w:rPr>
              <w:t>Cephalexin</w:t>
            </w:r>
          </w:p>
          <w:p>
            <w:pPr>
              <w:pStyle w:val="ListParagraph"/>
              <w:numPr>
                <w:ilvl w:val="0"/>
                <w:numId w:val="2"/>
              </w:numPr>
              <w:spacing w:lineRule="auto" w:line="240" w:before="0" w:after="0"/>
              <w:ind w:left="162" w:hanging="180"/>
              <w:contextualSpacing/>
              <w:rPr>
                <w:b/>
                <w:b/>
                <w:bCs/>
                <w:sz w:val="18"/>
                <w:lang w:val="en-CA"/>
              </w:rPr>
            </w:pPr>
            <w:r>
              <w:rPr>
                <w:bCs/>
                <w:sz w:val="18"/>
                <w:lang w:val="en-CA"/>
              </w:rPr>
              <w:t>Tetracyclines (e.g. doxycycline)</w:t>
            </w:r>
          </w:p>
          <w:p>
            <w:pPr>
              <w:pStyle w:val="ListParagraph"/>
              <w:numPr>
                <w:ilvl w:val="0"/>
                <w:numId w:val="2"/>
              </w:numPr>
              <w:spacing w:lineRule="auto" w:line="240" w:before="0" w:after="0"/>
              <w:ind w:left="162" w:hanging="180"/>
              <w:contextualSpacing/>
              <w:rPr>
                <w:b/>
                <w:b/>
                <w:bCs/>
                <w:sz w:val="18"/>
                <w:lang w:val="en-CA"/>
              </w:rPr>
            </w:pPr>
            <w:r>
              <w:rPr>
                <w:bCs/>
                <w:sz w:val="18"/>
                <w:lang w:val="en-CA"/>
              </w:rPr>
              <w:t>Erythromycin</w:t>
            </w:r>
          </w:p>
          <w:p>
            <w:pPr>
              <w:pStyle w:val="ListParagraph"/>
              <w:numPr>
                <w:ilvl w:val="0"/>
                <w:numId w:val="2"/>
              </w:numPr>
              <w:spacing w:lineRule="auto" w:line="240" w:before="0" w:after="0"/>
              <w:ind w:left="162" w:hanging="180"/>
              <w:contextualSpacing/>
              <w:rPr>
                <w:b/>
                <w:b/>
                <w:bCs/>
                <w:sz w:val="18"/>
                <w:lang w:val="en-CA"/>
              </w:rPr>
            </w:pPr>
            <w:r>
              <w:rPr>
                <w:bCs/>
                <w:sz w:val="18"/>
                <w:lang w:val="en-CA"/>
              </w:rPr>
              <w:t>Clindamycin</w:t>
            </w:r>
          </w:p>
          <w:p>
            <w:pPr>
              <w:pStyle w:val="ListParagraph"/>
              <w:numPr>
                <w:ilvl w:val="0"/>
                <w:numId w:val="2"/>
              </w:numPr>
              <w:spacing w:lineRule="auto" w:line="240" w:before="0" w:after="0"/>
              <w:ind w:left="162" w:hanging="180"/>
              <w:contextualSpacing/>
              <w:rPr>
                <w:b/>
                <w:b/>
                <w:bCs/>
                <w:sz w:val="18"/>
                <w:lang w:val="en-CA"/>
              </w:rPr>
            </w:pPr>
            <w:r>
              <w:rPr>
                <w:bCs/>
                <w:sz w:val="18"/>
                <w:lang w:val="en-CA"/>
              </w:rPr>
              <w:t>Metronidazole</w:t>
            </w:r>
          </w:p>
          <w:p>
            <w:pPr>
              <w:pStyle w:val="ListParagraph"/>
              <w:numPr>
                <w:ilvl w:val="0"/>
                <w:numId w:val="2"/>
              </w:numPr>
              <w:spacing w:lineRule="auto" w:line="240" w:before="0" w:after="0"/>
              <w:ind w:left="162" w:hanging="180"/>
              <w:contextualSpacing/>
              <w:rPr>
                <w:b/>
                <w:b/>
                <w:bCs/>
                <w:sz w:val="18"/>
                <w:lang w:val="en-CA"/>
              </w:rPr>
            </w:pPr>
            <w:r>
              <w:rPr>
                <w:bCs/>
                <w:sz w:val="18"/>
                <w:lang w:val="en-CA"/>
              </w:rPr>
              <w:t xml:space="preserve">Nitrofurantoin </w:t>
            </w:r>
          </w:p>
          <w:p>
            <w:pPr>
              <w:pStyle w:val="ListParagraph"/>
              <w:numPr>
                <w:ilvl w:val="0"/>
                <w:numId w:val="2"/>
              </w:numPr>
              <w:spacing w:lineRule="auto" w:line="240" w:before="0" w:after="0"/>
              <w:ind w:left="162" w:hanging="180"/>
              <w:contextualSpacing/>
              <w:rPr>
                <w:b/>
                <w:b/>
                <w:bCs/>
                <w:sz w:val="18"/>
                <w:lang w:val="en-CA"/>
              </w:rPr>
            </w:pPr>
            <w:r>
              <w:rPr>
                <w:bCs/>
                <w:sz w:val="18"/>
                <w:lang w:val="en-CA"/>
              </w:rPr>
              <w:t>Amoxcillin /clavulanate</w:t>
            </w:r>
          </w:p>
          <w:p>
            <w:pPr>
              <w:pStyle w:val="ListParagraph"/>
              <w:numPr>
                <w:ilvl w:val="0"/>
                <w:numId w:val="2"/>
              </w:numPr>
              <w:spacing w:lineRule="auto" w:line="240" w:before="0" w:after="0"/>
              <w:ind w:left="162" w:hanging="180"/>
              <w:contextualSpacing/>
              <w:rPr>
                <w:b/>
                <w:b/>
                <w:bCs/>
                <w:sz w:val="18"/>
                <w:lang w:val="en-CA"/>
              </w:rPr>
            </w:pPr>
            <w:r>
              <w:rPr>
                <w:bCs/>
                <w:sz w:val="18"/>
                <w:lang w:val="en-CA"/>
              </w:rPr>
              <w:t xml:space="preserve">Fluoroquinolones (e.g. ciprofloxacin) </w:t>
            </w:r>
          </w:p>
          <w:p>
            <w:pPr>
              <w:pStyle w:val="ListParagraph"/>
              <w:numPr>
                <w:ilvl w:val="0"/>
                <w:numId w:val="2"/>
              </w:numPr>
              <w:spacing w:lineRule="auto" w:line="240" w:before="0" w:after="0"/>
              <w:ind w:left="162" w:hanging="180"/>
              <w:contextualSpacing/>
              <w:rPr>
                <w:b/>
                <w:b/>
                <w:bCs/>
                <w:sz w:val="18"/>
                <w:lang w:val="en-CA"/>
              </w:rPr>
            </w:pPr>
            <w:r>
              <w:rPr>
                <w:bCs/>
                <w:sz w:val="18"/>
                <w:lang w:val="en-CA"/>
              </w:rPr>
              <w:t>Macrolides (e.g.azithromycin)</w:t>
            </w:r>
          </w:p>
          <w:p>
            <w:pPr>
              <w:pStyle w:val="ListParagraph"/>
              <w:numPr>
                <w:ilvl w:val="0"/>
                <w:numId w:val="2"/>
              </w:numPr>
              <w:spacing w:lineRule="auto" w:line="240" w:before="0" w:after="0"/>
              <w:ind w:left="162" w:hanging="180"/>
              <w:contextualSpacing/>
              <w:rPr>
                <w:b/>
                <w:b/>
                <w:bCs/>
                <w:sz w:val="18"/>
                <w:lang w:val="en-CA"/>
              </w:rPr>
            </w:pPr>
            <w:r>
              <w:rPr>
                <w:bCs/>
                <w:sz w:val="18"/>
                <w:lang w:val="en-CA"/>
              </w:rPr>
              <w:t xml:space="preserve">Second and third generation cephalosporins (e.g. cefuroxime) </w:t>
            </w:r>
          </w:p>
          <w:p>
            <w:pPr>
              <w:pStyle w:val="ListParagraph"/>
              <w:numPr>
                <w:ilvl w:val="0"/>
                <w:numId w:val="2"/>
              </w:numPr>
              <w:spacing w:lineRule="auto" w:line="240" w:before="0" w:after="0"/>
              <w:ind w:left="162" w:hanging="180"/>
              <w:contextualSpacing/>
              <w:rPr>
                <w:b/>
                <w:b/>
                <w:bCs/>
                <w:sz w:val="18"/>
                <w:lang w:val="en-CA"/>
              </w:rPr>
            </w:pPr>
            <w:r>
              <w:rPr>
                <w:bCs/>
                <w:sz w:val="18"/>
                <w:lang w:val="en-CA"/>
              </w:rPr>
              <w:t>Linezolid</w:t>
            </w:r>
          </w:p>
          <w:p>
            <w:pPr>
              <w:pStyle w:val="ListParagraph"/>
              <w:numPr>
                <w:ilvl w:val="0"/>
                <w:numId w:val="2"/>
              </w:numPr>
              <w:spacing w:lineRule="auto" w:line="240" w:before="0" w:after="0"/>
              <w:ind w:left="162" w:hanging="180"/>
              <w:contextualSpacing/>
              <w:rPr>
                <w:b/>
                <w:b/>
                <w:bCs/>
                <w:sz w:val="18"/>
                <w:lang w:val="en-CA"/>
              </w:rPr>
            </w:pPr>
            <w:r>
              <w:rPr>
                <w:bCs/>
                <w:sz w:val="18"/>
                <w:lang w:val="en-CA"/>
              </w:rPr>
              <w:t>Vancomycin</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EAR01: Otitis media</w:t>
            </w:r>
          </w:p>
          <w:p>
            <w:pPr>
              <w:pStyle w:val="ListParagraph"/>
              <w:numPr>
                <w:ilvl w:val="0"/>
                <w:numId w:val="2"/>
              </w:numPr>
              <w:spacing w:lineRule="auto" w:line="240" w:before="0" w:after="0"/>
              <w:ind w:left="162" w:hanging="180"/>
              <w:contextualSpacing/>
              <w:rPr>
                <w:b/>
                <w:b/>
                <w:bCs/>
                <w:sz w:val="18"/>
                <w:lang w:val="en-CA"/>
              </w:rPr>
            </w:pPr>
            <w:r>
              <w:rPr>
                <w:bCs/>
                <w:sz w:val="18"/>
                <w:lang w:val="en-CA"/>
              </w:rPr>
              <w:t>EAR11: Acute upper respiratory tract infection</w:t>
            </w:r>
          </w:p>
          <w:p>
            <w:pPr>
              <w:pStyle w:val="ListParagraph"/>
              <w:numPr>
                <w:ilvl w:val="0"/>
                <w:numId w:val="2"/>
              </w:numPr>
              <w:spacing w:lineRule="auto" w:line="240" w:before="0" w:after="0"/>
              <w:ind w:left="162" w:hanging="180"/>
              <w:contextualSpacing/>
              <w:rPr>
                <w:b/>
                <w:b/>
                <w:bCs/>
                <w:sz w:val="18"/>
                <w:lang w:val="en-CA"/>
              </w:rPr>
            </w:pPr>
            <w:r>
              <w:rPr>
                <w:bCs/>
                <w:sz w:val="18"/>
                <w:lang w:val="en-CA"/>
              </w:rPr>
              <w:t>EYE09: Infections of the eyelid</w:t>
            </w:r>
          </w:p>
          <w:p>
            <w:pPr>
              <w:pStyle w:val="ListParagraph"/>
              <w:numPr>
                <w:ilvl w:val="0"/>
                <w:numId w:val="2"/>
              </w:numPr>
              <w:spacing w:lineRule="auto" w:line="240" w:before="0" w:after="0"/>
              <w:ind w:left="162" w:hanging="180"/>
              <w:contextualSpacing/>
              <w:rPr>
                <w:b/>
                <w:b/>
                <w:bCs/>
                <w:sz w:val="18"/>
                <w:lang w:val="en-CA"/>
              </w:rPr>
            </w:pPr>
            <w:r>
              <w:rPr>
                <w:bCs/>
                <w:sz w:val="18"/>
                <w:lang w:val="en-CA"/>
              </w:rPr>
              <w:t>GSI03: Fever</w:t>
            </w:r>
          </w:p>
          <w:p>
            <w:pPr>
              <w:pStyle w:val="ListParagraph"/>
              <w:numPr>
                <w:ilvl w:val="0"/>
                <w:numId w:val="2"/>
              </w:numPr>
              <w:spacing w:lineRule="auto" w:line="240" w:before="0" w:after="0"/>
              <w:ind w:left="162" w:hanging="180"/>
              <w:contextualSpacing/>
              <w:rPr>
                <w:b/>
                <w:b/>
                <w:bCs/>
                <w:sz w:val="18"/>
                <w:lang w:val="en-CA"/>
              </w:rPr>
            </w:pPr>
            <w:r>
              <w:rPr>
                <w:bCs/>
                <w:sz w:val="18"/>
                <w:lang w:val="en-CA"/>
              </w:rPr>
              <w:t>GSU09: Nonfungal infections of skin and subcutaneous tissue</w:t>
            </w:r>
          </w:p>
          <w:p>
            <w:pPr>
              <w:pStyle w:val="ListParagraph"/>
              <w:numPr>
                <w:ilvl w:val="0"/>
                <w:numId w:val="2"/>
              </w:numPr>
              <w:spacing w:lineRule="auto" w:line="240" w:before="0" w:after="0"/>
              <w:ind w:left="162" w:hanging="180"/>
              <w:contextualSpacing/>
              <w:rPr>
                <w:b/>
                <w:b/>
                <w:bCs/>
                <w:sz w:val="18"/>
                <w:lang w:val="en-CA"/>
              </w:rPr>
            </w:pPr>
            <w:r>
              <w:rPr>
                <w:bCs/>
                <w:sz w:val="18"/>
                <w:lang w:val="en-CA"/>
              </w:rPr>
              <w:t>GUR08: Urinary tract infections</w:t>
            </w:r>
          </w:p>
          <w:p>
            <w:pPr>
              <w:pStyle w:val="ListParagraph"/>
              <w:numPr>
                <w:ilvl w:val="0"/>
                <w:numId w:val="2"/>
              </w:numPr>
              <w:spacing w:lineRule="auto" w:line="240" w:before="0" w:after="0"/>
              <w:ind w:left="162" w:hanging="180"/>
              <w:contextualSpacing/>
              <w:rPr>
                <w:b/>
                <w:b/>
                <w:bCs/>
                <w:sz w:val="18"/>
                <w:lang w:val="en-CA"/>
              </w:rPr>
            </w:pPr>
            <w:r>
              <w:rPr>
                <w:bCs/>
                <w:sz w:val="18"/>
                <w:lang w:val="en-CA"/>
              </w:rPr>
              <w:t>GUR10 Prostatitis</w:t>
            </w:r>
          </w:p>
          <w:p>
            <w:pPr>
              <w:pStyle w:val="ListParagraph"/>
              <w:numPr>
                <w:ilvl w:val="0"/>
                <w:numId w:val="2"/>
              </w:numPr>
              <w:spacing w:lineRule="auto" w:line="240" w:before="0" w:after="0"/>
              <w:ind w:left="162" w:hanging="180"/>
              <w:contextualSpacing/>
              <w:rPr>
                <w:b/>
                <w:b/>
                <w:bCs/>
                <w:sz w:val="18"/>
                <w:lang w:val="en-CA"/>
              </w:rPr>
            </w:pPr>
            <w:r>
              <w:rPr>
                <w:bCs/>
                <w:sz w:val="18"/>
                <w:lang w:val="en-CA"/>
              </w:rPr>
              <w:t>INF05 Sexually transmitted diseases</w:t>
            </w:r>
          </w:p>
          <w:p>
            <w:pPr>
              <w:pStyle w:val="ListParagraph"/>
              <w:numPr>
                <w:ilvl w:val="0"/>
                <w:numId w:val="2"/>
              </w:numPr>
              <w:spacing w:lineRule="auto" w:line="240" w:before="0" w:after="0"/>
              <w:ind w:left="162" w:hanging="180"/>
              <w:contextualSpacing/>
              <w:rPr>
                <w:b/>
                <w:b/>
                <w:bCs/>
                <w:sz w:val="18"/>
                <w:lang w:val="en-CA"/>
              </w:rPr>
            </w:pPr>
            <w:r>
              <w:rPr>
                <w:bCs/>
                <w:sz w:val="18"/>
                <w:lang w:val="en-CA"/>
              </w:rPr>
              <w:t>INF08: septicemia</w:t>
            </w:r>
          </w:p>
          <w:p>
            <w:pPr>
              <w:pStyle w:val="ListParagraph"/>
              <w:numPr>
                <w:ilvl w:val="0"/>
                <w:numId w:val="2"/>
              </w:numPr>
              <w:spacing w:lineRule="auto" w:line="240" w:before="0" w:after="0"/>
              <w:ind w:left="162" w:hanging="180"/>
              <w:contextualSpacing/>
              <w:rPr>
                <w:b/>
                <w:b/>
                <w:bCs/>
                <w:sz w:val="18"/>
                <w:lang w:val="en-CA"/>
              </w:rPr>
            </w:pPr>
            <w:r>
              <w:rPr>
                <w:bCs/>
                <w:sz w:val="18"/>
                <w:lang w:val="en-CA"/>
              </w:rPr>
              <w:t>INF09 infections, other</w:t>
            </w:r>
          </w:p>
          <w:p>
            <w:pPr>
              <w:pStyle w:val="ListParagraph"/>
              <w:numPr>
                <w:ilvl w:val="0"/>
                <w:numId w:val="2"/>
              </w:numPr>
              <w:spacing w:lineRule="auto" w:line="240" w:before="0" w:after="0"/>
              <w:ind w:left="162" w:hanging="180"/>
              <w:contextualSpacing/>
              <w:rPr>
                <w:b/>
                <w:b/>
                <w:bCs/>
                <w:sz w:val="18"/>
                <w:lang w:val="en-CA"/>
              </w:rPr>
            </w:pPr>
            <w:r>
              <w:rPr>
                <w:bCs/>
                <w:sz w:val="18"/>
                <w:lang w:val="en-CA"/>
              </w:rPr>
              <w:t>RES02: Acute lower resiratory tract infection</w:t>
            </w:r>
          </w:p>
          <w:p>
            <w:pPr>
              <w:pStyle w:val="ListParagraph"/>
              <w:numPr>
                <w:ilvl w:val="0"/>
                <w:numId w:val="2"/>
              </w:numPr>
              <w:spacing w:lineRule="auto" w:line="240" w:before="0" w:after="0"/>
              <w:ind w:left="162" w:hanging="180"/>
              <w:contextualSpacing/>
              <w:rPr>
                <w:b/>
                <w:b/>
                <w:bCs/>
                <w:sz w:val="18"/>
                <w:lang w:val="en-CA"/>
              </w:rPr>
            </w:pPr>
            <w:r>
              <w:rPr>
                <w:bCs/>
                <w:sz w:val="18"/>
                <w:lang w:val="en-CA"/>
              </w:rPr>
              <w:t>RES07: Sinusitis</w:t>
            </w:r>
          </w:p>
          <w:p>
            <w:pPr>
              <w:pStyle w:val="ListParagraph"/>
              <w:numPr>
                <w:ilvl w:val="0"/>
                <w:numId w:val="2"/>
              </w:numPr>
              <w:spacing w:lineRule="auto" w:line="240" w:before="0" w:after="0"/>
              <w:ind w:left="162" w:hanging="180"/>
              <w:contextualSpacing/>
              <w:rPr>
                <w:b/>
                <w:b/>
                <w:bCs/>
                <w:sz w:val="18"/>
                <w:lang w:val="en-CA"/>
              </w:rPr>
            </w:pPr>
            <w:r>
              <w:rPr>
                <w:bCs/>
                <w:sz w:val="18"/>
                <w:lang w:val="en-CA"/>
              </w:rPr>
              <w:t>SKN19: Impetigo</w:t>
            </w:r>
          </w:p>
        </w:tc>
      </w:tr>
      <w:tr>
        <w:trPr>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b/>
                <w:b/>
                <w:bCs/>
                <w:sz w:val="18"/>
                <w:lang w:val="en-CA"/>
              </w:rPr>
            </w:pPr>
            <w:r>
              <w:rPr>
                <w:b/>
                <w:bCs/>
                <w:sz w:val="18"/>
                <w:lang w:val="en-CA"/>
              </w:rPr>
              <w:t>Statins</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Statins (e.g. atorvastatin)</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CAR11: Disorders of lipoid metabolism</w:t>
            </w:r>
          </w:p>
          <w:p>
            <w:pPr>
              <w:pStyle w:val="ListParagraph"/>
              <w:numPr>
                <w:ilvl w:val="0"/>
                <w:numId w:val="2"/>
              </w:numPr>
              <w:spacing w:lineRule="auto" w:line="240" w:before="0" w:after="0"/>
              <w:ind w:left="162" w:hanging="180"/>
              <w:contextualSpacing/>
              <w:rPr>
                <w:b/>
                <w:b/>
                <w:bCs/>
                <w:sz w:val="18"/>
                <w:lang w:val="en-CA"/>
              </w:rPr>
            </w:pPr>
            <w:r>
              <w:rPr>
                <w:bCs/>
                <w:sz w:val="18"/>
                <w:lang w:val="en-CA"/>
              </w:rPr>
              <w:t>CAR12: Acute myocardial infarction</w:t>
            </w:r>
          </w:p>
          <w:p>
            <w:pPr>
              <w:pStyle w:val="ListParagraph"/>
              <w:numPr>
                <w:ilvl w:val="0"/>
                <w:numId w:val="2"/>
              </w:numPr>
              <w:spacing w:lineRule="auto" w:line="240" w:before="0" w:after="0"/>
              <w:ind w:left="162" w:hanging="180"/>
              <w:contextualSpacing/>
              <w:rPr>
                <w:b/>
                <w:b/>
                <w:bCs/>
                <w:sz w:val="18"/>
                <w:lang w:val="en-CA"/>
              </w:rPr>
            </w:pPr>
            <w:r>
              <w:rPr>
                <w:bCs/>
                <w:sz w:val="18"/>
                <w:lang w:val="en-CA"/>
              </w:rPr>
              <w:t>CAR03: Ishemic heart disease</w:t>
            </w:r>
          </w:p>
          <w:p>
            <w:pPr>
              <w:pStyle w:val="ListParagraph"/>
              <w:numPr>
                <w:ilvl w:val="0"/>
                <w:numId w:val="2"/>
              </w:numPr>
              <w:spacing w:lineRule="auto" w:line="240" w:before="0" w:after="0"/>
              <w:ind w:left="162" w:hanging="180"/>
              <w:contextualSpacing/>
              <w:rPr>
                <w:b/>
                <w:b/>
                <w:bCs/>
                <w:sz w:val="18"/>
                <w:lang w:val="en-CA"/>
              </w:rPr>
            </w:pPr>
            <w:r>
              <w:rPr>
                <w:bCs/>
                <w:sz w:val="18"/>
                <w:lang w:val="en-CA"/>
              </w:rPr>
              <w:t xml:space="preserve">NUR05: Cerebrovascular disease </w:t>
            </w:r>
          </w:p>
          <w:p>
            <w:pPr>
              <w:pStyle w:val="ListParagraph"/>
              <w:numPr>
                <w:ilvl w:val="0"/>
                <w:numId w:val="2"/>
              </w:numPr>
              <w:spacing w:lineRule="auto" w:line="240" w:before="0" w:after="0"/>
              <w:ind w:left="162" w:hanging="180"/>
              <w:contextualSpacing/>
              <w:rPr>
                <w:b/>
                <w:b/>
                <w:bCs/>
                <w:sz w:val="18"/>
                <w:lang w:val="en-CA"/>
              </w:rPr>
            </w:pPr>
            <w:r>
              <w:rPr>
                <w:bCs/>
                <w:sz w:val="18"/>
                <w:lang w:val="en-CA"/>
              </w:rPr>
              <w:t>CAR10: Generalized atherosclerosis</w:t>
            </w:r>
          </w:p>
        </w:tc>
      </w:tr>
      <w:tr>
        <w:trPr>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b/>
                <w:b/>
                <w:bCs/>
                <w:sz w:val="18"/>
                <w:lang w:val="en-CA"/>
              </w:rPr>
            </w:pPr>
            <w:r>
              <w:rPr>
                <w:b/>
                <w:bCs/>
                <w:sz w:val="18"/>
                <w:lang w:val="en-CA"/>
              </w:rPr>
              <w:t>Inhaled drugs for respiratory conditions</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Inhaled adrenergics (e.g. salbutamol, salmeterol)</w:t>
            </w:r>
          </w:p>
          <w:p>
            <w:pPr>
              <w:pStyle w:val="ListParagraph"/>
              <w:numPr>
                <w:ilvl w:val="0"/>
                <w:numId w:val="2"/>
              </w:numPr>
              <w:spacing w:lineRule="auto" w:line="240" w:before="0" w:after="0"/>
              <w:ind w:left="162" w:hanging="180"/>
              <w:contextualSpacing/>
              <w:rPr>
                <w:b/>
                <w:b/>
                <w:bCs/>
                <w:sz w:val="18"/>
                <w:lang w:val="en-CA"/>
              </w:rPr>
            </w:pPr>
            <w:r>
              <w:rPr>
                <w:bCs/>
                <w:sz w:val="18"/>
                <w:lang w:val="en-CA"/>
              </w:rPr>
              <w:t>Inhaled glucocorticoids (e.g. fluticasone)</w:t>
            </w:r>
          </w:p>
          <w:p>
            <w:pPr>
              <w:pStyle w:val="ListParagraph"/>
              <w:numPr>
                <w:ilvl w:val="0"/>
                <w:numId w:val="2"/>
              </w:numPr>
              <w:spacing w:lineRule="auto" w:line="240" w:before="0" w:after="0"/>
              <w:ind w:left="162" w:hanging="180"/>
              <w:contextualSpacing/>
              <w:rPr>
                <w:b/>
                <w:b/>
                <w:bCs/>
                <w:sz w:val="18"/>
                <w:lang w:val="en-CA"/>
              </w:rPr>
            </w:pPr>
            <w:r>
              <w:rPr>
                <w:bCs/>
                <w:sz w:val="18"/>
                <w:lang w:val="en-CA"/>
              </w:rPr>
              <w:t>Inhaled anticholinergics (e.g. ipratropium)</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RES04: emphysema, chronic bronchitis, COPD</w:t>
            </w:r>
          </w:p>
          <w:p>
            <w:pPr>
              <w:pStyle w:val="ListParagraph"/>
              <w:numPr>
                <w:ilvl w:val="0"/>
                <w:numId w:val="2"/>
              </w:numPr>
              <w:spacing w:lineRule="auto" w:line="240" w:before="0" w:after="0"/>
              <w:ind w:left="162" w:hanging="180"/>
              <w:contextualSpacing/>
              <w:rPr>
                <w:b/>
                <w:b/>
                <w:bCs/>
                <w:sz w:val="18"/>
                <w:lang w:val="en-CA"/>
              </w:rPr>
            </w:pPr>
            <w:r>
              <w:rPr>
                <w:bCs/>
                <w:sz w:val="18"/>
                <w:lang w:val="en-CA"/>
              </w:rPr>
              <w:t>RES01: Respiratory signs and symptoms</w:t>
            </w:r>
          </w:p>
          <w:p>
            <w:pPr>
              <w:pStyle w:val="ListParagraph"/>
              <w:numPr>
                <w:ilvl w:val="0"/>
                <w:numId w:val="2"/>
              </w:numPr>
              <w:spacing w:lineRule="auto" w:line="240" w:before="0" w:after="0"/>
              <w:ind w:left="162" w:hanging="180"/>
              <w:contextualSpacing/>
              <w:rPr>
                <w:b/>
                <w:b/>
                <w:bCs/>
                <w:sz w:val="18"/>
                <w:lang w:val="en-CA"/>
              </w:rPr>
            </w:pPr>
            <w:r>
              <w:rPr>
                <w:bCs/>
                <w:sz w:val="18"/>
                <w:lang w:val="en-CA"/>
              </w:rPr>
              <w:t>ALL04: Asthma, w/o status asthmaticus</w:t>
            </w:r>
          </w:p>
          <w:p>
            <w:pPr>
              <w:pStyle w:val="ListParagraph"/>
              <w:numPr>
                <w:ilvl w:val="0"/>
                <w:numId w:val="2"/>
              </w:numPr>
              <w:spacing w:lineRule="auto" w:line="240" w:before="0" w:after="0"/>
              <w:ind w:left="162" w:hanging="180"/>
              <w:contextualSpacing/>
              <w:rPr>
                <w:b/>
                <w:b/>
                <w:bCs/>
                <w:sz w:val="18"/>
                <w:lang w:val="en-CA"/>
              </w:rPr>
            </w:pPr>
            <w:r>
              <w:rPr>
                <w:bCs/>
                <w:sz w:val="18"/>
                <w:lang w:val="en-CA"/>
              </w:rPr>
              <w:t>ALL05: Asthma, w/ status asthmaticus</w:t>
            </w:r>
          </w:p>
        </w:tc>
      </w:tr>
      <w:tr>
        <w:trPr>
          <w:cantSplit w:val="true"/>
        </w:trPr>
        <w:tc>
          <w:tcPr>
            <w:tcW w:w="1638" w:type="dxa"/>
            <w:tcBorders>
              <w:top w:val="single" w:sz="8" w:space="0" w:color="4F81BD"/>
              <w:bottom w:val="single" w:sz="8" w:space="0" w:color="4F81BD"/>
              <w:insideH w:val="single" w:sz="8" w:space="0" w:color="4F81BD"/>
            </w:tcBorders>
            <w:shd w:fill="auto" w:val="clear"/>
          </w:tcPr>
          <w:p>
            <w:pPr>
              <w:pStyle w:val="Normal"/>
              <w:spacing w:lineRule="auto" w:line="240" w:before="0" w:after="0"/>
              <w:ind w:hanging="0"/>
              <w:rPr>
                <w:b/>
                <w:b/>
                <w:bCs/>
                <w:sz w:val="18"/>
                <w:lang w:val="en-CA"/>
              </w:rPr>
            </w:pPr>
            <w:r>
              <w:rPr>
                <w:b/>
                <w:bCs/>
                <w:sz w:val="18"/>
                <w:lang w:val="en-CA"/>
              </w:rPr>
              <w:t>Nonsteroidal Anti-inflammatory drugs (NSAIDs)</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Cyclooxgenase-2 (COX2) inhibitors brand (e.g. celecoxib)</w:t>
            </w:r>
          </w:p>
          <w:p>
            <w:pPr>
              <w:pStyle w:val="ListParagraph"/>
              <w:numPr>
                <w:ilvl w:val="0"/>
                <w:numId w:val="2"/>
              </w:numPr>
              <w:spacing w:lineRule="auto" w:line="240" w:before="0" w:after="0"/>
              <w:ind w:left="162" w:hanging="180"/>
              <w:contextualSpacing/>
              <w:rPr>
                <w:b/>
                <w:b/>
                <w:bCs/>
                <w:sz w:val="18"/>
                <w:lang w:val="en-CA"/>
              </w:rPr>
            </w:pPr>
            <w:r>
              <w:rPr>
                <w:bCs/>
                <w:sz w:val="18"/>
                <w:lang w:val="en-CA"/>
              </w:rPr>
              <w:t>COX-2 inhibitors generic (diclofenac, etodolac, meloxicam)</w:t>
            </w:r>
          </w:p>
          <w:p>
            <w:pPr>
              <w:pStyle w:val="ListParagraph"/>
              <w:numPr>
                <w:ilvl w:val="0"/>
                <w:numId w:val="2"/>
              </w:numPr>
              <w:spacing w:lineRule="auto" w:line="240" w:before="0" w:after="0"/>
              <w:ind w:left="162" w:hanging="180"/>
              <w:contextualSpacing/>
              <w:rPr>
                <w:b/>
                <w:b/>
                <w:bCs/>
                <w:sz w:val="18"/>
                <w:lang w:val="en-CA"/>
              </w:rPr>
            </w:pPr>
            <w:r>
              <w:rPr>
                <w:bCs/>
                <w:sz w:val="18"/>
                <w:lang w:val="en-CA"/>
              </w:rPr>
              <w:t>Older NSAIDs (e.g. naproxen)</w:t>
            </w:r>
          </w:p>
        </w:tc>
        <w:tc>
          <w:tcPr>
            <w:tcW w:w="3969" w:type="dxa"/>
            <w:tcBorders>
              <w:top w:val="single" w:sz="8" w:space="0" w:color="4F81BD"/>
              <w:bottom w:val="single" w:sz="8" w:space="0" w:color="4F81BD"/>
              <w:insideH w:val="single" w:sz="8" w:space="0" w:color="4F81BD"/>
            </w:tcBorders>
            <w:shd w:fill="auto" w:val="clear"/>
          </w:tcPr>
          <w:p>
            <w:pPr>
              <w:pStyle w:val="ListParagraph"/>
              <w:numPr>
                <w:ilvl w:val="0"/>
                <w:numId w:val="2"/>
              </w:numPr>
              <w:spacing w:lineRule="auto" w:line="240" w:before="0" w:after="0"/>
              <w:ind w:left="162" w:hanging="180"/>
              <w:contextualSpacing/>
              <w:rPr>
                <w:b/>
                <w:b/>
                <w:bCs/>
                <w:sz w:val="18"/>
                <w:lang w:val="en-CA"/>
              </w:rPr>
            </w:pPr>
            <w:r>
              <w:rPr>
                <w:bCs/>
                <w:sz w:val="18"/>
                <w:lang w:val="en-CA"/>
              </w:rPr>
              <w:t>RHU01: Autoimmune and connective tissue diseases</w:t>
            </w:r>
          </w:p>
          <w:p>
            <w:pPr>
              <w:pStyle w:val="ListParagraph"/>
              <w:numPr>
                <w:ilvl w:val="0"/>
                <w:numId w:val="2"/>
              </w:numPr>
              <w:spacing w:lineRule="auto" w:line="240" w:before="0" w:after="0"/>
              <w:ind w:left="162" w:hanging="180"/>
              <w:contextualSpacing/>
              <w:rPr>
                <w:b/>
                <w:b/>
                <w:bCs/>
                <w:sz w:val="18"/>
                <w:lang w:val="en-CA"/>
              </w:rPr>
            </w:pPr>
            <w:r>
              <w:rPr>
                <w:bCs/>
                <w:sz w:val="18"/>
                <w:lang w:val="en-CA"/>
              </w:rPr>
              <w:t>RHU02: Gout</w:t>
            </w:r>
          </w:p>
          <w:p>
            <w:pPr>
              <w:pStyle w:val="ListParagraph"/>
              <w:numPr>
                <w:ilvl w:val="0"/>
                <w:numId w:val="2"/>
              </w:numPr>
              <w:spacing w:lineRule="auto" w:line="240" w:before="0" w:after="0"/>
              <w:ind w:left="162" w:hanging="180"/>
              <w:contextualSpacing/>
              <w:rPr>
                <w:b/>
                <w:b/>
                <w:bCs/>
                <w:sz w:val="18"/>
                <w:lang w:val="en-CA"/>
              </w:rPr>
            </w:pPr>
            <w:r>
              <w:rPr>
                <w:bCs/>
                <w:sz w:val="18"/>
                <w:lang w:val="en-CA"/>
              </w:rPr>
              <w:t>RHU03: Arthropathy</w:t>
            </w:r>
          </w:p>
          <w:p>
            <w:pPr>
              <w:pStyle w:val="ListParagraph"/>
              <w:numPr>
                <w:ilvl w:val="0"/>
                <w:numId w:val="2"/>
              </w:numPr>
              <w:spacing w:lineRule="auto" w:line="240" w:before="0" w:after="0"/>
              <w:ind w:left="162" w:hanging="180"/>
              <w:contextualSpacing/>
              <w:rPr>
                <w:b/>
                <w:b/>
                <w:bCs/>
                <w:sz w:val="18"/>
                <w:lang w:val="en-CA"/>
              </w:rPr>
            </w:pPr>
            <w:r>
              <w:rPr>
                <w:bCs/>
                <w:sz w:val="18"/>
                <w:lang w:val="en-CA"/>
              </w:rPr>
              <w:t>NUR02: Headaches</w:t>
            </w:r>
          </w:p>
          <w:p>
            <w:pPr>
              <w:pStyle w:val="ListParagraph"/>
              <w:numPr>
                <w:ilvl w:val="0"/>
                <w:numId w:val="2"/>
              </w:numPr>
              <w:spacing w:lineRule="auto" w:line="240" w:before="0" w:after="0"/>
              <w:ind w:left="162" w:hanging="180"/>
              <w:contextualSpacing/>
              <w:rPr>
                <w:b/>
                <w:b/>
                <w:bCs/>
                <w:sz w:val="18"/>
                <w:lang w:val="en-CA"/>
              </w:rPr>
            </w:pPr>
            <w:r>
              <w:rPr>
                <w:bCs/>
                <w:sz w:val="18"/>
                <w:lang w:val="en-CA"/>
              </w:rPr>
              <w:t>MUS02: Acute sprains and strains</w:t>
            </w:r>
          </w:p>
          <w:p>
            <w:pPr>
              <w:pStyle w:val="ListParagraph"/>
              <w:numPr>
                <w:ilvl w:val="0"/>
                <w:numId w:val="2"/>
              </w:numPr>
              <w:spacing w:lineRule="auto" w:line="240" w:before="0" w:after="0"/>
              <w:ind w:left="162" w:hanging="180"/>
              <w:contextualSpacing/>
              <w:rPr>
                <w:b/>
                <w:b/>
                <w:bCs/>
                <w:sz w:val="18"/>
                <w:lang w:val="en-CA"/>
              </w:rPr>
            </w:pPr>
            <w:r>
              <w:rPr>
                <w:bCs/>
                <w:sz w:val="18"/>
                <w:lang w:val="en-CA"/>
              </w:rPr>
              <w:t>MUS03: Degenerative disc disease</w:t>
            </w:r>
          </w:p>
          <w:p>
            <w:pPr>
              <w:pStyle w:val="ListParagraph"/>
              <w:numPr>
                <w:ilvl w:val="0"/>
                <w:numId w:val="2"/>
              </w:numPr>
              <w:spacing w:lineRule="auto" w:line="240" w:before="0" w:after="0"/>
              <w:ind w:left="162" w:hanging="180"/>
              <w:contextualSpacing/>
              <w:rPr>
                <w:b/>
                <w:b/>
                <w:bCs/>
                <w:sz w:val="18"/>
                <w:lang w:val="en-CA"/>
              </w:rPr>
            </w:pPr>
            <w:r>
              <w:rPr>
                <w:bCs/>
                <w:sz w:val="18"/>
                <w:lang w:val="en-CA"/>
              </w:rPr>
              <w:t>MUS04 Fractures</w:t>
            </w:r>
          </w:p>
          <w:p>
            <w:pPr>
              <w:pStyle w:val="ListParagraph"/>
              <w:numPr>
                <w:ilvl w:val="0"/>
                <w:numId w:val="2"/>
              </w:numPr>
              <w:spacing w:lineRule="auto" w:line="240" w:before="0" w:after="0"/>
              <w:ind w:left="162" w:hanging="180"/>
              <w:contextualSpacing/>
              <w:rPr>
                <w:b/>
                <w:b/>
                <w:bCs/>
                <w:sz w:val="18"/>
                <w:lang w:val="en-CA"/>
              </w:rPr>
            </w:pPr>
            <w:r>
              <w:rPr>
                <w:bCs/>
                <w:sz w:val="18"/>
                <w:lang w:val="en-CA"/>
              </w:rPr>
              <w:t>MUS 08: Fractures and dislocations</w:t>
            </w:r>
          </w:p>
          <w:p>
            <w:pPr>
              <w:pStyle w:val="ListParagraph"/>
              <w:numPr>
                <w:ilvl w:val="0"/>
                <w:numId w:val="2"/>
              </w:numPr>
              <w:spacing w:lineRule="auto" w:line="240" w:before="0" w:after="0"/>
              <w:ind w:left="162" w:hanging="180"/>
              <w:contextualSpacing/>
              <w:rPr>
                <w:b/>
                <w:b/>
                <w:bCs/>
                <w:sz w:val="18"/>
                <w:lang w:val="en-CA"/>
              </w:rPr>
            </w:pPr>
            <w:r>
              <w:rPr>
                <w:bCs/>
                <w:sz w:val="18"/>
                <w:lang w:val="en-CA"/>
              </w:rPr>
              <w:t>MUS09: Joint disorders, trauma related</w:t>
            </w:r>
          </w:p>
          <w:p>
            <w:pPr>
              <w:pStyle w:val="ListParagraph"/>
              <w:numPr>
                <w:ilvl w:val="0"/>
                <w:numId w:val="2"/>
              </w:numPr>
              <w:spacing w:lineRule="auto" w:line="240" w:before="0" w:after="0"/>
              <w:ind w:left="162" w:hanging="180"/>
              <w:contextualSpacing/>
              <w:rPr>
                <w:b/>
                <w:b/>
                <w:bCs/>
                <w:sz w:val="18"/>
                <w:lang w:val="en-CA"/>
              </w:rPr>
            </w:pPr>
            <w:r>
              <w:rPr>
                <w:bCs/>
                <w:sz w:val="18"/>
                <w:lang w:val="en-CA"/>
              </w:rPr>
              <w:t>MUS10: Fracture of neck of femur</w:t>
            </w:r>
          </w:p>
          <w:p>
            <w:pPr>
              <w:pStyle w:val="ListParagraph"/>
              <w:numPr>
                <w:ilvl w:val="0"/>
                <w:numId w:val="2"/>
              </w:numPr>
              <w:spacing w:lineRule="auto" w:line="240" w:before="0" w:after="0"/>
              <w:ind w:left="162" w:hanging="180"/>
              <w:contextualSpacing/>
              <w:rPr>
                <w:b/>
                <w:b/>
                <w:bCs/>
                <w:sz w:val="18"/>
                <w:lang w:val="en-CA"/>
              </w:rPr>
            </w:pPr>
            <w:r>
              <w:rPr>
                <w:bCs/>
                <w:sz w:val="18"/>
                <w:lang w:val="en-CA"/>
              </w:rPr>
              <w:t>MUS13: cervical pain syndrome</w:t>
            </w:r>
          </w:p>
          <w:p>
            <w:pPr>
              <w:pStyle w:val="ListParagraph"/>
              <w:numPr>
                <w:ilvl w:val="0"/>
                <w:numId w:val="2"/>
              </w:numPr>
              <w:spacing w:lineRule="auto" w:line="240" w:before="0" w:after="0"/>
              <w:ind w:left="162" w:hanging="180"/>
              <w:contextualSpacing/>
              <w:rPr>
                <w:b/>
                <w:b/>
                <w:bCs/>
                <w:sz w:val="18"/>
                <w:lang w:val="en-CA"/>
              </w:rPr>
            </w:pPr>
            <w:r>
              <w:rPr>
                <w:bCs/>
                <w:sz w:val="18"/>
                <w:lang w:val="en-CA"/>
              </w:rPr>
              <w:t>MUS14: low back pain</w:t>
            </w:r>
          </w:p>
          <w:p>
            <w:pPr>
              <w:pStyle w:val="ListParagraph"/>
              <w:numPr>
                <w:ilvl w:val="0"/>
                <w:numId w:val="2"/>
              </w:numPr>
              <w:spacing w:lineRule="auto" w:line="240" w:before="0" w:after="0"/>
              <w:ind w:left="162" w:hanging="180"/>
              <w:contextualSpacing/>
              <w:rPr>
                <w:b/>
                <w:b/>
                <w:bCs/>
                <w:sz w:val="18"/>
                <w:lang w:val="en-CA"/>
              </w:rPr>
            </w:pPr>
            <w:r>
              <w:rPr>
                <w:bCs/>
                <w:sz w:val="18"/>
                <w:lang w:val="en-CA"/>
              </w:rPr>
              <w:t>MUS15: Bursitis, synovitis, tenosynovitis</w:t>
            </w:r>
          </w:p>
          <w:p>
            <w:pPr>
              <w:pStyle w:val="ListParagraph"/>
              <w:numPr>
                <w:ilvl w:val="0"/>
                <w:numId w:val="2"/>
              </w:numPr>
              <w:spacing w:lineRule="auto" w:line="240" w:before="0" w:after="0"/>
              <w:ind w:left="162" w:hanging="180"/>
              <w:contextualSpacing/>
              <w:rPr>
                <w:b/>
                <w:b/>
                <w:bCs/>
                <w:sz w:val="18"/>
                <w:lang w:val="en-CA"/>
              </w:rPr>
            </w:pPr>
            <w:r>
              <w:rPr>
                <w:bCs/>
                <w:sz w:val="18"/>
                <w:lang w:val="en-CA"/>
              </w:rPr>
              <w:t>MUS17: musculoskeletal disorders, other</w:t>
            </w:r>
          </w:p>
        </w:tc>
      </w:tr>
    </w:tbl>
    <w:p>
      <w:pPr>
        <w:pStyle w:val="NoSpacing"/>
        <w:rPr>
          <w:lang w:val="en-CA"/>
        </w:rPr>
      </w:pPr>
      <w:r>
        <w:rPr>
          <w:rFonts w:eastAsia="Calibri" w:cs="Calibri"/>
          <w:lang w:val="en-CA"/>
        </w:rPr>
        <w:t xml:space="preserve"> </w:t>
      </w:r>
    </w:p>
    <w:p>
      <w:pPr>
        <w:pStyle w:val="NoSpacing"/>
        <w:rPr>
          <w:lang w:val="en-CA"/>
        </w:rPr>
      </w:pPr>
      <w:r>
        <w:rPr>
          <w:lang w:val="en-CA"/>
        </w:rPr>
      </w:r>
      <w:r>
        <w:br w:type="page"/>
      </w:r>
    </w:p>
    <w:p>
      <w:pPr>
        <w:pStyle w:val="Heading1"/>
        <w:numPr>
          <w:ilvl w:val="0"/>
          <w:numId w:val="1"/>
        </w:numPr>
        <w:ind w:hanging="0"/>
        <w:rPr>
          <w:lang w:val="en-CA"/>
        </w:rPr>
      </w:pPr>
      <w:r>
        <w:rPr>
          <w:lang w:val="en-CA"/>
        </w:rPr>
        <w:t>Appendix C</w:t>
      </w:r>
    </w:p>
    <w:p>
      <w:pPr>
        <w:pStyle w:val="Caption"/>
        <w:rPr>
          <w:lang w:val="en-CA"/>
        </w:rPr>
      </w:pPr>
      <w:r>
        <w:rPr>
          <w:lang w:val="en-CA"/>
        </w:rPr>
        <w:t xml:space="preserve">Table </w:t>
      </w:r>
      <w:r>
        <w:rPr>
          <w:lang w:val="en-CA"/>
        </w:rPr>
        <w:fldChar w:fldCharType="begin"/>
      </w:r>
      <w:r>
        <w:instrText> SEQ Table \* ARABIC </w:instrText>
      </w:r>
      <w:r>
        <w:fldChar w:fldCharType="separate"/>
      </w:r>
      <w:r>
        <w:t>4</w:t>
      </w:r>
      <w:r>
        <w:fldChar w:fldCharType="end"/>
      </w:r>
      <w:r>
        <w:rPr>
          <w:lang w:val="en-CA"/>
        </w:rPr>
        <w:t xml:space="preserve"> : Ethnic groupings derived from Canadian Community Health Survey (CCHS) data</w:t>
      </w:r>
    </w:p>
    <w:tbl>
      <w:tblPr>
        <w:tblW w:w="9468"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4788"/>
        <w:gridCol w:w="2610"/>
        <w:gridCol w:w="2070"/>
      </w:tblGrid>
      <w:tr>
        <w:trPr/>
        <w:tc>
          <w:tcPr>
            <w:tcW w:w="478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b/>
                <w:b/>
                <w:lang w:val="en-CA"/>
              </w:rPr>
            </w:pPr>
            <w:r>
              <w:rPr>
                <w:b/>
                <w:lang w:val="en-CA"/>
              </w:rPr>
              <w:t>Ethnic groupings as read in the CCHS questionnaire</w:t>
            </w:r>
          </w:p>
        </w:tc>
        <w:tc>
          <w:tcPr>
            <w:tcW w:w="261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b/>
                <w:b/>
                <w:lang w:val="en-CA"/>
              </w:rPr>
            </w:pPr>
            <w:r>
              <w:rPr>
                <w:b/>
                <w:lang w:val="en-CA"/>
              </w:rPr>
              <w:t>Ethnic groupings used in the present study</w:t>
            </w:r>
          </w:p>
        </w:tc>
        <w:tc>
          <w:tcPr>
            <w:tcW w:w="207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b/>
                <w:b/>
                <w:lang w:val="en-CA"/>
              </w:rPr>
            </w:pPr>
            <w:r>
              <w:rPr>
                <w:b/>
                <w:lang w:val="en-CA"/>
              </w:rPr>
              <w:t>Sample included in the present study</w:t>
            </w:r>
          </w:p>
        </w:tc>
      </w:tr>
      <w:tr>
        <w:trPr/>
        <w:tc>
          <w:tcPr>
            <w:tcW w:w="478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White</w:t>
            </w:r>
          </w:p>
        </w:tc>
        <w:tc>
          <w:tcPr>
            <w:tcW w:w="261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White</w:t>
            </w:r>
          </w:p>
        </w:tc>
        <w:tc>
          <w:tcPr>
            <w:tcW w:w="207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16,260</w:t>
            </w:r>
          </w:p>
        </w:tc>
      </w:tr>
      <w:tr>
        <w:trPr/>
        <w:tc>
          <w:tcPr>
            <w:tcW w:w="478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Chinese</w:t>
            </w:r>
          </w:p>
        </w:tc>
        <w:tc>
          <w:tcPr>
            <w:tcW w:w="261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Chinese</w:t>
            </w:r>
          </w:p>
        </w:tc>
        <w:tc>
          <w:tcPr>
            <w:tcW w:w="207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1,308</w:t>
            </w:r>
          </w:p>
        </w:tc>
      </w:tr>
      <w:tr>
        <w:trPr/>
        <w:tc>
          <w:tcPr>
            <w:tcW w:w="478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South Asian (e.g. East Indian, Pakistani, Sri Lankan)</w:t>
            </w:r>
          </w:p>
        </w:tc>
        <w:tc>
          <w:tcPr>
            <w:tcW w:w="261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South Asian</w:t>
            </w:r>
          </w:p>
        </w:tc>
        <w:tc>
          <w:tcPr>
            <w:tcW w:w="207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527</w:t>
            </w:r>
          </w:p>
        </w:tc>
      </w:tr>
      <w:tr>
        <w:trPr/>
        <w:tc>
          <w:tcPr>
            <w:tcW w:w="4788" w:type="dxa"/>
            <w:tcBorders/>
            <w:shd w:fill="auto" w:val="clear"/>
          </w:tcPr>
          <w:p>
            <w:pPr>
              <w:pStyle w:val="Normal"/>
              <w:spacing w:lineRule="auto" w:line="240" w:before="0" w:after="0"/>
              <w:ind w:hanging="0"/>
              <w:rPr>
                <w:lang w:val="en-CA"/>
              </w:rPr>
            </w:pPr>
            <w:r>
              <w:rPr>
                <w:lang w:val="en-CA"/>
              </w:rPr>
              <w:t>Filipino</w:t>
            </w:r>
          </w:p>
        </w:tc>
        <w:tc>
          <w:tcPr>
            <w:tcW w:w="2610" w:type="dxa"/>
            <w:tcBorders/>
            <w:shd w:fill="auto" w:val="clear"/>
          </w:tcPr>
          <w:p>
            <w:pPr>
              <w:pStyle w:val="Normal"/>
              <w:spacing w:lineRule="auto" w:line="240" w:before="0" w:after="0"/>
              <w:ind w:hanging="0"/>
              <w:rPr>
                <w:lang w:val="en-CA"/>
              </w:rPr>
            </w:pPr>
            <w:r>
              <w:rPr>
                <w:lang w:val="en-CA"/>
              </w:rPr>
              <w:t>Other Asian</w:t>
            </w:r>
          </w:p>
        </w:tc>
        <w:tc>
          <w:tcPr>
            <w:tcW w:w="2070" w:type="dxa"/>
            <w:tcBorders/>
            <w:shd w:fill="auto" w:val="clear"/>
          </w:tcPr>
          <w:p>
            <w:pPr>
              <w:pStyle w:val="Normal"/>
              <w:spacing w:lineRule="auto" w:line="240" w:before="0" w:after="0"/>
              <w:ind w:hanging="0"/>
              <w:rPr>
                <w:lang w:val="en-CA"/>
              </w:rPr>
            </w:pPr>
            <w:r>
              <w:rPr>
                <w:lang w:val="en-CA"/>
              </w:rPr>
              <w:t>222</w:t>
            </w:r>
          </w:p>
        </w:tc>
      </w:tr>
      <w:tr>
        <w:trPr/>
        <w:tc>
          <w:tcPr>
            <w:tcW w:w="4788" w:type="dxa"/>
            <w:tcBorders/>
            <w:shd w:fill="auto" w:val="clear"/>
          </w:tcPr>
          <w:p>
            <w:pPr>
              <w:pStyle w:val="Normal"/>
              <w:spacing w:lineRule="auto" w:line="240" w:before="0" w:after="0"/>
              <w:ind w:hanging="0"/>
              <w:rPr>
                <w:lang w:val="en-CA"/>
              </w:rPr>
            </w:pPr>
            <w:r>
              <w:rPr>
                <w:lang w:val="en-CA"/>
              </w:rPr>
              <w:t>South East Asian (e.g. Cambodian, Indonesian, Laotian, Vietnamese)</w:t>
            </w:r>
          </w:p>
        </w:tc>
        <w:tc>
          <w:tcPr>
            <w:tcW w:w="2610" w:type="dxa"/>
            <w:tcBorders/>
            <w:shd w:fill="auto" w:val="clear"/>
          </w:tcPr>
          <w:p>
            <w:pPr>
              <w:pStyle w:val="Normal"/>
              <w:snapToGrid w:val="false"/>
              <w:spacing w:lineRule="auto" w:line="240" w:before="0" w:after="0"/>
              <w:ind w:hanging="0"/>
              <w:rPr>
                <w:lang w:val="en-CA"/>
              </w:rPr>
            </w:pPr>
            <w:r>
              <w:rPr>
                <w:lang w:val="en-CA"/>
              </w:rPr>
            </w:r>
          </w:p>
        </w:tc>
        <w:tc>
          <w:tcPr>
            <w:tcW w:w="2070" w:type="dxa"/>
            <w:tcBorders/>
            <w:shd w:fill="auto" w:val="clear"/>
          </w:tcPr>
          <w:p>
            <w:pPr>
              <w:pStyle w:val="Normal"/>
              <w:spacing w:lineRule="auto" w:line="240" w:before="0" w:after="0"/>
              <w:ind w:hanging="0"/>
              <w:rPr>
                <w:lang w:val="en-CA"/>
              </w:rPr>
            </w:pPr>
            <w:r>
              <w:rPr>
                <w:lang w:val="en-CA"/>
              </w:rPr>
              <w:t>126</w:t>
            </w:r>
          </w:p>
        </w:tc>
      </w:tr>
      <w:tr>
        <w:trPr/>
        <w:tc>
          <w:tcPr>
            <w:tcW w:w="4788" w:type="dxa"/>
            <w:tcBorders/>
            <w:shd w:fill="auto" w:val="clear"/>
          </w:tcPr>
          <w:p>
            <w:pPr>
              <w:pStyle w:val="Normal"/>
              <w:spacing w:lineRule="auto" w:line="240" w:before="0" w:after="0"/>
              <w:ind w:hanging="0"/>
              <w:rPr>
                <w:lang w:val="en-CA"/>
              </w:rPr>
            </w:pPr>
            <w:r>
              <w:rPr>
                <w:lang w:val="en-CA"/>
              </w:rPr>
              <w:t>Japanese</w:t>
            </w:r>
          </w:p>
        </w:tc>
        <w:tc>
          <w:tcPr>
            <w:tcW w:w="2610" w:type="dxa"/>
            <w:tcBorders/>
            <w:shd w:fill="auto" w:val="clear"/>
          </w:tcPr>
          <w:p>
            <w:pPr>
              <w:pStyle w:val="Normal"/>
              <w:snapToGrid w:val="false"/>
              <w:spacing w:lineRule="auto" w:line="240" w:before="0" w:after="0"/>
              <w:ind w:hanging="0"/>
              <w:rPr>
                <w:lang w:val="en-CA"/>
              </w:rPr>
            </w:pPr>
            <w:r>
              <w:rPr>
                <w:lang w:val="en-CA"/>
              </w:rPr>
            </w:r>
          </w:p>
        </w:tc>
        <w:tc>
          <w:tcPr>
            <w:tcW w:w="2070" w:type="dxa"/>
            <w:tcBorders/>
            <w:shd w:fill="auto" w:val="clear"/>
          </w:tcPr>
          <w:p>
            <w:pPr>
              <w:pStyle w:val="Normal"/>
              <w:spacing w:lineRule="auto" w:line="240" w:before="0" w:after="0"/>
              <w:ind w:hanging="0"/>
              <w:rPr>
                <w:lang w:val="en-CA"/>
              </w:rPr>
            </w:pPr>
            <w:r>
              <w:rPr>
                <w:lang w:val="en-CA"/>
              </w:rPr>
              <w:t>129</w:t>
            </w:r>
          </w:p>
        </w:tc>
      </w:tr>
      <w:tr>
        <w:trPr/>
        <w:tc>
          <w:tcPr>
            <w:tcW w:w="4788" w:type="dxa"/>
            <w:tcBorders>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Korean</w:t>
            </w:r>
          </w:p>
        </w:tc>
        <w:tc>
          <w:tcPr>
            <w:tcW w:w="2610" w:type="dxa"/>
            <w:tcBorders>
              <w:bottom w:val="single" w:sz="4" w:space="0" w:color="000000"/>
              <w:insideH w:val="single" w:sz="4" w:space="0" w:color="000000"/>
            </w:tcBorders>
            <w:shd w:fill="auto" w:val="clear"/>
          </w:tcPr>
          <w:p>
            <w:pPr>
              <w:pStyle w:val="Normal"/>
              <w:snapToGrid w:val="false"/>
              <w:spacing w:lineRule="auto" w:line="240" w:before="0" w:after="0"/>
              <w:ind w:hanging="0"/>
              <w:rPr>
                <w:lang w:val="en-CA"/>
              </w:rPr>
            </w:pPr>
            <w:r>
              <w:rPr>
                <w:lang w:val="en-CA"/>
              </w:rPr>
            </w:r>
          </w:p>
        </w:tc>
        <w:tc>
          <w:tcPr>
            <w:tcW w:w="2070" w:type="dxa"/>
            <w:tcBorders>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101</w:t>
            </w:r>
          </w:p>
        </w:tc>
      </w:tr>
      <w:tr>
        <w:trPr/>
        <w:tc>
          <w:tcPr>
            <w:tcW w:w="4788" w:type="dxa"/>
            <w:tcBorders/>
            <w:shd w:fill="auto" w:val="clear"/>
          </w:tcPr>
          <w:p>
            <w:pPr>
              <w:pStyle w:val="Normal"/>
              <w:spacing w:lineRule="auto" w:line="240" w:before="0" w:after="0"/>
              <w:ind w:hanging="0"/>
              <w:rPr>
                <w:lang w:val="en-CA"/>
              </w:rPr>
            </w:pPr>
            <w:r>
              <w:rPr>
                <w:lang w:val="en-CA"/>
              </w:rPr>
              <w:t>Black</w:t>
            </w:r>
          </w:p>
        </w:tc>
        <w:tc>
          <w:tcPr>
            <w:tcW w:w="2610" w:type="dxa"/>
            <w:tcBorders/>
            <w:shd w:fill="auto" w:val="clear"/>
          </w:tcPr>
          <w:p>
            <w:pPr>
              <w:pStyle w:val="Normal"/>
              <w:spacing w:lineRule="auto" w:line="240" w:before="0" w:after="0"/>
              <w:ind w:hanging="0"/>
              <w:rPr>
                <w:lang w:val="en-CA"/>
              </w:rPr>
            </w:pPr>
            <w:r>
              <w:rPr>
                <w:lang w:val="en-CA"/>
              </w:rPr>
              <w:t>Non-Asian, Non-White</w:t>
            </w:r>
          </w:p>
        </w:tc>
        <w:tc>
          <w:tcPr>
            <w:tcW w:w="2070" w:type="dxa"/>
            <w:tcBorders/>
            <w:shd w:fill="auto" w:val="clear"/>
          </w:tcPr>
          <w:p>
            <w:pPr>
              <w:pStyle w:val="Normal"/>
              <w:spacing w:lineRule="auto" w:line="240" w:before="0" w:after="0"/>
              <w:ind w:hanging="0"/>
              <w:rPr>
                <w:lang w:val="en-CA"/>
              </w:rPr>
            </w:pPr>
            <w:r>
              <w:rPr>
                <w:lang w:val="en-CA"/>
              </w:rPr>
              <w:t>49</w:t>
            </w:r>
          </w:p>
        </w:tc>
      </w:tr>
      <w:tr>
        <w:trPr/>
        <w:tc>
          <w:tcPr>
            <w:tcW w:w="4788" w:type="dxa"/>
            <w:tcBorders/>
            <w:shd w:fill="auto" w:val="clear"/>
          </w:tcPr>
          <w:p>
            <w:pPr>
              <w:pStyle w:val="Normal"/>
              <w:spacing w:lineRule="auto" w:line="240" w:before="0" w:after="0"/>
              <w:ind w:hanging="0"/>
              <w:rPr>
                <w:lang w:val="en-CA"/>
              </w:rPr>
            </w:pPr>
            <w:r>
              <w:rPr>
                <w:lang w:val="en-CA"/>
              </w:rPr>
              <w:t>Latin American</w:t>
            </w:r>
          </w:p>
        </w:tc>
        <w:tc>
          <w:tcPr>
            <w:tcW w:w="2610" w:type="dxa"/>
            <w:tcBorders/>
            <w:shd w:fill="auto" w:val="clear"/>
          </w:tcPr>
          <w:p>
            <w:pPr>
              <w:pStyle w:val="Normal"/>
              <w:snapToGrid w:val="false"/>
              <w:spacing w:lineRule="auto" w:line="240" w:before="0" w:after="0"/>
              <w:ind w:hanging="0"/>
              <w:rPr>
                <w:lang w:val="en-CA"/>
              </w:rPr>
            </w:pPr>
            <w:r>
              <w:rPr>
                <w:lang w:val="en-CA"/>
              </w:rPr>
            </w:r>
          </w:p>
        </w:tc>
        <w:tc>
          <w:tcPr>
            <w:tcW w:w="2070" w:type="dxa"/>
            <w:tcBorders/>
            <w:shd w:fill="auto" w:val="clear"/>
          </w:tcPr>
          <w:p>
            <w:pPr>
              <w:pStyle w:val="Normal"/>
              <w:spacing w:lineRule="auto" w:line="240" w:before="0" w:after="0"/>
              <w:ind w:hanging="0"/>
              <w:rPr>
                <w:lang w:val="en-CA"/>
              </w:rPr>
            </w:pPr>
            <w:r>
              <w:rPr>
                <w:lang w:val="en-CA"/>
              </w:rPr>
              <w:t>68</w:t>
            </w:r>
          </w:p>
        </w:tc>
      </w:tr>
      <w:tr>
        <w:trPr/>
        <w:tc>
          <w:tcPr>
            <w:tcW w:w="4788" w:type="dxa"/>
            <w:tcBorders/>
            <w:shd w:fill="auto" w:val="clear"/>
          </w:tcPr>
          <w:p>
            <w:pPr>
              <w:pStyle w:val="Normal"/>
              <w:spacing w:lineRule="auto" w:line="240" w:before="0" w:after="0"/>
              <w:ind w:hanging="0"/>
              <w:rPr>
                <w:lang w:val="en-CA"/>
              </w:rPr>
            </w:pPr>
            <w:r>
              <w:rPr>
                <w:lang w:val="en-CA"/>
              </w:rPr>
              <w:t>Arab</w:t>
            </w:r>
          </w:p>
        </w:tc>
        <w:tc>
          <w:tcPr>
            <w:tcW w:w="2610" w:type="dxa"/>
            <w:tcBorders/>
            <w:shd w:fill="auto" w:val="clear"/>
          </w:tcPr>
          <w:p>
            <w:pPr>
              <w:pStyle w:val="Normal"/>
              <w:snapToGrid w:val="false"/>
              <w:spacing w:lineRule="auto" w:line="240" w:before="0" w:after="0"/>
              <w:ind w:hanging="0"/>
              <w:rPr>
                <w:lang w:val="en-CA"/>
              </w:rPr>
            </w:pPr>
            <w:r>
              <w:rPr>
                <w:lang w:val="en-CA"/>
              </w:rPr>
            </w:r>
          </w:p>
        </w:tc>
        <w:tc>
          <w:tcPr>
            <w:tcW w:w="2070" w:type="dxa"/>
            <w:tcBorders/>
            <w:shd w:fill="auto" w:val="clear"/>
          </w:tcPr>
          <w:p>
            <w:pPr>
              <w:pStyle w:val="Normal"/>
              <w:spacing w:lineRule="auto" w:line="240" w:before="0" w:after="0"/>
              <w:ind w:hanging="0"/>
              <w:rPr>
                <w:lang w:val="en-CA"/>
              </w:rPr>
            </w:pPr>
            <w:r>
              <w:rPr>
                <w:lang w:val="en-CA"/>
              </w:rPr>
              <w:t>22</w:t>
            </w:r>
          </w:p>
        </w:tc>
      </w:tr>
      <w:tr>
        <w:trPr/>
        <w:tc>
          <w:tcPr>
            <w:tcW w:w="4788" w:type="dxa"/>
            <w:tcBorders/>
            <w:shd w:fill="auto" w:val="clear"/>
          </w:tcPr>
          <w:p>
            <w:pPr>
              <w:pStyle w:val="Normal"/>
              <w:spacing w:lineRule="auto" w:line="240" w:before="0" w:after="0"/>
              <w:ind w:hanging="0"/>
              <w:rPr>
                <w:lang w:val="en-CA"/>
              </w:rPr>
            </w:pPr>
            <w:r>
              <w:rPr>
                <w:lang w:val="en-CA"/>
              </w:rPr>
              <w:t>West Asian (e.g. Afghan, Iranian)</w:t>
            </w:r>
          </w:p>
        </w:tc>
        <w:tc>
          <w:tcPr>
            <w:tcW w:w="2610" w:type="dxa"/>
            <w:tcBorders/>
            <w:shd w:fill="auto" w:val="clear"/>
          </w:tcPr>
          <w:p>
            <w:pPr>
              <w:pStyle w:val="Normal"/>
              <w:snapToGrid w:val="false"/>
              <w:spacing w:lineRule="auto" w:line="240" w:before="0" w:after="0"/>
              <w:ind w:hanging="0"/>
              <w:rPr>
                <w:lang w:val="en-CA"/>
              </w:rPr>
            </w:pPr>
            <w:r>
              <w:rPr>
                <w:lang w:val="en-CA"/>
              </w:rPr>
            </w:r>
          </w:p>
        </w:tc>
        <w:tc>
          <w:tcPr>
            <w:tcW w:w="2070" w:type="dxa"/>
            <w:tcBorders/>
            <w:shd w:fill="auto" w:val="clear"/>
          </w:tcPr>
          <w:p>
            <w:pPr>
              <w:pStyle w:val="Normal"/>
              <w:spacing w:lineRule="auto" w:line="240" w:before="0" w:after="0"/>
              <w:ind w:hanging="0"/>
              <w:rPr>
                <w:lang w:val="en-CA"/>
              </w:rPr>
            </w:pPr>
            <w:r>
              <w:rPr>
                <w:lang w:val="en-CA"/>
              </w:rPr>
              <w:t>72</w:t>
            </w:r>
          </w:p>
        </w:tc>
      </w:tr>
      <w:tr>
        <w:trPr/>
        <w:tc>
          <w:tcPr>
            <w:tcW w:w="4788" w:type="dxa"/>
            <w:tcBorders>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Other</w:t>
            </w:r>
          </w:p>
        </w:tc>
        <w:tc>
          <w:tcPr>
            <w:tcW w:w="2610" w:type="dxa"/>
            <w:tcBorders>
              <w:bottom w:val="single" w:sz="4" w:space="0" w:color="000000"/>
              <w:insideH w:val="single" w:sz="4" w:space="0" w:color="000000"/>
            </w:tcBorders>
            <w:shd w:fill="auto" w:val="clear"/>
          </w:tcPr>
          <w:p>
            <w:pPr>
              <w:pStyle w:val="Normal"/>
              <w:snapToGrid w:val="false"/>
              <w:spacing w:lineRule="auto" w:line="240" w:before="0" w:after="0"/>
              <w:ind w:hanging="0"/>
              <w:rPr>
                <w:lang w:val="en-CA"/>
              </w:rPr>
            </w:pPr>
            <w:r>
              <w:rPr>
                <w:lang w:val="en-CA"/>
              </w:rPr>
            </w:r>
          </w:p>
        </w:tc>
        <w:tc>
          <w:tcPr>
            <w:tcW w:w="2070" w:type="dxa"/>
            <w:tcBorders>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214</w:t>
            </w:r>
          </w:p>
        </w:tc>
      </w:tr>
      <w:tr>
        <w:trPr/>
        <w:tc>
          <w:tcPr>
            <w:tcW w:w="4788"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More than one of the above ethnicities</w:t>
            </w:r>
          </w:p>
        </w:tc>
        <w:tc>
          <w:tcPr>
            <w:tcW w:w="261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Mixed</w:t>
            </w:r>
          </w:p>
        </w:tc>
        <w:tc>
          <w:tcPr>
            <w:tcW w:w="2070" w:type="dxa"/>
            <w:tcBorders>
              <w:top w:val="single" w:sz="4" w:space="0" w:color="000000"/>
              <w:bottom w:val="single" w:sz="4" w:space="0" w:color="000000"/>
              <w:insideH w:val="single" w:sz="4" w:space="0" w:color="000000"/>
            </w:tcBorders>
            <w:shd w:fill="auto" w:val="clear"/>
          </w:tcPr>
          <w:p>
            <w:pPr>
              <w:pStyle w:val="Normal"/>
              <w:spacing w:lineRule="auto" w:line="240" w:before="0" w:after="0"/>
              <w:ind w:hanging="0"/>
              <w:rPr>
                <w:lang w:val="en-CA"/>
              </w:rPr>
            </w:pPr>
            <w:r>
              <w:rPr>
                <w:lang w:val="en-CA"/>
              </w:rPr>
              <w:t>263</w:t>
            </w:r>
          </w:p>
        </w:tc>
      </w:tr>
    </w:tbl>
    <w:p>
      <w:pPr>
        <w:pStyle w:val="Normal"/>
        <w:tabs>
          <w:tab w:val="left" w:pos="7440" w:leader="none"/>
        </w:tabs>
        <w:rPr>
          <w:lang w:val="en-CA"/>
        </w:rPr>
      </w:pPr>
      <w:r>
        <w:rPr>
          <w:lang w:val="en-CA"/>
        </w:rPr>
      </w:r>
      <w:r>
        <w:br w:type="page"/>
      </w:r>
    </w:p>
    <w:p>
      <w:pPr>
        <w:pStyle w:val="Heading1"/>
        <w:numPr>
          <w:ilvl w:val="0"/>
          <w:numId w:val="1"/>
        </w:numPr>
        <w:ind w:hanging="0"/>
        <w:rPr>
          <w:lang w:val="en-CA"/>
        </w:rPr>
      </w:pPr>
      <w:r>
        <w:rPr>
          <w:lang w:val="en-CA"/>
        </w:rPr>
        <w:t>Appendix D</w:t>
      </w:r>
    </w:p>
    <w:p>
      <w:pPr>
        <w:pStyle w:val="Caption"/>
        <w:rPr/>
      </w:pPr>
      <w:r>
        <w:rPr>
          <w:lang w:val="en-CA"/>
        </w:rPr>
        <w:t xml:space="preserve">Table </w:t>
      </w:r>
      <w:r>
        <w:rPr>
          <w:lang w:val="en-CA"/>
        </w:rPr>
        <w:fldChar w:fldCharType="begin"/>
      </w:r>
      <w:r>
        <w:instrText> SEQ Table \* ARABIC </w:instrText>
      </w:r>
      <w:r>
        <w:fldChar w:fldCharType="separate"/>
      </w:r>
      <w:r>
        <w:t>5</w:t>
      </w:r>
      <w:r>
        <w:fldChar w:fldCharType="end"/>
      </w:r>
      <w:r>
        <w:rPr/>
        <w:t xml:space="preserve"> : Adjusted odds ratios for the purchase of statins, respiratory drugs, and non-steroidal anti-inflammatory drugs by persons of different self-identified ethnicity</w:t>
      </w:r>
    </w:p>
    <w:tbl>
      <w:tblPr>
        <w:tblW w:w="9014" w:type="dxa"/>
        <w:jc w:val="left"/>
        <w:tblInd w:w="94"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420"/>
        <w:gridCol w:w="3297"/>
        <w:gridCol w:w="3297"/>
      </w:tblGrid>
      <w:tr>
        <w:trPr>
          <w:trHeight w:val="300" w:hRule="atLeast"/>
        </w:trPr>
        <w:tc>
          <w:tcPr>
            <w:tcW w:w="2420"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 </w:t>
            </w:r>
          </w:p>
        </w:tc>
        <w:tc>
          <w:tcPr>
            <w:tcW w:w="329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b/>
                <w:b/>
                <w:bCs/>
                <w:color w:val="000000"/>
                <w:lang w:val="en-CA" w:eastAsia="en-CA"/>
              </w:rPr>
            </w:pPr>
            <w:r>
              <w:rPr>
                <w:rFonts w:eastAsia="Times New Roman"/>
                <w:b/>
                <w:bCs/>
                <w:color w:val="000000"/>
                <w:lang w:val="en-CA" w:eastAsia="en-CA"/>
              </w:rPr>
              <w:t>Women</w:t>
            </w:r>
          </w:p>
        </w:tc>
        <w:tc>
          <w:tcPr>
            <w:tcW w:w="32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bCs/>
                <w:color w:val="000000"/>
                <w:lang w:val="en-CA" w:eastAsia="en-CA"/>
              </w:rPr>
            </w:pPr>
            <w:r>
              <w:rPr>
                <w:rFonts w:eastAsia="Times New Roman"/>
                <w:b/>
                <w:bCs/>
                <w:color w:val="000000"/>
                <w:lang w:val="en-CA" w:eastAsia="en-CA"/>
              </w:rPr>
              <w:t>Men</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Statins</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Chinese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0.71 (0.48, 1.05)</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0.57 (0.39, 0.84)</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South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0.59 (0.29, 1.19)</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(0.63, 1.58)</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Other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1.17 (0.73, 1.87)</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1.24 (0.74, 2.06)</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Non-Asian, Non-White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0.60 (0.29, 1.22)</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1.04 (0.61, 1.77)</w:t>
            </w:r>
          </w:p>
        </w:tc>
      </w:tr>
      <w:tr>
        <w:trPr>
          <w:trHeight w:val="300" w:hRule="atLeast"/>
        </w:trPr>
        <w:tc>
          <w:tcPr>
            <w:tcW w:w="2420" w:type="dxa"/>
            <w:tcBorders>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Mixed ethnicity</w:t>
            </w:r>
          </w:p>
        </w:tc>
        <w:tc>
          <w:tcPr>
            <w:tcW w:w="3297" w:type="dxa"/>
            <w:tcBorders>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1.54 (0.76, 3.15)</w:t>
            </w:r>
          </w:p>
        </w:tc>
        <w:tc>
          <w:tcPr>
            <w:tcW w:w="3297"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0.52 (0.18, 1.53)</w:t>
            </w:r>
          </w:p>
        </w:tc>
      </w:tr>
      <w:tr>
        <w:trPr>
          <w:trHeight w:val="300" w:hRule="atLeast"/>
        </w:trPr>
        <w:tc>
          <w:tcPr>
            <w:tcW w:w="2420" w:type="dxa"/>
            <w:tcBorders>
              <w:top w:val="single" w:sz="4" w:space="0" w:color="000000"/>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Respiratory drugs</w:t>
            </w:r>
          </w:p>
        </w:tc>
        <w:tc>
          <w:tcPr>
            <w:tcW w:w="3297" w:type="dxa"/>
            <w:tcBorders>
              <w:top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c>
          <w:tcPr>
            <w:tcW w:w="3297" w:type="dxa"/>
            <w:tcBorders>
              <w:top w:val="single" w:sz="4" w:space="0" w:color="000000"/>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Chinese</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0.37 (0.22, 0.62)</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0.98 (0.62, 1.55)</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South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0.55 (0.29, 1.05)</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1.07 (0.61, 1.88)</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Other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0.89 (0.52, 1.51)</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1.36 (0.71, 2.59)</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Non-Asian, Non-White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0.97 (0.53, 1.77)</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0.93 (0.44, 1.95)</w:t>
            </w:r>
          </w:p>
        </w:tc>
      </w:tr>
      <w:tr>
        <w:trPr>
          <w:trHeight w:val="300" w:hRule="atLeast"/>
        </w:trPr>
        <w:tc>
          <w:tcPr>
            <w:tcW w:w="2420" w:type="dxa"/>
            <w:tcBorders>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Mixed ethnicity</w:t>
            </w:r>
          </w:p>
        </w:tc>
        <w:tc>
          <w:tcPr>
            <w:tcW w:w="3297" w:type="dxa"/>
            <w:tcBorders>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0.83 (0.41, 1.71)</w:t>
            </w:r>
          </w:p>
        </w:tc>
        <w:tc>
          <w:tcPr>
            <w:tcW w:w="3297"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0.84 (0.33, 2.18)</w:t>
            </w:r>
          </w:p>
        </w:tc>
      </w:tr>
      <w:tr>
        <w:trPr>
          <w:trHeight w:val="300" w:hRule="atLeast"/>
        </w:trPr>
        <w:tc>
          <w:tcPr>
            <w:tcW w:w="2420" w:type="dxa"/>
            <w:tcBorders>
              <w:top w:val="single" w:sz="4" w:space="0" w:color="000000"/>
            </w:tcBorders>
            <w:shd w:fill="auto" w:val="clear"/>
            <w:vAlign w:val="bottom"/>
          </w:tcPr>
          <w:p>
            <w:pPr>
              <w:pStyle w:val="Normal"/>
              <w:spacing w:lineRule="auto" w:line="240" w:before="0" w:after="0"/>
              <w:ind w:hanging="0"/>
              <w:rPr>
                <w:rFonts w:eastAsia="Times New Roman"/>
                <w:b/>
                <w:b/>
                <w:bCs/>
                <w:color w:val="000000"/>
                <w:lang w:val="en-CA" w:eastAsia="en-CA"/>
              </w:rPr>
            </w:pPr>
            <w:r>
              <w:rPr>
                <w:rFonts w:eastAsia="Times New Roman"/>
                <w:b/>
                <w:bCs/>
                <w:color w:val="000000"/>
                <w:lang w:val="en-CA" w:eastAsia="en-CA"/>
              </w:rPr>
              <w:t>NSAIDs</w:t>
            </w:r>
          </w:p>
        </w:tc>
        <w:tc>
          <w:tcPr>
            <w:tcW w:w="3297" w:type="dxa"/>
            <w:tcBorders>
              <w:top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c>
          <w:tcPr>
            <w:tcW w:w="3297" w:type="dxa"/>
            <w:tcBorders>
              <w:top w:val="single" w:sz="4" w:space="0" w:color="000000"/>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 </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1.00 (ref)</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Chinese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0.78 (0.58, 1.04)</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0.91 (0.66, 1.25)</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South Asian</w:t>
            </w:r>
          </w:p>
        </w:tc>
        <w:tc>
          <w:tcPr>
            <w:tcW w:w="3297" w:type="dxa"/>
            <w:tcBorders/>
            <w:shd w:fill="auto" w:val="cle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1.46 (1.03, 2.08)</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b/>
                <w:b/>
                <w:color w:val="000000"/>
                <w:lang w:val="en-CA" w:eastAsia="en-CA"/>
              </w:rPr>
            </w:pPr>
            <w:r>
              <w:rPr>
                <w:rFonts w:eastAsia="Times New Roman"/>
                <w:b/>
                <w:color w:val="000000"/>
                <w:lang w:val="en-CA" w:eastAsia="en-CA"/>
              </w:rPr>
              <w:t>1.61 (1.13, 2.31)</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Other Asian</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0.97 (0.68, 1.38)</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1.22 (0.78, 1.92)</w:t>
            </w:r>
          </w:p>
        </w:tc>
      </w:tr>
      <w:tr>
        <w:trPr>
          <w:trHeight w:val="300" w:hRule="atLeast"/>
        </w:trPr>
        <w:tc>
          <w:tcPr>
            <w:tcW w:w="2420" w:type="dxa"/>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Non-Asian, Non-White</w:t>
            </w:r>
          </w:p>
        </w:tc>
        <w:tc>
          <w:tcPr>
            <w:tcW w:w="3297" w:type="dxa"/>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1.17 (0.77, 1.78)</w:t>
            </w:r>
          </w:p>
        </w:tc>
        <w:tc>
          <w:tcPr>
            <w:tcW w:w="3297" w:type="dxa"/>
            <w:tcBorders>
              <w:left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1.19 (0.75, 1.87)</w:t>
            </w:r>
          </w:p>
        </w:tc>
      </w:tr>
      <w:tr>
        <w:trPr>
          <w:trHeight w:val="300" w:hRule="atLeast"/>
        </w:trPr>
        <w:tc>
          <w:tcPr>
            <w:tcW w:w="2420" w:type="dxa"/>
            <w:tcBorders>
              <w:bottom w:val="single" w:sz="4" w:space="0" w:color="000000"/>
              <w:insideH w:val="single" w:sz="4" w:space="0" w:color="000000"/>
            </w:tcBorders>
            <w:shd w:fill="auto" w:val="clear"/>
            <w:vAlign w:val="bottom"/>
          </w:tcPr>
          <w:p>
            <w:pPr>
              <w:pStyle w:val="Normal"/>
              <w:spacing w:lineRule="auto" w:line="240" w:before="0" w:after="0"/>
              <w:ind w:hanging="0"/>
              <w:rPr>
                <w:rFonts w:eastAsia="Times New Roman"/>
                <w:color w:val="000000"/>
                <w:lang w:val="en-CA" w:eastAsia="en-CA"/>
              </w:rPr>
            </w:pPr>
            <w:r>
              <w:rPr>
                <w:rFonts w:eastAsia="Times New Roman"/>
                <w:color w:val="000000"/>
                <w:lang w:val="en-CA" w:eastAsia="en-CA"/>
              </w:rPr>
              <w:t>Mixed ethnicity</w:t>
            </w:r>
          </w:p>
        </w:tc>
        <w:tc>
          <w:tcPr>
            <w:tcW w:w="3297" w:type="dxa"/>
            <w:tcBorders>
              <w:bottom w:val="single" w:sz="4" w:space="0" w:color="000000"/>
              <w:insideH w:val="single" w:sz="4" w:space="0" w:color="000000"/>
            </w:tcBorders>
            <w:shd w:fill="auto" w:val="cle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1.20 (0.74, 1.96)</w:t>
            </w:r>
          </w:p>
        </w:tc>
        <w:tc>
          <w:tcPr>
            <w:tcW w:w="3297"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pacing w:lineRule="auto" w:line="240" w:before="0" w:after="0"/>
              <w:ind w:hanging="0"/>
              <w:jc w:val="center"/>
              <w:rPr>
                <w:rFonts w:eastAsia="Times New Roman"/>
                <w:color w:val="000000"/>
                <w:lang w:val="en-CA" w:eastAsia="en-CA"/>
              </w:rPr>
            </w:pPr>
            <w:r>
              <w:rPr>
                <w:rFonts w:eastAsia="Times New Roman"/>
                <w:color w:val="000000"/>
                <w:lang w:val="en-CA" w:eastAsia="en-CA"/>
              </w:rPr>
              <w:t>1.16 (0.60, 2.26)</w:t>
            </w:r>
          </w:p>
        </w:tc>
      </w:tr>
    </w:tbl>
    <w:p>
      <w:pPr>
        <w:pStyle w:val="NoSpacing"/>
        <w:rPr>
          <w:lang w:val="en-CA"/>
        </w:rPr>
      </w:pPr>
      <w:r>
        <w:rPr>
          <w:lang w:val="en-CA"/>
        </w:rPr>
        <w:t>Note: models are adjusted for age (10-year age bands), general health status (Aggregated Diagnostic Groups), treatment-specific indications of potential need (Expanded Diagnostic Clusters outlined in Appendix B), income quintiles, evidence of employment-related health benefits, and recent immigration (within 10 years).</w:t>
      </w:r>
      <w:r>
        <w:br w:type="page"/>
      </w:r>
    </w:p>
    <w:p>
      <w:pPr>
        <w:pStyle w:val="Heading1"/>
        <w:numPr>
          <w:ilvl w:val="0"/>
          <w:numId w:val="1"/>
        </w:numPr>
        <w:ind w:hanging="0"/>
        <w:rPr/>
      </w:pPr>
      <w:r>
        <w:rPr>
          <w:rFonts w:eastAsia="Cambria"/>
          <w:lang w:val="en-GB"/>
        </w:rPr>
        <w:t xml:space="preserve"> </w:t>
      </w:r>
      <w:r>
        <w:rPr>
          <w:lang w:val="en-CA"/>
        </w:rPr>
        <w:t>Appendix E</w:t>
      </w:r>
    </w:p>
    <w:p>
      <w:pPr>
        <w:pStyle w:val="Caption"/>
        <w:rPr>
          <w:lang w:val="en-CA"/>
        </w:rPr>
      </w:pPr>
      <w:r>
        <w:rPr>
          <w:lang w:val="en-CA"/>
        </w:rPr>
        <w:t xml:space="preserve">Table </w:t>
      </w:r>
      <w:r>
        <w:rPr>
          <w:lang w:val="en-CA"/>
        </w:rPr>
        <w:fldChar w:fldCharType="begin"/>
      </w:r>
      <w:r>
        <w:instrText> SEQ Table \* ARABIC </w:instrText>
      </w:r>
      <w:r>
        <w:fldChar w:fldCharType="separate"/>
      </w:r>
      <w:r>
        <w:t>6</w:t>
      </w:r>
      <w:r>
        <w:fldChar w:fldCharType="end"/>
      </w:r>
      <w:r>
        <w:rPr>
          <w:lang w:val="en-CA"/>
        </w:rPr>
        <w:t xml:space="preserve"> : STROBE Statement checklist</w:t>
      </w:r>
    </w:p>
    <w:tbl>
      <w:tblPr>
        <w:tblW w:w="95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17"/>
        <w:gridCol w:w="641"/>
        <w:gridCol w:w="5790"/>
        <w:gridCol w:w="838"/>
      </w:tblGrid>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Spacing"/>
              <w:snapToGrid w:val="false"/>
              <w:jc w:val="center"/>
              <w:rPr/>
            </w:pPr>
            <w:bookmarkStart w:id="23" w:name="RANGE!A1"/>
            <w:bookmarkStart w:id="24" w:name="RANGE!A1"/>
            <w:bookmarkEnd w:id="24"/>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Spacing"/>
              <w:jc w:val="center"/>
              <w:rPr>
                <w:b/>
                <w:b/>
                <w:bCs/>
              </w:rPr>
            </w:pPr>
            <w:r>
              <w:rPr>
                <w:b/>
                <w:bCs/>
                <w:lang w:val="en-GB"/>
              </w:rPr>
              <w:t>Item No</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Spacing"/>
              <w:jc w:val="center"/>
              <w:rPr>
                <w:b/>
                <w:b/>
                <w:bCs/>
              </w:rPr>
            </w:pPr>
            <w:r>
              <w:rPr>
                <w:b/>
                <w:bCs/>
                <w:lang w:val="en-GB"/>
              </w:rPr>
              <w:t>Recommendation</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Spacing"/>
              <w:jc w:val="center"/>
              <w:rPr>
                <w:b/>
                <w:b/>
                <w:bCs/>
              </w:rPr>
            </w:pPr>
            <w:r>
              <w:rPr>
                <w:b/>
                <w:bCs/>
                <w:lang w:val="en-GB"/>
              </w:rPr>
              <w:t>Done</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bookmarkStart w:id="25" w:name="RANGE!A2"/>
            <w:bookmarkStart w:id="26" w:name="italic6"/>
            <w:bookmarkEnd w:id="25"/>
            <w:bookmarkEnd w:id="26"/>
            <w:r>
              <w:rPr>
                <w:lang w:val="en-GB"/>
              </w:rPr>
              <w:t>Title and abstract</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(a) Indicate the study’s design with a commonly used term in the title or the abstract</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(b) Provide in the abstract an informative and balanced summary of what was done and what was found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
                <w:b/>
              </w:rPr>
            </w:pPr>
            <w:bookmarkStart w:id="27" w:name="RANGE!A4"/>
            <w:bookmarkStart w:id="28" w:name="italic8"/>
            <w:bookmarkEnd w:id="27"/>
            <w:bookmarkEnd w:id="28"/>
            <w:r>
              <w:rPr>
                <w:b/>
                <w:lang w:val="en-GB"/>
              </w:rPr>
              <w:t>Introduction</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snapToGrid w:val="false"/>
              <w:jc w:val="center"/>
              <w:rPr>
                <w:b/>
                <w:b/>
              </w:rPr>
            </w:pPr>
            <w:r>
              <w:rPr>
                <w:b/>
              </w:rPr>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29" w:name="RANGE!A5"/>
            <w:bookmarkStart w:id="30" w:name="italic9"/>
            <w:bookmarkEnd w:id="29"/>
            <w:bookmarkEnd w:id="30"/>
            <w:r>
              <w:rPr>
                <w:bCs/>
                <w:lang w:val="en-GB"/>
              </w:rPr>
              <w:t>Background/rationale</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2</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Explain the scientific background and rationale for the investigation being reported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31" w:name="RANGE!A6"/>
            <w:bookmarkEnd w:id="31"/>
            <w:r>
              <w:rPr>
                <w:bCs/>
                <w:lang w:val="en-GB"/>
              </w:rPr>
              <w:t>Objectives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3</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State specific objectives, including any prespecified hypotheses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
                <w:b/>
              </w:rPr>
            </w:pPr>
            <w:bookmarkStart w:id="32" w:name="RANGE!A7"/>
            <w:bookmarkStart w:id="33" w:name="italic12"/>
            <w:bookmarkEnd w:id="32"/>
            <w:bookmarkEnd w:id="33"/>
            <w:r>
              <w:rPr>
                <w:b/>
                <w:lang w:val="en-GB"/>
              </w:rPr>
              <w:t>Methods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snapToGrid w:val="false"/>
              <w:jc w:val="center"/>
              <w:rPr>
                <w:b/>
                <w:b/>
              </w:rPr>
            </w:pPr>
            <w:r>
              <w:rPr>
                <w:b/>
              </w:rPr>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34" w:name="RANGE!A8"/>
            <w:bookmarkEnd w:id="34"/>
            <w:r>
              <w:rPr>
                <w:bCs/>
                <w:lang w:val="en-GB"/>
              </w:rPr>
              <w:t>Study design</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4</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Present key elements of study design early in the paper</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9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35" w:name="RANGE!A9"/>
            <w:bookmarkEnd w:id="35"/>
            <w:r>
              <w:rPr>
                <w:bCs/>
                <w:lang w:val="en-GB"/>
              </w:rPr>
              <w:t>Setting</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5</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Describe the setting, locations, and relevant dates, including periods of recruitment, exposure, follow-up, and data collection</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r>
              <w:rPr>
                <w:bCs/>
                <w:lang w:val="en-GB"/>
              </w:rPr>
              <w:t>Participants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6</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Cross-sectional study—Give the eligibility criteria, and the sources and methods of selection of participants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9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36" w:name="RANGE!A11"/>
            <w:bookmarkEnd w:id="36"/>
            <w:r>
              <w:rPr>
                <w:bCs/>
                <w:lang w:val="en-GB"/>
              </w:rPr>
              <w:t>Variables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7</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Clearly define all outcomes, exposures, predictors, potential confounders, and effect modifiers. Give diagnostic criteria, if applicable</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12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37" w:name="RANGE!A12"/>
            <w:bookmarkStart w:id="38" w:name="italic18"/>
            <w:bookmarkEnd w:id="37"/>
            <w:bookmarkEnd w:id="38"/>
            <w:r>
              <w:rPr>
                <w:bCs/>
                <w:lang w:val="en-GB"/>
              </w:rPr>
              <w:t>Data sources/ measurement</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8*</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rFonts w:eastAsia="Calibri" w:cs="Calibri"/>
                <w:lang w:val="en-GB"/>
              </w:rPr>
              <w:t xml:space="preserve"> </w:t>
            </w:r>
            <w:r>
              <w:rPr>
                <w:lang w:val="en-GB"/>
              </w:rPr>
              <w:t>For each variable of interest, give sources of data and details of methods of assessment (measurement). Describe comparability of assessment methods if there is more than one group</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39" w:name="RANGE!A13"/>
            <w:bookmarkEnd w:id="39"/>
            <w:r>
              <w:rPr>
                <w:bCs/>
                <w:lang w:val="en-GB"/>
              </w:rPr>
              <w:t>Bias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9</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Describe any efforts to address potential sources of bias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40" w:name="RANGE!A14"/>
            <w:bookmarkEnd w:id="40"/>
            <w:r>
              <w:rPr>
                <w:bCs/>
                <w:lang w:val="en-GB"/>
              </w:rPr>
              <w:t>Study size</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10</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Explain how the study size was arrived at</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9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41" w:name="RANGE!A15"/>
            <w:bookmarkStart w:id="42" w:name="italic22"/>
            <w:bookmarkEnd w:id="41"/>
            <w:bookmarkEnd w:id="42"/>
            <w:r>
              <w:rPr>
                <w:bCs/>
                <w:lang w:val="en-GB"/>
              </w:rPr>
              <w:t>Quantitative variables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11</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Explain how quantitative variables were handled in the analyses. If applicable, describe which groupings were chosen and why</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bookmarkStart w:id="43" w:name="RANGE!A16"/>
            <w:bookmarkEnd w:id="43"/>
            <w:r>
              <w:rPr>
                <w:lang w:val="en-GB"/>
              </w:rPr>
              <w:t>Statistical methods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12</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(a) Describe all statistical methods, including those used to control for confounding</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(b) Describe any methods used to examine subgroups and interactions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(c) Explain how missing data were addressed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(d) Cross-sectional study—If applicable, describe analytical methods taking account of sampling strategy</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(e) Describe any sensitivity analyses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
                <w:b/>
              </w:rPr>
            </w:pPr>
            <w:r>
              <w:rPr>
                <w:b/>
                <w:lang w:val="en-GB"/>
              </w:rPr>
              <w:t>Results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snapToGrid w:val="false"/>
              <w:jc w:val="center"/>
              <w:rPr>
                <w:b/>
                <w:b/>
              </w:rPr>
            </w:pPr>
            <w:r>
              <w:rPr>
                <w:b/>
              </w:rPr>
            </w:r>
          </w:p>
        </w:tc>
      </w:tr>
      <w:tr>
        <w:trPr>
          <w:trHeight w:val="12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44" w:name="RANGE!A22"/>
            <w:bookmarkStart w:id="45" w:name="italic31"/>
            <w:bookmarkEnd w:id="44"/>
            <w:bookmarkEnd w:id="45"/>
            <w:r>
              <w:rPr>
                <w:bCs/>
                <w:lang w:val="en-GB"/>
              </w:rPr>
              <w:t>Participants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13*</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(a) Report numbers of individuals at each stage of study—eg numbers potentially eligible, examined for eligibility, confirmed eligible, included in the study, completing follow-up, and analysed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bookmarkStart w:id="46" w:name="RANGE!B23"/>
            <w:bookmarkStart w:id="47" w:name="RANGE!B23"/>
            <w:bookmarkEnd w:id="47"/>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(b) Give reasons for non-participation at each stage</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bookmarkStart w:id="48" w:name="RANGE!B24"/>
            <w:bookmarkStart w:id="49" w:name="RANGE!B24"/>
            <w:bookmarkEnd w:id="49"/>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(c) Consider use of a flow diagram</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9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50" w:name="RANGE!A25"/>
            <w:bookmarkStart w:id="51" w:name="italic34"/>
            <w:bookmarkEnd w:id="50"/>
            <w:bookmarkEnd w:id="51"/>
            <w:r>
              <w:rPr>
                <w:bCs/>
                <w:lang w:val="en-GB"/>
              </w:rPr>
              <w:t>Descriptive data</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14*</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(a) Give characteristics of study participants (eg demographic, clinical, social) and information on exposures and potential confounders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bookmarkStart w:id="52" w:name="RANGE!B26"/>
            <w:bookmarkStart w:id="53" w:name="RANGE!B26"/>
            <w:bookmarkEnd w:id="53"/>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(b) Indicate number of participants with missing data for each variable of interest</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pPr>
            <w:r>
              <w:rPr/>
              <w:t>n/a</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54" w:name="RANGE!A27"/>
            <w:bookmarkEnd w:id="54"/>
            <w:r>
              <w:rPr>
                <w:bCs/>
                <w:lang w:val="en-GB"/>
              </w:rPr>
              <w:t>Outcome data</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15*</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Cross-sectional study—Report numbers of outcome events or summary measures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12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55" w:name="RANGE!A28"/>
            <w:bookmarkEnd w:id="55"/>
            <w:r>
              <w:rPr>
                <w:bCs/>
                <w:lang w:val="en-GB"/>
              </w:rPr>
              <w:t>Main results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16</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(a) Give unadjusted estimates and, if applicable, confounder-adjusted estimates and their precision (eg, 95% confidence interval). Make clear which confounders were adjusted for and why they were included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bookmarkStart w:id="56" w:name="RANGE!B29"/>
            <w:bookmarkStart w:id="57" w:name="RANGE!B29"/>
            <w:bookmarkEnd w:id="57"/>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(b) Report category boundaries when continuous variables were categorized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r>
              <w:rPr/>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pPr>
            <w:bookmarkStart w:id="58" w:name="RANGE!B30"/>
            <w:bookmarkStart w:id="59" w:name="RANGE!B30"/>
            <w:bookmarkEnd w:id="59"/>
            <w:r>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(c) If relevant, consider translating estimates of relative risk into absolute risk for a meaningful time period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6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60" w:name="RANGE!A31"/>
            <w:bookmarkStart w:id="61" w:name="bold44"/>
            <w:bookmarkEnd w:id="60"/>
            <w:bookmarkEnd w:id="61"/>
            <w:r>
              <w:rPr>
                <w:bCs/>
                <w:lang w:val="en-GB"/>
              </w:rPr>
              <w:t>Other analyses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17</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Report other analyses done—eg analyses of subgroups and interactions, and sensitivity analyses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
                <w:b/>
              </w:rPr>
            </w:pPr>
            <w:bookmarkStart w:id="62" w:name="RANGE!A32"/>
            <w:bookmarkStart w:id="63" w:name="bold45"/>
            <w:bookmarkEnd w:id="62"/>
            <w:bookmarkEnd w:id="63"/>
            <w:r>
              <w:rPr>
                <w:b/>
                <w:lang w:val="en-GB"/>
              </w:rPr>
              <w:t>Discussion</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snapToGrid w:val="false"/>
              <w:jc w:val="center"/>
              <w:rPr>
                <w:b/>
                <w:b/>
              </w:rPr>
            </w:pPr>
            <w:r>
              <w:rPr>
                <w:b/>
              </w:rPr>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64" w:name="RANGE!A33"/>
            <w:bookmarkEnd w:id="64"/>
            <w:r>
              <w:rPr>
                <w:bCs/>
                <w:lang w:val="en-GB"/>
              </w:rPr>
              <w:t>Key results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18</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Summarise key results with reference to study objectives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9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65" w:name="RANGE!A34"/>
            <w:bookmarkEnd w:id="65"/>
            <w:r>
              <w:rPr>
                <w:bCs/>
                <w:lang w:val="en-GB"/>
              </w:rPr>
              <w:t>Limitations</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19</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Discuss limitations of the study, taking into account sources of potential bias or imprecision. Discuss both direction and magnitude of any potential bias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12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66" w:name="RANGE!A35"/>
            <w:bookmarkEnd w:id="66"/>
            <w:r>
              <w:rPr>
                <w:bCs/>
                <w:lang w:val="en-GB"/>
              </w:rPr>
              <w:t>Interpretation</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20</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Give a cautious overall interpretation of results considering objectives, limitations, multiplicity of analyses, results from similar studies, and other relevant evidence</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5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67" w:name="RANGE!A36"/>
            <w:bookmarkEnd w:id="67"/>
            <w:r>
              <w:rPr>
                <w:bCs/>
                <w:lang w:val="en-GB"/>
              </w:rPr>
              <w:t>Generalisability</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21</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Discuss the generalisability of the study results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r>
        <w:trPr>
          <w:trHeight w:val="3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
                <w:b/>
              </w:rPr>
            </w:pPr>
            <w:bookmarkStart w:id="68" w:name="RANGE!A37"/>
            <w:bookmarkStart w:id="69" w:name="bold50"/>
            <w:bookmarkEnd w:id="68"/>
            <w:bookmarkEnd w:id="69"/>
            <w:r>
              <w:rPr>
                <w:b/>
                <w:lang w:val="en-GB"/>
              </w:rPr>
              <w:t>Other information</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b/>
                <w:b/>
              </w:rPr>
            </w:pPr>
            <w:r>
              <w:rPr>
                <w:b/>
              </w:rPr>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snapToGrid w:val="false"/>
              <w:jc w:val="center"/>
              <w:rPr>
                <w:b/>
                <w:b/>
              </w:rPr>
            </w:pPr>
            <w:r>
              <w:rPr>
                <w:b/>
              </w:rPr>
            </w:r>
          </w:p>
        </w:tc>
      </w:tr>
      <w:tr>
        <w:trPr>
          <w:trHeight w:val="900" w:hRule="atLeast"/>
        </w:trPr>
        <w:tc>
          <w:tcPr>
            <w:tcW w:w="23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bCs/>
                <w:lang w:val="en-GB"/>
              </w:rPr>
            </w:pPr>
            <w:bookmarkStart w:id="70" w:name="RANGE!A38"/>
            <w:bookmarkEnd w:id="70"/>
            <w:r>
              <w:rPr>
                <w:bCs/>
                <w:lang w:val="en-GB"/>
              </w:rPr>
              <w:t>Funding</w:t>
            </w:r>
          </w:p>
        </w:tc>
        <w:tc>
          <w:tcPr>
            <w:tcW w:w="64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22</w:t>
            </w:r>
          </w:p>
        </w:tc>
        <w:tc>
          <w:tcPr>
            <w:tcW w:w="57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lang w:val="en-GB"/>
              </w:rPr>
            </w:pPr>
            <w:r>
              <w:rPr>
                <w:lang w:val="en-GB"/>
              </w:rPr>
              <w:t>Give the source of funding and the role of the funders for the present study and, if applicable, for the original study on which the present article is based</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Spacing"/>
              <w:jc w:val="center"/>
              <w:rPr>
                <w:rFonts w:ascii="ZapfDingbats" w:hAnsi="ZapfDingbats"/>
                <w:sz w:val="32"/>
              </w:rPr>
            </w:pPr>
            <w:r>
              <w:rPr>
                <w:rFonts w:ascii="ZapfDingbats" w:hAnsi="ZapfDingbats"/>
                <w:sz w:val="32"/>
              </w:rPr>
              <w:t></w:t>
            </w:r>
          </w:p>
        </w:tc>
      </w:tr>
    </w:tbl>
    <w:p>
      <w:pPr>
        <w:pStyle w:val="Normal"/>
        <w:spacing w:before="0" w:after="240"/>
        <w:rPr>
          <w:lang w:val="en-CA"/>
        </w:rPr>
      </w:pPr>
      <w:r>
        <w:rPr>
          <w:lang w:val="en-CA"/>
        </w:rPr>
      </w:r>
    </w:p>
    <w:sectPr>
      <w:footerReference w:type="default" r:id="rId9"/>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Cambria">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ZapfDingbats">
    <w:charset w:val="02"/>
    <w:family w:val="decorative"/>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9"/>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480" w:before="0" w:after="240"/>
      <w:ind w:firstLine="360"/>
    </w:pPr>
    <w:rPr>
      <w:rFonts w:ascii="Calibri" w:hAnsi="Calibri" w:eastAsia="SimSun;宋体" w:cs="Times New Roman"/>
      <w:color w:val="auto"/>
      <w:sz w:val="22"/>
      <w:szCs w:val="22"/>
      <w:lang w:val="en-US" w:bidi="en-US" w:eastAsia="zh-CN"/>
    </w:rPr>
  </w:style>
  <w:style w:type="paragraph" w:styleId="Heading1">
    <w:name w:val="Heading 1"/>
    <w:basedOn w:val="Normal"/>
    <w:next w:val="Normal"/>
    <w:qFormat/>
    <w:pPr>
      <w:keepNext/>
      <w:numPr>
        <w:ilvl w:val="0"/>
        <w:numId w:val="1"/>
      </w:numPr>
      <w:spacing w:lineRule="auto" w:line="360" w:before="600" w:after="0"/>
      <w:ind w:hanging="0"/>
      <w:outlineLvl w:val="0"/>
      <w:outlineLvl w:val="0"/>
    </w:pPr>
    <w:rPr>
      <w:rFonts w:ascii="Cambria" w:hAnsi="Cambria" w:cs="Cambria"/>
      <w:b/>
      <w:bCs/>
      <w:i/>
      <w:iCs/>
      <w:sz w:val="32"/>
      <w:szCs w:val="32"/>
    </w:rPr>
  </w:style>
  <w:style w:type="paragraph" w:styleId="Heading2">
    <w:name w:val="Heading 2"/>
    <w:basedOn w:val="Normal"/>
    <w:next w:val="Normal"/>
    <w:qFormat/>
    <w:pPr>
      <w:keepNext/>
      <w:numPr>
        <w:ilvl w:val="1"/>
        <w:numId w:val="1"/>
      </w:numPr>
      <w:spacing w:lineRule="auto" w:line="360" w:before="320" w:after="0"/>
      <w:ind w:hanging="0"/>
      <w:outlineLvl w:val="1"/>
      <w:outlineLvl w:val="1"/>
    </w:pPr>
    <w:rPr>
      <w:rFonts w:ascii="Cambria" w:hAnsi="Cambria" w:cs="Cambria"/>
      <w:b/>
      <w:bCs/>
      <w:i/>
      <w:iCs/>
      <w:sz w:val="24"/>
      <w:szCs w:val="28"/>
    </w:rPr>
  </w:style>
  <w:style w:type="paragraph" w:styleId="Heading3">
    <w:name w:val="Heading 3"/>
    <w:basedOn w:val="Normal"/>
    <w:next w:val="Normal"/>
    <w:qFormat/>
    <w:pPr>
      <w:numPr>
        <w:ilvl w:val="2"/>
        <w:numId w:val="1"/>
      </w:numPr>
      <w:spacing w:lineRule="auto" w:line="360" w:before="320" w:after="0"/>
      <w:ind w:hanging="0"/>
      <w:outlineLvl w:val="2"/>
      <w:outlineLvl w:val="2"/>
    </w:pPr>
    <w:rPr>
      <w:rFonts w:ascii="Cambria" w:hAnsi="Cambria" w:cs="Cambria"/>
      <w:b/>
      <w:bCs/>
      <w:i/>
      <w:iCs/>
      <w:sz w:val="26"/>
      <w:szCs w:val="26"/>
    </w:rPr>
  </w:style>
  <w:style w:type="paragraph" w:styleId="Heading4">
    <w:name w:val="Heading 4"/>
    <w:basedOn w:val="Normal"/>
    <w:next w:val="Normal"/>
    <w:qFormat/>
    <w:pPr>
      <w:numPr>
        <w:ilvl w:val="3"/>
        <w:numId w:val="1"/>
      </w:numPr>
      <w:spacing w:lineRule="auto" w:line="240" w:before="240" w:after="0"/>
      <w:ind w:hanging="0"/>
      <w:outlineLvl w:val="3"/>
      <w:outlineLvl w:val="3"/>
    </w:pPr>
    <w:rPr>
      <w:rFonts w:ascii="Cambria" w:hAnsi="Cambria" w:cs="Cambria"/>
      <w:b/>
      <w:bCs/>
      <w:i/>
      <w:iCs/>
      <w:sz w:val="24"/>
      <w:szCs w:val="24"/>
    </w:rPr>
  </w:style>
  <w:style w:type="paragraph" w:styleId="Heading5">
    <w:name w:val="Heading 5"/>
    <w:basedOn w:val="Normal"/>
    <w:next w:val="Normal"/>
    <w:qFormat/>
    <w:pPr>
      <w:numPr>
        <w:ilvl w:val="4"/>
        <w:numId w:val="1"/>
      </w:numPr>
      <w:spacing w:lineRule="auto" w:line="240" w:before="280" w:after="0"/>
      <w:ind w:hanging="0"/>
      <w:outlineLvl w:val="4"/>
      <w:outlineLvl w:val="4"/>
    </w:pPr>
    <w:rPr>
      <w:rFonts w:ascii="Cambria" w:hAnsi="Cambria" w:cs="Cambria"/>
      <w:b/>
      <w:bCs/>
      <w:i/>
      <w:iCs/>
    </w:rPr>
  </w:style>
  <w:style w:type="paragraph" w:styleId="Heading6">
    <w:name w:val="Heading 6"/>
    <w:basedOn w:val="Normal"/>
    <w:next w:val="Normal"/>
    <w:qFormat/>
    <w:pPr>
      <w:numPr>
        <w:ilvl w:val="5"/>
        <w:numId w:val="1"/>
      </w:numPr>
      <w:spacing w:lineRule="auto" w:line="360" w:before="280" w:after="80"/>
      <w:ind w:hanging="0"/>
      <w:outlineLvl w:val="5"/>
      <w:outlineLvl w:val="5"/>
    </w:pPr>
    <w:rPr>
      <w:rFonts w:ascii="Cambria" w:hAnsi="Cambria" w:cs="Cambria"/>
      <w:b/>
      <w:bCs/>
      <w:i/>
      <w:iCs/>
    </w:rPr>
  </w:style>
  <w:style w:type="paragraph" w:styleId="Heading7">
    <w:name w:val="Heading 7"/>
    <w:basedOn w:val="Normal"/>
    <w:next w:val="Normal"/>
    <w:qFormat/>
    <w:pPr>
      <w:numPr>
        <w:ilvl w:val="6"/>
        <w:numId w:val="1"/>
      </w:numPr>
      <w:spacing w:lineRule="auto" w:line="360" w:before="280" w:after="0"/>
      <w:ind w:hanging="0"/>
      <w:outlineLvl w:val="6"/>
      <w:outlineLvl w:val="6"/>
    </w:pPr>
    <w:rPr>
      <w:rFonts w:ascii="Cambria" w:hAnsi="Cambria" w:cs="Cambria"/>
      <w:b/>
      <w:bCs/>
      <w:i/>
      <w:iCs/>
      <w:sz w:val="20"/>
      <w:szCs w:val="20"/>
    </w:rPr>
  </w:style>
  <w:style w:type="paragraph" w:styleId="Heading8">
    <w:name w:val="Heading 8"/>
    <w:basedOn w:val="Normal"/>
    <w:next w:val="Normal"/>
    <w:qFormat/>
    <w:pPr>
      <w:numPr>
        <w:ilvl w:val="7"/>
        <w:numId w:val="1"/>
      </w:numPr>
      <w:spacing w:lineRule="auto" w:line="360" w:before="280" w:after="0"/>
      <w:ind w:hanging="0"/>
      <w:outlineLvl w:val="7"/>
      <w:outlineLvl w:val="7"/>
    </w:pPr>
    <w:rPr>
      <w:rFonts w:ascii="Cambria" w:hAnsi="Cambria" w:cs="Cambria"/>
      <w:b/>
      <w:bCs/>
      <w:i/>
      <w:iCs/>
      <w:sz w:val="18"/>
      <w:szCs w:val="18"/>
    </w:rPr>
  </w:style>
  <w:style w:type="paragraph" w:styleId="Heading9">
    <w:name w:val="Heading 9"/>
    <w:basedOn w:val="Normal"/>
    <w:next w:val="Normal"/>
    <w:qFormat/>
    <w:pPr>
      <w:numPr>
        <w:ilvl w:val="8"/>
        <w:numId w:val="1"/>
      </w:numPr>
      <w:spacing w:lineRule="auto" w:line="360" w:before="280" w:after="0"/>
      <w:ind w:hanging="0"/>
      <w:outlineLvl w:val="8"/>
      <w:outlineLvl w:val="8"/>
    </w:pPr>
    <w:rPr>
      <w:rFonts w:ascii="Cambria" w:hAnsi="Cambria" w:cs="Cambria"/>
      <w:i/>
      <w:iCs/>
      <w:sz w:val="18"/>
      <w:szCs w:val="1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DefaultParagraphFont">
    <w:name w:val="Default Paragraph Font"/>
    <w:qFormat/>
    <w:rPr/>
  </w:style>
  <w:style w:type="character" w:styleId="TitleChar">
    <w:name w:val="Title Char"/>
    <w:basedOn w:val="DefaultParagraphFont"/>
    <w:qFormat/>
    <w:rPr>
      <w:rFonts w:ascii="Cambria" w:hAnsi="Cambria" w:cs="Cambria"/>
      <w:b/>
      <w:bCs/>
      <w:i/>
      <w:iCs/>
      <w:spacing w:val="10"/>
      <w:sz w:val="28"/>
      <w:szCs w:val="60"/>
      <w:lang w:val="en-US" w:bidi="en-US"/>
    </w:rPr>
  </w:style>
  <w:style w:type="character" w:styleId="Heading1Char">
    <w:name w:val="Heading 1 Char"/>
    <w:basedOn w:val="DefaultParagraphFont"/>
    <w:qFormat/>
    <w:rPr>
      <w:rFonts w:ascii="Cambria" w:hAnsi="Cambria" w:eastAsia="SimSun;宋体" w:cs="Times New Roman"/>
      <w:b/>
      <w:bCs/>
      <w:i/>
      <w:iCs/>
      <w:sz w:val="32"/>
      <w:szCs w:val="32"/>
    </w:rPr>
  </w:style>
  <w:style w:type="character" w:styleId="Heading2Char">
    <w:name w:val="Heading 2 Char"/>
    <w:basedOn w:val="DefaultParagraphFont"/>
    <w:qFormat/>
    <w:rPr>
      <w:rFonts w:ascii="Cambria" w:hAnsi="Cambria" w:cs="Cambria"/>
      <w:b/>
      <w:bCs/>
      <w:i/>
      <w:iCs/>
      <w:sz w:val="24"/>
      <w:szCs w:val="28"/>
      <w:lang w:val="en-US" w:bidi="en-US"/>
    </w:rPr>
  </w:style>
  <w:style w:type="character" w:styleId="Heading3Char">
    <w:name w:val="Heading 3 Char"/>
    <w:basedOn w:val="DefaultParagraphFont"/>
    <w:qFormat/>
    <w:rPr>
      <w:rFonts w:ascii="Cambria" w:hAnsi="Cambria" w:eastAsia="SimSun;宋体" w:cs="Times New Roman"/>
      <w:b/>
      <w:bCs/>
      <w:i/>
      <w:iCs/>
      <w:sz w:val="26"/>
      <w:szCs w:val="26"/>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4Char">
    <w:name w:val="Heading 4 Char"/>
    <w:basedOn w:val="DefaultParagraphFont"/>
    <w:qFormat/>
    <w:rPr>
      <w:rFonts w:ascii="Cambria" w:hAnsi="Cambria" w:cs="Cambria"/>
      <w:b/>
      <w:bCs/>
      <w:i/>
      <w:iCs/>
      <w:sz w:val="24"/>
      <w:szCs w:val="24"/>
      <w:lang w:val="en-US" w:bidi="en-US"/>
    </w:rPr>
  </w:style>
  <w:style w:type="character" w:styleId="Heading5Char">
    <w:name w:val="Heading 5 Char"/>
    <w:basedOn w:val="DefaultParagraphFont"/>
    <w:qFormat/>
    <w:rPr>
      <w:rFonts w:ascii="Cambria" w:hAnsi="Cambria" w:cs="Cambria"/>
      <w:b/>
      <w:bCs/>
      <w:i/>
      <w:iCs/>
      <w:sz w:val="22"/>
      <w:szCs w:val="22"/>
      <w:lang w:val="en-US" w:bidi="en-US"/>
    </w:rPr>
  </w:style>
  <w:style w:type="character" w:styleId="Heading6Char">
    <w:name w:val="Heading 6 Char"/>
    <w:basedOn w:val="DefaultParagraphFont"/>
    <w:qFormat/>
    <w:rPr>
      <w:rFonts w:ascii="Cambria" w:hAnsi="Cambria" w:eastAsia="SimSun;宋体" w:cs="Times New Roman"/>
      <w:b/>
      <w:bCs/>
      <w:i/>
      <w:iCs/>
    </w:rPr>
  </w:style>
  <w:style w:type="character" w:styleId="Heading7Char">
    <w:name w:val="Heading 7 Char"/>
    <w:basedOn w:val="DefaultParagraphFont"/>
    <w:qFormat/>
    <w:rPr>
      <w:rFonts w:ascii="Cambria" w:hAnsi="Cambria" w:eastAsia="SimSun;宋体" w:cs="Times New Roman"/>
      <w:b/>
      <w:bCs/>
      <w:i/>
      <w:iCs/>
      <w:sz w:val="20"/>
      <w:szCs w:val="20"/>
    </w:rPr>
  </w:style>
  <w:style w:type="character" w:styleId="Heading8Char">
    <w:name w:val="Heading 8 Char"/>
    <w:basedOn w:val="DefaultParagraphFont"/>
    <w:qFormat/>
    <w:rPr>
      <w:rFonts w:ascii="Cambria" w:hAnsi="Cambria" w:eastAsia="SimSun;宋体" w:cs="Times New Roman"/>
      <w:b/>
      <w:bCs/>
      <w:i/>
      <w:iCs/>
      <w:sz w:val="18"/>
      <w:szCs w:val="18"/>
    </w:rPr>
  </w:style>
  <w:style w:type="character" w:styleId="Heading9Char">
    <w:name w:val="Heading 9 Char"/>
    <w:basedOn w:val="DefaultParagraphFont"/>
    <w:qFormat/>
    <w:rPr>
      <w:rFonts w:ascii="Cambria" w:hAnsi="Cambria" w:eastAsia="SimSun;宋体" w:cs="Times New Roman"/>
      <w:i/>
      <w:iCs/>
      <w:sz w:val="18"/>
      <w:szCs w:val="18"/>
    </w:rPr>
  </w:style>
  <w:style w:type="character" w:styleId="SubtitleChar">
    <w:name w:val="Subtitle Char"/>
    <w:basedOn w:val="DefaultParagraphFont"/>
    <w:qFormat/>
    <w:rPr>
      <w:i/>
      <w:iCs/>
      <w:color w:val="808080"/>
      <w:spacing w:val="10"/>
      <w:sz w:val="24"/>
      <w:szCs w:val="24"/>
    </w:rPr>
  </w:style>
  <w:style w:type="character" w:styleId="StrongEmphasis">
    <w:name w:val="Strong Emphasis"/>
    <w:basedOn w:val="DefaultParagraphFont"/>
    <w:rPr>
      <w:b/>
      <w:bCs/>
      <w:spacing w:val="0"/>
    </w:rPr>
  </w:style>
  <w:style w:type="character" w:styleId="Emphasis">
    <w:name w:val="Emphasis"/>
    <w:qFormat/>
    <w:rPr>
      <w:b/>
      <w:bCs/>
      <w:i/>
      <w:iCs/>
      <w:color w:val="000000"/>
    </w:rPr>
  </w:style>
  <w:style w:type="character" w:styleId="QuoteChar">
    <w:name w:val="Quote Char"/>
    <w:basedOn w:val="DefaultParagraphFont"/>
    <w:qFormat/>
    <w:rPr>
      <w:rFonts w:ascii="Calibri" w:hAnsi="Calibri"/>
      <w:color w:val="5A5A5A"/>
    </w:rPr>
  </w:style>
  <w:style w:type="character" w:styleId="IntenseQuoteChar">
    <w:name w:val="Intense Quote Char"/>
    <w:basedOn w:val="DefaultParagraphFont"/>
    <w:qFormat/>
    <w:rPr>
      <w:rFonts w:ascii="Cambria" w:hAnsi="Cambria" w:eastAsia="SimSun;宋体" w:cs="Times New Roman"/>
      <w:i/>
      <w:iCs/>
      <w:sz w:val="20"/>
      <w:szCs w:val="20"/>
    </w:rPr>
  </w:style>
  <w:style w:type="character" w:styleId="SubtleEmphasis">
    <w:name w:val="Subtle Emphasis"/>
    <w:qFormat/>
    <w:rPr>
      <w:i/>
      <w:iCs/>
      <w:color w:val="5A5A5A"/>
    </w:rPr>
  </w:style>
  <w:style w:type="character" w:styleId="IntenseEmphasis">
    <w:name w:val="Intense Emphasis"/>
    <w:qFormat/>
    <w:rPr>
      <w:b/>
      <w:bCs/>
      <w:i/>
      <w:iCs/>
      <w:color w:val="000000"/>
      <w:u w:val="single"/>
    </w:rPr>
  </w:style>
  <w:style w:type="character" w:styleId="SubtleReference">
    <w:name w:val="Subtle Reference"/>
    <w:qFormat/>
    <w:rPr>
      <w:smallCaps/>
    </w:rPr>
  </w:style>
  <w:style w:type="character" w:styleId="IntenseReference">
    <w:name w:val="Intense Reference"/>
    <w:qFormat/>
    <w:rPr>
      <w:b/>
      <w:bCs/>
      <w:smallCaps/>
      <w:color w:val="000000"/>
    </w:rPr>
  </w:style>
  <w:style w:type="character" w:styleId="BookTitle">
    <w:name w:val="Book Title"/>
    <w:qFormat/>
    <w:rPr>
      <w:rFonts w:ascii="Cambria" w:hAnsi="Cambria" w:eastAsia="SimSun;宋体" w:cs="Times New Roman"/>
      <w:b/>
      <w:bCs/>
      <w:smallCaps/>
      <w:color w:val="000000"/>
      <w:u w:val="single"/>
    </w:rPr>
  </w:style>
  <w:style w:type="character" w:styleId="InternetLink">
    <w:name w:val="Internet Link"/>
    <w:basedOn w:val="DefaultParagraphFont"/>
    <w:rPr>
      <w:color w:val="0000FF"/>
      <w:u w:val="single"/>
    </w:rPr>
  </w:style>
  <w:style w:type="paragraph" w:styleId="Heading">
    <w:name w:val="Heading"/>
    <w:basedOn w:val="Normal"/>
    <w:next w:val="Normal"/>
    <w:qFormat/>
    <w:pPr>
      <w:spacing w:lineRule="auto" w:line="240"/>
      <w:ind w:hanging="0"/>
    </w:pPr>
    <w:rPr>
      <w:rFonts w:ascii="Cambria" w:hAnsi="Cambria" w:cs="Cambria"/>
      <w:b/>
      <w:bCs/>
      <w:i/>
      <w:iCs/>
      <w:spacing w:val="10"/>
      <w:sz w:val="28"/>
      <w:szCs w:val="60"/>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next w:val="Normal"/>
    <w:qFormat/>
    <w:pPr>
      <w:spacing w:lineRule="auto" w:line="240" w:before="240" w:after="240"/>
      <w:ind w:hanging="0"/>
    </w:pPr>
    <w:rPr>
      <w:b/>
      <w:bCs/>
      <w:szCs w:val="18"/>
    </w:rPr>
  </w:style>
  <w:style w:type="paragraph" w:styleId="Index">
    <w:name w:val="Index"/>
    <w:basedOn w:val="Normal"/>
    <w:qFormat/>
    <w:pPr>
      <w:suppressLineNumbers/>
    </w:pPr>
    <w:rPr>
      <w:rFonts w:ascii="Garamond" w:hAnsi="Garamond" w:cs="FreeSans"/>
    </w:rPr>
  </w:style>
  <w:style w:type="paragraph" w:styleId="NoSpacing">
    <w:name w:val="No Spacing"/>
    <w:basedOn w:val="Normal"/>
    <w:qFormat/>
    <w:pPr>
      <w:spacing w:lineRule="auto" w:line="240" w:before="0" w:after="0"/>
      <w:ind w:hanging="0"/>
    </w:pPr>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spacing w:before="0" w:after="240"/>
      <w:ind w:left="720" w:firstLine="360"/>
      <w:contextualSpacing/>
    </w:pPr>
    <w:rPr/>
  </w:style>
  <w:style w:type="paragraph" w:styleId="Subtitle">
    <w:name w:val="Subtitle"/>
    <w:basedOn w:val="Normal"/>
    <w:next w:val="Normal"/>
    <w:qFormat/>
    <w:pPr>
      <w:spacing w:before="0" w:after="320"/>
      <w:jc w:val="right"/>
    </w:pPr>
    <w:rPr>
      <w:i/>
      <w:iCs/>
      <w:color w:val="808080"/>
      <w:spacing w:val="10"/>
      <w:sz w:val="24"/>
      <w:szCs w:val="24"/>
    </w:rPr>
  </w:style>
  <w:style w:type="paragraph" w:styleId="Quote">
    <w:name w:val="Quote"/>
    <w:basedOn w:val="Normal"/>
    <w:next w:val="Normal"/>
    <w:qFormat/>
    <w:pPr/>
    <w:rPr>
      <w:color w:val="5A5A5A"/>
    </w:rPr>
  </w:style>
  <w:style w:type="paragraph" w:styleId="IntenseQuote">
    <w:name w:val="Intense Quote"/>
    <w:basedOn w:val="Normal"/>
    <w:next w:val="Normal"/>
    <w:qFormat/>
    <w:pPr>
      <w:spacing w:lineRule="auto" w:line="240" w:before="320" w:after="480"/>
      <w:ind w:left="720" w:right="720" w:hanging="0"/>
      <w:jc w:val="center"/>
    </w:pPr>
    <w:rPr>
      <w:rFonts w:ascii="Cambria" w:hAnsi="Cambria" w:cs="Cambria"/>
      <w:i/>
      <w:iCs/>
      <w:sz w:val="20"/>
      <w:szCs w:val="20"/>
    </w:rPr>
  </w:style>
  <w:style w:type="paragraph" w:styleId="TOCHeading">
    <w:name w:val="TOC Heading"/>
    <w:basedOn w:val="Heading1"/>
    <w:next w:val="Normal"/>
    <w:qFormat/>
    <w:pPr>
      <w:numPr>
        <w:ilvl w:val="0"/>
        <w:numId w:val="0"/>
      </w:numPr>
      <w:ind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rgan@chspr.ubc.ca" TargetMode="External"/><Relationship Id="rId3" Type="http://schemas.openxmlformats.org/officeDocument/2006/relationships/hyperlink" Target="http://www.pharmaceuticalpolicy.ca/" TargetMode="External"/><Relationship Id="rId4" Type="http://schemas.openxmlformats.org/officeDocument/2006/relationships/hyperlink" Target="mailto:ghanley@chspr.ubc.ca" TargetMode="External"/><Relationship Id="rId5" Type="http://schemas.openxmlformats.org/officeDocument/2006/relationships/hyperlink" Target="mailto:ccunningham@chspr.ubc.ca" TargetMode="External"/><Relationship Id="rId6" Type="http://schemas.openxmlformats.org/officeDocument/2006/relationships/hyperlink" Target="mailto:hquan@ucalgary.ca"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2010-07-07T14:07:00Z</dcterms:created>
  <dc:creator>morgan</dc:creator>
  <dc:language>en-CA</dc:language>
  <cp:lastModifiedBy>morgan</cp:lastModifiedBy>
  <cp:lastPrinted>2010-06-25T15:36:00Z</cp:lastPrinted>
  <dcterms:modified xsi:type="dcterms:W3CDTF">2010-07-07T15:18:00Z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&lt;ENLayout&gt;&lt;Style&gt;Vancouver Sup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&lt;ENLibraries&gt;&lt;Libraries&gt;&lt;item&gt;Drug References.enl&lt;/item&gt;&lt;/Libraries&gt;&lt;/ENLibraries&gt;</vt:lpwstr>
  </property>
</Properties>
</file>