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2.wmf" ContentType="image/x-wmf"/>
  <Override PartName="/word/media/image1.wmf" ContentType="image/x-wmf"/>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b/>
          <w:b/>
          <w:sz w:val="24"/>
          <w:lang w:val="en-GB"/>
        </w:rPr>
      </w:pPr>
      <w:r>
        <w:rPr>
          <w:rFonts w:cs="Times New Roman" w:ascii="Times New Roman" w:hAnsi="Times New Roman"/>
          <w:b/>
          <w:sz w:val="24"/>
          <w:lang w:val="en-GB"/>
        </w:rPr>
        <w:t xml:space="preserve">Socioeconomic- and gender-based disparities in rates of hospitalization among HIV-infected patients in Ontario: a population-based study </w:t>
      </w:r>
    </w:p>
    <w:p>
      <w:pPr>
        <w:pStyle w:val="Normal"/>
        <w:spacing w:lineRule="auto" w:line="480"/>
        <w:jc w:val="center"/>
        <w:rPr/>
      </w:pPr>
      <w:r>
        <w:rPr>
          <w:rFonts w:cs="Times New Roman" w:ascii="Times New Roman" w:hAnsi="Times New Roman"/>
          <w:b/>
          <w:sz w:val="24"/>
          <w:lang w:val="en-GB"/>
        </w:rPr>
        <w:t>Running head: Hospitalization of HIV-infected persons</w:t>
      </w:r>
    </w:p>
    <w:p>
      <w:pPr>
        <w:pStyle w:val="Normal"/>
        <w:spacing w:lineRule="auto" w:line="480"/>
        <w:jc w:val="center"/>
        <w:rPr>
          <w:rFonts w:ascii="Times New Roman" w:hAnsi="Times New Roman" w:cs="Times New Roman"/>
          <w:b/>
          <w:b/>
          <w:sz w:val="24"/>
        </w:rPr>
      </w:pPr>
      <w:r>
        <w:rPr>
          <w:rFonts w:cs="Times New Roman" w:ascii="Times New Roman" w:hAnsi="Times New Roman"/>
          <w:b/>
          <w:sz w:val="24"/>
          <w:lang w:val="en-GB"/>
        </w:rPr>
        <w:t>Tony Antoniou BScPhm, PharmD, PhD (cand)</w:t>
      </w:r>
      <w:r>
        <w:rPr>
          <w:rFonts w:cs="Times New Roman" w:ascii="Times New Roman" w:hAnsi="Times New Roman"/>
          <w:b/>
          <w:sz w:val="24"/>
          <w:vertAlign w:val="superscript"/>
          <w:lang w:val="en-GB"/>
        </w:rPr>
        <w:t>1,2</w:t>
      </w:r>
      <w:r>
        <w:rPr>
          <w:rFonts w:cs="Times New Roman" w:ascii="Times New Roman" w:hAnsi="Times New Roman"/>
          <w:b/>
          <w:sz w:val="24"/>
          <w:lang w:val="en-GB"/>
        </w:rPr>
        <w:t>; Brandon Zagorski MSc</w:t>
      </w:r>
      <w:r>
        <w:rPr>
          <w:rFonts w:cs="Times New Roman" w:ascii="Times New Roman" w:hAnsi="Times New Roman"/>
          <w:b/>
          <w:sz w:val="24"/>
          <w:vertAlign w:val="superscript"/>
          <w:lang w:val="en-GB"/>
        </w:rPr>
        <w:t>3,4</w:t>
      </w:r>
      <w:r>
        <w:rPr>
          <w:rFonts w:cs="Times New Roman" w:ascii="Times New Roman" w:hAnsi="Times New Roman"/>
          <w:b/>
          <w:sz w:val="24"/>
          <w:lang w:val="en-GB"/>
        </w:rPr>
        <w:t xml:space="preserve">; </w:t>
      </w:r>
      <w:r>
        <w:rPr>
          <w:rFonts w:cs="Times New Roman" w:ascii="Times New Roman" w:hAnsi="Times New Roman"/>
          <w:b/>
          <w:sz w:val="24"/>
          <w:vertAlign w:val="superscript"/>
          <w:lang w:val="en-GB"/>
        </w:rPr>
        <w:t xml:space="preserve"> </w:t>
      </w:r>
      <w:r>
        <w:rPr>
          <w:rFonts w:cs="Times New Roman" w:ascii="Times New Roman" w:hAnsi="Times New Roman"/>
          <w:b/>
          <w:sz w:val="24"/>
          <w:lang w:val="en-GB"/>
        </w:rPr>
        <w:t>Mona R. Loutfy MD, MPH</w:t>
      </w:r>
      <w:r>
        <w:rPr>
          <w:rFonts w:cs="Times New Roman" w:ascii="Times New Roman" w:hAnsi="Times New Roman"/>
          <w:b/>
          <w:sz w:val="24"/>
          <w:vertAlign w:val="superscript"/>
          <w:lang w:val="en-GB"/>
        </w:rPr>
        <w:t>4,5,6</w:t>
      </w:r>
      <w:r>
        <w:rPr>
          <w:rFonts w:cs="Times New Roman" w:ascii="Times New Roman" w:hAnsi="Times New Roman"/>
          <w:b/>
          <w:sz w:val="24"/>
          <w:lang w:val="en-GB"/>
        </w:rPr>
        <w:t>; Carol Strike PhD</w:t>
      </w:r>
      <w:r>
        <w:rPr>
          <w:rFonts w:cs="Times New Roman" w:ascii="Times New Roman" w:hAnsi="Times New Roman"/>
          <w:b/>
          <w:sz w:val="24"/>
          <w:vertAlign w:val="superscript"/>
          <w:lang w:val="en-GB"/>
        </w:rPr>
        <w:t>7</w:t>
      </w:r>
      <w:r>
        <w:rPr>
          <w:rFonts w:cs="Times New Roman" w:ascii="Times New Roman" w:hAnsi="Times New Roman"/>
          <w:b/>
          <w:sz w:val="24"/>
          <w:lang w:val="en-GB"/>
        </w:rPr>
        <w:t>; Richard H. Glazier MD, MPH</w:t>
      </w:r>
      <w:r>
        <w:rPr>
          <w:rFonts w:cs="Times New Roman" w:ascii="Times New Roman" w:hAnsi="Times New Roman"/>
          <w:b/>
          <w:sz w:val="24"/>
          <w:vertAlign w:val="superscript"/>
          <w:lang w:val="en-GB"/>
        </w:rPr>
        <w:t>1,3,4,7,8</w:t>
      </w:r>
    </w:p>
    <w:p>
      <w:pPr>
        <w:pStyle w:val="Normal"/>
        <w:spacing w:lineRule="auto" w:line="480"/>
        <w:rPr>
          <w:rFonts w:ascii="Times New Roman" w:hAnsi="Times New Roman" w:cs="Times New Roman"/>
          <w:sz w:val="24"/>
          <w:vertAlign w:val="superscript"/>
          <w:lang w:val="en-GB"/>
        </w:rPr>
      </w:pPr>
      <w:r>
        <w:rPr>
          <w:rFonts w:cs="Times New Roman" w:ascii="Times New Roman" w:hAnsi="Times New Roman"/>
          <w:sz w:val="24"/>
          <w:szCs w:val="24"/>
          <w:lang w:val="en-GB"/>
        </w:rPr>
        <w:t xml:space="preserve">Tony Antoniou is a clinical pharmacy specialist and research scholar in the Department of Family and Community Medicine at St. Michael’s Hospital in Toronto, Ontario, and an assistant professor in the Leslie Dan Faculty of Pharmacy at the University of Toronto.  Brandon Zagorski is an analyst at the Institute for Clinical Evaluative Sciences (ICES) in Toronto, Ontario and an adjunct professor in the Faculty of Medicine at the University of Toronto.  Mona R. Loutfy is an associate professor in the Department of Medicine at the University of Toronto, and a scientist at the Women’s College Hospital Research Institute, in Toronto.  Carol Strike is an associate professor in the Dalla Lana School of Public Health at the University of Toronto.  Richard H. Glazier is a senior scientist and Primary Care Program Leader at ICES, a scientist at the Centre for Research on Inner City Health at St. Michael’s Hospital in Toronto, and a professor and research scholar in the Department of Family and Community Medicine at the University of Toronto. </w:t>
      </w:r>
    </w:p>
    <w:p>
      <w:pPr>
        <w:pStyle w:val="Normal"/>
        <w:spacing w:lineRule="auto" w:line="480"/>
        <w:rPr/>
      </w:pPr>
      <w:r>
        <w:rPr>
          <w:rFonts w:cs="Times New Roman" w:ascii="Times New Roman" w:hAnsi="Times New Roman"/>
          <w:b/>
          <w:sz w:val="24"/>
        </w:rPr>
        <w:t>Correspondence:</w:t>
        <w:tab/>
      </w:r>
      <w:r>
        <w:rPr>
          <w:rFonts w:cs="Times New Roman" w:ascii="Times New Roman" w:hAnsi="Times New Roman"/>
          <w:sz w:val="24"/>
        </w:rPr>
        <w:t>Tony Antoniou</w:t>
      </w:r>
    </w:p>
    <w:p>
      <w:pPr>
        <w:pStyle w:val="Normal"/>
        <w:spacing w:lineRule="auto" w:line="480"/>
        <w:rPr/>
      </w:pPr>
      <w:r>
        <w:rPr>
          <w:rFonts w:cs="Times New Roman" w:ascii="Times New Roman" w:hAnsi="Times New Roman"/>
          <w:sz w:val="24"/>
        </w:rPr>
        <w:tab/>
        <w:tab/>
        <w:tab/>
        <w:t>410 Sherbourne Street, 4</w:t>
      </w:r>
      <w:r>
        <w:rPr>
          <w:rFonts w:cs="Times New Roman" w:ascii="Times New Roman" w:hAnsi="Times New Roman"/>
          <w:sz w:val="24"/>
          <w:vertAlign w:val="superscript"/>
        </w:rPr>
        <w:t>th</w:t>
      </w:r>
      <w:r>
        <w:rPr>
          <w:rFonts w:cs="Times New Roman" w:ascii="Times New Roman" w:hAnsi="Times New Roman"/>
          <w:sz w:val="24"/>
        </w:rPr>
        <w:t xml:space="preserve"> Floor</w:t>
      </w:r>
    </w:p>
    <w:p>
      <w:pPr>
        <w:pStyle w:val="Normal"/>
        <w:spacing w:lineRule="auto" w:line="480"/>
        <w:rPr>
          <w:rFonts w:ascii="Times New Roman" w:hAnsi="Times New Roman" w:cs="Times New Roman"/>
          <w:sz w:val="24"/>
        </w:rPr>
      </w:pPr>
      <w:r>
        <w:rPr>
          <w:rFonts w:cs="Times New Roman" w:ascii="Times New Roman" w:hAnsi="Times New Roman"/>
          <w:sz w:val="24"/>
        </w:rPr>
        <w:tab/>
        <w:tab/>
        <w:tab/>
        <w:t>Toronto, ON M4X 1K2 Canada</w:t>
      </w:r>
    </w:p>
    <w:p>
      <w:pPr>
        <w:pStyle w:val="TextBody"/>
        <w:spacing w:lineRule="auto" w:line="480"/>
        <w:ind w:left="2160" w:hanging="0"/>
        <w:rPr>
          <w:sz w:val="24"/>
        </w:rPr>
      </w:pPr>
      <w:r>
        <w:rPr>
          <w:sz w:val="24"/>
        </w:rPr>
        <w:t xml:space="preserve">E-mail: tantoniou@smh.toronto.on.ca </w:t>
      </w:r>
    </w:p>
    <w:p>
      <w:pPr>
        <w:pStyle w:val="TextBody"/>
        <w:spacing w:lineRule="auto" w:line="480"/>
        <w:ind w:left="1440" w:firstLine="720"/>
        <w:rPr/>
      </w:pPr>
      <w:r>
        <w:rPr>
          <w:rStyle w:val="HTMLTypewriter"/>
          <w:rFonts w:cs="Times New Roman"/>
          <w:sz w:val="24"/>
        </w:rPr>
        <w:t>Tel: 416-867-7460 ext. 8344</w:t>
      </w:r>
      <w:r>
        <w:rPr>
          <w:sz w:val="24"/>
        </w:rPr>
        <w:tab/>
        <w:t xml:space="preserve">                 </w:t>
      </w:r>
      <w:r>
        <w:rPr>
          <w:rStyle w:val="HTMLTypewriter"/>
          <w:rFonts w:cs="Times New Roman"/>
          <w:sz w:val="24"/>
        </w:rPr>
        <w:t>Fax: 416-867-3726</w:t>
      </w:r>
    </w:p>
    <w:p>
      <w:pPr>
        <w:pStyle w:val="Normal"/>
        <w:spacing w:lineRule="auto" w:line="480"/>
        <w:rPr>
          <w:rFonts w:ascii="Times New Roman" w:hAnsi="Times New Roman" w:cs="Times New Roman"/>
          <w:sz w:val="24"/>
        </w:rPr>
      </w:pPr>
      <w:r>
        <w:rPr>
          <w:rFonts w:cs="Times New Roman" w:ascii="Times New Roman" w:hAnsi="Times New Roman"/>
          <w:b/>
          <w:sz w:val="24"/>
        </w:rPr>
        <w:t>Text Count:</w:t>
        <w:tab/>
      </w:r>
      <w:r>
        <w:rPr>
          <w:rFonts w:cs="Times New Roman" w:ascii="Times New Roman" w:hAnsi="Times New Roman"/>
          <w:sz w:val="24"/>
        </w:rPr>
        <w:t>2949</w:t>
      </w:r>
    </w:p>
    <w:p>
      <w:pPr>
        <w:pStyle w:val="Normal"/>
        <w:spacing w:lineRule="auto" w:line="480"/>
        <w:rPr>
          <w:rFonts w:ascii="Times New Roman" w:hAnsi="Times New Roman" w:cs="Times New Roman"/>
          <w:sz w:val="24"/>
        </w:rPr>
      </w:pPr>
      <w:r>
        <w:rPr>
          <w:rFonts w:cs="Times New Roman" w:ascii="Times New Roman" w:hAnsi="Times New Roman"/>
          <w:b/>
          <w:sz w:val="24"/>
        </w:rPr>
        <w:t xml:space="preserve">Abstract Word Count:  </w:t>
      </w:r>
      <w:r>
        <w:rPr>
          <w:rFonts w:cs="Times New Roman" w:ascii="Times New Roman" w:hAnsi="Times New Roman"/>
          <w:sz w:val="24"/>
        </w:rPr>
        <w:t>252</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Complete Author Information</w:t>
      </w:r>
    </w:p>
    <w:p>
      <w:pPr>
        <w:pStyle w:val="Normal"/>
        <w:spacing w:lineRule="auto" w:line="240"/>
        <w:rPr/>
      </w:pPr>
      <w:r>
        <w:rPr>
          <w:rFonts w:cs="Times New Roman" w:ascii="Times New Roman" w:hAnsi="Times New Roman"/>
          <w:sz w:val="24"/>
          <w:szCs w:val="24"/>
          <w:u w:val="single"/>
        </w:rPr>
        <w:t>Author:</w:t>
      </w:r>
      <w:r>
        <w:rPr>
          <w:rFonts w:cs="Times New Roman" w:ascii="Times New Roman" w:hAnsi="Times New Roman"/>
          <w:sz w:val="24"/>
          <w:szCs w:val="24"/>
        </w:rPr>
        <w:tab/>
        <w:t>Tony Antoniou</w:t>
      </w:r>
    </w:p>
    <w:p>
      <w:pPr>
        <w:pStyle w:val="Normal"/>
        <w:spacing w:lineRule="auto" w:line="240"/>
        <w:rPr/>
      </w:pPr>
      <w:r>
        <w:rPr>
          <w:rFonts w:cs="Times New Roman" w:ascii="Times New Roman" w:hAnsi="Times New Roman"/>
          <w:sz w:val="24"/>
          <w:szCs w:val="24"/>
          <w:u w:val="single"/>
        </w:rPr>
        <w:t>Degree(s):</w:t>
      </w:r>
      <w:r>
        <w:rPr>
          <w:rFonts w:cs="Times New Roman" w:ascii="Times New Roman" w:hAnsi="Times New Roman"/>
          <w:sz w:val="24"/>
          <w:szCs w:val="24"/>
        </w:rPr>
        <w:tab/>
        <w:t>BScPhm, PharmD</w:t>
      </w:r>
    </w:p>
    <w:p>
      <w:pPr>
        <w:pStyle w:val="Normal"/>
        <w:spacing w:lineRule="auto" w:line="240"/>
        <w:rPr/>
      </w:pPr>
      <w:r>
        <w:rPr>
          <w:rFonts w:cs="Times New Roman" w:ascii="Times New Roman" w:hAnsi="Times New Roman"/>
          <w:sz w:val="24"/>
          <w:szCs w:val="24"/>
          <w:u w:val="single"/>
        </w:rPr>
        <w:t>Affiliations</w:t>
      </w: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Department of Family and Community Medicine, St. Michael’s Hospital, Toronto, Ontario</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Leslie Dan Faculty of Pharmacy, University of Toronto, Toronto, Ontario</w:t>
      </w:r>
    </w:p>
    <w:p>
      <w:pPr>
        <w:pStyle w:val="Normal"/>
        <w:spacing w:lineRule="auto" w:line="240"/>
        <w:rPr/>
      </w:pPr>
      <w:r>
        <w:rPr>
          <w:rFonts w:cs="Times New Roman" w:ascii="Times New Roman" w:hAnsi="Times New Roman"/>
          <w:sz w:val="24"/>
          <w:szCs w:val="24"/>
          <w:u w:val="single"/>
        </w:rPr>
        <w:t>Correspondence:</w:t>
      </w:r>
      <w:r>
        <w:rPr>
          <w:rFonts w:cs="Times New Roman" w:ascii="Times New Roman" w:hAnsi="Times New Roman"/>
          <w:sz w:val="24"/>
          <w:szCs w:val="24"/>
        </w:rPr>
        <w:t xml:space="preserve"> 410 Sherbourne Street, 4</w:t>
      </w:r>
      <w:r>
        <w:rPr>
          <w:rFonts w:cs="Times New Roman" w:ascii="Times New Roman" w:hAnsi="Times New Roman"/>
          <w:sz w:val="24"/>
          <w:szCs w:val="24"/>
          <w:vertAlign w:val="superscript"/>
        </w:rPr>
        <w:t>th</w:t>
      </w:r>
      <w:r>
        <w:rPr>
          <w:rFonts w:cs="Times New Roman" w:ascii="Times New Roman" w:hAnsi="Times New Roman"/>
          <w:sz w:val="24"/>
          <w:szCs w:val="24"/>
        </w:rPr>
        <w:t xml:space="preserve"> Floor, Toronto ON M4X 1K2, Canada</w:t>
      </w:r>
    </w:p>
    <w:p>
      <w:pPr>
        <w:pStyle w:val="Normal"/>
        <w:spacing w:lineRule="auto" w:line="240"/>
        <w:rPr/>
      </w:pPr>
      <w:r>
        <w:rPr>
          <w:rFonts w:cs="Times New Roman" w:ascii="Times New Roman" w:hAnsi="Times New Roman"/>
          <w:sz w:val="24"/>
          <w:szCs w:val="24"/>
          <w:u w:val="single"/>
        </w:rPr>
        <w:t>Phone:</w:t>
      </w:r>
      <w:r>
        <w:rPr>
          <w:rFonts w:cs="Times New Roman" w:ascii="Times New Roman" w:hAnsi="Times New Roman"/>
          <w:sz w:val="24"/>
          <w:szCs w:val="24"/>
        </w:rPr>
        <w:tab/>
      </w:r>
      <w:r>
        <w:rPr>
          <w:rStyle w:val="HTMLTypewriter"/>
          <w:rFonts w:cs="Times New Roman" w:ascii="Times New Roman" w:hAnsi="Times New Roman"/>
          <w:sz w:val="24"/>
          <w:szCs w:val="24"/>
        </w:rPr>
        <w:t>416-867-7460 ext. 8344</w:t>
      </w:r>
    </w:p>
    <w:p>
      <w:pPr>
        <w:pStyle w:val="Normal"/>
        <w:spacing w:lineRule="auto" w:line="240"/>
        <w:rPr/>
      </w:pPr>
      <w:r>
        <w:rPr>
          <w:rStyle w:val="HTMLTypewriter"/>
          <w:rFonts w:cs="Times New Roman" w:ascii="Times New Roman" w:hAnsi="Times New Roman"/>
          <w:sz w:val="24"/>
          <w:szCs w:val="24"/>
          <w:u w:val="single"/>
        </w:rPr>
        <w:t>Fax:</w:t>
      </w:r>
      <w:r>
        <w:rPr>
          <w:rStyle w:val="HTMLTypewriter"/>
          <w:rFonts w:cs="Times New Roman" w:ascii="Times New Roman" w:hAnsi="Times New Roman"/>
          <w:sz w:val="24"/>
          <w:szCs w:val="24"/>
        </w:rPr>
        <w:tab/>
        <w:t>416-867-3726</w:t>
      </w:r>
    </w:p>
    <w:p>
      <w:pPr>
        <w:pStyle w:val="Normal"/>
        <w:spacing w:lineRule="auto" w:line="240"/>
        <w:rPr/>
      </w:pPr>
      <w:r>
        <w:rPr>
          <w:rStyle w:val="HTMLTypewriter"/>
          <w:rFonts w:cs="Times New Roman" w:ascii="Times New Roman" w:hAnsi="Times New Roman"/>
          <w:sz w:val="24"/>
          <w:szCs w:val="24"/>
          <w:u w:val="single"/>
        </w:rPr>
        <w:t>Email</w:t>
      </w:r>
      <w:r>
        <w:rPr>
          <w:rStyle w:val="HTMLTypewriter"/>
          <w:rFonts w:cs="Times New Roman" w:ascii="Times New Roman" w:hAnsi="Times New Roman"/>
          <w:sz w:val="24"/>
          <w:szCs w:val="24"/>
        </w:rPr>
        <w:t>:</w:t>
        <w:tab/>
        <w:t>tantoniou@smh.toronto.on.ca</w:t>
      </w:r>
      <w:r>
        <w:rPr>
          <w:rFonts w:cs="Times New Roman" w:ascii="Times New Roman" w:hAnsi="Times New Roman"/>
          <w:sz w:val="24"/>
          <w:szCs w:val="24"/>
        </w:rPr>
        <w:tab/>
        <w:t xml:space="preserve">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pPr>
      <w:r>
        <w:rPr>
          <w:rFonts w:cs="Times New Roman" w:ascii="Times New Roman" w:hAnsi="Times New Roman"/>
          <w:sz w:val="24"/>
          <w:szCs w:val="24"/>
          <w:u w:val="single"/>
        </w:rPr>
        <w:t>Author:</w:t>
      </w:r>
      <w:r>
        <w:rPr>
          <w:rFonts w:cs="Times New Roman" w:ascii="Times New Roman" w:hAnsi="Times New Roman"/>
          <w:sz w:val="24"/>
          <w:szCs w:val="24"/>
        </w:rPr>
        <w:tab/>
        <w:t>Brandon Zagorski</w:t>
      </w:r>
    </w:p>
    <w:p>
      <w:pPr>
        <w:pStyle w:val="Normal"/>
        <w:spacing w:lineRule="auto" w:line="240"/>
        <w:rPr/>
      </w:pPr>
      <w:r>
        <w:rPr>
          <w:rFonts w:cs="Times New Roman" w:ascii="Times New Roman" w:hAnsi="Times New Roman"/>
          <w:sz w:val="24"/>
          <w:szCs w:val="24"/>
          <w:u w:val="single"/>
        </w:rPr>
        <w:t>Degree(s):</w:t>
      </w:r>
      <w:r>
        <w:rPr>
          <w:rFonts w:cs="Times New Roman" w:ascii="Times New Roman" w:hAnsi="Times New Roman"/>
          <w:sz w:val="24"/>
          <w:szCs w:val="24"/>
        </w:rPr>
        <w:tab/>
        <w:t>MSc</w:t>
      </w:r>
    </w:p>
    <w:p>
      <w:pPr>
        <w:pStyle w:val="Normal"/>
        <w:spacing w:lineRule="auto" w:line="240"/>
        <w:rPr>
          <w:rFonts w:ascii="Times New Roman" w:hAnsi="Times New Roman" w:cs="Times New Roman"/>
          <w:sz w:val="24"/>
          <w:szCs w:val="24"/>
          <w:u w:val="single"/>
        </w:rPr>
      </w:pPr>
      <w:r>
        <w:rPr>
          <w:rFonts w:cs="Times New Roman" w:ascii="Times New Roman" w:hAnsi="Times New Roman"/>
          <w:sz w:val="24"/>
          <w:szCs w:val="24"/>
          <w:u w:val="single"/>
        </w:rPr>
        <w:t>Affiliations: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Institute for Clinical Evaluative Sciences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University of Toronto</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u w:val="single"/>
        </w:rPr>
        <w:t>Correspondence:</w:t>
      </w:r>
      <w:r>
        <w:rPr>
          <w:rFonts w:cs="Times New Roman" w:ascii="Times New Roman" w:hAnsi="Times New Roman"/>
          <w:sz w:val="24"/>
          <w:szCs w:val="24"/>
        </w:rPr>
        <w:t xml:space="preserve"> 2</w:t>
      </w:r>
      <w:r>
        <w:rPr>
          <w:rFonts w:cs="Times New Roman" w:ascii="Times New Roman" w:hAnsi="Times New Roman"/>
          <w:color w:val="000000"/>
          <w:sz w:val="24"/>
          <w:szCs w:val="24"/>
        </w:rPr>
        <w:t>075 Bayview Avenue, G-169 Toronto ON  M4N 3M5, Canada</w:t>
      </w:r>
    </w:p>
    <w:p>
      <w:pPr>
        <w:pStyle w:val="Normal"/>
        <w:spacing w:lineRule="auto" w:line="240"/>
        <w:rPr/>
      </w:pPr>
      <w:r>
        <w:rPr>
          <w:rFonts w:cs="Times New Roman" w:ascii="Times New Roman" w:hAnsi="Times New Roman"/>
          <w:sz w:val="24"/>
          <w:szCs w:val="24"/>
          <w:u w:val="single"/>
        </w:rPr>
        <w:t>Phone:</w:t>
      </w:r>
      <w:r>
        <w:rPr>
          <w:rFonts w:cs="Times New Roman" w:ascii="Times New Roman" w:hAnsi="Times New Roman"/>
          <w:sz w:val="24"/>
          <w:szCs w:val="24"/>
        </w:rPr>
        <w:tab/>
        <w:t xml:space="preserve"> </w:t>
      </w:r>
      <w:r>
        <w:rPr>
          <w:rFonts w:cs="Times New Roman" w:ascii="Times New Roman" w:hAnsi="Times New Roman"/>
          <w:color w:val="000000"/>
          <w:sz w:val="24"/>
          <w:szCs w:val="24"/>
        </w:rPr>
        <w:t>416-480-6100 Ext. 2481</w:t>
      </w:r>
    </w:p>
    <w:p>
      <w:pPr>
        <w:pStyle w:val="Normal"/>
        <w:spacing w:lineRule="auto" w:line="240"/>
        <w:rPr/>
      </w:pPr>
      <w:r>
        <w:rPr>
          <w:rFonts w:cs="Times New Roman" w:ascii="Times New Roman" w:hAnsi="Times New Roman"/>
          <w:color w:val="000000"/>
          <w:sz w:val="24"/>
          <w:szCs w:val="24"/>
          <w:u w:val="single"/>
        </w:rPr>
        <w:t>Fax:</w:t>
      </w:r>
      <w:r>
        <w:rPr>
          <w:rFonts w:cs="Times New Roman" w:ascii="Times New Roman" w:hAnsi="Times New Roman"/>
          <w:color w:val="000000"/>
          <w:sz w:val="24"/>
          <w:szCs w:val="24"/>
        </w:rPr>
        <w:tab/>
        <w:t xml:space="preserve"> 416-480-6048</w:t>
      </w:r>
      <w:r>
        <w:rPr>
          <w:rFonts w:cs="Times New Roman" w:ascii="Times New Roman" w:hAnsi="Times New Roman"/>
          <w:sz w:val="24"/>
          <w:szCs w:val="24"/>
        </w:rPr>
        <w:tab/>
        <w:t xml:space="preserve">       </w:t>
      </w:r>
    </w:p>
    <w:p>
      <w:pPr>
        <w:pStyle w:val="Normal"/>
        <w:spacing w:lineRule="auto" w:line="240"/>
        <w:rPr>
          <w:rFonts w:ascii="Times New Roman" w:hAnsi="Times New Roman" w:cs="Times New Roman"/>
          <w:color w:val="000000"/>
          <w:sz w:val="24"/>
          <w:szCs w:val="24"/>
        </w:rPr>
      </w:pPr>
      <w:r>
        <w:rPr>
          <w:rFonts w:cs="Times New Roman" w:ascii="Times New Roman" w:hAnsi="Times New Roman"/>
          <w:sz w:val="24"/>
          <w:szCs w:val="24"/>
          <w:u w:val="single"/>
        </w:rPr>
        <w:t>Email:</w:t>
      </w:r>
      <w:r>
        <w:rPr>
          <w:rFonts w:cs="Times New Roman" w:ascii="Times New Roman" w:hAnsi="Times New Roman"/>
          <w:sz w:val="24"/>
          <w:szCs w:val="24"/>
        </w:rPr>
        <w:tab/>
      </w:r>
      <w:r>
        <w:rPr>
          <w:rFonts w:cs="Times New Roman" w:ascii="Times New Roman" w:hAnsi="Times New Roman"/>
          <w:color w:val="000000"/>
          <w:sz w:val="24"/>
          <w:szCs w:val="24"/>
        </w:rPr>
        <w:t>brandon.zagorski@ices.on.ca</w:t>
      </w:r>
    </w:p>
    <w:p>
      <w:pPr>
        <w:pStyle w:val="Normal"/>
        <w:spacing w:lineRule="auto" w:line="24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rPr/>
      </w:pPr>
      <w:r>
        <w:rPr>
          <w:rFonts w:cs="Times New Roman" w:ascii="Times New Roman" w:hAnsi="Times New Roman"/>
          <w:sz w:val="24"/>
          <w:szCs w:val="24"/>
          <w:u w:val="single"/>
        </w:rPr>
        <w:t>Author:</w:t>
      </w:r>
      <w:r>
        <w:rPr>
          <w:rFonts w:cs="Times New Roman" w:ascii="Times New Roman" w:hAnsi="Times New Roman"/>
          <w:sz w:val="24"/>
          <w:szCs w:val="24"/>
        </w:rPr>
        <w:tab/>
        <w:t xml:space="preserve">Mona R. Loutfy </w:t>
      </w:r>
    </w:p>
    <w:p>
      <w:pPr>
        <w:pStyle w:val="Normal"/>
        <w:spacing w:lineRule="auto" w:line="240"/>
        <w:rPr/>
      </w:pPr>
      <w:r>
        <w:rPr>
          <w:rFonts w:cs="Times New Roman" w:ascii="Times New Roman" w:hAnsi="Times New Roman"/>
          <w:sz w:val="24"/>
          <w:szCs w:val="24"/>
          <w:u w:val="single"/>
        </w:rPr>
        <w:t>Degree(s):</w:t>
      </w:r>
      <w:r>
        <w:rPr>
          <w:rFonts w:cs="Times New Roman" w:ascii="Times New Roman" w:hAnsi="Times New Roman"/>
          <w:sz w:val="24"/>
          <w:szCs w:val="24"/>
        </w:rPr>
        <w:tab/>
        <w:t>MD, MPH</w:t>
      </w:r>
    </w:p>
    <w:p>
      <w:pPr>
        <w:pStyle w:val="Normal"/>
        <w:spacing w:lineRule="auto" w:line="240"/>
        <w:rPr>
          <w:rFonts w:ascii="Times New Roman" w:hAnsi="Times New Roman" w:cs="Times New Roman"/>
          <w:sz w:val="24"/>
          <w:szCs w:val="24"/>
          <w:u w:val="single"/>
        </w:rPr>
      </w:pPr>
      <w:r>
        <w:rPr>
          <w:rFonts w:cs="Times New Roman" w:ascii="Times New Roman" w:hAnsi="Times New Roman"/>
          <w:sz w:val="24"/>
          <w:szCs w:val="24"/>
          <w:u w:val="single"/>
        </w:rPr>
        <w:t>Affiliations: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Department of Medicine, University of Toronto, Toronto, Ontario</w:t>
      </w:r>
    </w:p>
    <w:p>
      <w:pPr>
        <w:pStyle w:val="Normal"/>
        <w:spacing w:lineRule="auto" w:line="240"/>
        <w:rPr/>
      </w:pPr>
      <w:r>
        <w:rPr>
          <w:rFonts w:cs="Times New Roman" w:ascii="Times New Roman" w:hAnsi="Times New Roman"/>
          <w:sz w:val="24"/>
          <w:szCs w:val="24"/>
        </w:rPr>
        <w:t>Institute of Health Policy, Management and Evaluation, University of Toronto, Toronto, Ontario</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Women’s College Research Institute, Women’s College Hospital, Toronto, Ontario</w:t>
      </w:r>
    </w:p>
    <w:p>
      <w:pPr>
        <w:pStyle w:val="Normal"/>
        <w:spacing w:lineRule="auto" w:line="240"/>
        <w:rPr/>
      </w:pPr>
      <w:r>
        <w:rPr>
          <w:rFonts w:cs="Times New Roman" w:ascii="Times New Roman" w:hAnsi="Times New Roman"/>
          <w:sz w:val="24"/>
          <w:szCs w:val="24"/>
          <w:u w:val="single"/>
        </w:rPr>
        <w:t>Correspondence:</w:t>
      </w:r>
      <w:r>
        <w:rPr>
          <w:rFonts w:cs="Times New Roman" w:ascii="Times New Roman" w:hAnsi="Times New Roman"/>
          <w:sz w:val="24"/>
          <w:szCs w:val="24"/>
        </w:rPr>
        <w:t xml:space="preserve"> 790 Bay Street. 7</w:t>
      </w:r>
      <w:r>
        <w:rPr>
          <w:rFonts w:cs="Times New Roman" w:ascii="Times New Roman" w:hAnsi="Times New Roman"/>
          <w:sz w:val="24"/>
          <w:szCs w:val="24"/>
          <w:vertAlign w:val="superscript"/>
        </w:rPr>
        <w:t>th</w:t>
      </w:r>
      <w:r>
        <w:rPr>
          <w:rFonts w:cs="Times New Roman" w:ascii="Times New Roman" w:hAnsi="Times New Roman"/>
          <w:sz w:val="24"/>
          <w:szCs w:val="24"/>
        </w:rPr>
        <w:t xml:space="preserve"> Floor, Toronto ON M5G 1N8, Canada</w:t>
      </w:r>
      <w:r>
        <w:rPr>
          <w:rFonts w:cs="Times New Roman" w:ascii="Times New Roman" w:hAnsi="Times New Roman"/>
          <w:color w:val="333333"/>
          <w:sz w:val="24"/>
          <w:szCs w:val="24"/>
        </w:rPr>
        <w:br/>
      </w:r>
      <w:r>
        <w:rPr>
          <w:rFonts w:cs="Times New Roman" w:ascii="Times New Roman" w:hAnsi="Times New Roman"/>
          <w:sz w:val="24"/>
          <w:szCs w:val="24"/>
          <w:u w:val="single"/>
        </w:rPr>
        <w:t>Phone:</w:t>
      </w:r>
      <w:r>
        <w:rPr>
          <w:rFonts w:cs="Times New Roman" w:ascii="Times New Roman" w:hAnsi="Times New Roman"/>
          <w:sz w:val="24"/>
          <w:szCs w:val="24"/>
        </w:rPr>
        <w:tab/>
        <w:t xml:space="preserve"> 416-351-3732 ext. 2324</w:t>
      </w:r>
    </w:p>
    <w:p>
      <w:pPr>
        <w:pStyle w:val="Normal"/>
        <w:spacing w:lineRule="auto" w:line="240"/>
        <w:rPr/>
      </w:pPr>
      <w:r>
        <w:rPr>
          <w:rFonts w:cs="Times New Roman" w:ascii="Times New Roman" w:hAnsi="Times New Roman"/>
          <w:sz w:val="24"/>
          <w:szCs w:val="24"/>
          <w:u w:val="single"/>
          <w:lang w:val="fr-FR"/>
        </w:rPr>
        <w:t>Fax:</w:t>
      </w:r>
      <w:r>
        <w:rPr>
          <w:rFonts w:cs="Times New Roman" w:ascii="Times New Roman" w:hAnsi="Times New Roman"/>
          <w:sz w:val="24"/>
          <w:szCs w:val="24"/>
          <w:lang w:val="fr-FR"/>
        </w:rPr>
        <w:tab/>
        <w:t xml:space="preserve"> 416-351-3746</w:t>
      </w:r>
    </w:p>
    <w:p>
      <w:pPr>
        <w:pStyle w:val="Normal"/>
        <w:spacing w:lineRule="auto" w:line="240"/>
        <w:rPr/>
      </w:pPr>
      <w:r>
        <w:rPr>
          <w:rFonts w:cs="Times New Roman" w:ascii="Times New Roman" w:hAnsi="Times New Roman"/>
          <w:sz w:val="24"/>
          <w:szCs w:val="24"/>
          <w:u w:val="single"/>
          <w:lang w:val="fr-FR"/>
        </w:rPr>
        <w:t>Email:</w:t>
      </w:r>
      <w:r>
        <w:rPr>
          <w:rFonts w:cs="Times New Roman" w:ascii="Times New Roman" w:hAnsi="Times New Roman"/>
          <w:sz w:val="24"/>
          <w:szCs w:val="24"/>
          <w:lang w:val="fr-FR"/>
        </w:rPr>
        <w:tab/>
        <w:t>mona.loutfy@wchospital.ca</w:t>
      </w:r>
    </w:p>
    <w:p>
      <w:pPr>
        <w:pStyle w:val="Normal"/>
        <w:spacing w:lineRule="auto" w:line="24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240"/>
        <w:rPr/>
      </w:pPr>
      <w:r>
        <w:rPr>
          <w:rFonts w:cs="Times New Roman" w:ascii="Times New Roman" w:hAnsi="Times New Roman"/>
          <w:sz w:val="24"/>
          <w:szCs w:val="24"/>
          <w:u w:val="single"/>
        </w:rPr>
        <w:t>Author:</w:t>
      </w:r>
      <w:r>
        <w:rPr>
          <w:rFonts w:cs="Times New Roman" w:ascii="Times New Roman" w:hAnsi="Times New Roman"/>
          <w:sz w:val="24"/>
          <w:szCs w:val="24"/>
        </w:rPr>
        <w:tab/>
        <w:t>Carol Strike</w:t>
      </w:r>
    </w:p>
    <w:p>
      <w:pPr>
        <w:pStyle w:val="Normal"/>
        <w:spacing w:lineRule="auto" w:line="240"/>
        <w:rPr/>
      </w:pPr>
      <w:r>
        <w:rPr>
          <w:rFonts w:cs="Times New Roman" w:ascii="Times New Roman" w:hAnsi="Times New Roman"/>
          <w:sz w:val="24"/>
          <w:szCs w:val="24"/>
          <w:u w:val="single"/>
        </w:rPr>
        <w:t>Degree(s):</w:t>
      </w:r>
      <w:r>
        <w:rPr>
          <w:rFonts w:cs="Times New Roman" w:ascii="Times New Roman" w:hAnsi="Times New Roman"/>
          <w:sz w:val="24"/>
          <w:szCs w:val="24"/>
        </w:rPr>
        <w:tab/>
        <w:t>PhD</w:t>
      </w:r>
    </w:p>
    <w:p>
      <w:pPr>
        <w:pStyle w:val="Normal"/>
        <w:spacing w:lineRule="auto" w:line="240"/>
        <w:rPr>
          <w:rFonts w:ascii="Times New Roman" w:hAnsi="Times New Roman" w:cs="Times New Roman"/>
          <w:sz w:val="24"/>
          <w:szCs w:val="24"/>
          <w:u w:val="single"/>
        </w:rPr>
      </w:pPr>
      <w:r>
        <w:rPr>
          <w:rFonts w:cs="Times New Roman" w:ascii="Times New Roman" w:hAnsi="Times New Roman"/>
          <w:sz w:val="24"/>
          <w:szCs w:val="24"/>
          <w:u w:val="single"/>
        </w:rPr>
        <w:t>Affiliations: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Dalla Lana School of Public Health, University of Toronto, Toronto, Ontario</w:t>
      </w:r>
    </w:p>
    <w:p>
      <w:pPr>
        <w:pStyle w:val="Normal"/>
        <w:spacing w:lineRule="auto" w:line="240"/>
        <w:rPr/>
      </w:pPr>
      <w:r>
        <w:rPr>
          <w:rFonts w:cs="Times New Roman" w:ascii="Times New Roman" w:hAnsi="Times New Roman"/>
          <w:sz w:val="24"/>
          <w:szCs w:val="24"/>
          <w:u w:val="single"/>
        </w:rPr>
        <w:t>Correspondence:</w:t>
      </w:r>
      <w:r>
        <w:rPr>
          <w:rFonts w:cs="Times New Roman" w:ascii="Times New Roman" w:hAnsi="Times New Roman"/>
          <w:sz w:val="24"/>
          <w:szCs w:val="24"/>
        </w:rPr>
        <w:t xml:space="preserve"> 155 College Street, Toronto ON M5T 3M7, Canada</w:t>
      </w:r>
    </w:p>
    <w:p>
      <w:pPr>
        <w:pStyle w:val="Normal"/>
        <w:spacing w:lineRule="auto" w:line="240"/>
        <w:rPr/>
      </w:pPr>
      <w:r>
        <w:rPr>
          <w:rFonts w:cs="Times New Roman" w:ascii="Times New Roman" w:hAnsi="Times New Roman"/>
          <w:sz w:val="24"/>
          <w:szCs w:val="24"/>
          <w:u w:val="single"/>
          <w:lang w:val="fr-FR"/>
        </w:rPr>
        <w:t>Phone:</w:t>
      </w:r>
      <w:r>
        <w:rPr>
          <w:rFonts w:cs="Times New Roman" w:ascii="Times New Roman" w:hAnsi="Times New Roman"/>
          <w:sz w:val="24"/>
          <w:szCs w:val="24"/>
          <w:lang w:val="fr-FR"/>
        </w:rPr>
        <w:tab/>
        <w:t>416-978-6292 </w:t>
      </w:r>
    </w:p>
    <w:p>
      <w:pPr>
        <w:pStyle w:val="Normal"/>
        <w:spacing w:lineRule="auto" w:line="240"/>
        <w:rPr/>
      </w:pPr>
      <w:r>
        <w:rPr>
          <w:rFonts w:cs="Times New Roman" w:ascii="Times New Roman" w:hAnsi="Times New Roman"/>
          <w:sz w:val="24"/>
          <w:szCs w:val="24"/>
          <w:u w:val="single"/>
          <w:lang w:val="fr-FR"/>
        </w:rPr>
        <w:t xml:space="preserve">Fax: </w:t>
      </w:r>
      <w:r>
        <w:rPr>
          <w:rFonts w:cs="Times New Roman" w:ascii="Times New Roman" w:hAnsi="Times New Roman"/>
          <w:sz w:val="24"/>
          <w:szCs w:val="24"/>
          <w:lang w:val="fr-FR"/>
        </w:rPr>
        <w:tab/>
        <w:t>416-978-2087</w:t>
      </w:r>
    </w:p>
    <w:p>
      <w:pPr>
        <w:pStyle w:val="Normal"/>
        <w:spacing w:lineRule="auto" w:line="240"/>
        <w:rPr/>
      </w:pPr>
      <w:r>
        <w:rPr>
          <w:rFonts w:cs="Times New Roman" w:ascii="Times New Roman" w:hAnsi="Times New Roman"/>
          <w:sz w:val="24"/>
          <w:szCs w:val="24"/>
          <w:u w:val="single"/>
          <w:lang w:val="fr-FR"/>
        </w:rPr>
        <w:t>Email:</w:t>
      </w:r>
      <w:r>
        <w:rPr>
          <w:rFonts w:cs="Times New Roman" w:ascii="Times New Roman" w:hAnsi="Times New Roman"/>
          <w:sz w:val="24"/>
          <w:szCs w:val="24"/>
          <w:lang w:val="fr-FR"/>
        </w:rPr>
        <w:tab/>
        <w:t>carol.strike@utoronto.ca</w:t>
      </w:r>
    </w:p>
    <w:p>
      <w:pPr>
        <w:pStyle w:val="Normal"/>
        <w:spacing w:lineRule="auto" w:line="24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240"/>
        <w:rPr/>
      </w:pPr>
      <w:r>
        <w:rPr>
          <w:rFonts w:cs="Times New Roman" w:ascii="Times New Roman" w:hAnsi="Times New Roman"/>
          <w:sz w:val="24"/>
          <w:szCs w:val="24"/>
          <w:u w:val="single"/>
          <w:lang w:val="fr-FR"/>
        </w:rPr>
        <w:t>Author:</w:t>
      </w:r>
      <w:r>
        <w:rPr>
          <w:rFonts w:cs="Times New Roman" w:ascii="Times New Roman" w:hAnsi="Times New Roman"/>
          <w:sz w:val="24"/>
          <w:szCs w:val="24"/>
          <w:lang w:val="fr-FR"/>
        </w:rPr>
        <w:tab/>
        <w:t>Richard H. Glazier</w:t>
      </w:r>
    </w:p>
    <w:p>
      <w:pPr>
        <w:pStyle w:val="Normal"/>
        <w:spacing w:lineRule="auto" w:line="240"/>
        <w:rPr/>
      </w:pPr>
      <w:r>
        <w:rPr>
          <w:rFonts w:cs="Times New Roman" w:ascii="Times New Roman" w:hAnsi="Times New Roman"/>
          <w:sz w:val="24"/>
          <w:szCs w:val="24"/>
          <w:u w:val="single"/>
        </w:rPr>
        <w:t>Degree(s):</w:t>
      </w:r>
      <w:r>
        <w:rPr>
          <w:rFonts w:cs="Times New Roman" w:ascii="Times New Roman" w:hAnsi="Times New Roman"/>
          <w:sz w:val="24"/>
          <w:szCs w:val="24"/>
        </w:rPr>
        <w:tab/>
        <w:t>MD, MPH</w:t>
      </w:r>
    </w:p>
    <w:p>
      <w:pPr>
        <w:pStyle w:val="Normal"/>
        <w:spacing w:lineRule="auto" w:line="240"/>
        <w:rPr>
          <w:rFonts w:ascii="Times New Roman" w:hAnsi="Times New Roman" w:cs="Times New Roman"/>
          <w:sz w:val="24"/>
          <w:szCs w:val="24"/>
          <w:u w:val="single"/>
        </w:rPr>
      </w:pPr>
      <w:r>
        <w:rPr>
          <w:rFonts w:cs="Times New Roman" w:ascii="Times New Roman" w:hAnsi="Times New Roman"/>
          <w:sz w:val="24"/>
          <w:szCs w:val="24"/>
          <w:u w:val="single"/>
        </w:rPr>
        <w:t>Affiliations: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Institute for Clinical Evaluative Sciences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Department of Family and Community Medicine, St. Michael’s Hospital, Toronto, Ontario</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Dalla Lana School of Publich Health, University of Toronto, Toronto, Ontario</w:t>
      </w:r>
    </w:p>
    <w:p>
      <w:pPr>
        <w:pStyle w:val="Normal"/>
        <w:spacing w:lineRule="auto" w:line="240"/>
        <w:rPr/>
      </w:pPr>
      <w:r>
        <w:rPr>
          <w:rFonts w:cs="Times New Roman" w:ascii="Times New Roman" w:hAnsi="Times New Roman"/>
          <w:sz w:val="24"/>
          <w:szCs w:val="24"/>
        </w:rPr>
        <w:t>Institute of Health Policy, Management and Evaluation, University of Toronto, Toronto, Ontario</w:t>
      </w:r>
    </w:p>
    <w:p>
      <w:pPr>
        <w:pStyle w:val="Normal"/>
        <w:spacing w:lineRule="auto" w:line="240"/>
        <w:rPr/>
      </w:pPr>
      <w:r>
        <w:rPr>
          <w:rFonts w:cs="Times New Roman" w:ascii="Times New Roman" w:hAnsi="Times New Roman"/>
          <w:sz w:val="24"/>
          <w:szCs w:val="24"/>
          <w:u w:val="single"/>
        </w:rPr>
        <w:t>Correspondence:</w:t>
      </w:r>
      <w:r>
        <w:rPr>
          <w:rFonts w:cs="Times New Roman" w:ascii="Times New Roman" w:hAnsi="Times New Roman"/>
          <w:sz w:val="24"/>
          <w:szCs w:val="24"/>
        </w:rPr>
        <w:t xml:space="preserve"> G1-06, 2075 Bayview Ave., Toronto ON M4N 3M5</w:t>
      </w:r>
    </w:p>
    <w:p>
      <w:pPr>
        <w:pStyle w:val="Normal"/>
        <w:spacing w:lineRule="auto" w:line="240"/>
        <w:rPr/>
      </w:pPr>
      <w:r>
        <w:rPr>
          <w:rFonts w:cs="Times New Roman" w:ascii="Times New Roman" w:hAnsi="Times New Roman"/>
          <w:sz w:val="24"/>
          <w:szCs w:val="24"/>
          <w:u w:val="single"/>
        </w:rPr>
        <w:t>Phone:</w:t>
      </w:r>
      <w:r>
        <w:rPr>
          <w:rFonts w:cs="Times New Roman" w:ascii="Times New Roman" w:hAnsi="Times New Roman"/>
          <w:sz w:val="24"/>
          <w:szCs w:val="24"/>
        </w:rPr>
        <w:tab/>
        <w:t>416-480-4055   Ext.: 3883</w:t>
        <w:tab/>
      </w:r>
    </w:p>
    <w:p>
      <w:pPr>
        <w:pStyle w:val="Normal"/>
        <w:spacing w:lineRule="auto" w:line="240"/>
        <w:rPr/>
      </w:pPr>
      <w:r>
        <w:rPr>
          <w:rFonts w:cs="Times New Roman" w:ascii="Times New Roman" w:hAnsi="Times New Roman"/>
          <w:sz w:val="24"/>
          <w:szCs w:val="24"/>
          <w:u w:val="single"/>
        </w:rPr>
        <w:t>Fax:</w:t>
      </w:r>
      <w:r>
        <w:rPr>
          <w:rFonts w:cs="Times New Roman" w:ascii="Times New Roman" w:hAnsi="Times New Roman"/>
          <w:sz w:val="24"/>
          <w:szCs w:val="24"/>
        </w:rPr>
        <w:tab/>
        <w:t>416-480-6048</w:t>
      </w:r>
    </w:p>
    <w:p>
      <w:pPr>
        <w:pStyle w:val="Normal"/>
        <w:spacing w:lineRule="auto" w:line="240"/>
        <w:rPr/>
      </w:pPr>
      <w:r>
        <w:rPr>
          <w:rFonts w:cs="Times New Roman" w:ascii="Times New Roman" w:hAnsi="Times New Roman"/>
          <w:sz w:val="24"/>
          <w:szCs w:val="24"/>
          <w:u w:val="single"/>
        </w:rPr>
        <w:t>Email:</w:t>
      </w:r>
      <w:r>
        <w:rPr>
          <w:rFonts w:cs="Times New Roman" w:ascii="Times New Roman" w:hAnsi="Times New Roman"/>
          <w:sz w:val="24"/>
          <w:szCs w:val="24"/>
        </w:rPr>
        <w:tab/>
        <w:t>rick.glazier@ices.on.ca</w:t>
        <w:tab/>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p>
      <w:pPr>
        <w:pStyle w:val="Normal"/>
        <w:autoSpaceDE w:val="false"/>
        <w:spacing w:lineRule="auto" w:line="480" w:before="0" w:after="0"/>
        <w:rPr/>
      </w:pPr>
      <w:r>
        <w:rPr>
          <w:rFonts w:eastAsia="Times New Roman" w:cs="Times New Roman" w:ascii="Times New Roman" w:hAnsi="Times New Roman"/>
          <w:b/>
          <w:color w:val="000000"/>
          <w:sz w:val="24"/>
          <w:szCs w:val="19"/>
          <w:lang w:val="en"/>
        </w:rPr>
        <w:t>Abstract</w:t>
      </w:r>
    </w:p>
    <w:p>
      <w:pPr>
        <w:pStyle w:val="Normal"/>
        <w:autoSpaceDE w:val="false"/>
        <w:spacing w:lineRule="auto" w:line="480" w:before="0" w:after="0"/>
        <w:rPr>
          <w:rFonts w:ascii="Times New Roman" w:hAnsi="Times New Roman" w:cs="Futura-ExtraBold"/>
          <w:b/>
          <w:b/>
          <w:bCs/>
          <w:sz w:val="24"/>
          <w:szCs w:val="17"/>
        </w:rPr>
      </w:pPr>
      <w:r>
        <w:rPr>
          <w:rFonts w:cs="Futura-ExtraBold" w:ascii="Times New Roman" w:hAnsi="Times New Roman"/>
          <w:b/>
          <w:bCs/>
          <w:sz w:val="24"/>
          <w:szCs w:val="17"/>
        </w:rPr>
        <w:t>Background</w:t>
      </w:r>
    </w:p>
    <w:p>
      <w:pPr>
        <w:pStyle w:val="Normal"/>
        <w:autoSpaceDE w:val="false"/>
        <w:spacing w:lineRule="auto" w:line="480" w:before="0" w:after="0"/>
        <w:rPr>
          <w:rFonts w:ascii="Times New Roman" w:hAnsi="Times New Roman" w:cs="Arial"/>
          <w:b/>
          <w:b/>
          <w:bCs/>
          <w:sz w:val="24"/>
          <w:szCs w:val="17"/>
        </w:rPr>
      </w:pPr>
      <w:r>
        <w:rPr>
          <w:rFonts w:cs="Arial" w:ascii="Times New Roman" w:hAnsi="Times New Roman"/>
          <w:b/>
          <w:bCs/>
          <w:sz w:val="24"/>
          <w:szCs w:val="17"/>
        </w:rPr>
      </w:r>
    </w:p>
    <w:p>
      <w:pPr>
        <w:pStyle w:val="Normal"/>
        <w:autoSpaceDE w:val="false"/>
        <w:spacing w:lineRule="auto" w:line="480" w:before="0" w:after="0"/>
        <w:rPr/>
      </w:pPr>
      <w:r>
        <w:rPr>
          <w:rFonts w:cs="Berkeley-Medium" w:ascii="Times New Roman" w:hAnsi="Times New Roman"/>
          <w:sz w:val="24"/>
          <w:szCs w:val="20"/>
        </w:rPr>
        <w:t xml:space="preserve">Because hospitalization of persons living with HIV-infection (PLWH) in the era of combination antiretroviral therapy (cART) may be an indicator of inadequate community-based care, population-based </w:t>
      </w:r>
      <w:r>
        <w:rPr>
          <w:rFonts w:cs="Arial" w:ascii="Times New Roman" w:hAnsi="Times New Roman"/>
          <w:sz w:val="24"/>
        </w:rPr>
        <w:t xml:space="preserve">assessments of inpatient service utilization are a necessary component of the evaluation of the quality of HIV-related care.  </w:t>
      </w:r>
    </w:p>
    <w:p>
      <w:pPr>
        <w:pStyle w:val="Normal"/>
        <w:autoSpaceDE w:val="false"/>
        <w:spacing w:lineRule="auto" w:line="480" w:before="0" w:after="0"/>
        <w:rPr>
          <w:rFonts w:ascii="Times New Roman" w:hAnsi="Times New Roman" w:cs="Berkeley-Medium"/>
          <w:b/>
          <w:b/>
          <w:sz w:val="24"/>
          <w:szCs w:val="20"/>
        </w:rPr>
      </w:pPr>
      <w:r>
        <w:rPr>
          <w:rFonts w:cs="Berkeley-Medium" w:ascii="Times New Roman" w:hAnsi="Times New Roman"/>
          <w:b/>
          <w:sz w:val="24"/>
          <w:szCs w:val="20"/>
        </w:rPr>
      </w:r>
    </w:p>
    <w:p>
      <w:pPr>
        <w:pStyle w:val="Normal"/>
        <w:autoSpaceDE w:val="false"/>
        <w:spacing w:lineRule="auto" w:line="480" w:before="0" w:after="0"/>
        <w:rPr>
          <w:rFonts w:ascii="Times New Roman" w:hAnsi="Times New Roman" w:cs="Futura-ExtraBold"/>
          <w:b/>
          <w:b/>
          <w:bCs/>
          <w:sz w:val="24"/>
          <w:szCs w:val="17"/>
        </w:rPr>
      </w:pPr>
      <w:r>
        <w:rPr>
          <w:rFonts w:cs="Futura-ExtraBold" w:ascii="Times New Roman" w:hAnsi="Times New Roman"/>
          <w:b/>
          <w:bCs/>
          <w:sz w:val="24"/>
          <w:szCs w:val="17"/>
        </w:rPr>
        <w:t>Methods</w:t>
      </w:r>
    </w:p>
    <w:p>
      <w:pPr>
        <w:pStyle w:val="Normal"/>
        <w:autoSpaceDE w:val="false"/>
        <w:spacing w:lineRule="auto" w:line="480" w:before="0" w:after="0"/>
        <w:rPr>
          <w:rFonts w:ascii="Times New Roman" w:hAnsi="Times New Roman" w:cs="Futura-ExtraBold"/>
          <w:b/>
          <w:b/>
          <w:bCs/>
          <w:sz w:val="24"/>
          <w:szCs w:val="17"/>
        </w:rPr>
      </w:pPr>
      <w:r>
        <w:rPr>
          <w:rFonts w:cs="Futura-ExtraBold" w:ascii="Times New Roman" w:hAnsi="Times New Roman"/>
          <w:b/>
          <w:bCs/>
          <w:sz w:val="24"/>
          <w:szCs w:val="17"/>
        </w:rPr>
      </w:r>
    </w:p>
    <w:p>
      <w:pPr>
        <w:pStyle w:val="Normal"/>
        <w:spacing w:lineRule="auto" w:line="480"/>
        <w:rPr>
          <w:rFonts w:ascii="Times New Roman" w:hAnsi="Times New Roman" w:cs="Times New Roman"/>
          <w:sz w:val="24"/>
        </w:rPr>
      </w:pPr>
      <w:r>
        <w:rPr>
          <w:rFonts w:cs="Times New Roman" w:ascii="Times New Roman" w:hAnsi="Times New Roman"/>
          <w:sz w:val="24"/>
        </w:rPr>
        <w:t xml:space="preserve">Using a validated algorithm, we identified all PLWH in Ontario’s administrative health-care databases aged 18 years and older between 1992 and 2008, and conducted a population-based study using ecologic and longitudinal individual-level analyses to quantify the immediate impact of cART on hospitalization rates and analyze recent trends (2002 to 2008) in rates of total and HIV-related hospitalizations.  </w:t>
      </w:r>
    </w:p>
    <w:p>
      <w:pPr>
        <w:pStyle w:val="Normal"/>
        <w:autoSpaceDE w:val="false"/>
        <w:spacing w:lineRule="auto" w:line="480" w:before="0" w:after="0"/>
        <w:rPr>
          <w:rFonts w:ascii="Times New Roman" w:hAnsi="Times New Roman" w:cs="Futura-ExtraBold"/>
          <w:b/>
          <w:b/>
          <w:bCs/>
          <w:sz w:val="24"/>
          <w:szCs w:val="17"/>
        </w:rPr>
      </w:pPr>
      <w:r>
        <w:rPr>
          <w:rFonts w:cs="Futura-ExtraBold" w:ascii="Times New Roman" w:hAnsi="Times New Roman"/>
          <w:b/>
          <w:bCs/>
          <w:sz w:val="24"/>
          <w:szCs w:val="17"/>
        </w:rPr>
        <w:t>Results</w:t>
      </w:r>
    </w:p>
    <w:p>
      <w:pPr>
        <w:pStyle w:val="Normal"/>
        <w:autoSpaceDE w:val="false"/>
        <w:spacing w:lineRule="auto" w:line="480" w:before="0" w:after="0"/>
        <w:rPr>
          <w:rFonts w:ascii="Times New Roman" w:hAnsi="Times New Roman" w:cs="Futura-Bold"/>
          <w:b/>
          <w:b/>
          <w:bCs/>
          <w:sz w:val="24"/>
          <w:szCs w:val="17"/>
        </w:rPr>
      </w:pPr>
      <w:r>
        <w:rPr>
          <w:rFonts w:cs="Futura-Bold" w:ascii="Times New Roman" w:hAnsi="Times New Roman"/>
          <w:b/>
          <w:bCs/>
          <w:sz w:val="24"/>
          <w:szCs w:val="17"/>
        </w:rPr>
      </w:r>
    </w:p>
    <w:p>
      <w:pPr>
        <w:pStyle w:val="Normal"/>
        <w:spacing w:lineRule="auto" w:line="480"/>
        <w:rPr>
          <w:rFonts w:ascii="Times New Roman" w:hAnsi="Times New Roman" w:cs="Times New Roman"/>
          <w:sz w:val="24"/>
        </w:rPr>
      </w:pPr>
      <w:r>
        <w:rPr>
          <w:rFonts w:cs="Times New Roman" w:ascii="Times New Roman" w:hAnsi="Times New Roman"/>
          <w:sz w:val="24"/>
        </w:rPr>
        <w:t xml:space="preserve">The introduction of cART in 1996/97 was associated with more pronounced reductions in rates of total (-94.8 vs. -63.3 per 1000 PLWH; p = 0.002) and HIV-related hospitalizations (- 59.5 vs. -37.1 per 1000 PLWH; p = 0.0002) among men relative to women.  Between 2002 and 2008, higher rates of total hospitalization were associated with female sex [adjusted relative rate (aRR) 1.13; 95% CI: 1.02 to 1.24] and low socioeconomic status (aRR 1.22; 95% CI: 1.14 to 1.30).  Higher rates of HIV-related hospitalizations were associated with low socioeconomic status (aRR 1.25; 95% CI: 1.12 to 1.40).  Recent immigrants had lower rates of both total (aRR 0.70; 95% CI 0.61 to 0.80) and HIV-related hospitalizations (aRR 0.76; 95% CI 0.60 to 0.96).  </w:t>
      </w:r>
    </w:p>
    <w:p>
      <w:pPr>
        <w:pStyle w:val="Normal"/>
        <w:autoSpaceDE w:val="false"/>
        <w:spacing w:lineRule="auto" w:line="480" w:before="0" w:after="0"/>
        <w:rPr>
          <w:rFonts w:ascii="Times New Roman" w:hAnsi="Times New Roman" w:cs="Futura-ExtraBold"/>
          <w:b/>
          <w:b/>
          <w:bCs/>
          <w:sz w:val="24"/>
          <w:szCs w:val="17"/>
        </w:rPr>
      </w:pPr>
      <w:r>
        <w:rPr>
          <w:rFonts w:cs="Futura-ExtraBold" w:ascii="Times New Roman" w:hAnsi="Times New Roman"/>
          <w:b/>
          <w:bCs/>
          <w:sz w:val="24"/>
          <w:szCs w:val="17"/>
        </w:rPr>
        <w:t>Interpretation</w:t>
      </w:r>
    </w:p>
    <w:p>
      <w:pPr>
        <w:pStyle w:val="Normal"/>
        <w:autoSpaceDE w:val="false"/>
        <w:spacing w:lineRule="auto" w:line="480" w:before="0" w:after="0"/>
        <w:rPr>
          <w:rFonts w:ascii="Times New Roman" w:hAnsi="Times New Roman" w:cs="Futura-ExtraBold"/>
          <w:b/>
          <w:b/>
          <w:bCs/>
          <w:sz w:val="24"/>
          <w:szCs w:val="17"/>
        </w:rPr>
      </w:pPr>
      <w:r>
        <w:rPr>
          <w:rFonts w:cs="Futura-ExtraBold" w:ascii="Times New Roman" w:hAnsi="Times New Roman"/>
          <w:b/>
          <w:bCs/>
          <w:sz w:val="24"/>
          <w:szCs w:val="17"/>
        </w:rPr>
      </w:r>
    </w:p>
    <w:p>
      <w:pPr>
        <w:pStyle w:val="Normal"/>
        <w:spacing w:lineRule="auto" w:line="480"/>
        <w:rPr/>
      </w:pPr>
      <w:r>
        <w:rPr>
          <w:rFonts w:cs="Times New Roman" w:ascii="Times New Roman" w:hAnsi="Times New Roman"/>
          <w:sz w:val="24"/>
        </w:rPr>
        <w:t xml:space="preserve">Despite universal access to health care and overall declines in hospitalizations, we observed important gender- and socioeconomic-based disparities in hospitalization rates among PLWH living in Ontario, Canada.  </w:t>
      </w:r>
    </w:p>
    <w:p>
      <w:pPr>
        <w:pStyle w:val="Normal"/>
        <w:rPr/>
      </w:pPr>
      <w:r>
        <w:rPr/>
      </w:r>
    </w:p>
    <w:p>
      <w:pPr>
        <w:pStyle w:val="Normal"/>
        <w:autoSpaceDE w:val="false"/>
        <w:spacing w:lineRule="auto" w:line="480" w:before="0" w:after="0"/>
        <w:rPr>
          <w:rFonts w:ascii="Times New Roman" w:hAnsi="Times New Roman" w:eastAsia="Times New Roman" w:cs="Times New Roman"/>
          <w:color w:val="000000"/>
          <w:sz w:val="24"/>
          <w:szCs w:val="19"/>
          <w:lang w:val="en"/>
        </w:rPr>
      </w:pPr>
      <w:r>
        <w:rPr>
          <w:rFonts w:eastAsia="Times New Roman" w:cs="Times New Roman" w:ascii="Times New Roman" w:hAnsi="Times New Roman"/>
          <w:b/>
          <w:color w:val="000000"/>
          <w:sz w:val="24"/>
          <w:szCs w:val="19"/>
          <w:lang w:val="en"/>
        </w:rPr>
        <w:t>Key words:</w:t>
        <w:tab/>
      </w:r>
      <w:r>
        <w:rPr>
          <w:rFonts w:eastAsia="Times New Roman" w:cs="Times New Roman" w:ascii="Times New Roman" w:hAnsi="Times New Roman"/>
          <w:color w:val="000000"/>
          <w:sz w:val="24"/>
          <w:szCs w:val="19"/>
          <w:lang w:val="en"/>
        </w:rPr>
        <w:t>HIV; hospitalization; trends; epidemiology; gender; socioeconomic status</w:t>
      </w:r>
    </w:p>
    <w:p>
      <w:pPr>
        <w:pStyle w:val="Normal"/>
        <w:autoSpaceDE w:val="false"/>
        <w:spacing w:lineRule="auto" w:line="480" w:before="0" w:after="0"/>
        <w:rPr>
          <w:rFonts w:ascii="Times New Roman" w:hAnsi="Times New Roman" w:eastAsia="Times New Roman" w:cs="Times New Roman"/>
          <w:color w:val="000000"/>
          <w:sz w:val="24"/>
          <w:szCs w:val="19"/>
          <w:lang w:val="en"/>
        </w:rPr>
      </w:pPr>
      <w:r>
        <w:rPr>
          <w:rFonts w:eastAsia="Times New Roman" w:cs="Times New Roman" w:ascii="Times New Roman" w:hAnsi="Times New Roman"/>
          <w:color w:val="000000"/>
          <w:sz w:val="24"/>
          <w:szCs w:val="19"/>
          <w:lang w:val="en"/>
        </w:rPr>
      </w:r>
    </w:p>
    <w:p>
      <w:pPr>
        <w:pStyle w:val="Normal"/>
        <w:autoSpaceDE w:val="false"/>
        <w:spacing w:lineRule="auto" w:line="480" w:before="0" w:after="0"/>
        <w:rPr>
          <w:rFonts w:ascii="Times New Roman" w:hAnsi="Times New Roman" w:eastAsia="Times New Roman" w:cs="Times New Roman"/>
          <w:color w:val="000000"/>
          <w:sz w:val="24"/>
          <w:szCs w:val="19"/>
          <w:lang w:val="en"/>
        </w:rPr>
      </w:pPr>
      <w:r>
        <w:rPr>
          <w:rFonts w:eastAsia="Times New Roman" w:cs="Times New Roman" w:ascii="Times New Roman" w:hAnsi="Times New Roman"/>
          <w:color w:val="000000"/>
          <w:sz w:val="24"/>
          <w:szCs w:val="19"/>
          <w:lang w:val="en"/>
        </w:rPr>
      </w:r>
    </w:p>
    <w:p>
      <w:pPr>
        <w:pStyle w:val="Normal"/>
        <w:autoSpaceDE w:val="false"/>
        <w:spacing w:lineRule="auto" w:line="480" w:before="0" w:after="0"/>
        <w:rPr>
          <w:rFonts w:ascii="Times New Roman" w:hAnsi="Times New Roman" w:eastAsia="Times New Roman" w:cs="Times New Roman"/>
          <w:color w:val="000000"/>
          <w:sz w:val="24"/>
          <w:szCs w:val="19"/>
          <w:lang w:val="en"/>
        </w:rPr>
      </w:pPr>
      <w:r>
        <w:rPr>
          <w:rFonts w:eastAsia="Times New Roman" w:cs="Times New Roman" w:ascii="Times New Roman" w:hAnsi="Times New Roman"/>
          <w:color w:val="000000"/>
          <w:sz w:val="24"/>
          <w:szCs w:val="19"/>
          <w:lang w:val="en"/>
        </w:rPr>
      </w:r>
    </w:p>
    <w:p>
      <w:pPr>
        <w:pStyle w:val="Normal"/>
        <w:autoSpaceDE w:val="false"/>
        <w:spacing w:lineRule="auto" w:line="480" w:before="0" w:after="0"/>
        <w:rPr>
          <w:rFonts w:ascii="Times New Roman" w:hAnsi="Times New Roman" w:eastAsia="Times New Roman" w:cs="Times New Roman"/>
          <w:color w:val="000000"/>
          <w:sz w:val="24"/>
          <w:szCs w:val="19"/>
          <w:lang w:val="en"/>
        </w:rPr>
      </w:pPr>
      <w:r>
        <w:rPr>
          <w:rFonts w:eastAsia="Times New Roman" w:cs="Times New Roman" w:ascii="Times New Roman" w:hAnsi="Times New Roman"/>
          <w:color w:val="000000"/>
          <w:sz w:val="24"/>
          <w:szCs w:val="19"/>
          <w:lang w:val="en"/>
        </w:rPr>
      </w:r>
    </w:p>
    <w:p>
      <w:pPr>
        <w:pStyle w:val="Normal"/>
        <w:autoSpaceDE w:val="false"/>
        <w:spacing w:lineRule="auto" w:line="480" w:before="0" w:after="0"/>
        <w:rPr>
          <w:rFonts w:ascii="Times New Roman" w:hAnsi="Times New Roman" w:eastAsia="Times New Roman" w:cs="Times New Roman"/>
          <w:color w:val="000000"/>
          <w:sz w:val="24"/>
          <w:szCs w:val="19"/>
          <w:lang w:val="en"/>
        </w:rPr>
      </w:pPr>
      <w:r>
        <w:rPr>
          <w:rFonts w:eastAsia="Times New Roman" w:cs="Times New Roman" w:ascii="Times New Roman" w:hAnsi="Times New Roman"/>
          <w:color w:val="000000"/>
          <w:sz w:val="24"/>
          <w:szCs w:val="19"/>
          <w:lang w:val="en"/>
        </w:rPr>
      </w:r>
    </w:p>
    <w:p>
      <w:pPr>
        <w:pStyle w:val="Normal"/>
        <w:autoSpaceDE w:val="false"/>
        <w:spacing w:lineRule="auto" w:line="480" w:before="0" w:after="0"/>
        <w:rPr>
          <w:rFonts w:ascii="Times New Roman" w:hAnsi="Times New Roman" w:eastAsia="Times New Roman" w:cs="Times New Roman"/>
          <w:color w:val="000000"/>
          <w:sz w:val="24"/>
          <w:szCs w:val="19"/>
          <w:lang w:val="en"/>
        </w:rPr>
      </w:pPr>
      <w:r>
        <w:rPr>
          <w:rFonts w:eastAsia="Times New Roman" w:cs="Times New Roman" w:ascii="Times New Roman" w:hAnsi="Times New Roman"/>
          <w:color w:val="000000"/>
          <w:sz w:val="24"/>
          <w:szCs w:val="19"/>
          <w:lang w:val="en"/>
        </w:rPr>
      </w:r>
    </w:p>
    <w:p>
      <w:pPr>
        <w:pStyle w:val="Normal"/>
        <w:autoSpaceDE w:val="false"/>
        <w:spacing w:lineRule="auto" w:line="480" w:before="0" w:after="0"/>
        <w:rPr>
          <w:rFonts w:ascii="Times New Roman" w:hAnsi="Times New Roman" w:eastAsia="Times New Roman" w:cs="Times New Roman"/>
          <w:color w:val="000000"/>
          <w:sz w:val="24"/>
          <w:szCs w:val="19"/>
          <w:lang w:val="en"/>
        </w:rPr>
      </w:pPr>
      <w:r>
        <w:rPr>
          <w:rFonts w:eastAsia="Times New Roman" w:cs="Times New Roman" w:ascii="Times New Roman" w:hAnsi="Times New Roman"/>
          <w:color w:val="000000"/>
          <w:sz w:val="24"/>
          <w:szCs w:val="19"/>
          <w:lang w:val="en"/>
        </w:rPr>
      </w:r>
    </w:p>
    <w:p>
      <w:pPr>
        <w:pStyle w:val="Normal"/>
        <w:autoSpaceDE w:val="false"/>
        <w:spacing w:lineRule="auto" w:line="480" w:before="0" w:after="0"/>
        <w:rPr>
          <w:rFonts w:ascii="Times New Roman" w:hAnsi="Times New Roman" w:eastAsia="Times New Roman" w:cs="Times New Roman"/>
          <w:color w:val="000000"/>
          <w:sz w:val="24"/>
          <w:szCs w:val="19"/>
          <w:lang w:val="en"/>
        </w:rPr>
      </w:pPr>
      <w:r>
        <w:rPr>
          <w:rFonts w:eastAsia="Times New Roman" w:cs="Times New Roman" w:ascii="Times New Roman" w:hAnsi="Times New Roman"/>
          <w:color w:val="000000"/>
          <w:sz w:val="24"/>
          <w:szCs w:val="19"/>
          <w:lang w:val="en"/>
        </w:rPr>
      </w:r>
    </w:p>
    <w:p>
      <w:pPr>
        <w:pStyle w:val="Normal"/>
        <w:autoSpaceDE w:val="false"/>
        <w:spacing w:lineRule="auto" w:line="480" w:before="0" w:after="0"/>
        <w:rPr>
          <w:rFonts w:ascii="Times New Roman" w:hAnsi="Times New Roman" w:eastAsia="Times New Roman" w:cs="Times New Roman"/>
          <w:color w:val="000000"/>
          <w:sz w:val="24"/>
          <w:szCs w:val="19"/>
          <w:lang w:val="en"/>
        </w:rPr>
      </w:pPr>
      <w:r>
        <w:rPr>
          <w:rFonts w:eastAsia="Times New Roman" w:cs="Times New Roman" w:ascii="Times New Roman" w:hAnsi="Times New Roman"/>
          <w:color w:val="000000"/>
          <w:sz w:val="24"/>
          <w:szCs w:val="19"/>
          <w:lang w:val="en"/>
        </w:rPr>
      </w:r>
    </w:p>
    <w:p>
      <w:pPr>
        <w:pStyle w:val="Normal"/>
        <w:autoSpaceDE w:val="false"/>
        <w:spacing w:lineRule="auto" w:line="480" w:before="0" w:after="0"/>
        <w:rPr>
          <w:rFonts w:ascii="Times New Roman" w:hAnsi="Times New Roman" w:eastAsia="Times New Roman" w:cs="Times New Roman"/>
          <w:color w:val="000000"/>
          <w:sz w:val="24"/>
          <w:szCs w:val="19"/>
          <w:lang w:val="en"/>
        </w:rPr>
      </w:pPr>
      <w:r>
        <w:rPr>
          <w:rFonts w:eastAsia="Times New Roman" w:cs="Times New Roman" w:ascii="Times New Roman" w:hAnsi="Times New Roman"/>
          <w:color w:val="000000"/>
          <w:sz w:val="24"/>
          <w:szCs w:val="19"/>
          <w:lang w:val="en"/>
        </w:rPr>
      </w:r>
    </w:p>
    <w:p>
      <w:pPr>
        <w:pStyle w:val="Normal"/>
        <w:autoSpaceDE w:val="false"/>
        <w:spacing w:lineRule="auto" w:line="480" w:before="0" w:after="0"/>
        <w:rPr>
          <w:rFonts w:ascii="Times New Roman" w:hAnsi="Times New Roman" w:eastAsia="Times New Roman" w:cs="Times New Roman"/>
          <w:b/>
          <w:b/>
          <w:color w:val="000000"/>
          <w:sz w:val="24"/>
          <w:szCs w:val="19"/>
          <w:lang w:val="en"/>
        </w:rPr>
      </w:pPr>
      <w:r>
        <w:rPr>
          <w:rFonts w:eastAsia="Times New Roman" w:cs="Times New Roman" w:ascii="Times New Roman" w:hAnsi="Times New Roman"/>
          <w:b/>
          <w:color w:val="000000"/>
          <w:sz w:val="24"/>
          <w:szCs w:val="19"/>
          <w:lang w:val="en"/>
        </w:rPr>
        <w:t>Introduction</w:t>
      </w:r>
    </w:p>
    <w:p>
      <w:pPr>
        <w:pStyle w:val="Normal"/>
        <w:autoSpaceDE w:val="false"/>
        <w:spacing w:lineRule="auto" w:line="480" w:before="0" w:after="0"/>
        <w:rPr>
          <w:rFonts w:ascii="Times New Roman" w:hAnsi="Times New Roman" w:eastAsia="Times New Roman" w:cs="Times New Roman"/>
          <w:b/>
          <w:b/>
          <w:color w:val="000000"/>
          <w:sz w:val="24"/>
          <w:szCs w:val="19"/>
          <w:lang w:val="en"/>
        </w:rPr>
      </w:pPr>
      <w:r>
        <w:rPr>
          <w:rFonts w:eastAsia="Times New Roman" w:cs="Times New Roman" w:ascii="Times New Roman" w:hAnsi="Times New Roman"/>
          <w:b/>
          <w:color w:val="000000"/>
          <w:sz w:val="24"/>
          <w:szCs w:val="19"/>
          <w:lang w:val="en"/>
        </w:rPr>
      </w:r>
    </w:p>
    <w:p>
      <w:pPr>
        <w:pStyle w:val="Normal"/>
        <w:autoSpaceDE w:val="false"/>
        <w:spacing w:lineRule="auto" w:line="480" w:before="0" w:after="0"/>
        <w:rPr/>
      </w:pPr>
      <w:r>
        <w:rPr>
          <w:rFonts w:eastAsia="Times New Roman" w:cs="Times New Roman" w:ascii="Times New Roman" w:hAnsi="Times New Roman"/>
          <w:color w:val="000000"/>
          <w:sz w:val="24"/>
          <w:szCs w:val="19"/>
          <w:lang w:val="en"/>
        </w:rPr>
        <w:t>Patterns of health services utilization among patients infected with the human immunodeficiency virus (HIV) have been demonstrably altered by the introduction and widespread availability of combination antiretroviral therapy (cART) during the latter half of the 1990s.</w:t>
      </w:r>
      <w:r>
        <w:rPr>
          <w:rFonts w:eastAsia="Times New Roman" w:cs="Times New Roman" w:ascii="Times New Roman" w:hAnsi="Times New Roman"/>
          <w:color w:val="000000"/>
          <w:sz w:val="24"/>
          <w:szCs w:val="19"/>
          <w:vertAlign w:val="superscript"/>
          <w:lang w:val="en"/>
        </w:rPr>
        <w:t>1-5</w:t>
      </w:r>
      <w:r>
        <w:rPr>
          <w:rFonts w:eastAsia="Times New Roman" w:cs="Times New Roman" w:ascii="Times New Roman" w:hAnsi="Times New Roman"/>
          <w:color w:val="000000"/>
          <w:sz w:val="24"/>
          <w:szCs w:val="19"/>
          <w:lang w:val="en"/>
        </w:rPr>
        <w:t xml:space="preserve">  Most notably, large declines in the rates of hospitalization for HIV-associated opportunistic infections were observed in the years immediately following the adoption of cART as the standard of care for HIV.  However, more recent studies examining the utilization of inpatient services by persons living with HIV (PLWH) have described stabilizing or increasing rates of hospitalization, particularly among patients for whom the effects of HIV infection intersect with socially and structurally mediated barriers to care, such as women and ethnic minorities living with the disease.</w:t>
      </w:r>
      <w:r>
        <w:rPr>
          <w:rFonts w:eastAsia="Times New Roman" w:cs="Times New Roman" w:ascii="Times New Roman" w:hAnsi="Times New Roman"/>
          <w:color w:val="000000"/>
          <w:sz w:val="24"/>
          <w:szCs w:val="19"/>
          <w:vertAlign w:val="superscript"/>
          <w:lang w:val="en"/>
        </w:rPr>
        <w:t>6-10</w:t>
      </w:r>
      <w:r>
        <w:rPr>
          <w:rFonts w:eastAsia="Times New Roman" w:cs="Times New Roman" w:ascii="Times New Roman" w:hAnsi="Times New Roman"/>
          <w:color w:val="000000"/>
          <w:sz w:val="24"/>
          <w:szCs w:val="19"/>
          <w:lang w:val="en"/>
        </w:rPr>
        <w:t xml:space="preserve">  These data are especially salient for the evaluation of hospitalization trends among PLWH residing in the province of Ontario, where important changes in the demographic composition of this population have been observed over the preceding decade.  Specifically, </w:t>
      </w:r>
      <w:r>
        <w:rPr>
          <w:rFonts w:cs="Arial" w:ascii="Times New Roman" w:hAnsi="Times New Roman"/>
          <w:sz w:val="24"/>
        </w:rPr>
        <w:t>the proportion of diagnoses comprised by women has increased from less than 3% in the early years of the epidemic to 22% in 2008.</w:t>
      </w:r>
      <w:r>
        <w:rPr>
          <w:rFonts w:cs="Arial" w:ascii="Times New Roman" w:hAnsi="Times New Roman"/>
          <w:sz w:val="24"/>
          <w:vertAlign w:val="superscript"/>
        </w:rPr>
        <w:t>11</w:t>
      </w:r>
      <w:r>
        <w:rPr>
          <w:rFonts w:cs="Arial" w:ascii="Times New Roman" w:hAnsi="Times New Roman"/>
          <w:sz w:val="24"/>
        </w:rPr>
        <w:t xml:space="preserve">  Similarly, the prevalence of HIV among persons immigrating to Ontario from HIV-endemic countries has increased 62% since 2003</w:t>
      </w:r>
      <w:r>
        <w:rPr>
          <w:rFonts w:cs="Arial" w:ascii="Arial" w:hAnsi="Arial"/>
        </w:rPr>
        <w:t>.</w:t>
      </w:r>
      <w:r>
        <w:rPr>
          <w:rFonts w:cs="Arial" w:ascii="Times New Roman" w:hAnsi="Times New Roman"/>
          <w:sz w:val="24"/>
          <w:vertAlign w:val="superscript"/>
        </w:rPr>
        <w:t>11</w:t>
      </w:r>
      <w:r>
        <w:rPr>
          <w:rFonts w:cs="Arial" w:ascii="Arial" w:hAnsi="Arial"/>
        </w:rPr>
        <w:t xml:space="preserve">  </w:t>
      </w:r>
      <w:r>
        <w:rPr>
          <w:rFonts w:cs="Arial" w:ascii="Times New Roman" w:hAnsi="Times New Roman"/>
          <w:sz w:val="24"/>
        </w:rPr>
        <w:t>In this context of pronounced change in both the treatment and demography of HIV infection, accurate population-based estimates of health services utilization are required by clinicians, researchers, and policy makers who are involved in the provision, evaluation and funding of HIV-related care.</w:t>
      </w:r>
      <w:r>
        <w:rPr>
          <w:rFonts w:cs="Arial" w:ascii="Arial" w:hAnsi="Arial"/>
        </w:rPr>
        <w:t xml:space="preserve">   </w:t>
      </w:r>
      <w:r>
        <w:rPr>
          <w:rFonts w:cs="Arial" w:ascii="Times New Roman" w:hAnsi="Times New Roman"/>
          <w:sz w:val="24"/>
        </w:rPr>
        <w:t>However, these data are presently lacking for Ontario, home to over 40% of Canada’s population of PLWH and recipient of approximately half of all immigrants to Canada on an annual basis.</w:t>
      </w:r>
      <w:r>
        <w:rPr>
          <w:rFonts w:cs="Arial" w:ascii="Times New Roman" w:hAnsi="Times New Roman"/>
          <w:sz w:val="24"/>
          <w:vertAlign w:val="superscript"/>
        </w:rPr>
        <w:t>12</w:t>
      </w:r>
      <w:r>
        <w:rPr>
          <w:rFonts w:cs="Arial" w:ascii="Arial" w:hAnsi="Arial"/>
        </w:rPr>
        <w:t xml:space="preserve">  </w:t>
      </w:r>
    </w:p>
    <w:p>
      <w:pPr>
        <w:pStyle w:val="Normal"/>
        <w:autoSpaceDE w:val="false"/>
        <w:spacing w:lineRule="auto" w:line="480" w:before="0" w:after="0"/>
        <w:rPr>
          <w:rFonts w:ascii="Arial" w:hAnsi="Arial" w:cs="Arial"/>
        </w:rPr>
      </w:pPr>
      <w:r>
        <w:rPr>
          <w:rFonts w:cs="Arial" w:ascii="Arial" w:hAnsi="Arial"/>
        </w:rPr>
      </w:r>
    </w:p>
    <w:p>
      <w:pPr>
        <w:pStyle w:val="Normal"/>
        <w:autoSpaceDE w:val="false"/>
        <w:spacing w:lineRule="auto" w:line="480" w:before="0" w:after="0"/>
        <w:rPr>
          <w:rFonts w:ascii="Arial" w:hAnsi="Arial" w:cs="Arial"/>
        </w:rPr>
      </w:pPr>
      <w:r>
        <w:rPr>
          <w:rFonts w:cs="Arial" w:ascii="Times New Roman" w:hAnsi="Times New Roman"/>
          <w:sz w:val="24"/>
        </w:rPr>
        <w:t xml:space="preserve">Because hospitalization for HIV-related illness in the era of cART can be considered an indicator of inadequate community-based care, ongoing assessment of trends in inpatient service utilization is a necessary component of the evaluation of the quality of care for PLWH.  We therefore conducted a population-based study of the temporal trends in hospitalization rates among PLWH in the province of Ontario.  We hypothesized that, because of socially and structurally rooted challenges in accessing care among marginalized PLWH, rates of hospitalization in the modern era of cART (2002 to 2008) would be disproportionately higher among women, recent immigrants and PLWH living in low income neighborhoods.    </w:t>
      </w:r>
    </w:p>
    <w:p>
      <w:pPr>
        <w:pStyle w:val="Normal"/>
        <w:autoSpaceDE w:val="false"/>
        <w:spacing w:lineRule="auto" w:line="480" w:before="0" w:after="0"/>
        <w:rPr>
          <w:rFonts w:ascii="Arial" w:hAnsi="Arial" w:cs="Arial"/>
          <w:b/>
          <w:b/>
        </w:rPr>
      </w:pPr>
      <w:r>
        <w:rPr>
          <w:rFonts w:eastAsia="Arial" w:cs="Arial" w:ascii="Arial" w:hAnsi="Arial"/>
        </w:rPr>
        <w:t xml:space="preserve"> </w:t>
      </w:r>
    </w:p>
    <w:p>
      <w:pPr>
        <w:pStyle w:val="Normal"/>
        <w:spacing w:lineRule="auto" w:line="480"/>
        <w:rPr>
          <w:rFonts w:ascii="Times New Roman" w:hAnsi="Times New Roman" w:cs="Times New Roman"/>
          <w:b/>
          <w:b/>
          <w:sz w:val="24"/>
        </w:rPr>
      </w:pPr>
      <w:r>
        <w:rPr>
          <w:rFonts w:cs="Times New Roman" w:ascii="Times New Roman" w:hAnsi="Times New Roman"/>
          <w:b/>
          <w:sz w:val="24"/>
        </w:rPr>
        <w:t>Methods</w:t>
      </w:r>
    </w:p>
    <w:p>
      <w:pPr>
        <w:pStyle w:val="Normal"/>
        <w:spacing w:lineRule="auto" w:line="480"/>
        <w:rPr>
          <w:rFonts w:ascii="Times New Roman" w:hAnsi="Times New Roman" w:cs="Times New Roman"/>
          <w:sz w:val="24"/>
        </w:rPr>
      </w:pPr>
      <w:r>
        <w:rPr>
          <w:rFonts w:cs="Times New Roman" w:ascii="Times New Roman" w:hAnsi="Times New Roman"/>
          <w:sz w:val="24"/>
        </w:rPr>
        <w:t>Study Design</w:t>
      </w:r>
    </w:p>
    <w:p>
      <w:pPr>
        <w:pStyle w:val="Normal"/>
        <w:spacing w:lineRule="auto" w:line="480"/>
        <w:rPr>
          <w:rFonts w:ascii="Times New Roman" w:hAnsi="Times New Roman" w:cs="Times New Roman"/>
          <w:sz w:val="24"/>
        </w:rPr>
      </w:pPr>
      <w:r>
        <w:rPr>
          <w:rFonts w:cs="Times New Roman" w:ascii="Times New Roman" w:hAnsi="Times New Roman"/>
          <w:sz w:val="24"/>
        </w:rPr>
        <w:t>We used a validated case-finding algorithm derived from administrative data to identify all PLWH aged 18 years and older who were receiving care in the province of Ontario between April 1, 1992 and March 31, 2008.  The development and test characteristics of the algorithm have been described in detail elsewhere.</w:t>
      </w:r>
      <w:r>
        <w:rPr>
          <w:rFonts w:cs="Times New Roman" w:ascii="Times New Roman" w:hAnsi="Times New Roman"/>
          <w:sz w:val="24"/>
          <w:vertAlign w:val="superscript"/>
        </w:rPr>
        <w:t>13</w:t>
      </w:r>
      <w:r>
        <w:rPr>
          <w:rFonts w:cs="Times New Roman" w:ascii="Times New Roman" w:hAnsi="Times New Roman"/>
          <w:sz w:val="24"/>
        </w:rPr>
        <w:t xml:space="preserve">  Briefly, an algorithm of three physician claims with an International Classification of Diseases, Ninth Revision (ICD-9) code for HIV infection (042, 043, 044) within a three year period achieved a sensitivity and specificity of </w:t>
      </w:r>
      <w:r>
        <w:rPr>
          <w:rFonts w:cs="Times New Roman" w:ascii="Times New Roman" w:hAnsi="Times New Roman"/>
          <w:sz w:val="24"/>
          <w:szCs w:val="18"/>
          <w:lang w:val="en"/>
        </w:rPr>
        <w:t>96.2% (95% CI 95.2% - 97.9%) and 99.6% (95% CI 99.1% - 99.8%), respectively.</w:t>
      </w:r>
      <w:r>
        <w:rPr>
          <w:rFonts w:cs="Times New Roman" w:ascii="Times New Roman" w:hAnsi="Times New Roman"/>
          <w:color w:val="303030"/>
          <w:sz w:val="24"/>
          <w:szCs w:val="18"/>
          <w:lang w:val="en"/>
        </w:rPr>
        <w:t xml:space="preserve">  </w:t>
      </w:r>
      <w:r>
        <w:rPr>
          <w:rFonts w:cs="Times New Roman" w:ascii="Times New Roman" w:hAnsi="Times New Roman"/>
          <w:sz w:val="24"/>
        </w:rPr>
        <w:t>W</w:t>
      </w:r>
      <w:r>
        <w:rPr>
          <w:rFonts w:cs="Lucida Sans Unicode" w:ascii="Times New Roman" w:hAnsi="Times New Roman"/>
          <w:sz w:val="24"/>
          <w:lang w:val="en"/>
        </w:rPr>
        <w:t xml:space="preserve">e chose the end of the 2008 fiscal year for our analyses to meet the three-year ‘look forward’ criterion of the algorithm when assembling our cohort.  </w:t>
      </w:r>
      <w:r>
        <w:rPr>
          <w:rFonts w:cs="Times New Roman" w:ascii="Times New Roman" w:hAnsi="Times New Roman"/>
          <w:sz w:val="24"/>
        </w:rPr>
        <w:t>We then conducted a retrospective, population-based study using both ecologic and individual level analyses to examine temporal trends in the rates of hospitalization among this cohort.  Specifically, we used interrupted time series analysis to isolate and quantify the impact of the introduction of cART on hospitalization rates among PLWH in Ontario and methods of longitudinal data analysis to examine trends and predictors of hospitalization during the era of ‘modern cART’, defined as the period spanning April 1, 2002 to March 31, 2008.  We selected this period for the longitudinal analyses because it corresponds to important changes in the demographic composition of PLWH in Ontario and to the availability of antiretrovirals with enhanced potency and ease of administration relative to earlier iterations of these drugs.</w:t>
      </w:r>
      <w:r>
        <w:rPr>
          <w:rFonts w:cs="Times New Roman" w:ascii="Times New Roman" w:hAnsi="Times New Roman"/>
          <w:sz w:val="24"/>
          <w:vertAlign w:val="superscript"/>
        </w:rPr>
        <w:t>11,14</w:t>
      </w:r>
      <w:r>
        <w:rPr>
          <w:rFonts w:cs="Times New Roman" w:ascii="Times New Roman" w:hAnsi="Times New Roman"/>
          <w:sz w:val="24"/>
        </w:rPr>
        <w:t xml:space="preserve">  </w:t>
      </w:r>
    </w:p>
    <w:p>
      <w:pPr>
        <w:pStyle w:val="Normal"/>
        <w:spacing w:lineRule="auto" w:line="480"/>
        <w:rPr>
          <w:rFonts w:ascii="Times New Roman" w:hAnsi="Times New Roman" w:cs="Times New Roman"/>
          <w:sz w:val="24"/>
        </w:rPr>
      </w:pPr>
      <w:r>
        <w:rPr>
          <w:rFonts w:cs="Times New Roman" w:ascii="Times New Roman" w:hAnsi="Times New Roman"/>
          <w:sz w:val="24"/>
        </w:rPr>
        <w:t>Data Sources and Outcomes</w:t>
      </w:r>
    </w:p>
    <w:p>
      <w:pPr>
        <w:pStyle w:val="Normal"/>
        <w:spacing w:lineRule="auto" w:line="480"/>
        <w:rPr/>
      </w:pPr>
      <w:r>
        <w:rPr>
          <w:rFonts w:cs="Times New Roman" w:ascii="Times New Roman" w:hAnsi="Times New Roman"/>
          <w:sz w:val="24"/>
        </w:rPr>
        <w:t xml:space="preserve">We used the Canadian Institute for Health Information Discharge Abstract Database (CIHI-DAD) to determine the annual number of hospitalizations for each individual in our population-based cohort of PLWH. </w:t>
      </w:r>
      <w:r>
        <w:rPr>
          <w:rFonts w:cs="Times New Roman" w:ascii="Times New Roman" w:hAnsi="Times New Roman"/>
          <w:sz w:val="24"/>
          <w:szCs w:val="18"/>
          <w:lang w:val="en"/>
        </w:rPr>
        <w:t xml:space="preserve">The CIHI-DAD contains information abstracted from all acute care hospital separations (i.e. discharge, sign-out, transfer to different facility) in the province of Ontario </w:t>
      </w:r>
      <w:r>
        <w:rPr>
          <w:rFonts w:cs="Times New Roman" w:ascii="Times New Roman" w:hAnsi="Times New Roman"/>
          <w:sz w:val="24"/>
          <w:szCs w:val="20"/>
        </w:rPr>
        <w:t>by trained health information professionals</w:t>
      </w:r>
      <w:r>
        <w:rPr>
          <w:rFonts w:cs="Times New Roman" w:ascii="Times New Roman" w:hAnsi="Times New Roman"/>
          <w:sz w:val="24"/>
          <w:szCs w:val="20"/>
          <w:vertAlign w:val="superscript"/>
        </w:rPr>
        <w:t xml:space="preserve"> </w:t>
      </w:r>
      <w:r>
        <w:rPr>
          <w:rFonts w:cs="Times New Roman" w:ascii="Times New Roman" w:hAnsi="Times New Roman"/>
          <w:sz w:val="24"/>
          <w:szCs w:val="20"/>
        </w:rPr>
        <w:t>using standard diagnosis and procedure codes</w:t>
      </w:r>
      <w:r>
        <w:rPr>
          <w:rFonts w:cs="Times New Roman" w:ascii="Times New Roman" w:hAnsi="Times New Roman"/>
          <w:sz w:val="24"/>
          <w:szCs w:val="18"/>
          <w:lang w:val="en"/>
        </w:rPr>
        <w:t>, including the dates of admission and discharge from the hospital, the diagnosis representing the condition that is accountable for the greatest portion of the length of stay or greatest use of resources during the hospitalization (i.e. the most responsible diagnosis) and secondary diagnoses and/or complications contributing to the admission</w:t>
      </w:r>
      <w:r>
        <w:rPr>
          <w:rFonts w:cs="Times New Roman" w:ascii="Times New Roman" w:hAnsi="Times New Roman"/>
          <w:color w:val="303030"/>
          <w:sz w:val="24"/>
          <w:szCs w:val="18"/>
          <w:lang w:val="en"/>
        </w:rPr>
        <w:t>.</w:t>
      </w:r>
      <w:r>
        <w:rPr>
          <w:rFonts w:cs="Verdana" w:ascii="Verdana" w:hAnsi="Verdana"/>
          <w:color w:val="303030"/>
          <w:sz w:val="18"/>
          <w:szCs w:val="18"/>
          <w:lang w:val="en"/>
        </w:rPr>
        <w:t xml:space="preserve">  </w:t>
      </w:r>
      <w:r>
        <w:rPr>
          <w:rFonts w:cs="Times New Roman" w:ascii="Times New Roman" w:hAnsi="Times New Roman"/>
          <w:sz w:val="24"/>
        </w:rPr>
        <w:t>We calculated annual crude rates of total and HIV-related hospitalizations per 1000 population of PLWH aged 18 and over. HIV-related hospitalizations were defined as those admissions in which the most responsible diagnosis was coded as being attributable to HIV infection or an associated opportunistic infection using the relevant ICD-9 and 10</w:t>
      </w:r>
      <w:r>
        <w:rPr>
          <w:rFonts w:cs="Times New Roman" w:ascii="Times New Roman" w:hAnsi="Times New Roman"/>
          <w:sz w:val="24"/>
          <w:vertAlign w:val="superscript"/>
        </w:rPr>
        <w:t>th</w:t>
      </w:r>
      <w:r>
        <w:rPr>
          <w:rFonts w:cs="Times New Roman" w:ascii="Times New Roman" w:hAnsi="Times New Roman"/>
          <w:sz w:val="24"/>
        </w:rPr>
        <w:t xml:space="preserve"> revision codes (ICD-10).  We excluded obstetrical admissions and elective surgeries from our calculation of hospitalization rates.  </w:t>
      </w:r>
    </w:p>
    <w:p>
      <w:pPr>
        <w:pStyle w:val="Normal"/>
        <w:autoSpaceDE w:val="false"/>
        <w:spacing w:lineRule="auto" w:line="480" w:before="0" w:after="0"/>
        <w:rPr/>
      </w:pPr>
      <w:r>
        <w:rPr>
          <w:rFonts w:cs="Times New Roman" w:ascii="Times New Roman" w:hAnsi="Times New Roman"/>
          <w:sz w:val="24"/>
        </w:rPr>
        <w:t xml:space="preserve">We used the Ontario Registered Persons Database, a registry of all residents eligible for provincial health insurance, to identify individual demographic information such as age, sex, date of OHIP eligibility, and postal code.  We determined patient SES at the neighborhood level for each year of follow-up using postal code information and Statistics Canada census data. We defined recent immigrants as all adults who were first issued an OHIP card within three years of becoming a prevalent member of our cohort.  The use of </w:t>
      </w:r>
      <w:r>
        <w:rPr>
          <w:rFonts w:eastAsia="Times New Roman" w:cs="Quadraat-Regular" w:ascii="Times New Roman" w:hAnsi="Times New Roman"/>
          <w:sz w:val="24"/>
          <w:szCs w:val="20"/>
        </w:rPr>
        <w:t>date of issue of an OHIP card has been used as a proxy for the date of arriving in Ontario in other studies.</w:t>
      </w:r>
      <w:r>
        <w:rPr>
          <w:rFonts w:eastAsia="Times New Roman" w:cs="Quadraat-Regular" w:ascii="Times New Roman" w:hAnsi="Times New Roman"/>
          <w:sz w:val="24"/>
          <w:szCs w:val="20"/>
          <w:vertAlign w:val="superscript"/>
        </w:rPr>
        <w:t>15</w:t>
      </w:r>
      <w:r>
        <w:rPr>
          <w:rFonts w:eastAsia="Times New Roman" w:cs="Quadraat-Regular" w:ascii="Quadraat-Regular" w:hAnsi="Quadraat-Regular"/>
          <w:sz w:val="20"/>
          <w:szCs w:val="20"/>
        </w:rPr>
        <w:t xml:space="preserve">   </w:t>
      </w:r>
    </w:p>
    <w:p>
      <w:pPr>
        <w:pStyle w:val="Normal"/>
        <w:autoSpaceDE w:val="false"/>
        <w:spacing w:lineRule="auto" w:line="480" w:before="0" w:after="0"/>
        <w:rPr>
          <w:rFonts w:ascii="Quadraat-Regular" w:hAnsi="Quadraat-Regular" w:eastAsia="Times New Roman" w:cs="Quadraat-Regular"/>
          <w:sz w:val="20"/>
          <w:szCs w:val="20"/>
        </w:rPr>
      </w:pPr>
      <w:r>
        <w:rPr>
          <w:rFonts w:eastAsia="Times New Roman" w:cs="Quadraat-Regular" w:ascii="Quadraat-Regular" w:hAnsi="Quadraat-Regular"/>
          <w:sz w:val="20"/>
          <w:szCs w:val="20"/>
        </w:rPr>
      </w:r>
    </w:p>
    <w:p>
      <w:pPr>
        <w:pStyle w:val="Normal"/>
        <w:spacing w:lineRule="auto" w:line="480"/>
        <w:rPr>
          <w:rFonts w:ascii="Times New Roman" w:hAnsi="Times New Roman" w:cs="Times New Roman"/>
          <w:sz w:val="24"/>
        </w:rPr>
      </w:pPr>
      <w:r>
        <w:rPr>
          <w:rFonts w:cs="Times New Roman" w:ascii="Times New Roman" w:hAnsi="Times New Roman"/>
          <w:sz w:val="24"/>
        </w:rPr>
        <w:t>Statistical analyses</w:t>
      </w:r>
    </w:p>
    <w:p>
      <w:pPr>
        <w:pStyle w:val="Normal"/>
        <w:spacing w:lineRule="auto" w:line="480"/>
        <w:rPr/>
      </w:pPr>
      <w:r>
        <w:rPr>
          <w:rFonts w:cs="Times New Roman" w:ascii="Times New Roman" w:hAnsi="Times New Roman"/>
          <w:sz w:val="24"/>
        </w:rPr>
        <w:t>In order to examine the impact of cART on hospitalization rates during the period spanning 1992 to 2008, we conducted an interrupted time series analysis using autoregressive integrated moving average (ARIMA) models with an indicator variable for the fiscal year 1996/1997, corresponding to the first full year that cART was widely available in Ontario.</w:t>
      </w:r>
      <w:r>
        <w:rPr>
          <w:rFonts w:cs="Times New Roman" w:ascii="Times New Roman" w:hAnsi="Times New Roman"/>
          <w:sz w:val="24"/>
          <w:vertAlign w:val="superscript"/>
        </w:rPr>
        <w:t>16,17</w:t>
      </w:r>
      <w:r>
        <w:rPr>
          <w:rFonts w:cs="Times New Roman" w:ascii="Times New Roman" w:hAnsi="Times New Roman"/>
          <w:sz w:val="24"/>
        </w:rPr>
        <w:t xml:space="preserve">  We performed subgroup analyses to determine if the impact of cART on both total and HIV-related hospitalization rates varied according to sex and SES, and used the Ljung-Box </w:t>
      </w:r>
      <w:r>
        <w:rPr>
          <w:rFonts w:cs="Arial" w:ascii="Times New Roman" w:hAnsi="Times New Roman"/>
          <w:color w:val="212121"/>
          <w:sz w:val="24"/>
          <w:szCs w:val="23"/>
        </w:rPr>
        <w:t>χ</w:t>
      </w:r>
      <w:r>
        <w:rPr>
          <w:rFonts w:cs="Arial" w:ascii="Times New Roman" w:hAnsi="Times New Roman"/>
          <w:color w:val="212121"/>
          <w:sz w:val="24"/>
          <w:szCs w:val="23"/>
          <w:vertAlign w:val="superscript"/>
        </w:rPr>
        <w:t xml:space="preserve">2 </w:t>
      </w:r>
      <w:r>
        <w:rPr>
          <w:rFonts w:cs="Arial" w:ascii="Times New Roman" w:hAnsi="Times New Roman"/>
          <w:color w:val="212121"/>
          <w:sz w:val="24"/>
          <w:szCs w:val="23"/>
        </w:rPr>
        <w:t>statistic</w:t>
      </w:r>
      <w:r>
        <w:rPr>
          <w:rFonts w:cs="Times New Roman" w:ascii="Times New Roman" w:hAnsi="Times New Roman"/>
          <w:sz w:val="24"/>
        </w:rPr>
        <w:t xml:space="preserve"> to examine autocorrelation of the model residuals.</w:t>
      </w:r>
      <w:r>
        <w:rPr>
          <w:rFonts w:cs="Times New Roman" w:ascii="Times New Roman" w:hAnsi="Times New Roman"/>
          <w:sz w:val="24"/>
          <w:vertAlign w:val="superscript"/>
        </w:rPr>
        <w:t>18</w:t>
      </w:r>
      <w:r>
        <w:rPr>
          <w:rFonts w:cs="Times New Roman" w:ascii="Times New Roman" w:hAnsi="Times New Roman"/>
          <w:sz w:val="24"/>
        </w:rPr>
        <w:t xml:space="preserve">  </w:t>
      </w:r>
    </w:p>
    <w:p>
      <w:pPr>
        <w:pStyle w:val="Normal"/>
        <w:spacing w:lineRule="auto" w:line="480"/>
        <w:rPr/>
      </w:pPr>
      <w:r>
        <w:rPr>
          <w:rFonts w:cs="Times New Roman" w:ascii="Times New Roman" w:hAnsi="Times New Roman"/>
          <w:sz w:val="24"/>
        </w:rPr>
        <w:t>For the longitudinal analyses, we evaluated temporal trends in the rates of hospitalization during the years 2002 to 2008 using multivariable generalized estimating equation (GEE) models with a log link function and autoregressive correlation structure.</w:t>
      </w:r>
      <w:r>
        <w:rPr>
          <w:rFonts w:cs="Times New Roman" w:ascii="Times New Roman" w:hAnsi="Times New Roman"/>
          <w:sz w:val="24"/>
          <w:vertAlign w:val="superscript"/>
        </w:rPr>
        <w:t>19</w:t>
      </w:r>
      <w:r>
        <w:rPr>
          <w:rFonts w:cs="Times New Roman" w:ascii="Times New Roman" w:hAnsi="Times New Roman"/>
          <w:sz w:val="24"/>
        </w:rPr>
        <w:t xml:space="preserve">   Because GEE is not a likelihood based method, we used the quasilikelihood under the independence model information criterion measure (QIC and QICu) to ascertain both the appropriateness of the autoregressive correlation structure relative to other working correlation matrices and to assess the fit of our regression models.</w:t>
      </w:r>
      <w:r>
        <w:rPr>
          <w:rFonts w:cs="Times New Roman" w:ascii="Times New Roman" w:hAnsi="Times New Roman"/>
          <w:sz w:val="24"/>
          <w:vertAlign w:val="superscript"/>
        </w:rPr>
        <w:t>20</w:t>
      </w:r>
      <w:r>
        <w:rPr>
          <w:rFonts w:cs="Times New Roman" w:ascii="Times New Roman" w:hAnsi="Times New Roman"/>
          <w:sz w:val="24"/>
        </w:rPr>
        <w:t xml:space="preserve">  We also evaluated the data for overdispersion by comparing the Poisson and negative binomial distributions.  </w:t>
      </w:r>
    </w:p>
    <w:p>
      <w:pPr>
        <w:pStyle w:val="Normal"/>
        <w:spacing w:lineRule="auto" w:line="480"/>
        <w:rPr/>
      </w:pPr>
      <w:r>
        <w:rPr>
          <w:rFonts w:cs="Times New Roman" w:ascii="Times New Roman" w:hAnsi="Times New Roman"/>
          <w:sz w:val="24"/>
        </w:rPr>
        <w:t>We conducted separate analyses for total hospitalization rates and rates of HIV-related hospitalizations. All multivariable analyses included fiscal year as the main predictor, along with variables for sex, immigrant status and income quintile group (low vs. high), because of our a priori hypotheses that differences in access to care may contribute to an increased rate of hospitalizations among these groups.  We estimated adjusted relative rates (aRR) from the model using calendar year as both a continuous variable and as a categorical variable.  In the former case, trends are reported as percentages per year, while in the latter, aRRs were used to compare annual changes in the rate of hospitalization relative to the reference year of 2002.  We considered additional variables as confounders based on a plausible association with our outcomes of interest and if they changed the estimate for fiscal year by at least 10%.</w:t>
      </w:r>
      <w:r>
        <w:rPr>
          <w:rFonts w:cs="Times New Roman" w:ascii="Times New Roman" w:hAnsi="Times New Roman"/>
          <w:sz w:val="24"/>
          <w:vertAlign w:val="superscript"/>
        </w:rPr>
        <w:t>21</w:t>
      </w:r>
      <w:r>
        <w:rPr>
          <w:rFonts w:cs="Times New Roman" w:ascii="Times New Roman" w:hAnsi="Times New Roman"/>
          <w:sz w:val="24"/>
        </w:rPr>
        <w:t xml:space="preserve">  Variables meeting this criterion included patient age, annual number of physician visits, geographic residence (urban versus rural), years with HIV infection and level of co-morbidity.  We used the Johns Hopkins Adjusted Clinical Group case-mix assignment software (Sun Microsystems Inc., Santa Clara, CA) to determine the level of comorbidity for each patient based on diagnostic codes listed in hospitalization records and physicians’ services claims from each year during the study period.  This methodology is described in detail elsewhere.</w:t>
      </w:r>
      <w:r>
        <w:rPr>
          <w:rFonts w:cs="Times New Roman" w:ascii="Times New Roman" w:hAnsi="Times New Roman"/>
          <w:sz w:val="24"/>
          <w:vertAlign w:val="superscript"/>
        </w:rPr>
        <w:t>22</w:t>
      </w:r>
      <w:r>
        <w:rPr>
          <w:rFonts w:cs="Times New Roman" w:ascii="Times New Roman" w:hAnsi="Times New Roman"/>
          <w:sz w:val="24"/>
        </w:rPr>
        <w:t xml:space="preserve">  We assessed the potential for collinearity between covariates using a threshold tolerance of &gt; 0.4 and a variance inflation of &lt; 2.5.  We also examined interactions between sex, SES and immigrant status with year in separate models.  We included interaction terms in the final model if they were statistically significant and if their inclusion improved the goodness-of-fit of the model by at least 10%.  </w:t>
      </w:r>
    </w:p>
    <w:p>
      <w:pPr>
        <w:pStyle w:val="Normal"/>
        <w:spacing w:lineRule="auto" w:line="480"/>
        <w:rPr>
          <w:rFonts w:ascii="Times New Roman" w:hAnsi="Times New Roman" w:cs="Times New Roman"/>
          <w:sz w:val="24"/>
        </w:rPr>
      </w:pPr>
      <w:r>
        <w:rPr>
          <w:rFonts w:cs="Times New Roman" w:ascii="Times New Roman" w:hAnsi="Times New Roman"/>
          <w:sz w:val="24"/>
        </w:rPr>
        <w:t xml:space="preserve">All statistical analyses were conducted using SAS statistical software, version 9.2 (SAS Institute Inc., Cary, NC).  </w:t>
      </w:r>
    </w:p>
    <w:p>
      <w:pPr>
        <w:pStyle w:val="Normal"/>
        <w:spacing w:lineRule="auto" w:line="480"/>
        <w:rPr>
          <w:rFonts w:ascii="Times New Roman" w:hAnsi="Times New Roman" w:cs="TimesNewRomanPSMT;Times New Roman"/>
          <w:sz w:val="24"/>
          <w:szCs w:val="24"/>
        </w:rPr>
      </w:pPr>
      <w:r>
        <w:rPr>
          <w:rFonts w:cs="TimesNewRomanPSMT;Times New Roman" w:ascii="Times New Roman" w:hAnsi="Times New Roman"/>
          <w:sz w:val="24"/>
          <w:szCs w:val="24"/>
        </w:rPr>
        <w:t>Ethics approval</w:t>
      </w:r>
    </w:p>
    <w:p>
      <w:pPr>
        <w:pStyle w:val="Normal"/>
        <w:spacing w:lineRule="auto" w:line="480"/>
        <w:rPr>
          <w:rFonts w:ascii="Times New Roman" w:hAnsi="Times New Roman" w:cs="TimesNewRomanPSMT;Times New Roman"/>
          <w:sz w:val="24"/>
          <w:szCs w:val="24"/>
        </w:rPr>
      </w:pPr>
      <w:r>
        <w:rPr>
          <w:rFonts w:cs="TimesNewRomanPSMT;Times New Roman" w:ascii="Times New Roman" w:hAnsi="Times New Roman"/>
          <w:sz w:val="24"/>
          <w:szCs w:val="24"/>
        </w:rPr>
        <w:t>We obtained ethics approval for this study from the Research Ethics Board of Sunnybrook Health Sciences Centre and the Ethics Review Committee of the University of Toronto.</w:t>
      </w:r>
    </w:p>
    <w:p>
      <w:pPr>
        <w:pStyle w:val="Normal"/>
        <w:spacing w:lineRule="auto" w:line="480"/>
        <w:rPr>
          <w:rFonts w:ascii="Times New Roman" w:hAnsi="Times New Roman" w:cs="TimesNewRomanPSMT;Times New Roman"/>
          <w:b/>
          <w:b/>
          <w:sz w:val="24"/>
          <w:szCs w:val="24"/>
        </w:rPr>
      </w:pPr>
      <w:r>
        <w:rPr>
          <w:rFonts w:cs="TimesNewRomanPSMT;Times New Roman" w:ascii="Times New Roman" w:hAnsi="Times New Roman"/>
          <w:b/>
          <w:sz w:val="24"/>
          <w:szCs w:val="24"/>
        </w:rPr>
        <w:t>Results</w:t>
      </w:r>
    </w:p>
    <w:p>
      <w:pPr>
        <w:pStyle w:val="Normal"/>
        <w:spacing w:lineRule="auto" w:line="480"/>
        <w:rPr>
          <w:rFonts w:ascii="Times New Roman" w:hAnsi="Times New Roman" w:cs="Times New Roman"/>
          <w:sz w:val="24"/>
        </w:rPr>
      </w:pPr>
      <w:r>
        <w:rPr>
          <w:rFonts w:cs="Times New Roman" w:ascii="Times New Roman" w:hAnsi="Times New Roman"/>
          <w:sz w:val="24"/>
        </w:rPr>
        <w:t>Ecologic analyses</w:t>
      </w:r>
    </w:p>
    <w:p>
      <w:pPr>
        <w:pStyle w:val="Normal"/>
        <w:spacing w:lineRule="auto" w:line="480"/>
        <w:rPr>
          <w:rFonts w:ascii="Times New Roman" w:hAnsi="Times New Roman" w:cs="Times New Roman"/>
          <w:sz w:val="24"/>
          <w:szCs w:val="24"/>
        </w:rPr>
      </w:pPr>
      <w:r>
        <w:rPr>
          <w:rFonts w:cs="Times New Roman" w:ascii="Times New Roman" w:hAnsi="Times New Roman"/>
          <w:sz w:val="24"/>
        </w:rPr>
        <w:t xml:space="preserve">The sex- and SES-stratified temporal trends in both total and HIV-related hospitalization rates between 1992 and 2008 are shown in Figures 1 and 2.  Over the sixteen year study period, crude annual rates of total and HIV-related hospitalizations decreased from 388.6 to 112.4 per 1000 PLWH and 247.0 to 29.6 per 1000 PLWH, respectively.  As expected, the introduction of cART was associated with significant reductions in rates of both </w:t>
      </w:r>
      <w:r>
        <w:rPr>
          <w:rFonts w:cs="Times New Roman" w:ascii="Times New Roman" w:hAnsi="Times New Roman"/>
          <w:sz w:val="24"/>
          <w:szCs w:val="24"/>
        </w:rPr>
        <w:t>total [- 87.9 per 1000 PLWH; 95% confidence intervals (CI): - 78.9 to - 96.8 per 1000 PLWH; p &lt; 0.001] and HIV-related hospitalizations [- 57.2 per 1000 PLWH; 95% CI: - 51.9 to - 62.5 per 1000 PLWH; p &lt; 0.001).  In sub-group analyses, significant reductions in hospitalization rates were associated with the introduction of cART for both men and women living with HIV, as well as PLWH living in both high and low income neighborhoods.  However, the impact of cART was more pronounced among men relative to women for both total (-94.8 vs. -63.3 per 1000 PLWH; p = 0.002) and HIV-related hospitalizations (- 59.5 vs. - 37.1 per 1000 PLWH; p = 0.0002).</w:t>
      </w:r>
      <w:r>
        <w:rPr/>
        <w:t xml:space="preserve">  </w:t>
      </w:r>
      <w:r>
        <w:rPr>
          <w:rFonts w:cs="Times New Roman" w:ascii="Times New Roman" w:hAnsi="Times New Roman"/>
          <w:sz w:val="24"/>
          <w:szCs w:val="24"/>
        </w:rPr>
        <w:t>In contrast, no difference in the immediate impact of cART on total (-97.2 vs. -81.5 per 1000 PLWH; p = 0.09) or HIV-related hospitalization (-61.4 vs. -54.9 per 1000 PLWH; p = 0.06) rates was observed in low relative to high SES patients.</w:t>
      </w:r>
    </w:p>
    <w:p>
      <w:pPr>
        <w:pStyle w:val="Normal"/>
        <w:spacing w:lineRule="auto" w:line="480"/>
        <w:rPr>
          <w:rFonts w:ascii="Times New Roman" w:hAnsi="Times New Roman" w:cs="Times New Roman"/>
          <w:sz w:val="24"/>
        </w:rPr>
      </w:pPr>
      <w:r>
        <w:rPr>
          <w:rFonts w:cs="Times New Roman" w:ascii="Times New Roman" w:hAnsi="Times New Roman"/>
          <w:sz w:val="24"/>
        </w:rPr>
        <w:t>Multivariable Analysis of Hospitalization Trends</w:t>
      </w:r>
    </w:p>
    <w:p>
      <w:pPr>
        <w:pStyle w:val="Normal"/>
        <w:spacing w:lineRule="auto" w:line="480"/>
        <w:rPr>
          <w:rFonts w:ascii="Times New Roman" w:hAnsi="Times New Roman" w:cs="Times New Roman"/>
          <w:sz w:val="24"/>
        </w:rPr>
      </w:pPr>
      <w:r>
        <w:rPr>
          <w:rFonts w:cs="Times New Roman" w:ascii="Times New Roman" w:hAnsi="Times New Roman"/>
          <w:sz w:val="24"/>
        </w:rPr>
        <w:t xml:space="preserve">The demographic characteristics of the population of PLWH living in Ontario during the years 2002 to 2008 are presented in Table 1.  For each year, most patients were male, lived in Ontario’s large urban centres and were between the ages of 36 and 50 years old.  The proportion of PLWH that were women increased from 17.0% in 2002 to 20.0% in 2008.  Similarly, the numbers of individuals aged 50 and older increased longitudinally, accounting for 16.3% of PLWH in 2002 and 25.4% in 2008.  </w:t>
      </w:r>
    </w:p>
    <w:p>
      <w:pPr>
        <w:pStyle w:val="Normal"/>
        <w:spacing w:lineRule="auto" w:line="480"/>
        <w:rPr>
          <w:rFonts w:ascii="Times New Roman" w:hAnsi="Times New Roman" w:cs="Times New Roman"/>
          <w:sz w:val="24"/>
        </w:rPr>
      </w:pPr>
      <w:r>
        <w:rPr>
          <w:rFonts w:cs="Times New Roman" w:ascii="Times New Roman" w:hAnsi="Times New Roman"/>
          <w:sz w:val="24"/>
        </w:rPr>
        <w:t xml:space="preserve">Crude and adjusted rates of total hospitalization among PLWH in Ontario decreased 2.7% (95% CI: 1.3% to 4.1%) and 2.3% (95% CI: 0.8% to 3.8%) per annum between the years 2002 and 2008. Over the six year study period, adjusted rates of total hospitalization were higher among women relative to men (aRR 1.13; 95% CI: 1.02 to 1.24) and PLWH living in low versus high income neighborhoods (aRR 1.22; 95% CI: 1.14 to 1.30).  In contrast, recent immigrant status was associated with reduced rates of total hospitalization (aRR 0.70; 95% CI: 0.61 to 0.80) (Table 2).   </w:t>
      </w:r>
    </w:p>
    <w:p>
      <w:pPr>
        <w:pStyle w:val="Normal"/>
        <w:spacing w:lineRule="auto" w:line="480"/>
        <w:rPr/>
      </w:pPr>
      <w:r>
        <w:rPr>
          <w:rFonts w:cs="Times New Roman" w:ascii="Times New Roman" w:hAnsi="Times New Roman"/>
          <w:sz w:val="24"/>
        </w:rPr>
        <w:t xml:space="preserve">Crude and adjusted rates of HIV-related hospitalizations remained relatively stable among PLWH in Ontario between 2002 and 2008, changing by - 0.8% (95% CI: -3.2% to 1.7%) and + 1.4% (95% CI: - 1.2% to + 4.1%) per annum, respectively.  In contrast to total hospitalizations, an association with gender was not evident for this outcome. However, significant associations between HIV-related hospitalizations and both low SES and immigration status were observed (Table 2).  </w:t>
      </w:r>
    </w:p>
    <w:p>
      <w:pPr>
        <w:pStyle w:val="Normal"/>
        <w:spacing w:lineRule="auto" w:line="480"/>
        <w:rPr>
          <w:rFonts w:ascii="Times New Roman" w:hAnsi="Times New Roman" w:cs="Times New Roman"/>
          <w:b/>
          <w:b/>
          <w:sz w:val="24"/>
        </w:rPr>
      </w:pPr>
      <w:r>
        <w:rPr>
          <w:rFonts w:cs="Times New Roman" w:ascii="Times New Roman" w:hAnsi="Times New Roman"/>
          <w:b/>
          <w:sz w:val="24"/>
        </w:rPr>
        <w:t>Interpretation</w:t>
      </w:r>
    </w:p>
    <w:p>
      <w:pPr>
        <w:pStyle w:val="Normal"/>
        <w:spacing w:lineRule="auto" w:line="480"/>
        <w:rPr/>
      </w:pPr>
      <w:r>
        <w:rPr>
          <w:rFonts w:cs="Times New Roman" w:ascii="Times New Roman" w:hAnsi="Times New Roman"/>
          <w:sz w:val="24"/>
        </w:rPr>
        <w:t xml:space="preserve">In our population-based study, we observed a striking reduction in the rates of total and HIV-related hospitalizations associated with the availability of cART between the years 1992 and 2008.  Although these benefits were observed in all sub-groups examined, the effect of cART was attenuated among women relative to men.  In the modern era of cART, sustained reductions in the rates of total hospitalization among PLWH were observed, while rates of HIV-related hospitalizations rates remained relatively unchanged during this six year period of follow-up.  However, because numbers of HIV-related hospitalizations were relatively low, we cannot discount the possibility of a type II error when analyzing temporal trends in this outcome.  We also identified several disparities in the risk of hospitalization among PLWH in Ontario following multivariable adjustment for sociodemographic variables, level of co-morbidity and annual number of outpatient physician visits.  Specifically, female sex and low SES were significantly associated with higher rates of total hospitalization, with the latter variable also being associated with a heightened risk of HIV-related hospitalization.  In contrast to our initial hypothesis, recent immigrants were less likely to be hospitalized in the era of modern cART relative to the reference population of PLWH in Ontario.  </w:t>
      </w:r>
    </w:p>
    <w:p>
      <w:pPr>
        <w:pStyle w:val="Normal"/>
        <w:spacing w:lineRule="auto" w:line="480"/>
        <w:rPr>
          <w:rFonts w:ascii="Times New Roman" w:hAnsi="Times New Roman" w:cs="Times New Roman"/>
          <w:sz w:val="24"/>
        </w:rPr>
      </w:pPr>
      <w:r>
        <w:rPr>
          <w:rFonts w:cs="Times New Roman" w:ascii="Times New Roman" w:hAnsi="Times New Roman"/>
          <w:sz w:val="24"/>
        </w:rPr>
        <w:t>Our findings of decreasing rates of hospitalization among PLWH in the era of modern cART are similar to previous studies which have analyzed these trends in other regions.</w:t>
      </w:r>
      <w:r>
        <w:rPr>
          <w:rFonts w:cs="Times New Roman" w:ascii="Times New Roman" w:hAnsi="Times New Roman"/>
          <w:sz w:val="24"/>
          <w:vertAlign w:val="superscript"/>
        </w:rPr>
        <w:t>10</w:t>
      </w:r>
      <w:r>
        <w:rPr>
          <w:rFonts w:cs="Times New Roman" w:ascii="Times New Roman" w:hAnsi="Times New Roman"/>
          <w:sz w:val="24"/>
        </w:rPr>
        <w:t xml:space="preserve">  In addition, our work corroborates previous investigations highlighting inequity in hospitalization rates among certain groups, most notably, women.</w:t>
      </w:r>
      <w:r>
        <w:rPr>
          <w:rFonts w:cs="Times New Roman" w:ascii="Times New Roman" w:hAnsi="Times New Roman"/>
          <w:sz w:val="24"/>
          <w:vertAlign w:val="superscript"/>
        </w:rPr>
        <w:t>8,10</w:t>
      </w:r>
      <w:r>
        <w:rPr>
          <w:rFonts w:cs="Times New Roman" w:ascii="Times New Roman" w:hAnsi="Times New Roman"/>
          <w:sz w:val="24"/>
        </w:rPr>
        <w:t xml:space="preserve">  However, unlike other settings, our study was conducted within a context of universal coverage for all medically necessary physician, laboratory and inpatient services.  Consequently, varying rates of hospitalization according to gender, SES or immigration status should not be </w:t>
      </w:r>
      <w:r>
        <w:rPr>
          <w:rFonts w:cs="Times New Roman" w:ascii="Times New Roman" w:hAnsi="Times New Roman"/>
          <w:sz w:val="24"/>
          <w:szCs w:val="24"/>
        </w:rPr>
        <w:t>confounded by health insurance status,</w:t>
      </w:r>
      <w:r>
        <w:rPr>
          <w:rFonts w:cs="Times New Roman" w:ascii="Times New Roman" w:hAnsi="Times New Roman"/>
          <w:sz w:val="24"/>
        </w:rPr>
        <w:t xml:space="preserve"> thereby implying a role for other biological, social or structural factors in contributing to these disparities.  While the underlying basis of the observed differences cannot be discerned directly from our administrative databases, several explanations are possible.  With respect to women living with HIV, a comprehensive body of literature exists describing various barriers impeding access to regular HIV-related care, including lack of transportation, depression, a history of physical and/or sexual abuse and the responsibility of caring for children and other family members who may be living with the virus.</w:t>
      </w:r>
      <w:r>
        <w:rPr>
          <w:rFonts w:cs="Times New Roman" w:ascii="Times New Roman" w:hAnsi="Times New Roman"/>
          <w:sz w:val="24"/>
          <w:vertAlign w:val="superscript"/>
        </w:rPr>
        <w:t>23-25</w:t>
      </w:r>
      <w:r>
        <w:rPr>
          <w:rFonts w:cs="Times New Roman" w:ascii="Times New Roman" w:hAnsi="Times New Roman"/>
          <w:sz w:val="24"/>
        </w:rPr>
        <w:t xml:space="preserve">  In addition, compared with men, women living with HIV have been noted to be more likely to delay initiating cART and less likely overall to begin treatment.</w:t>
      </w:r>
      <w:r>
        <w:rPr>
          <w:rFonts w:cs="Times New Roman" w:ascii="Times New Roman" w:hAnsi="Times New Roman"/>
          <w:sz w:val="24"/>
          <w:vertAlign w:val="superscript"/>
        </w:rPr>
        <w:t>26,27</w:t>
      </w:r>
      <w:r>
        <w:rPr>
          <w:rFonts w:cs="Times New Roman" w:ascii="Times New Roman" w:hAnsi="Times New Roman"/>
          <w:sz w:val="24"/>
        </w:rPr>
        <w:t xml:space="preserve">  Furthermore, several antiretroviral toxicities are noted to occur at greater frequency among women relative to men, including severe hypersensitivity reactions and lipodystrophy.</w:t>
      </w:r>
      <w:r>
        <w:rPr>
          <w:rFonts w:cs="Times New Roman" w:ascii="Times New Roman" w:hAnsi="Times New Roman"/>
          <w:sz w:val="24"/>
          <w:vertAlign w:val="superscript"/>
        </w:rPr>
        <w:t>28-30</w:t>
      </w:r>
      <w:r>
        <w:rPr>
          <w:rFonts w:cs="Times New Roman" w:ascii="Times New Roman" w:hAnsi="Times New Roman"/>
          <w:sz w:val="24"/>
        </w:rPr>
        <w:t xml:space="preserve">  As a result, women may be more likely to discontinue cART when compared with men.  While individuals living in low income neighborhoods undoubtedly share some of the obstacles to care faced by women, other structurally mediated inequities are important determinants of health among these patients.  Specifically, instability with respect to housing status and food security have been both documented to undermine adherence to antiretroviral therapy and contribute to poor outcomes among PLWH.</w:t>
      </w:r>
      <w:r>
        <w:rPr>
          <w:rFonts w:cs="Times New Roman" w:ascii="Times New Roman" w:hAnsi="Times New Roman"/>
          <w:sz w:val="24"/>
          <w:vertAlign w:val="superscript"/>
        </w:rPr>
        <w:t>31-34</w:t>
      </w:r>
      <w:r>
        <w:rPr>
          <w:rFonts w:cs="Times New Roman" w:ascii="Times New Roman" w:hAnsi="Times New Roman"/>
          <w:sz w:val="24"/>
        </w:rPr>
        <w:t xml:space="preserve">  Furthermore, despite the availability of various programs intended to mitigate the expense of cART for PLWH in Ontario who lack alternative sources of drug coverage, individuals who do not qualify for provincially-funded social assistance must assume a share of the cost of their treatment in the form of a co-payment that may be prohibitive when evaluated against competing demands for food and housing.  Finally, reduced hospitalization rates among recent immigrants may be partially attributable to a health immigrant effect and/or policy changes in 2002 mandating HIV-antibody testing of all prospective applicants to Canada, thereby prompting these patients to seek care.  </w:t>
      </w:r>
    </w:p>
    <w:p>
      <w:pPr>
        <w:pStyle w:val="Normal"/>
        <w:spacing w:lineRule="auto" w:line="480"/>
        <w:rPr/>
      </w:pPr>
      <w:r>
        <w:rPr>
          <w:rFonts w:cs="Times New Roman" w:ascii="Times New Roman" w:hAnsi="Times New Roman"/>
          <w:sz w:val="24"/>
        </w:rPr>
        <w:t xml:space="preserve">Several strengths and limitations of our work merit emphasis.   First, our study is truly population-based in nature, and therefore representative of all HIV-infected patients receiving care in the province of Ontario over the sixteen year study period.  In addition, </w:t>
      </w:r>
      <w:r>
        <w:rPr>
          <w:rFonts w:cs="Times New Roman" w:ascii="Times New Roman" w:hAnsi="Times New Roman"/>
          <w:sz w:val="24"/>
          <w:szCs w:val="24"/>
        </w:rPr>
        <w:t>because we used administrative data, we were able to evaluate temporal trends and disparities in hospitalization rates among PLWH while considering variation in place of residence, outpatient health care utilization and extent of co-morbidity, important covariates that have not been traditionally considered in the study of this phenomenon.  Nonetheless, our administrative databases are limited by their lack of clinical information, thereby precluding us from examining the role of variables such as stage of illness and adherence to cART in accounting for the observed disparities.  However, this limitation is common among studies using administrative data for the conduct of health services research.</w:t>
      </w:r>
      <w:r>
        <w:rPr>
          <w:rFonts w:cs="Times New Roman" w:ascii="Times New Roman" w:hAnsi="Times New Roman"/>
          <w:sz w:val="24"/>
          <w:szCs w:val="24"/>
          <w:vertAlign w:val="superscript"/>
        </w:rPr>
        <w:t>35</w:t>
      </w:r>
      <w:r>
        <w:rPr>
          <w:rFonts w:cs="Times New Roman" w:ascii="Times New Roman" w:hAnsi="Times New Roman"/>
          <w:sz w:val="24"/>
          <w:szCs w:val="24"/>
        </w:rPr>
        <w:t xml:space="preserve">  Furthermore, because our administrative databases lack individual level measures of income, we used neighborhood income as a proxy for patient SES.  However, this approach has been previously validated as a measure of household income and social deprivation.</w:t>
      </w:r>
      <w:r>
        <w:rPr>
          <w:rFonts w:cs="Times New Roman" w:ascii="Times New Roman" w:hAnsi="Times New Roman"/>
          <w:sz w:val="24"/>
          <w:szCs w:val="24"/>
          <w:vertAlign w:val="superscript"/>
        </w:rPr>
        <w:t>36</w:t>
      </w:r>
      <w:r>
        <w:rPr>
          <w:rFonts w:cs="Times New Roman" w:ascii="Times New Roman" w:hAnsi="Times New Roman"/>
          <w:sz w:val="24"/>
          <w:szCs w:val="24"/>
        </w:rPr>
        <w:t xml:space="preserve">  In addition, residential neighborhood may exert effects on health and outcomes that are independent of those ascribed to individual income.</w:t>
      </w:r>
      <w:r>
        <w:rPr>
          <w:rFonts w:cs="Times New Roman" w:ascii="Times New Roman" w:hAnsi="Times New Roman"/>
          <w:sz w:val="24"/>
          <w:szCs w:val="24"/>
          <w:vertAlign w:val="superscript"/>
        </w:rPr>
        <w:t>37</w:t>
      </w:r>
      <w:r>
        <w:rPr>
          <w:rFonts w:cs="Times New Roman" w:ascii="Times New Roman" w:hAnsi="Times New Roman"/>
          <w:sz w:val="24"/>
          <w:szCs w:val="24"/>
        </w:rPr>
        <w:t xml:space="preserve">  Finally, the potential for misclassification is always a consideration when using administrative data for health services research.  To address this concern, we used a validated algorithm with excellent test characteristics for discriminating between HIV-infected and non-infected individuals to assemble our cohort of PLWH.</w:t>
      </w:r>
      <w:r>
        <w:rPr>
          <w:rFonts w:cs="Times New Roman" w:ascii="Times New Roman" w:hAnsi="Times New Roman"/>
          <w:sz w:val="24"/>
          <w:szCs w:val="24"/>
          <w:vertAlign w:val="superscript"/>
        </w:rPr>
        <w:t>13</w:t>
      </w:r>
      <w:r>
        <w:rPr>
          <w:rFonts w:cs="Times New Roman" w:ascii="Times New Roman" w:hAnsi="Times New Roman"/>
          <w:sz w:val="24"/>
          <w:szCs w:val="24"/>
        </w:rPr>
        <w:t xml:space="preserve">  </w:t>
      </w:r>
      <w:r>
        <w:rPr>
          <w:rFonts w:cs="Times New Roman" w:ascii="Times New Roman" w:hAnsi="Times New Roman"/>
          <w:sz w:val="24"/>
        </w:rPr>
        <w:t xml:space="preserve">To our knowledge, this is the first population-based study using a validated case-finding algorithm to examine hospitalization trends in PLWH.  </w:t>
      </w:r>
    </w:p>
    <w:p>
      <w:pPr>
        <w:pStyle w:val="Normal"/>
        <w:spacing w:lineRule="auto" w:line="480"/>
        <w:rPr>
          <w:rFonts w:ascii="Times New Roman" w:hAnsi="Times New Roman" w:cs="Times New Roman"/>
          <w:sz w:val="24"/>
        </w:rPr>
      </w:pPr>
      <w:r>
        <w:rPr>
          <w:rFonts w:cs="Times New Roman" w:ascii="Times New Roman" w:hAnsi="Times New Roman"/>
          <w:sz w:val="24"/>
        </w:rPr>
        <w:t xml:space="preserve">In summary, despite universal access to health care, we observed significant disparities in the rates of hospitalization among certain groups of PLWH living in Ontario.  Our findings have important implications for researchers, clinicians and policy makers involved in the provision of HIV-related care.  As HIV-related hospitalizations are largely preventable by the receipt of cART, these admissions should be considered indicators of failure to access appropriate medical care in the outpatient setting.  In addition, persistent differences in rates of total hospitalization among specific groups of PLWH imply that gaps may exist within the existing complement of community-based health and social services that render the most marginalized HIV-infected patients vulnerable to poor health outcomes.  Continued collaborations between the community of PLWH, researchers and policy makers will be essential to generate the qualitative and quantitative data required to elicit and address the social and structural factors that modify access to care among PLWH, and which may ultimately lead to greater parity in the quality of care received by all HIV-infected individuals.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Conflicts of Interest and Financial Disclosure</w:t>
        <w:tab/>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During the past three years, Tony Antoniou has received unrestricted research grants from Merck and Pfizer for different studies and Mona Loutfy from Abbott Laboratories, Merck Frosst Canada Ltd, Pfizer, and ViiV Healthcare.  All other authors declare (1) no support from any company for the submitted work; (2) no relationships with any companies that might have an interest in the submitted work in the previous 3 years; (3) their spouses, partners, or children have no financial relationships that may be relevant to the submitted work; and (4) no non-financial interests that may be relevant to the submitted work.</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Funding/Support</w:t>
      </w:r>
    </w:p>
    <w:p>
      <w:pPr>
        <w:pStyle w:val="Normal"/>
        <w:spacing w:lineRule="auto" w:line="480"/>
        <w:rPr/>
      </w:pPr>
      <w:r>
        <w:rPr>
          <w:rFonts w:cs="Times New Roman" w:ascii="Times New Roman" w:hAnsi="Times New Roman"/>
          <w:sz w:val="24"/>
          <w:szCs w:val="24"/>
        </w:rPr>
        <w:t>This project was supported by the Institute for Clinical Evaluative Sciences (ICES), which is funded by an annual grant from the Ontario Ministry of Health and Long-Term Care (MOHLTC). The sponsors had no role in the design</w:t>
      </w:r>
      <w:r>
        <w:rPr>
          <w:rFonts w:cs="Times New Roman" w:ascii="Times New Roman" w:hAnsi="Times New Roman"/>
          <w:sz w:val="24"/>
          <w:szCs w:val="24"/>
          <w:vertAlign w:val="superscript"/>
        </w:rPr>
        <w:t xml:space="preserve"> </w:t>
      </w:r>
      <w:r>
        <w:rPr>
          <w:rFonts w:cs="Times New Roman" w:ascii="Times New Roman" w:hAnsi="Times New Roman"/>
          <w:sz w:val="24"/>
          <w:szCs w:val="24"/>
        </w:rPr>
        <w:t>and conduct of the study; in the collection, analysis, and interpretation</w:t>
      </w:r>
      <w:r>
        <w:rPr>
          <w:rFonts w:cs="Times New Roman" w:ascii="Times New Roman" w:hAnsi="Times New Roman"/>
          <w:sz w:val="24"/>
          <w:szCs w:val="24"/>
          <w:vertAlign w:val="superscript"/>
        </w:rPr>
        <w:t xml:space="preserve"> </w:t>
      </w:r>
      <w:r>
        <w:rPr>
          <w:rFonts w:cs="Times New Roman" w:ascii="Times New Roman" w:hAnsi="Times New Roman"/>
          <w:sz w:val="24"/>
          <w:szCs w:val="24"/>
        </w:rPr>
        <w:t>of the data; or in the preparation, review, or approval of the</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manuscript.  </w:t>
      </w:r>
      <w:r>
        <w:rPr>
          <w:rStyle w:val="Emphasis"/>
          <w:rFonts w:cs="Times New Roman" w:ascii="Times New Roman" w:hAnsi="Times New Roman"/>
          <w:i w:val="false"/>
          <w:sz w:val="24"/>
          <w:szCs w:val="24"/>
          <w:lang w:val="en-CA"/>
        </w:rPr>
        <w:t>The opinions, results and conclusions reported in this paper are those of the authors and are independent from the funding source.  No endorsement by ICES or the Ontario is intended or should be inferred.</w:t>
      </w:r>
    </w:p>
    <w:p>
      <w:pPr>
        <w:pStyle w:val="Normal"/>
        <w:spacing w:lineRule="auto" w:line="480"/>
        <w:rPr/>
      </w:pPr>
      <w:r>
        <w:rPr>
          <w:rFonts w:cs="Times New Roman" w:ascii="Times New Roman" w:hAnsi="Times New Roman"/>
          <w:sz w:val="24"/>
          <w:szCs w:val="24"/>
        </w:rPr>
        <w:t>Tony Antoniou is supported by a fellowship from the Primary Health Care System Program and a post-doctoral fellowship from the Ontario HIV Treatment Network.</w:t>
      </w:r>
      <w:r>
        <w:rPr>
          <w:rStyle w:val="Emphasis"/>
          <w:rFonts w:cs="Times New Roman" w:ascii="Times New Roman" w:hAnsi="Times New Roman"/>
          <w:i w:val="false"/>
          <w:sz w:val="24"/>
          <w:szCs w:val="24"/>
          <w:lang w:val="en-CA"/>
        </w:rPr>
        <w:t xml:space="preserve">  Carol Strike and Mona Loutfy are the recipients of salary support from the Ontario HIV Treatment Network and the Canadian Institutes for Health Research, respectively.</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Author Contributions</w:t>
      </w:r>
    </w:p>
    <w:p>
      <w:pPr>
        <w:pStyle w:val="Normal"/>
        <w:spacing w:lineRule="auto" w:line="480"/>
        <w:rPr/>
      </w:pPr>
      <w:r>
        <w:rPr>
          <w:rFonts w:cs="Times New Roman" w:ascii="Times New Roman" w:hAnsi="Times New Roman"/>
          <w:sz w:val="24"/>
          <w:szCs w:val="24"/>
        </w:rPr>
        <w:t>Study concept and design: Antoniou, Zagorski, Loutfy, Glazier, Strike</w:t>
      </w:r>
    </w:p>
    <w:p>
      <w:pPr>
        <w:pStyle w:val="Normal"/>
        <w:spacing w:lineRule="auto" w:line="480"/>
        <w:rPr/>
      </w:pPr>
      <w:r>
        <w:rPr>
          <w:rFonts w:cs="Times New Roman" w:ascii="Times New Roman" w:hAnsi="Times New Roman"/>
          <w:sz w:val="24"/>
          <w:szCs w:val="24"/>
        </w:rPr>
        <w:t>Analysis and Interpretation of Data: Antoniou, Zagorski, Loutfy, Glazier, Strike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Acquisition of Data: Antoniou, Zagorski</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Drafting of the manuscript: Antoniou</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Guarantor for manuscript: Antoniou</w:t>
      </w:r>
    </w:p>
    <w:p>
      <w:pPr>
        <w:pStyle w:val="Normal"/>
        <w:spacing w:lineRule="auto" w:line="480"/>
        <w:rPr/>
      </w:pPr>
      <w:r>
        <w:rPr>
          <w:rFonts w:cs="Times New Roman" w:ascii="Times New Roman" w:hAnsi="Times New Roman"/>
          <w:sz w:val="24"/>
          <w:szCs w:val="24"/>
        </w:rPr>
        <w:t xml:space="preserve">Critical revision of manuscript: Antoniou, Zagorski, Loutfy, Glazier, Strike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Administrative, technical or material support: Antoniou, Zagorski</w:t>
      </w:r>
    </w:p>
    <w:p>
      <w:pPr>
        <w:pStyle w:val="Normal"/>
        <w:spacing w:lineRule="auto" w:line="480"/>
        <w:rPr/>
      </w:pPr>
      <w:r>
        <w:rPr>
          <w:rFonts w:cs="Times New Roman" w:ascii="Times New Roman" w:hAnsi="Times New Roman"/>
          <w:sz w:val="24"/>
          <w:szCs w:val="24"/>
        </w:rPr>
        <w:t>Study supervision: Antoniou, Loutfy, Glazier, Strike</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Acknowledgements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We thank Dr. Rahim Moineddin for his advice regarding the statistical analysis.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rPr>
      </w:pPr>
      <w:r>
        <w:rPr>
          <w:rFonts w:cs="Times New Roman" w:ascii="Times New Roman" w:hAnsi="Times New Roman"/>
          <w:sz w:val="24"/>
        </w:rPr>
      </w:r>
    </w:p>
    <w:p>
      <w:pPr>
        <w:pStyle w:val="Normal"/>
        <w:spacing w:lineRule="auto" w:line="480"/>
        <w:rPr>
          <w:rFonts w:ascii="Times New Roman" w:hAnsi="Times New Roman" w:cs="Times New Roman"/>
          <w:sz w:val="24"/>
        </w:rPr>
      </w:pPr>
      <w:r>
        <w:rPr>
          <w:rFonts w:cs="Times New Roman" w:ascii="Times New Roman" w:hAnsi="Times New Roman"/>
          <w:sz w:val="24"/>
        </w:rPr>
      </w:r>
    </w:p>
    <w:p>
      <w:pPr>
        <w:pStyle w:val="Normal"/>
        <w:spacing w:lineRule="auto" w:line="480"/>
        <w:rPr>
          <w:rFonts w:ascii="Times New Roman" w:hAnsi="Times New Roman" w:cs="Times New Roman"/>
          <w:sz w:val="24"/>
        </w:rPr>
      </w:pPr>
      <w:r>
        <w:rPr>
          <w:rFonts w:cs="Times New Roman" w:ascii="Times New Roman" w:hAnsi="Times New Roman"/>
          <w:sz w:val="24"/>
        </w:rPr>
      </w:r>
    </w:p>
    <w:p>
      <w:pPr>
        <w:pStyle w:val="Normal"/>
        <w:spacing w:lineRule="auto" w:line="480"/>
        <w:rPr>
          <w:rFonts w:ascii="Times New Roman" w:hAnsi="Times New Roman" w:cs="Times New Roman"/>
          <w:sz w:val="24"/>
        </w:rPr>
      </w:pPr>
      <w:r>
        <w:rPr>
          <w:rFonts w:cs="Times New Roman" w:ascii="Times New Roman" w:hAnsi="Times New Roman"/>
          <w:sz w:val="24"/>
        </w:rPr>
      </w:r>
    </w:p>
    <w:p>
      <w:pPr>
        <w:pStyle w:val="Normal"/>
        <w:spacing w:lineRule="auto" w:line="480"/>
        <w:rPr>
          <w:rFonts w:ascii="Times New Roman" w:hAnsi="Times New Roman" w:cs="Times New Roman"/>
          <w:sz w:val="24"/>
        </w:rPr>
      </w:pPr>
      <w:r>
        <w:rPr>
          <w:rFonts w:cs="Times New Roman" w:ascii="Times New Roman" w:hAnsi="Times New Roman"/>
          <w:sz w:val="24"/>
        </w:rPr>
      </w:r>
    </w:p>
    <w:p>
      <w:pPr>
        <w:pStyle w:val="Normal"/>
        <w:spacing w:lineRule="auto" w:line="480"/>
        <w:rPr>
          <w:rFonts w:ascii="Times New Roman" w:hAnsi="Times New Roman" w:cs="Times New Roman"/>
          <w:sz w:val="24"/>
        </w:rPr>
      </w:pPr>
      <w:r>
        <w:rPr>
          <w:rFonts w:cs="Times New Roman" w:ascii="Times New Roman" w:hAnsi="Times New Roman"/>
          <w:sz w:val="24"/>
        </w:rPr>
      </w:r>
    </w:p>
    <w:p>
      <w:pPr>
        <w:pStyle w:val="Normal"/>
        <w:spacing w:lineRule="auto" w:line="480"/>
        <w:rPr>
          <w:rFonts w:ascii="Times New Roman" w:hAnsi="Times New Roman" w:cs="Times New Roman"/>
          <w:sz w:val="24"/>
        </w:rPr>
      </w:pPr>
      <w:r>
        <w:rPr>
          <w:rFonts w:cs="Times New Roman" w:ascii="Times New Roman" w:hAnsi="Times New Roman"/>
          <w:sz w:val="24"/>
        </w:rPr>
      </w:r>
    </w:p>
    <w:p>
      <w:pPr>
        <w:pStyle w:val="Normal"/>
        <w:spacing w:lineRule="auto" w:line="480"/>
        <w:rPr>
          <w:rFonts w:ascii="Times New Roman" w:hAnsi="Times New Roman" w:cs="Times New Roman"/>
          <w:sz w:val="24"/>
        </w:rPr>
      </w:pPr>
      <w:r>
        <w:rPr>
          <w:rFonts w:cs="Times New Roman" w:ascii="Times New Roman" w:hAnsi="Times New Roman"/>
          <w:sz w:val="24"/>
        </w:rPr>
      </w:r>
    </w:p>
    <w:p>
      <w:pPr>
        <w:pStyle w:val="Normal"/>
        <w:spacing w:lineRule="auto" w:line="480"/>
        <w:rPr>
          <w:rFonts w:ascii="Times New Roman" w:hAnsi="Times New Roman" w:cs="Times New Roman"/>
          <w:sz w:val="24"/>
        </w:rPr>
      </w:pPr>
      <w:r>
        <w:rPr>
          <w:rFonts w:cs="Times New Roman" w:ascii="Times New Roman" w:hAnsi="Times New Roman"/>
          <w:sz w:val="24"/>
        </w:rPr>
      </w:r>
    </w:p>
    <w:p>
      <w:pPr>
        <w:pStyle w:val="Normal"/>
        <w:spacing w:lineRule="auto" w:line="480"/>
        <w:rPr>
          <w:rFonts w:ascii="Times New Roman" w:hAnsi="Times New Roman" w:cs="Times New Roman"/>
          <w:sz w:val="24"/>
        </w:rPr>
      </w:pPr>
      <w:r>
        <w:rPr>
          <w:rFonts w:cs="Times New Roman" w:ascii="Times New Roman" w:hAnsi="Times New Roman"/>
          <w:sz w:val="24"/>
        </w:rPr>
      </w:r>
    </w:p>
    <w:p>
      <w:pPr>
        <w:pStyle w:val="Normal"/>
        <w:spacing w:lineRule="auto" w:line="480"/>
        <w:rPr>
          <w:rFonts w:ascii="Times New Roman" w:hAnsi="Times New Roman" w:cs="Times New Roman"/>
          <w:sz w:val="24"/>
        </w:rPr>
      </w:pPr>
      <w:r>
        <w:rPr>
          <w:rFonts w:cs="Times New Roman" w:ascii="Times New Roman" w:hAnsi="Times New Roman"/>
          <w:sz w:val="24"/>
        </w:rPr>
      </w:r>
    </w:p>
    <w:p>
      <w:pPr>
        <w:pStyle w:val="Normal"/>
        <w:spacing w:lineRule="auto" w:line="480"/>
        <w:rPr>
          <w:rFonts w:ascii="Times New Roman" w:hAnsi="Times New Roman" w:cs="Times New Roman"/>
          <w:sz w:val="24"/>
        </w:rPr>
      </w:pPr>
      <w:r>
        <w:rPr>
          <w:rFonts w:cs="Times New Roman" w:ascii="Times New Roman" w:hAnsi="Times New Roman"/>
          <w:sz w:val="24"/>
        </w:rPr>
      </w:r>
    </w:p>
    <w:p>
      <w:pPr>
        <w:pStyle w:val="Normal"/>
        <w:spacing w:lineRule="auto" w:line="480"/>
        <w:rPr>
          <w:rFonts w:ascii="Times New Roman" w:hAnsi="Times New Roman" w:cs="Times New Roman"/>
          <w:sz w:val="24"/>
        </w:rPr>
      </w:pPr>
      <w:r>
        <w:rPr>
          <w:rFonts w:cs="Times New Roman" w:ascii="Times New Roman" w:hAnsi="Times New Roman"/>
          <w:sz w:val="24"/>
        </w:rPr>
      </w:r>
    </w:p>
    <w:p>
      <w:pPr>
        <w:pStyle w:val="Normal"/>
        <w:spacing w:lineRule="auto" w:line="480"/>
        <w:rPr>
          <w:rFonts w:ascii="Times New Roman" w:hAnsi="Times New Roman" w:cs="Times New Roman"/>
          <w:sz w:val="24"/>
        </w:rPr>
      </w:pPr>
      <w:r>
        <w:rPr>
          <w:rFonts w:cs="Times New Roman" w:ascii="Times New Roman" w:hAnsi="Times New Roman"/>
          <w:sz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References</w:t>
      </w:r>
    </w:p>
    <w:p>
      <w:pPr>
        <w:pStyle w:val="Normal"/>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Mocroft A, Monforte A, Kirk O, Johnson MA, Friis-Moller N, Banhegyi D, et al.  Changes in hospital admissions across Europe: 1995-2003.  Results from the EuroSIDA study.  HIV Med 2004;5:437-47.</w:t>
      </w:r>
    </w:p>
    <w:p>
      <w:pPr>
        <w:pStyle w:val="Normal"/>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Buchacz K, Baker RK, Moorman AC, Richardson JT, Wood KC, Holmberg SD, et al.  Rates of hospitalizations and associated diagnoses in a large multisite cohort of HIV patients in the United States, 1994 -2005.  AIDS 2008;22:1345-4.</w:t>
      </w:r>
    </w:p>
    <w:p>
      <w:pPr>
        <w:pStyle w:val="Normal"/>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Fleishman JA, hellinger Fj.  Trends in HIV-related inpatient admissions from 1993 to 1997: a seven-state study.  J Acquir Immune Defic Syndr 2001;28:73-80.</w:t>
      </w:r>
    </w:p>
    <w:p>
      <w:pPr>
        <w:pStyle w:val="Normal"/>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Krentz HB, Dean S, Gill MJ.  Longitudinal assessment (1995-2003) of hospitalizations of HIV-infected patients within a geographical population in Canada.  HIV Med 2006;7:457-66.</w:t>
      </w:r>
    </w:p>
    <w:p>
      <w:p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21"/>
          <w:lang w:val="es-ES"/>
        </w:rPr>
        <w:t xml:space="preserve">Altés J, Guadarrama M, Force L, Tapiz A, Vilaró J, García I.  </w:t>
      </w:r>
      <w:r>
        <w:rPr>
          <w:rFonts w:cs="Arial" w:ascii="Times New Roman" w:hAnsi="Times New Roman"/>
          <w:sz w:val="24"/>
          <w:szCs w:val="21"/>
        </w:rPr>
        <w:t>The impact of highly active antiretroviral therapy on HIV-related hospitalizations in 17 county hospitals in Catalonia, Spain.  Catalonian County Hospitals HIV Infection Study Group.  AIDS 1999;13:1418-19.</w:t>
      </w:r>
    </w:p>
    <w:p>
      <w:p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21"/>
          <w:lang w:val="es-ES"/>
        </w:rPr>
        <w:t xml:space="preserve">Dávalos DM, Hlaing WM, Kim S, de la Rosa M.  </w:t>
      </w:r>
      <w:r>
        <w:rPr>
          <w:rFonts w:cs="Arial" w:ascii="Times New Roman" w:hAnsi="Times New Roman"/>
          <w:sz w:val="24"/>
          <w:szCs w:val="21"/>
        </w:rPr>
        <w:t>Recent trends in hospital utilization and mortality for HIV infection: 2000-2005.  J Natl Med Assoc 2010;102:1131-8.</w:t>
      </w:r>
    </w:p>
    <w:p>
      <w:p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21"/>
        </w:rPr>
        <w:t xml:space="preserve">Fleishman JA, Gebo KA, Reilly ED, Conviser R, Christopher Mathews W, Todd Korthuis P, et al.  </w:t>
      </w:r>
      <w:r>
        <w:rPr>
          <w:rFonts w:cs="Times New Roman" w:ascii="Times New Roman" w:hAnsi="Times New Roman"/>
          <w:sz w:val="24"/>
        </w:rPr>
        <w:t xml:space="preserve">Hospital and outpatient health services utilization among HIV-infected adults in care 2000-2002.  </w:t>
      </w:r>
      <w:r>
        <w:rPr>
          <w:rStyle w:val="Jrnl"/>
          <w:rFonts w:cs="Arial" w:ascii="Times New Roman" w:hAnsi="Times New Roman"/>
          <w:sz w:val="24"/>
          <w:szCs w:val="18"/>
        </w:rPr>
        <w:t>Med Care</w:t>
      </w:r>
      <w:r>
        <w:rPr>
          <w:rFonts w:cs="Arial" w:ascii="Times New Roman" w:hAnsi="Times New Roman"/>
          <w:sz w:val="24"/>
          <w:szCs w:val="18"/>
        </w:rPr>
        <w:t xml:space="preserve"> 2005;43(9 Suppl):III40-52.</w:t>
      </w:r>
    </w:p>
    <w:p>
      <w:p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18"/>
        </w:rPr>
        <w:t>Crum-Cianflone NF, Grandits G, Echols S, Ganesan A, Landrum M, Weintrob A, et al.  Trends and causes of hospitalizations among HIV-infected persons during the late HAART era: what is the impact of CD4 counts and HAART use?  J Acquir Immune Defic Sndr 2010;54:248-57.</w:t>
      </w:r>
    </w:p>
    <w:p>
      <w:p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18"/>
        </w:rPr>
        <w:t>Falster K, Wand H, Donovan B, Anderson J, Nolan D, Watson K, et al.  Hospitalizations in a cohort of HIV patients in Australia, 1999-2007.  AIDS 2010;24:1329-39.</w:t>
      </w:r>
    </w:p>
    <w:p>
      <w:p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18"/>
        </w:rPr>
        <w:t>Yehia BR, Fleishman JA, Hicks PL, Ridore M, Moore RD, Gebo KA.  Inpatient health services utilization among HIV-infected adult patients in care 2002-2007.  J Acquir Immune Defic Syndr 2010;53:397-404.</w:t>
      </w:r>
    </w:p>
    <w:p>
      <w:pPr>
        <w:pStyle w:val="Normal"/>
        <w:numPr>
          <w:ilvl w:val="0"/>
          <w:numId w:val="1"/>
        </w:numPr>
        <w:spacing w:lineRule="auto" w:line="480" w:before="0" w:after="0"/>
        <w:rPr/>
      </w:pPr>
      <w:r>
        <w:rPr>
          <w:rFonts w:cs="Times New Roman" w:ascii="Times New Roman" w:hAnsi="Times New Roman"/>
          <w:sz w:val="24"/>
          <w:szCs w:val="24"/>
          <w:lang w:val="nl-BE"/>
        </w:rPr>
        <w:t xml:space="preserve">Remis RS, Swantee C, Liu J.  </w:t>
      </w:r>
      <w:r>
        <w:rPr>
          <w:rFonts w:cs="Times New Roman" w:ascii="Times New Roman" w:hAnsi="Times New Roman"/>
          <w:sz w:val="24"/>
          <w:szCs w:val="24"/>
        </w:rPr>
        <w:t>Report on HIV/AIDS in Ontario 2008.  Ontario Ministry of Health and Long-Term Care, April 2010.</w:t>
      </w:r>
    </w:p>
    <w:p>
      <w:pPr>
        <w:pStyle w:val="Normal"/>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 xml:space="preserve">Public Health Agency of Canada.  HIV and AIDS in Canada.  Surveillance Report to December 31, 2008. </w:t>
      </w:r>
    </w:p>
    <w:p>
      <w:pPr>
        <w:pStyle w:val="Normal"/>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 xml:space="preserve">Antoniou T, Zagorski B, Loutfy M, Strike C, Glazier RH.  </w:t>
      </w:r>
      <w:r>
        <w:rPr>
          <w:rFonts w:cs="Times New Roman" w:ascii="Times New Roman" w:hAnsi="Times New Roman"/>
          <w:sz w:val="24"/>
        </w:rPr>
        <w:t xml:space="preserve">Validation of case-finding algorithms derived from administrative data for identifying adults living with the human immunodeficiency virus.  PLoS One </w:t>
      </w:r>
      <w:r>
        <w:rPr>
          <w:rFonts w:cs="Arial" w:ascii="Times New Roman" w:hAnsi="Times New Roman"/>
          <w:sz w:val="24"/>
        </w:rPr>
        <w:t xml:space="preserve">2011;6:e21748.  </w:t>
      </w:r>
    </w:p>
    <w:p>
      <w:pPr>
        <w:pStyle w:val="Normal"/>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Bangsberg DR, Ragland K, Monk A, Deeks SG.  A single tablet regimen is associated with higher adherence and viral suppression than multiple tablet regimens in HIV+ homeless and marginally housed people.  AIDS 2010;24:2835-40.</w:t>
      </w:r>
    </w:p>
    <w:p>
      <w:pPr>
        <w:pStyle w:val="Normal"/>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Ray JG, Vermeulen MJ, Schull MJ, Singh G, Shah R, Redelmeier DA.  Results of the Recent Immigrant Pregnancy and Perinatal Long-Term Evaluation Study (RIPPLES).  CMAJ 2007;176:1419-26.</w:t>
      </w:r>
    </w:p>
    <w:p>
      <w:pPr>
        <w:pStyle w:val="Normal"/>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Helfenstein U.  The use of transfer function models, intervention analysis and related time series methods in epidemiology.  Int J Epidemiol 1991;20:808-15.</w:t>
      </w:r>
    </w:p>
    <w:p>
      <w:pPr>
        <w:pStyle w:val="Normal"/>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Yaffee R.  Introduction to Time Series Analysis and Forecasting.  San Diego, CA: Acadmic Press; 2000.</w:t>
      </w:r>
    </w:p>
    <w:p>
      <w:pPr>
        <w:pStyle w:val="Normal"/>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Ljung GM, Box GEP.  On a measure of lack of fit in time series models.  Biometrika 1978;65:297-303</w:t>
      </w:r>
    </w:p>
    <w:p>
      <w:pPr>
        <w:pStyle w:val="Normal"/>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Fitzmaurice GM, Laired NM, Ware JH.  Applied Longitudinal Analysis.  Hoboken, New Jersey: John Wiley &amp; Sons, Inc.; 2004.</w:t>
      </w:r>
    </w:p>
    <w:p>
      <w:pPr>
        <w:pStyle w:val="Normal"/>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Pan W.  Akaike’s information criterion in generalized estimating equations.  Biometrics 2001;57:120-125.</w:t>
      </w:r>
    </w:p>
    <w:p>
      <w:pPr>
        <w:pStyle w:val="Normal"/>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Greenland S.  Modeling and variable selection in epidemiologic analysis.  Am J Public Health 1989;79:340-9.</w:t>
      </w:r>
    </w:p>
    <w:p>
      <w:pPr>
        <w:pStyle w:val="Normal"/>
        <w:numPr>
          <w:ilvl w:val="0"/>
          <w:numId w:val="1"/>
        </w:numPr>
        <w:spacing w:lineRule="auto" w:line="480"/>
        <w:rPr/>
      </w:pPr>
      <w:r>
        <w:rPr>
          <w:rFonts w:cs="Times New Roman" w:ascii="Times New Roman" w:hAnsi="Times New Roman"/>
          <w:sz w:val="24"/>
          <w:szCs w:val="24"/>
        </w:rPr>
        <w:t>John Hopkins University.  John Hopkins ACG Case-Mix Adjustment System.  Available at: http://www.acg.jhsph.edu. [Accessed January 23, 2012)</w:t>
      </w:r>
    </w:p>
    <w:p>
      <w:pPr>
        <w:pStyle w:val="Normal"/>
        <w:numPr>
          <w:ilvl w:val="0"/>
          <w:numId w:val="1"/>
        </w:numPr>
        <w:spacing w:lineRule="auto" w:line="480"/>
        <w:rPr>
          <w:rFonts w:ascii="Times New Roman" w:hAnsi="Times New Roman" w:cs="Times New Roman"/>
          <w:sz w:val="24"/>
          <w:szCs w:val="24"/>
        </w:rPr>
      </w:pPr>
      <w:r>
        <w:rPr>
          <w:rStyle w:val="HTMLCite"/>
          <w:rFonts w:cs="Lucida Sans Unicode" w:ascii="Times New Roman" w:hAnsi="Times New Roman"/>
          <w:i w:val="false"/>
          <w:color w:val="000000"/>
          <w:sz w:val="24"/>
          <w:szCs w:val="26"/>
          <w:lang w:val="en"/>
        </w:rPr>
        <w:t xml:space="preserve">Cohen MH, Cook JA, Grey D, </w:t>
      </w:r>
      <w:r>
        <w:rPr>
          <w:rFonts w:cs="Times New Roman" w:ascii="Times New Roman" w:hAnsi="Times New Roman"/>
          <w:sz w:val="24"/>
          <w:szCs w:val="24"/>
        </w:rPr>
        <w:t xml:space="preserve"> Young M, Hanau LH, Tien P, et al.  Medically eligible women who do not use HAART: the importance of abuse, drug use and race.  Am J Public Health 2004;94:1147-51.</w:t>
      </w:r>
    </w:p>
    <w:p>
      <w:pPr>
        <w:pStyle w:val="Normal"/>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 xml:space="preserve">Stein MD, Crystal S, Cunningham WE, </w:t>
      </w:r>
      <w:r>
        <w:rPr>
          <w:rFonts w:cs="Arial" w:ascii="Times New Roman" w:hAnsi="Times New Roman"/>
          <w:sz w:val="24"/>
          <w:szCs w:val="18"/>
        </w:rPr>
        <w:t>Ananthanarayanan A, Andersen RM, Turner BJ, et al.  Delays in seeking HIV care due to competing caregiver responsibilities.  Am J Public Health 2000;90:1138-40.</w:t>
      </w:r>
    </w:p>
    <w:p>
      <w:p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18"/>
        </w:rPr>
        <w:t>Cook JA, Cohen MH, Burke J, Grey D, Anastos K, Kirstein L, et al.  Effects of depressive symptoms and mental health quality of life on use of highly active antiretroviral therapy among HIV-seropositive women.  J Acquir Immune Defic Syndr 2002;30: 401-9.</w:t>
      </w:r>
    </w:p>
    <w:p>
      <w:p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18"/>
        </w:rPr>
        <w:t>Shapiro MF, Morton SC, McCaffrey DF, Senterfitt JW, Fleishman JA, Perlman JF, et al.  Variations in the care of HIV-infected adults in the United States: results form the HIV Cost and Services Utilization Study.  JAMA 1999;281:2305-15.</w:t>
      </w:r>
    </w:p>
    <w:p>
      <w:p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18"/>
        </w:rPr>
        <w:t>Mocroft A, Gill MJ, Davidson W, Phillips AN.  Are there gender differences in starting protease inhibitors, HART, and disease progression despite equal access to care? J Acquir Immune Defic Syndr 2000;24:475-82.</w:t>
      </w:r>
    </w:p>
    <w:p>
      <w:p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18"/>
        </w:rPr>
        <w:t>Lucas GM, Chaisson RE, Moore RD.  Highly active antiretroviral therapy in a large urban clinic: risk factors for virologic failure and adverse drug reactions.  Ann Intern Med 1999;131:81-7.</w:t>
      </w:r>
    </w:p>
    <w:p>
      <w:p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18"/>
        </w:rPr>
        <w:t>Bersoff-Matcha SJ, Miller WC, Aberg JA, van Der Horst C, Hamrick Jr HJ, Powderly WG, et al.  Sex differences in nevirapine rash.  Clin Infect Dis 2001;32:124-9.</w:t>
      </w:r>
    </w:p>
    <w:p>
      <w:p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18"/>
          <w:lang w:val="es-ES"/>
        </w:rPr>
        <w:t>Galli M, Veglia F, Angarano G, Santambrogio S, Meneghini E, Gritti F, et al.</w:t>
      </w:r>
      <w:r>
        <w:rPr>
          <w:rFonts w:cs="Arial" w:ascii="Arial" w:hAnsi="Arial"/>
          <w:sz w:val="18"/>
          <w:szCs w:val="18"/>
          <w:lang w:val="es-ES"/>
        </w:rPr>
        <w:t xml:space="preserve">  </w:t>
      </w:r>
      <w:r>
        <w:rPr>
          <w:rFonts w:cs="Arial" w:ascii="Times New Roman" w:hAnsi="Times New Roman"/>
          <w:sz w:val="24"/>
          <w:szCs w:val="18"/>
        </w:rPr>
        <w:t>Gender differences in antiretroviral drug-related adipose tissue alterations.  Women are at higher risk than men and develop particular lipodystrophy patterns.  J Acquir Immune Defic Syndr 2003;34:58.61.</w:t>
      </w:r>
    </w:p>
    <w:p>
      <w:p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18"/>
        </w:rPr>
        <w:t>Weiser SD, Fernandes KA, Brandson EK, Lima VD, Anema A, Bangsberg DR, et al.  The association between food insecurity and mortality among HIV-infected individuals on HAART.  J Acquir Immune Defic Syndr 2009;52:342-9.</w:t>
      </w:r>
    </w:p>
    <w:p>
      <w:p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18"/>
        </w:rPr>
        <w:t>Weiser SD, Frongillo EA, Ragland K, Hogg RS, Riley ED, Bangsberg DR.  Food insecurity is associated with incomplete HIV RNA suppression among homeless and marginally housed HIV-infected individuals in San Francsico.  J Gen Intern Med 2009;24:14-20.</w:t>
      </w:r>
    </w:p>
    <w:p>
      <w:p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18"/>
        </w:rPr>
        <w:t>Aidala AA, Lee G, Abramson DM, Messeri P, Sigler A.  Housing need, housing assistance, and connection to HIV medical care.  AIDS Behav 2007;11:S101-115.</w:t>
      </w:r>
    </w:p>
    <w:p>
      <w:pPr>
        <w:pStyle w:val="Normal"/>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Leaver CA, Bargh G, Dunn JR, Hwang SW.  The effects of housing status on health-related outcomes in people living with HIV: a systematic review of the literature.  AIDS Behav 2007;11(6 Suppl):85-100.</w:t>
      </w:r>
    </w:p>
    <w:p>
      <w:p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21"/>
        </w:rPr>
        <w:t>Virnig BA, McBean M.  Administrative data for public health surveillance and planning.  Annu Rev Public Health 2001;22:213-30.</w:t>
      </w:r>
    </w:p>
    <w:p>
      <w:p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21"/>
        </w:rPr>
        <w:t>Krieger N.  Overcoming the absence of socioeconomic data in medical records: validation and application of a census-based methodology.  Am J Public Health 1992;82:703-10.</w:t>
      </w:r>
    </w:p>
    <w:p>
      <w:pPr>
        <w:sectPr>
          <w:footerReference w:type="default" r:id="rId2"/>
          <w:type w:val="nextPage"/>
          <w:pgSz w:w="12240" w:h="15840"/>
          <w:pgMar w:left="1440" w:right="1440" w:header="0" w:top="1440" w:footer="720" w:bottom="1440" w:gutter="0"/>
          <w:pgNumType w:fmt="decimal"/>
          <w:formProt w:val="false"/>
          <w:textDirection w:val="lrTb"/>
          <w:docGrid w:type="default" w:linePitch="360" w:charSpace="0"/>
        </w:sectPr>
        <w:pStyle w:val="Normal"/>
        <w:numPr>
          <w:ilvl w:val="0"/>
          <w:numId w:val="1"/>
        </w:numPr>
        <w:spacing w:lineRule="auto" w:line="480"/>
        <w:rPr>
          <w:rFonts w:ascii="Times New Roman" w:hAnsi="Times New Roman" w:cs="Times New Roman"/>
          <w:sz w:val="24"/>
          <w:szCs w:val="24"/>
        </w:rPr>
      </w:pPr>
      <w:r>
        <w:rPr>
          <w:rFonts w:cs="Arial" w:ascii="Times New Roman" w:hAnsi="Times New Roman"/>
          <w:sz w:val="24"/>
          <w:szCs w:val="21"/>
        </w:rPr>
        <w:t>Smith GD, Hart C, Watt G, Hole D, Hawthorne V.  Individual social class, area-based deprivation, cardiovascular disease risk factors, and mortality: the Renfrew and Paisley Study.  J Epidemiol Community Health 1998;52:399-405.</w:t>
      </w:r>
    </w:p>
    <w:p>
      <w:pPr>
        <w:pStyle w:val="Normal"/>
        <w:spacing w:lineRule="auto" w:line="480"/>
        <w:rPr/>
      </w:pPr>
      <w:r>
        <w:rPr/>
        <w:t>Table 1: Characteristics of participants by years of follow-up (2002 to 2008)</w:t>
      </w:r>
    </w:p>
    <w:tbl>
      <w:tblPr>
        <w:tblW w:w="15117" w:type="dxa"/>
        <w:jc w:val="left"/>
        <w:tblInd w:w="-833" w:type="dxa"/>
        <w:tblBorders>
          <w:top w:val="single" w:sz="4" w:space="0" w:color="000000"/>
          <w:bottom w:val="single" w:sz="2" w:space="0" w:color="000000"/>
          <w:insideH w:val="single" w:sz="2" w:space="0" w:color="000000"/>
        </w:tblBorders>
        <w:tblCellMar>
          <w:top w:w="0" w:type="dxa"/>
          <w:left w:w="67" w:type="dxa"/>
          <w:bottom w:w="0" w:type="dxa"/>
          <w:right w:w="67" w:type="dxa"/>
        </w:tblCellMar>
      </w:tblPr>
      <w:tblGrid>
        <w:gridCol w:w="2700"/>
        <w:gridCol w:w="1800"/>
        <w:gridCol w:w="1800"/>
        <w:gridCol w:w="1777"/>
        <w:gridCol w:w="1760"/>
        <w:gridCol w:w="1760"/>
        <w:gridCol w:w="1760"/>
        <w:gridCol w:w="1760"/>
      </w:tblGrid>
      <w:tr>
        <w:trPr>
          <w:tblHeader w:val="true"/>
          <w:cantSplit w:val="true"/>
        </w:trPr>
        <w:tc>
          <w:tcPr>
            <w:tcW w:w="2700" w:type="dxa"/>
            <w:tcBorders>
              <w:top w:val="single" w:sz="4" w:space="0" w:color="000000"/>
              <w:bottom w:val="single" w:sz="2" w:space="0" w:color="000000"/>
              <w:insideH w:val="single" w:sz="2" w:space="0" w:color="000000"/>
            </w:tcBorders>
            <w:shd w:fill="FFFFFF" w:val="clear"/>
            <w:vAlign w:val="bottom"/>
          </w:tcPr>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Variables (%)</w:t>
            </w:r>
          </w:p>
        </w:tc>
        <w:tc>
          <w:tcPr>
            <w:tcW w:w="1800" w:type="dxa"/>
            <w:tcBorders>
              <w:top w:val="single" w:sz="4" w:space="0" w:color="000000"/>
              <w:bottom w:val="single" w:sz="2" w:space="0" w:color="000000"/>
              <w:insideH w:val="single" w:sz="2" w:space="0" w:color="000000"/>
            </w:tcBorders>
            <w:shd w:fill="FFFFFF" w:val="clear"/>
            <w:vAlign w:val="bottom"/>
          </w:tcPr>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2002</w:t>
            </w:r>
          </w:p>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 xml:space="preserve">(n = 9,985) </w:t>
            </w:r>
          </w:p>
        </w:tc>
        <w:tc>
          <w:tcPr>
            <w:tcW w:w="1800" w:type="dxa"/>
            <w:tcBorders>
              <w:top w:val="single" w:sz="4" w:space="0" w:color="000000"/>
              <w:bottom w:val="single" w:sz="2" w:space="0" w:color="000000"/>
              <w:insideH w:val="single" w:sz="2" w:space="0" w:color="000000"/>
            </w:tcBorders>
            <w:shd w:fill="FFFFFF" w:val="clear"/>
            <w:vAlign w:val="bottom"/>
          </w:tcPr>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2003</w:t>
            </w:r>
          </w:p>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 xml:space="preserve">(n = 10,561) </w:t>
            </w:r>
          </w:p>
        </w:tc>
        <w:tc>
          <w:tcPr>
            <w:tcW w:w="1777" w:type="dxa"/>
            <w:tcBorders>
              <w:top w:val="single" w:sz="4" w:space="0" w:color="000000"/>
              <w:bottom w:val="single" w:sz="2" w:space="0" w:color="000000"/>
              <w:insideH w:val="single" w:sz="2" w:space="0" w:color="000000"/>
            </w:tcBorders>
            <w:shd w:fill="FFFFFF" w:val="clear"/>
            <w:vAlign w:val="bottom"/>
          </w:tcPr>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2004</w:t>
            </w:r>
          </w:p>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(n = 11,183)</w:t>
            </w:r>
          </w:p>
        </w:tc>
        <w:tc>
          <w:tcPr>
            <w:tcW w:w="1760" w:type="dxa"/>
            <w:tcBorders>
              <w:top w:val="single" w:sz="4" w:space="0" w:color="000000"/>
              <w:bottom w:val="single" w:sz="2" w:space="0" w:color="000000"/>
              <w:insideH w:val="single" w:sz="2" w:space="0" w:color="000000"/>
            </w:tcBorders>
            <w:shd w:fill="FFFFFF" w:val="clear"/>
            <w:vAlign w:val="bottom"/>
          </w:tcPr>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2005</w:t>
            </w:r>
          </w:p>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(n = 11,803)</w:t>
            </w:r>
          </w:p>
        </w:tc>
        <w:tc>
          <w:tcPr>
            <w:tcW w:w="1760" w:type="dxa"/>
            <w:tcBorders>
              <w:top w:val="single" w:sz="4" w:space="0" w:color="000000"/>
              <w:bottom w:val="single" w:sz="2" w:space="0" w:color="000000"/>
              <w:insideH w:val="single" w:sz="2" w:space="0" w:color="000000"/>
            </w:tcBorders>
            <w:shd w:fill="FFFFFF" w:val="clear"/>
          </w:tcPr>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2006</w:t>
            </w:r>
          </w:p>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(n = 12,411)</w:t>
            </w:r>
          </w:p>
        </w:tc>
        <w:tc>
          <w:tcPr>
            <w:tcW w:w="1760" w:type="dxa"/>
            <w:tcBorders>
              <w:top w:val="single" w:sz="4" w:space="0" w:color="000000"/>
              <w:bottom w:val="single" w:sz="2" w:space="0" w:color="000000"/>
              <w:insideH w:val="single" w:sz="2" w:space="0" w:color="000000"/>
            </w:tcBorders>
            <w:shd w:fill="FFFFFF" w:val="clear"/>
          </w:tcPr>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2007</w:t>
            </w:r>
          </w:p>
          <w:p>
            <w:pPr>
              <w:pStyle w:val="Normal"/>
              <w:spacing w:lineRule="auto" w:line="480" w:before="67" w:after="67"/>
              <w:jc w:val="center"/>
              <w:rPr/>
            </w:pPr>
            <w:r>
              <w:rPr>
                <w:rFonts w:cs="Times New Roman" w:ascii="Times New Roman" w:hAnsi="Times New Roman"/>
                <w:b/>
                <w:iCs/>
                <w:color w:val="000000"/>
                <w:sz w:val="24"/>
                <w:szCs w:val="24"/>
              </w:rPr>
              <w:t>(n = 12,986)</w:t>
            </w:r>
          </w:p>
        </w:tc>
        <w:tc>
          <w:tcPr>
            <w:tcW w:w="1760" w:type="dxa"/>
            <w:tcBorders>
              <w:top w:val="single" w:sz="4" w:space="0" w:color="000000"/>
              <w:bottom w:val="single" w:sz="2" w:space="0" w:color="000000"/>
              <w:insideH w:val="single" w:sz="2" w:space="0" w:color="000000"/>
            </w:tcBorders>
            <w:shd w:fill="FFFFFF" w:val="clear"/>
          </w:tcPr>
          <w:p>
            <w:pPr>
              <w:pStyle w:val="Normal"/>
              <w:spacing w:lineRule="auto" w:line="480" w:before="67" w:after="67"/>
              <w:jc w:val="center"/>
              <w:rPr>
                <w:rFonts w:ascii="Times New Roman" w:hAnsi="Times New Roman" w:cs="Times New Roman"/>
                <w:b/>
                <w:b/>
                <w:iCs/>
                <w:color w:val="000000"/>
                <w:sz w:val="24"/>
                <w:szCs w:val="24"/>
              </w:rPr>
            </w:pPr>
            <w:r>
              <w:rPr>
                <w:rFonts w:cs="Times New Roman" w:ascii="Times New Roman" w:hAnsi="Times New Roman"/>
                <w:b/>
                <w:iCs/>
                <w:color w:val="000000"/>
                <w:sz w:val="24"/>
                <w:szCs w:val="24"/>
              </w:rPr>
              <w:t>2008</w:t>
            </w:r>
          </w:p>
          <w:p>
            <w:pPr>
              <w:pStyle w:val="Normal"/>
              <w:spacing w:lineRule="auto" w:line="480" w:before="67" w:after="67"/>
              <w:jc w:val="center"/>
              <w:rPr/>
            </w:pPr>
            <w:r>
              <w:rPr>
                <w:rFonts w:cs="Times New Roman" w:ascii="Times New Roman" w:hAnsi="Times New Roman"/>
                <w:b/>
                <w:iCs/>
                <w:color w:val="000000"/>
                <w:sz w:val="24"/>
                <w:szCs w:val="24"/>
              </w:rPr>
              <w:t>(n = 13,607)</w:t>
            </w:r>
          </w:p>
        </w:tc>
      </w:tr>
      <w:tr>
        <w:trPr>
          <w:cantSplit w:val="true"/>
        </w:trPr>
        <w:tc>
          <w:tcPr>
            <w:tcW w:w="2700" w:type="dxa"/>
            <w:tcBorders/>
            <w:shd w:fill="FFFFFF" w:val="clear"/>
          </w:tcPr>
          <w:p>
            <w:pPr>
              <w:pStyle w:val="Normal"/>
              <w:spacing w:lineRule="auto" w:line="480" w:before="67" w:after="67"/>
              <w:rPr>
                <w:rFonts w:ascii="Times New Roman" w:hAnsi="Times New Roman" w:cs="Arial"/>
                <w:color w:val="000000"/>
                <w:sz w:val="24"/>
                <w:szCs w:val="24"/>
              </w:rPr>
            </w:pPr>
            <w:r>
              <w:rPr>
                <w:rFonts w:cs="Arial" w:ascii="Times New Roman" w:hAnsi="Times New Roman"/>
                <w:color w:val="000000"/>
                <w:sz w:val="24"/>
                <w:szCs w:val="24"/>
              </w:rPr>
              <w:t>Age (years)</w:t>
            </w:r>
          </w:p>
        </w:tc>
        <w:tc>
          <w:tcPr>
            <w:tcW w:w="180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80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77"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6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6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6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6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r>
      <w:tr>
        <w:trPr>
          <w:cantSplit w:val="true"/>
        </w:trPr>
        <w:tc>
          <w:tcPr>
            <w:tcW w:w="2700" w:type="dxa"/>
            <w:tcBorders/>
            <w:shd w:fill="FFFFFF" w:val="clear"/>
          </w:tcPr>
          <w:p>
            <w:pPr>
              <w:pStyle w:val="Normal"/>
              <w:spacing w:lineRule="auto" w:line="480" w:before="67" w:after="67"/>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cs="Arial" w:ascii="Times New Roman" w:hAnsi="Times New Roman"/>
                <w:color w:val="000000"/>
                <w:sz w:val="24"/>
                <w:szCs w:val="24"/>
              </w:rPr>
              <w:t>18 to 35</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2,667 (26.7%)</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2,589 (24.5%)</w:t>
            </w:r>
          </w:p>
        </w:tc>
        <w:tc>
          <w:tcPr>
            <w:tcW w:w="1777"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2,546 (22.7%)</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2,533 (21.5%)</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2,561 (20.6%)</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2,534 (19.5%)</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2,557 (18.8%)</w:t>
            </w:r>
          </w:p>
        </w:tc>
      </w:tr>
      <w:tr>
        <w:trPr>
          <w:cantSplit w:val="true"/>
        </w:trPr>
        <w:tc>
          <w:tcPr>
            <w:tcW w:w="2700" w:type="dxa"/>
            <w:tcBorders/>
            <w:shd w:fill="FFFFFF" w:val="clear"/>
          </w:tcPr>
          <w:p>
            <w:pPr>
              <w:pStyle w:val="Normal"/>
              <w:spacing w:lineRule="auto" w:line="480" w:before="67" w:after="67"/>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cs="Arial" w:ascii="Times New Roman" w:hAnsi="Times New Roman"/>
                <w:color w:val="000000"/>
                <w:sz w:val="24"/>
                <w:szCs w:val="24"/>
              </w:rPr>
              <w:t>36 to 50</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5,692 (57.0%)</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6,114 (57.9%)</w:t>
            </w:r>
          </w:p>
        </w:tc>
        <w:tc>
          <w:tcPr>
            <w:tcW w:w="1777"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6,548 (58.6%)</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6,898 (58.4%)</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7,156 (57.7%)</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7,406 (57.0%)</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7,595 (55.8%)</w:t>
            </w:r>
          </w:p>
        </w:tc>
      </w:tr>
      <w:tr>
        <w:trPr>
          <w:cantSplit w:val="true"/>
        </w:trPr>
        <w:tc>
          <w:tcPr>
            <w:tcW w:w="2700" w:type="dxa"/>
            <w:tcBorders/>
            <w:shd w:fill="FFFFFF" w:val="clear"/>
          </w:tcPr>
          <w:p>
            <w:pPr>
              <w:pStyle w:val="Normal"/>
              <w:spacing w:lineRule="auto" w:line="480" w:before="67" w:after="67"/>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cs="Arial" w:ascii="Times New Roman" w:hAnsi="Times New Roman"/>
                <w:color w:val="000000"/>
                <w:sz w:val="24"/>
                <w:szCs w:val="24"/>
              </w:rPr>
              <w:t>51 to 66</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1,428 (14.3%)</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1,629 (15.4%)</w:t>
            </w:r>
          </w:p>
        </w:tc>
        <w:tc>
          <w:tcPr>
            <w:tcW w:w="1777"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1,835 (16.4%)</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2,084 (17.7%)</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2,363 (19.0%)</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2,656 (20.5%)</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2,990 (22.0%)</w:t>
            </w:r>
          </w:p>
        </w:tc>
      </w:tr>
      <w:tr>
        <w:trPr>
          <w:cantSplit w:val="true"/>
        </w:trPr>
        <w:tc>
          <w:tcPr>
            <w:tcW w:w="2700" w:type="dxa"/>
            <w:tcBorders/>
            <w:shd w:fill="FFFFFF" w:val="clear"/>
          </w:tcPr>
          <w:p>
            <w:pPr>
              <w:pStyle w:val="Normal"/>
              <w:spacing w:lineRule="auto" w:line="480" w:before="67" w:after="67"/>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cs="Arial" w:ascii="Times New Roman" w:hAnsi="Times New Roman"/>
                <w:color w:val="000000"/>
                <w:sz w:val="24"/>
                <w:szCs w:val="24"/>
              </w:rPr>
              <w:t>66+</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198 (2.0%)</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229 (2.2%)</w:t>
            </w:r>
          </w:p>
        </w:tc>
        <w:tc>
          <w:tcPr>
            <w:tcW w:w="1777"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254 (2.3%)</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288 (2.4%)</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331 (2.7%)</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390 (3.0%)</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465 (3.4%)</w:t>
            </w:r>
          </w:p>
        </w:tc>
      </w:tr>
      <w:tr>
        <w:trPr>
          <w:cantSplit w:val="true"/>
        </w:trPr>
        <w:tc>
          <w:tcPr>
            <w:tcW w:w="2700" w:type="dxa"/>
            <w:tcBorders/>
            <w:shd w:fill="FFFFFF" w:val="clear"/>
          </w:tcPr>
          <w:p>
            <w:pPr>
              <w:pStyle w:val="Normal"/>
              <w:spacing w:lineRule="auto" w:line="480" w:before="67" w:after="67"/>
              <w:rPr>
                <w:rFonts w:ascii="Times New Roman" w:hAnsi="Times New Roman" w:cs="Arial"/>
                <w:color w:val="000000"/>
                <w:sz w:val="24"/>
                <w:szCs w:val="24"/>
              </w:rPr>
            </w:pPr>
            <w:r>
              <w:rPr>
                <w:rFonts w:cs="Arial" w:ascii="Times New Roman" w:hAnsi="Times New Roman"/>
                <w:color w:val="000000"/>
                <w:sz w:val="24"/>
                <w:szCs w:val="24"/>
              </w:rPr>
              <w:t>Sex</w:t>
            </w:r>
          </w:p>
        </w:tc>
        <w:tc>
          <w:tcPr>
            <w:tcW w:w="180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80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77"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6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6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6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6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r>
      <w:tr>
        <w:trPr>
          <w:cantSplit w:val="true"/>
        </w:trPr>
        <w:tc>
          <w:tcPr>
            <w:tcW w:w="2700" w:type="dxa"/>
            <w:tcBorders/>
            <w:shd w:fill="FFFFFF" w:val="clear"/>
          </w:tcPr>
          <w:p>
            <w:pPr>
              <w:pStyle w:val="Normal"/>
              <w:spacing w:lineRule="auto" w:line="480" w:before="67" w:after="67"/>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cs="Arial" w:ascii="Times New Roman" w:hAnsi="Times New Roman"/>
                <w:color w:val="000000"/>
                <w:sz w:val="24"/>
                <w:szCs w:val="24"/>
              </w:rPr>
              <w:t>Female</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1,696 (17.0%)</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1,870 (17.7%)</w:t>
            </w:r>
          </w:p>
        </w:tc>
        <w:tc>
          <w:tcPr>
            <w:tcW w:w="1777"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2,065 (18.5%)</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2,242 (19.0%)</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2,403 (19.4%)</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2,572 (19.8%)</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2,720 (20.0%)</w:t>
            </w:r>
          </w:p>
        </w:tc>
      </w:tr>
      <w:tr>
        <w:trPr>
          <w:cantSplit w:val="true"/>
        </w:trPr>
        <w:tc>
          <w:tcPr>
            <w:tcW w:w="2700" w:type="dxa"/>
            <w:tcBorders/>
            <w:shd w:fill="FFFFFF" w:val="clear"/>
          </w:tcPr>
          <w:p>
            <w:pPr>
              <w:pStyle w:val="Normal"/>
              <w:spacing w:lineRule="auto" w:line="480" w:before="67" w:after="67"/>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cs="Arial" w:ascii="Times New Roman" w:hAnsi="Times New Roman"/>
                <w:color w:val="000000"/>
                <w:sz w:val="24"/>
                <w:szCs w:val="24"/>
              </w:rPr>
              <w:t>Male</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8,289 (83.0%)</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8,691 (82.3%)</w:t>
            </w:r>
          </w:p>
        </w:tc>
        <w:tc>
          <w:tcPr>
            <w:tcW w:w="1777"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9,118 (81.5%)</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9,561 (81.0%)</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10,008 (80.6%)</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10,414 (80.2%)</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10,887 (80.0%)</w:t>
            </w:r>
          </w:p>
        </w:tc>
      </w:tr>
      <w:tr>
        <w:trPr>
          <w:cantSplit w:val="true"/>
        </w:trPr>
        <w:tc>
          <w:tcPr>
            <w:tcW w:w="2700" w:type="dxa"/>
            <w:tcBorders/>
            <w:shd w:fill="FFFFFF" w:val="clear"/>
          </w:tcPr>
          <w:p>
            <w:pPr>
              <w:pStyle w:val="Normal"/>
              <w:spacing w:lineRule="auto" w:line="480" w:before="67" w:after="67"/>
              <w:rPr>
                <w:rFonts w:ascii="Times New Roman" w:hAnsi="Times New Roman" w:cs="Arial"/>
                <w:color w:val="000000"/>
                <w:sz w:val="24"/>
                <w:szCs w:val="24"/>
              </w:rPr>
            </w:pPr>
            <w:r>
              <w:rPr>
                <w:rFonts w:cs="Arial" w:ascii="Times New Roman" w:hAnsi="Times New Roman"/>
                <w:color w:val="000000"/>
                <w:sz w:val="24"/>
                <w:szCs w:val="24"/>
              </w:rPr>
              <w:t>Socioeconomic Status</w:t>
            </w:r>
          </w:p>
        </w:tc>
        <w:tc>
          <w:tcPr>
            <w:tcW w:w="180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80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77"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6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6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6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6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r>
      <w:tr>
        <w:trPr>
          <w:cantSplit w:val="true"/>
        </w:trPr>
        <w:tc>
          <w:tcPr>
            <w:tcW w:w="2700" w:type="dxa"/>
            <w:tcBorders/>
            <w:shd w:fill="FFFFFF" w:val="clear"/>
          </w:tcPr>
          <w:p>
            <w:pPr>
              <w:pStyle w:val="Normal"/>
              <w:spacing w:lineRule="auto" w:line="480" w:before="67" w:after="67"/>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cs="Arial" w:ascii="Times New Roman" w:hAnsi="Times New Roman"/>
                <w:color w:val="000000"/>
                <w:sz w:val="24"/>
                <w:szCs w:val="24"/>
              </w:rPr>
              <w:t>Low</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5,442 (54.5%)</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5,751 (54.5%)</w:t>
            </w:r>
          </w:p>
        </w:tc>
        <w:tc>
          <w:tcPr>
            <w:tcW w:w="1777"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5,924 (53.0%)</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6,272 (53.1%)</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6,641 (53.5%)</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6,903 (53.2%)</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7,233 (53.2%)</w:t>
            </w:r>
          </w:p>
        </w:tc>
      </w:tr>
      <w:tr>
        <w:trPr>
          <w:cantSplit w:val="true"/>
        </w:trPr>
        <w:tc>
          <w:tcPr>
            <w:tcW w:w="2700" w:type="dxa"/>
            <w:tcBorders/>
            <w:shd w:fill="FFFFFF" w:val="clear"/>
          </w:tcPr>
          <w:p>
            <w:pPr>
              <w:pStyle w:val="Normal"/>
              <w:spacing w:lineRule="auto" w:line="480" w:before="67" w:after="67"/>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cs="Arial" w:ascii="Times New Roman" w:hAnsi="Times New Roman"/>
                <w:color w:val="000000"/>
                <w:sz w:val="24"/>
                <w:szCs w:val="24"/>
              </w:rPr>
              <w:t>High</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4,543 (45.5%)</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4,810 (45.5%)</w:t>
            </w:r>
          </w:p>
        </w:tc>
        <w:tc>
          <w:tcPr>
            <w:tcW w:w="1777"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5,259 (47.0%)</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5,531 (46.9%)</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5,770 (46.5%)</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6,083 (46.8%)</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6,374 (46.8%)</w:t>
            </w:r>
          </w:p>
        </w:tc>
      </w:tr>
      <w:tr>
        <w:trPr>
          <w:cantSplit w:val="true"/>
        </w:trPr>
        <w:tc>
          <w:tcPr>
            <w:tcW w:w="2700" w:type="dxa"/>
            <w:tcBorders/>
            <w:shd w:fill="FFFFFF" w:val="clear"/>
          </w:tcPr>
          <w:p>
            <w:pPr>
              <w:pStyle w:val="Normal"/>
              <w:spacing w:lineRule="auto" w:line="480" w:before="67" w:after="67"/>
              <w:rPr>
                <w:rFonts w:ascii="Times New Roman" w:hAnsi="Times New Roman" w:cs="Arial"/>
                <w:color w:val="000000"/>
                <w:sz w:val="24"/>
                <w:szCs w:val="24"/>
              </w:rPr>
            </w:pPr>
            <w:r>
              <w:rPr>
                <w:rFonts w:cs="Arial" w:ascii="Times New Roman" w:hAnsi="Times New Roman"/>
                <w:color w:val="000000"/>
                <w:sz w:val="24"/>
                <w:szCs w:val="24"/>
              </w:rPr>
              <w:t>Recent immigrant</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534 (5.4%)</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607 (5.7%)</w:t>
            </w:r>
          </w:p>
        </w:tc>
        <w:tc>
          <w:tcPr>
            <w:tcW w:w="1777"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684 (6.1%)</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775 (6.6%)</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848 (6.8%)</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867 (6.7%)</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864 (6.3%)</w:t>
            </w:r>
          </w:p>
        </w:tc>
      </w:tr>
      <w:tr>
        <w:trPr>
          <w:cantSplit w:val="true"/>
        </w:trPr>
        <w:tc>
          <w:tcPr>
            <w:tcW w:w="2700" w:type="dxa"/>
            <w:tcBorders/>
            <w:shd w:fill="FFFFFF" w:val="clear"/>
          </w:tcPr>
          <w:p>
            <w:pPr>
              <w:pStyle w:val="Normal"/>
              <w:spacing w:lineRule="auto" w:line="480" w:before="67" w:after="67"/>
              <w:rPr>
                <w:rFonts w:ascii="Times New Roman" w:hAnsi="Times New Roman" w:cs="Arial"/>
                <w:color w:val="000000"/>
                <w:sz w:val="24"/>
                <w:szCs w:val="24"/>
              </w:rPr>
            </w:pPr>
            <w:r>
              <w:rPr>
                <w:rFonts w:cs="Arial" w:ascii="Times New Roman" w:hAnsi="Times New Roman"/>
                <w:color w:val="000000"/>
                <w:sz w:val="24"/>
                <w:szCs w:val="24"/>
              </w:rPr>
              <w:t>Urban residence</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9,561 (95.8%)</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10,121 (95.8%)</w:t>
            </w:r>
          </w:p>
        </w:tc>
        <w:tc>
          <w:tcPr>
            <w:tcW w:w="1777"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10,732 (96.0%)</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11,324 (95.9%)</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11,928 (96.1%)</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12,451 (95.9%)</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13,015 (96.0%)</w:t>
            </w:r>
          </w:p>
        </w:tc>
      </w:tr>
      <w:tr>
        <w:trPr>
          <w:cantSplit w:val="true"/>
        </w:trPr>
        <w:tc>
          <w:tcPr>
            <w:tcW w:w="2700" w:type="dxa"/>
            <w:tcBorders/>
            <w:shd w:fill="FFFFFF" w:val="clear"/>
          </w:tcPr>
          <w:p>
            <w:pPr>
              <w:pStyle w:val="Normal"/>
              <w:spacing w:lineRule="auto" w:line="480" w:before="67" w:after="67"/>
              <w:rPr>
                <w:rFonts w:ascii="Times New Roman" w:hAnsi="Times New Roman" w:cs="Arial"/>
                <w:color w:val="000000"/>
                <w:sz w:val="24"/>
                <w:szCs w:val="24"/>
              </w:rPr>
            </w:pPr>
            <w:r>
              <w:rPr>
                <w:rFonts w:cs="Arial" w:ascii="Times New Roman" w:hAnsi="Times New Roman"/>
                <w:color w:val="000000"/>
                <w:sz w:val="24"/>
                <w:szCs w:val="24"/>
              </w:rPr>
              <w:t>No. outpatient visits</w:t>
            </w:r>
          </w:p>
        </w:tc>
        <w:tc>
          <w:tcPr>
            <w:tcW w:w="180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80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77"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6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6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6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c>
          <w:tcPr>
            <w:tcW w:w="1760" w:type="dxa"/>
            <w:tcBorders/>
            <w:shd w:fill="FFFFFF" w:val="clear"/>
          </w:tcPr>
          <w:p>
            <w:pPr>
              <w:pStyle w:val="Normal"/>
              <w:snapToGrid w:val="false"/>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r>
          </w:p>
        </w:tc>
      </w:tr>
      <w:tr>
        <w:trPr>
          <w:cantSplit w:val="true"/>
        </w:trPr>
        <w:tc>
          <w:tcPr>
            <w:tcW w:w="2700" w:type="dxa"/>
            <w:tcBorders/>
            <w:shd w:fill="FFFFFF" w:val="clear"/>
          </w:tcPr>
          <w:p>
            <w:pPr>
              <w:pStyle w:val="Normal"/>
              <w:spacing w:lineRule="auto" w:line="480" w:before="67" w:after="67"/>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cs="Arial" w:ascii="Times New Roman" w:hAnsi="Times New Roman"/>
                <w:color w:val="000000"/>
                <w:sz w:val="24"/>
                <w:szCs w:val="24"/>
              </w:rPr>
              <w:t>0 to 2</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3,635 (36.4%)</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3,891 (36.8%)</w:t>
            </w:r>
          </w:p>
        </w:tc>
        <w:tc>
          <w:tcPr>
            <w:tcW w:w="1777"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4,177 (37.4%)</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4,236 (35.9%)</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4,572 (36.8%)</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4,973 (38.3%)</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5,485 (40.3%)</w:t>
            </w:r>
          </w:p>
        </w:tc>
      </w:tr>
      <w:tr>
        <w:trPr>
          <w:cantSplit w:val="true"/>
        </w:trPr>
        <w:tc>
          <w:tcPr>
            <w:tcW w:w="2700" w:type="dxa"/>
            <w:tcBorders/>
            <w:shd w:fill="FFFFFF" w:val="clear"/>
          </w:tcPr>
          <w:p>
            <w:pPr>
              <w:pStyle w:val="Normal"/>
              <w:spacing w:lineRule="auto" w:line="480" w:before="67" w:after="67"/>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cs="Arial" w:ascii="Times New Roman" w:hAnsi="Times New Roman"/>
                <w:color w:val="000000"/>
                <w:sz w:val="24"/>
                <w:szCs w:val="24"/>
              </w:rPr>
              <w:t>3 to 6</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2,597 (26.0%)</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2,801 (26.5%)</w:t>
            </w:r>
          </w:p>
        </w:tc>
        <w:tc>
          <w:tcPr>
            <w:tcW w:w="1777"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3,012 (26.9%)</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3,146 (26.7%)</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3,374 (27.2%)</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3,706 (28.5%)</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3,918 (28.8%)</w:t>
            </w:r>
          </w:p>
        </w:tc>
      </w:tr>
      <w:tr>
        <w:trPr>
          <w:cantSplit w:val="true"/>
        </w:trPr>
        <w:tc>
          <w:tcPr>
            <w:tcW w:w="2700" w:type="dxa"/>
            <w:tcBorders/>
            <w:shd w:fill="FFFFFF" w:val="clear"/>
          </w:tcPr>
          <w:p>
            <w:pPr>
              <w:pStyle w:val="Normal"/>
              <w:spacing w:lineRule="auto" w:line="480" w:before="67" w:after="67"/>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cs="Arial" w:ascii="Times New Roman" w:hAnsi="Times New Roman"/>
                <w:color w:val="000000"/>
                <w:sz w:val="24"/>
                <w:szCs w:val="24"/>
              </w:rPr>
              <w:t>7 to 10</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1,545 (15.5%)</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1,668 (15.8%)</w:t>
            </w:r>
          </w:p>
        </w:tc>
        <w:tc>
          <w:tcPr>
            <w:tcW w:w="1777"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1,770 (15.8%)</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1,984 (16.8%)</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2,008 (16.2%)</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2,073 (16.0%)</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2,057 (15.1%)</w:t>
            </w:r>
          </w:p>
        </w:tc>
      </w:tr>
      <w:tr>
        <w:trPr>
          <w:cantSplit w:val="true"/>
        </w:trPr>
        <w:tc>
          <w:tcPr>
            <w:tcW w:w="2700" w:type="dxa"/>
            <w:tcBorders/>
            <w:shd w:fill="FFFFFF" w:val="clear"/>
          </w:tcPr>
          <w:p>
            <w:pPr>
              <w:pStyle w:val="Normal"/>
              <w:spacing w:lineRule="auto" w:line="480" w:before="67" w:after="67"/>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cs="Arial" w:ascii="Times New Roman" w:hAnsi="Times New Roman"/>
                <w:color w:val="000000"/>
                <w:sz w:val="24"/>
                <w:szCs w:val="24"/>
              </w:rPr>
              <w:t>11+</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2,208 (22.1%)</w:t>
            </w:r>
          </w:p>
        </w:tc>
        <w:tc>
          <w:tcPr>
            <w:tcW w:w="180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2,201 (20.8%)</w:t>
            </w:r>
          </w:p>
        </w:tc>
        <w:tc>
          <w:tcPr>
            <w:tcW w:w="1777"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2,224 (19.9%)</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2,437 (20.6%)</w:t>
            </w:r>
          </w:p>
        </w:tc>
        <w:tc>
          <w:tcPr>
            <w:tcW w:w="1760" w:type="dxa"/>
            <w:tcBorders/>
            <w:shd w:fill="FFFFFF" w:val="clear"/>
          </w:tcPr>
          <w:p>
            <w:pPr>
              <w:pStyle w:val="Normal"/>
              <w:spacing w:lineRule="auto" w:line="480" w:before="67" w:after="67"/>
              <w:jc w:val="center"/>
              <w:rPr>
                <w:rFonts w:ascii="Times New Roman" w:hAnsi="Times New Roman" w:cs="Arial"/>
                <w:color w:val="000000"/>
                <w:sz w:val="24"/>
                <w:szCs w:val="24"/>
              </w:rPr>
            </w:pPr>
            <w:r>
              <w:rPr>
                <w:rFonts w:cs="Arial" w:ascii="Times New Roman" w:hAnsi="Times New Roman"/>
                <w:color w:val="000000"/>
                <w:sz w:val="24"/>
                <w:szCs w:val="24"/>
              </w:rPr>
              <w:t>2,457 (19.8%)</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2,240 (17.2%)</w:t>
            </w:r>
          </w:p>
        </w:tc>
        <w:tc>
          <w:tcPr>
            <w:tcW w:w="1760" w:type="dxa"/>
            <w:tcBorders/>
            <w:shd w:fill="FFFFFF" w:val="clear"/>
          </w:tcPr>
          <w:p>
            <w:pPr>
              <w:pStyle w:val="Normal"/>
              <w:spacing w:lineRule="auto" w:line="480" w:before="67" w:after="67"/>
              <w:jc w:val="center"/>
              <w:rPr/>
            </w:pPr>
            <w:r>
              <w:rPr>
                <w:rFonts w:cs="Arial" w:ascii="Times New Roman" w:hAnsi="Times New Roman"/>
                <w:color w:val="000000"/>
                <w:sz w:val="24"/>
                <w:szCs w:val="24"/>
              </w:rPr>
              <w:t>2,147 (15.8%)</w:t>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sectPr>
          <w:footerReference w:type="default" r:id="rId3"/>
          <w:type w:val="nextPage"/>
          <w:pgSz w:orient="landscape" w:w="15840" w:h="12240"/>
          <w:pgMar w:left="1440" w:right="1440" w:header="0" w:top="1440" w:footer="720" w:bottom="1440" w:gutter="0"/>
          <w:pgNumType w:fmt="decimal"/>
          <w:formProt w:val="false"/>
          <w:textDirection w:val="lrTb"/>
          <w:docGrid w:type="default" w:linePitch="360" w:charSpace="0"/>
        </w:sect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t>Table 2: Multivariable regression for hospitalization rates</w:t>
      </w:r>
    </w:p>
    <w:tbl>
      <w:tblPr>
        <w:tblW w:w="9441" w:type="dxa"/>
        <w:jc w:val="center"/>
        <w:tblInd w:w="0" w:type="dxa"/>
        <w:tblBorders>
          <w:top w:val="single" w:sz="2" w:space="0" w:color="000000"/>
          <w:bottom w:val="single" w:sz="2" w:space="0" w:color="000000"/>
          <w:insideH w:val="single" w:sz="2" w:space="0" w:color="000000"/>
        </w:tblBorders>
        <w:tblCellMar>
          <w:top w:w="0" w:type="dxa"/>
          <w:left w:w="60" w:type="dxa"/>
          <w:bottom w:w="0" w:type="dxa"/>
          <w:right w:w="60" w:type="dxa"/>
        </w:tblCellMar>
      </w:tblPr>
      <w:tblGrid>
        <w:gridCol w:w="2601"/>
        <w:gridCol w:w="3530"/>
        <w:gridCol w:w="3310"/>
      </w:tblGrid>
      <w:tr>
        <w:trPr>
          <w:tblHeader w:val="true"/>
          <w:cantSplit w:val="true"/>
        </w:trPr>
        <w:tc>
          <w:tcPr>
            <w:tcW w:w="2601" w:type="dxa"/>
            <w:tcBorders>
              <w:top w:val="single" w:sz="2" w:space="0" w:color="000000"/>
              <w:bottom w:val="single" w:sz="2" w:space="0" w:color="000000"/>
              <w:insideH w:val="single" w:sz="2" w:space="0" w:color="000000"/>
            </w:tcBorders>
            <w:shd w:fill="auto" w:val="clear"/>
            <w:vAlign w:val="bottom"/>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Variables</w:t>
            </w:r>
          </w:p>
        </w:tc>
        <w:tc>
          <w:tcPr>
            <w:tcW w:w="3530" w:type="dxa"/>
            <w:tcBorders>
              <w:top w:val="single" w:sz="2" w:space="0" w:color="000000"/>
              <w:left w:val="single" w:sz="2" w:space="0" w:color="000000"/>
              <w:bottom w:val="single" w:sz="2" w:space="0" w:color="000000"/>
              <w:insideH w:val="single" w:sz="2" w:space="0" w:color="000000"/>
            </w:tcBorders>
            <w:shd w:fill="auto" w:val="clear"/>
            <w:tcMar>
              <w:left w:w="57" w:type="dxa"/>
            </w:tcMar>
            <w:vAlign w:val="bottom"/>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Total Hospitalization Rates</w:t>
            </w:r>
          </w:p>
        </w:tc>
        <w:tc>
          <w:tcPr>
            <w:tcW w:w="3310" w:type="dxa"/>
            <w:tcBorders>
              <w:top w:val="single" w:sz="2" w:space="0" w:color="000000"/>
              <w:left w:val="single" w:sz="2" w:space="0" w:color="000000"/>
              <w:bottom w:val="single" w:sz="2" w:space="0" w:color="000000"/>
              <w:insideH w:val="single" w:sz="2" w:space="0" w:color="000000"/>
            </w:tcBorders>
            <w:shd w:fill="auto" w:val="clear"/>
            <w:tcMar>
              <w:left w:w="57" w:type="dxa"/>
            </w:tcMar>
            <w:vAlign w:val="bottom"/>
          </w:tcPr>
          <w:p>
            <w:pPr>
              <w:pStyle w:val="Normal"/>
              <w:keepNext/>
              <w:spacing w:lineRule="auto" w:line="480" w:before="60" w:after="6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HIV-related Hospitalization Rates</w:t>
            </w:r>
          </w:p>
        </w:tc>
      </w:tr>
      <w:tr>
        <w:trPr>
          <w:cantSplit w:val="true"/>
        </w:trPr>
        <w:tc>
          <w:tcPr>
            <w:tcW w:w="2601" w:type="dxa"/>
            <w:tcBorders>
              <w:top w:val="single" w:sz="2" w:space="0" w:color="000000"/>
            </w:tcBorders>
            <w:shd w:fill="FFFFFF" w:val="clear"/>
          </w:tcPr>
          <w:p>
            <w:pPr>
              <w:pStyle w:val="Normal"/>
              <w:snapToGrid w:val="false"/>
              <w:spacing w:lineRule="auto" w:line="480" w:before="60" w:after="6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c>
          <w:tcPr>
            <w:tcW w:w="3530" w:type="dxa"/>
            <w:tcBorders>
              <w:top w:val="single" w:sz="2" w:space="0" w:color="000000"/>
              <w:left w:val="single" w:sz="2" w:space="0" w:color="000000"/>
            </w:tcBorders>
            <w:shd w:fill="FFFFFF" w:val="clear"/>
            <w:tcMar>
              <w:left w:w="57" w:type="dxa"/>
            </w:tcMar>
          </w:tcPr>
          <w:p>
            <w:pPr>
              <w:pStyle w:val="Normal"/>
              <w:spacing w:lineRule="auto" w:line="480" w:before="60" w:after="60"/>
              <w:jc w:val="center"/>
              <w:rPr/>
            </w:pPr>
            <w:r>
              <w:rPr>
                <w:rFonts w:cs="Times New Roman" w:ascii="Times New Roman" w:hAnsi="Times New Roman"/>
                <w:color w:val="000000"/>
                <w:sz w:val="24"/>
                <w:szCs w:val="24"/>
              </w:rPr>
              <w:t>Adjusted Relative Rate (95% Confidence Interval)</w:t>
            </w:r>
            <w:r>
              <w:rPr>
                <w:rFonts w:cs="Times New Roman" w:ascii="Times New Roman" w:hAnsi="Times New Roman"/>
                <w:color w:val="000000"/>
                <w:sz w:val="24"/>
                <w:szCs w:val="24"/>
                <w:vertAlign w:val="superscript"/>
              </w:rPr>
              <w:t>*</w:t>
            </w:r>
          </w:p>
        </w:tc>
        <w:tc>
          <w:tcPr>
            <w:tcW w:w="3310" w:type="dxa"/>
            <w:tcBorders>
              <w:top w:val="single" w:sz="2" w:space="0" w:color="000000"/>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Adjusted Relative Rate (95% Confidence Interval)</w:t>
            </w:r>
            <w:r>
              <w:rPr>
                <w:rFonts w:cs="Times New Roman" w:ascii="Times New Roman" w:hAnsi="Times New Roman"/>
                <w:color w:val="000000"/>
                <w:sz w:val="24"/>
                <w:szCs w:val="24"/>
                <w:vertAlign w:val="superscript"/>
              </w:rPr>
              <w:t>*</w:t>
            </w:r>
          </w:p>
        </w:tc>
      </w:tr>
      <w:tr>
        <w:trPr>
          <w:cantSplit w:val="true"/>
        </w:trPr>
        <w:tc>
          <w:tcPr>
            <w:tcW w:w="2601" w:type="dxa"/>
            <w:tcBorders>
              <w:top w:val="single" w:sz="2" w:space="0" w:color="000000"/>
            </w:tcBorders>
            <w:shd w:fill="FFFFFF" w:val="clear"/>
          </w:tcPr>
          <w:p>
            <w:pPr>
              <w:pStyle w:val="Normal"/>
              <w:spacing w:lineRule="auto" w:line="480" w:before="60" w:after="60"/>
              <w:rPr>
                <w:rFonts w:ascii="Times New Roman" w:hAnsi="Times New Roman" w:cs="Times New Roman"/>
                <w:color w:val="000000"/>
                <w:sz w:val="24"/>
                <w:szCs w:val="24"/>
              </w:rPr>
            </w:pPr>
            <w:r>
              <w:rPr>
                <w:rFonts w:cs="Times New Roman" w:ascii="Times New Roman" w:hAnsi="Times New Roman"/>
                <w:color w:val="000000"/>
                <w:sz w:val="24"/>
                <w:szCs w:val="24"/>
              </w:rPr>
              <w:t>Year</w:t>
            </w:r>
          </w:p>
        </w:tc>
        <w:tc>
          <w:tcPr>
            <w:tcW w:w="353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331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601"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2002 (reference)</w:t>
            </w:r>
          </w:p>
        </w:tc>
        <w:tc>
          <w:tcPr>
            <w:tcW w:w="353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1.00</w:t>
            </w:r>
          </w:p>
        </w:tc>
        <w:tc>
          <w:tcPr>
            <w:tcW w:w="33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1.00</w:t>
            </w:r>
          </w:p>
        </w:tc>
      </w:tr>
      <w:tr>
        <w:trPr>
          <w:cantSplit w:val="true"/>
        </w:trPr>
        <w:tc>
          <w:tcPr>
            <w:tcW w:w="2601"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2003</w:t>
            </w:r>
          </w:p>
        </w:tc>
        <w:tc>
          <w:tcPr>
            <w:tcW w:w="3530" w:type="dxa"/>
            <w:tcBorders>
              <w:left w:val="single" w:sz="2" w:space="0" w:color="000000"/>
            </w:tcBorders>
            <w:shd w:fill="FFFFFF" w:val="clear"/>
            <w:tcMar>
              <w:left w:w="57" w:type="dxa"/>
            </w:tcMar>
            <w:vAlign w:val="center"/>
          </w:tcPr>
          <w:p>
            <w:pPr>
              <w:pStyle w:val="Normal"/>
              <w:spacing w:lineRule="auto" w:line="480" w:before="60" w:after="60"/>
              <w:jc w:val="center"/>
              <w:rPr/>
            </w:pPr>
            <w:r>
              <w:rPr>
                <w:rFonts w:cs="Times New Roman" w:ascii="Times New Roman" w:hAnsi="Times New Roman"/>
                <w:color w:val="000000"/>
                <w:sz w:val="24"/>
                <w:szCs w:val="24"/>
              </w:rPr>
              <w:t>0.89 (0.81 to 0.97)</w:t>
            </w:r>
          </w:p>
        </w:tc>
        <w:tc>
          <w:tcPr>
            <w:tcW w:w="3310" w:type="dxa"/>
            <w:tcBorders>
              <w:left w:val="single" w:sz="2" w:space="0" w:color="000000"/>
            </w:tcBorders>
            <w:shd w:fill="FFFFFF" w:val="clear"/>
            <w:tcMar>
              <w:left w:w="57" w:type="dxa"/>
            </w:tcMar>
            <w:vAlign w:val="center"/>
          </w:tcPr>
          <w:p>
            <w:pPr>
              <w:pStyle w:val="Normal"/>
              <w:spacing w:lineRule="auto" w:line="480" w:before="60" w:after="60"/>
              <w:jc w:val="center"/>
              <w:rPr/>
            </w:pPr>
            <w:r>
              <w:rPr>
                <w:rFonts w:cs="Times New Roman" w:ascii="Times New Roman" w:hAnsi="Times New Roman"/>
                <w:color w:val="000000"/>
                <w:sz w:val="24"/>
                <w:szCs w:val="24"/>
              </w:rPr>
              <w:t>0.84 (0.71 to 1.00)</w:t>
            </w:r>
          </w:p>
        </w:tc>
      </w:tr>
      <w:tr>
        <w:trPr>
          <w:cantSplit w:val="true"/>
        </w:trPr>
        <w:tc>
          <w:tcPr>
            <w:tcW w:w="2601"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bookmarkStart w:id="0" w:name="_Hlk303344373"/>
            <w:bookmarkStart w:id="1" w:name="OLE_LINK2"/>
            <w:bookmarkStart w:id="2" w:name="OLE_LINK1"/>
            <w:bookmarkEnd w:id="0"/>
            <w:bookmarkEnd w:id="1"/>
            <w:bookmarkEnd w:id="2"/>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2004</w:t>
            </w:r>
          </w:p>
        </w:tc>
        <w:tc>
          <w:tcPr>
            <w:tcW w:w="3530" w:type="dxa"/>
            <w:tcBorders>
              <w:left w:val="single" w:sz="2" w:space="0" w:color="000000"/>
            </w:tcBorders>
            <w:shd w:fill="FFFFFF" w:val="clear"/>
            <w:tcMar>
              <w:left w:w="57" w:type="dxa"/>
            </w:tcMar>
            <w:vAlign w:val="center"/>
          </w:tcPr>
          <w:p>
            <w:pPr>
              <w:pStyle w:val="Normal"/>
              <w:spacing w:lineRule="auto" w:line="480" w:before="60" w:after="60"/>
              <w:jc w:val="center"/>
              <w:rPr/>
            </w:pPr>
            <w:r>
              <w:rPr>
                <w:rFonts w:cs="Times New Roman" w:ascii="Times New Roman" w:hAnsi="Times New Roman"/>
                <w:color w:val="000000"/>
                <w:sz w:val="24"/>
                <w:szCs w:val="24"/>
              </w:rPr>
              <w:t>0.91 (0.83 to 1.00)</w:t>
            </w:r>
          </w:p>
        </w:tc>
        <w:tc>
          <w:tcPr>
            <w:tcW w:w="3310" w:type="dxa"/>
            <w:tcBorders>
              <w:left w:val="single" w:sz="2" w:space="0" w:color="000000"/>
            </w:tcBorders>
            <w:shd w:fill="FFFFFF" w:val="clear"/>
            <w:tcMar>
              <w:left w:w="57" w:type="dxa"/>
            </w:tcMar>
            <w:vAlign w:val="center"/>
          </w:tcPr>
          <w:p>
            <w:pPr>
              <w:pStyle w:val="Normal"/>
              <w:spacing w:lineRule="auto" w:line="480" w:before="60" w:after="60"/>
              <w:jc w:val="center"/>
              <w:rPr/>
            </w:pPr>
            <w:r>
              <w:rPr>
                <w:rFonts w:cs="Times New Roman" w:ascii="Times New Roman" w:hAnsi="Times New Roman"/>
                <w:color w:val="000000"/>
                <w:sz w:val="24"/>
                <w:szCs w:val="24"/>
              </w:rPr>
              <w:t>0.90 (0.76 to 1.08)</w:t>
            </w:r>
          </w:p>
        </w:tc>
      </w:tr>
      <w:tr>
        <w:trPr>
          <w:cantSplit w:val="true"/>
        </w:trPr>
        <w:tc>
          <w:tcPr>
            <w:tcW w:w="2601"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2005</w:t>
            </w:r>
          </w:p>
        </w:tc>
        <w:tc>
          <w:tcPr>
            <w:tcW w:w="3530" w:type="dxa"/>
            <w:tcBorders>
              <w:left w:val="single" w:sz="2" w:space="0" w:color="000000"/>
            </w:tcBorders>
            <w:shd w:fill="FFFFFF" w:val="clear"/>
            <w:tcMar>
              <w:left w:w="57" w:type="dxa"/>
            </w:tcMar>
            <w:vAlign w:val="center"/>
          </w:tcPr>
          <w:p>
            <w:pPr>
              <w:pStyle w:val="Normal"/>
              <w:spacing w:lineRule="auto" w:line="480" w:before="60" w:after="60"/>
              <w:jc w:val="center"/>
              <w:rPr/>
            </w:pPr>
            <w:r>
              <w:rPr>
                <w:rFonts w:cs="Times New Roman" w:ascii="Times New Roman" w:hAnsi="Times New Roman"/>
                <w:color w:val="000000"/>
                <w:sz w:val="24"/>
                <w:szCs w:val="24"/>
              </w:rPr>
              <w:t>0.91 (0.83 to 1.00)</w:t>
            </w:r>
          </w:p>
        </w:tc>
        <w:tc>
          <w:tcPr>
            <w:tcW w:w="3310" w:type="dxa"/>
            <w:tcBorders>
              <w:left w:val="single" w:sz="2" w:space="0" w:color="000000"/>
            </w:tcBorders>
            <w:shd w:fill="FFFFFF" w:val="clear"/>
            <w:tcMar>
              <w:left w:w="57" w:type="dxa"/>
            </w:tcMar>
            <w:vAlign w:val="center"/>
          </w:tcPr>
          <w:p>
            <w:pPr>
              <w:pStyle w:val="Normal"/>
              <w:spacing w:lineRule="auto" w:line="480" w:before="60" w:after="60"/>
              <w:jc w:val="center"/>
              <w:rPr/>
            </w:pPr>
            <w:r>
              <w:rPr>
                <w:rFonts w:cs="Times New Roman" w:ascii="Times New Roman" w:hAnsi="Times New Roman"/>
                <w:color w:val="000000"/>
                <w:sz w:val="24"/>
                <w:szCs w:val="24"/>
              </w:rPr>
              <w:t>1.11 (0.94 to 1.30)</w:t>
            </w:r>
          </w:p>
        </w:tc>
      </w:tr>
      <w:tr>
        <w:trPr>
          <w:cantSplit w:val="true"/>
        </w:trPr>
        <w:tc>
          <w:tcPr>
            <w:tcW w:w="2601"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2006</w:t>
            </w:r>
          </w:p>
        </w:tc>
        <w:tc>
          <w:tcPr>
            <w:tcW w:w="3530" w:type="dxa"/>
            <w:tcBorders>
              <w:left w:val="single" w:sz="2" w:space="0" w:color="000000"/>
            </w:tcBorders>
            <w:shd w:fill="FFFFFF" w:val="clear"/>
            <w:tcMar>
              <w:left w:w="57" w:type="dxa"/>
            </w:tcMar>
            <w:vAlign w:val="center"/>
          </w:tcPr>
          <w:p>
            <w:pPr>
              <w:pStyle w:val="Normal"/>
              <w:spacing w:lineRule="auto" w:line="480" w:before="60" w:after="60"/>
              <w:jc w:val="center"/>
              <w:rPr/>
            </w:pPr>
            <w:r>
              <w:rPr>
                <w:rFonts w:cs="Times New Roman" w:ascii="Times New Roman" w:hAnsi="Times New Roman"/>
                <w:color w:val="000000"/>
                <w:sz w:val="24"/>
                <w:szCs w:val="24"/>
              </w:rPr>
              <w:t>0.80 (0.73 to 0.88)</w:t>
            </w:r>
          </w:p>
        </w:tc>
        <w:tc>
          <w:tcPr>
            <w:tcW w:w="3310" w:type="dxa"/>
            <w:tcBorders>
              <w:left w:val="single" w:sz="2" w:space="0" w:color="000000"/>
            </w:tcBorders>
            <w:shd w:fill="FFFFFF" w:val="clear"/>
            <w:tcMar>
              <w:left w:w="57" w:type="dxa"/>
            </w:tcMar>
            <w:vAlign w:val="center"/>
          </w:tcPr>
          <w:p>
            <w:pPr>
              <w:pStyle w:val="Normal"/>
              <w:spacing w:lineRule="auto" w:line="480" w:before="60" w:after="60"/>
              <w:jc w:val="center"/>
              <w:rPr/>
            </w:pPr>
            <w:r>
              <w:rPr>
                <w:rFonts w:cs="Times New Roman" w:ascii="Times New Roman" w:hAnsi="Times New Roman"/>
                <w:color w:val="000000"/>
                <w:sz w:val="24"/>
                <w:szCs w:val="24"/>
              </w:rPr>
              <w:t>1.01 (0.85 to 1.20)</w:t>
            </w:r>
          </w:p>
        </w:tc>
      </w:tr>
      <w:tr>
        <w:trPr>
          <w:cantSplit w:val="true"/>
        </w:trPr>
        <w:tc>
          <w:tcPr>
            <w:tcW w:w="2601" w:type="dxa"/>
            <w:tcBorders/>
            <w:shd w:fill="FFFFFF" w:val="clear"/>
          </w:tcPr>
          <w:p>
            <w:pPr>
              <w:pStyle w:val="Normal"/>
              <w:spacing w:lineRule="auto" w:line="480" w:before="60" w:after="60"/>
              <w:ind w:left="106" w:hanging="0"/>
              <w:rPr>
                <w:rFonts w:ascii="Times New Roman" w:hAnsi="Times New Roman" w:cs="Times New Roman"/>
                <w:color w:val="000000"/>
                <w:sz w:val="24"/>
                <w:szCs w:val="24"/>
                <w:lang w:val="fr-FR"/>
              </w:rPr>
            </w:pPr>
            <w:r>
              <w:rPr>
                <w:rFonts w:eastAsia="Times New Roman" w:cs="Times New Roman" w:ascii="Times New Roman" w:hAnsi="Times New Roman"/>
                <w:color w:val="000000"/>
                <w:sz w:val="24"/>
                <w:szCs w:val="24"/>
                <w:lang w:val="fr-FR"/>
              </w:rPr>
              <w:t xml:space="preserve"> </w:t>
            </w:r>
            <w:r>
              <w:rPr>
                <w:rFonts w:cs="Times New Roman" w:ascii="Times New Roman" w:hAnsi="Times New Roman"/>
                <w:color w:val="000000"/>
                <w:sz w:val="24"/>
                <w:szCs w:val="24"/>
                <w:lang w:val="fr-FR"/>
              </w:rPr>
              <w:t>2007</w:t>
            </w:r>
          </w:p>
        </w:tc>
        <w:tc>
          <w:tcPr>
            <w:tcW w:w="3530" w:type="dxa"/>
            <w:tcBorders>
              <w:left w:val="single" w:sz="2" w:space="0" w:color="000000"/>
            </w:tcBorders>
            <w:shd w:fill="FFFFFF" w:val="clear"/>
            <w:tcMar>
              <w:left w:w="57" w:type="dxa"/>
            </w:tcMar>
            <w:vAlign w:val="center"/>
          </w:tcPr>
          <w:p>
            <w:pPr>
              <w:pStyle w:val="Normal"/>
              <w:spacing w:lineRule="auto" w:line="480" w:before="60" w:after="60"/>
              <w:jc w:val="center"/>
              <w:rPr/>
            </w:pPr>
            <w:r>
              <w:rPr>
                <w:rFonts w:cs="Times New Roman" w:ascii="Times New Roman" w:hAnsi="Times New Roman"/>
                <w:color w:val="000000"/>
                <w:sz w:val="24"/>
                <w:szCs w:val="24"/>
              </w:rPr>
              <w:t>0.83 (0.75 to 0.92)</w:t>
            </w:r>
          </w:p>
        </w:tc>
        <w:tc>
          <w:tcPr>
            <w:tcW w:w="3310" w:type="dxa"/>
            <w:tcBorders>
              <w:left w:val="single" w:sz="2" w:space="0" w:color="000000"/>
            </w:tcBorders>
            <w:shd w:fill="FFFFFF" w:val="clear"/>
            <w:tcMar>
              <w:left w:w="57" w:type="dxa"/>
            </w:tcMar>
            <w:vAlign w:val="center"/>
          </w:tcPr>
          <w:p>
            <w:pPr>
              <w:pStyle w:val="Normal"/>
              <w:spacing w:lineRule="auto" w:line="480" w:before="60" w:after="60"/>
              <w:jc w:val="center"/>
              <w:rPr/>
            </w:pPr>
            <w:r>
              <w:rPr>
                <w:rFonts w:cs="Times New Roman" w:ascii="Times New Roman" w:hAnsi="Times New Roman"/>
                <w:color w:val="000000"/>
                <w:sz w:val="24"/>
                <w:szCs w:val="24"/>
              </w:rPr>
              <w:t>0.92 (0.77 to 1.11)</w:t>
            </w:r>
          </w:p>
        </w:tc>
      </w:tr>
      <w:tr>
        <w:trPr>
          <w:cantSplit w:val="true"/>
        </w:trPr>
        <w:tc>
          <w:tcPr>
            <w:tcW w:w="2601"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2008</w:t>
            </w:r>
          </w:p>
        </w:tc>
        <w:tc>
          <w:tcPr>
            <w:tcW w:w="3530" w:type="dxa"/>
            <w:tcBorders>
              <w:left w:val="single" w:sz="2" w:space="0" w:color="000000"/>
            </w:tcBorders>
            <w:shd w:fill="FFFFFF" w:val="clear"/>
            <w:tcMar>
              <w:left w:w="57" w:type="dxa"/>
            </w:tcMar>
            <w:vAlign w:val="center"/>
          </w:tcPr>
          <w:p>
            <w:pPr>
              <w:pStyle w:val="Normal"/>
              <w:spacing w:lineRule="auto" w:line="480" w:before="60" w:after="60"/>
              <w:jc w:val="center"/>
              <w:rPr/>
            </w:pPr>
            <w:r>
              <w:rPr>
                <w:rFonts w:cs="Times New Roman" w:ascii="Times New Roman" w:hAnsi="Times New Roman"/>
                <w:color w:val="000000"/>
                <w:sz w:val="24"/>
                <w:szCs w:val="24"/>
              </w:rPr>
              <w:t>0.88 (0.79 to 0.97)</w:t>
            </w:r>
          </w:p>
        </w:tc>
        <w:tc>
          <w:tcPr>
            <w:tcW w:w="3310" w:type="dxa"/>
            <w:tcBorders>
              <w:left w:val="single" w:sz="2" w:space="0" w:color="000000"/>
            </w:tcBorders>
            <w:shd w:fill="FFFFFF" w:val="clear"/>
            <w:tcMar>
              <w:left w:w="57" w:type="dxa"/>
            </w:tcMar>
            <w:vAlign w:val="center"/>
          </w:tcPr>
          <w:p>
            <w:pPr>
              <w:pStyle w:val="Normal"/>
              <w:spacing w:lineRule="auto" w:line="480" w:before="60" w:after="60"/>
              <w:jc w:val="center"/>
              <w:rPr/>
            </w:pPr>
            <w:r>
              <w:rPr>
                <w:rFonts w:cs="Times New Roman" w:ascii="Times New Roman" w:hAnsi="Times New Roman"/>
                <w:color w:val="000000"/>
                <w:sz w:val="24"/>
                <w:szCs w:val="24"/>
              </w:rPr>
              <w:t>1.02 (0.85 to 1.21)</w:t>
            </w:r>
          </w:p>
        </w:tc>
      </w:tr>
      <w:tr>
        <w:trPr>
          <w:cantSplit w:val="true"/>
        </w:trPr>
        <w:tc>
          <w:tcPr>
            <w:tcW w:w="2601" w:type="dxa"/>
            <w:tcBorders>
              <w:top w:val="single" w:sz="2" w:space="0" w:color="000000"/>
            </w:tcBorders>
            <w:shd w:fill="FFFFFF" w:val="clear"/>
          </w:tcPr>
          <w:p>
            <w:pPr>
              <w:pStyle w:val="Normal"/>
              <w:spacing w:lineRule="auto" w:line="480" w:before="60" w:after="60"/>
              <w:rPr>
                <w:rFonts w:ascii="Times New Roman" w:hAnsi="Times New Roman" w:cs="Times New Roman"/>
                <w:color w:val="000000"/>
                <w:sz w:val="24"/>
                <w:szCs w:val="24"/>
              </w:rPr>
            </w:pPr>
            <w:r>
              <w:rPr>
                <w:rFonts w:cs="Times New Roman" w:ascii="Times New Roman" w:hAnsi="Times New Roman"/>
                <w:color w:val="000000"/>
                <w:sz w:val="24"/>
                <w:szCs w:val="24"/>
              </w:rPr>
              <w:t>Gender</w:t>
            </w:r>
          </w:p>
        </w:tc>
        <w:tc>
          <w:tcPr>
            <w:tcW w:w="353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331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601"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Male (reference)</w:t>
            </w:r>
          </w:p>
        </w:tc>
        <w:tc>
          <w:tcPr>
            <w:tcW w:w="353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1.00</w:t>
            </w:r>
          </w:p>
        </w:tc>
        <w:tc>
          <w:tcPr>
            <w:tcW w:w="33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1.00</w:t>
            </w:r>
          </w:p>
        </w:tc>
      </w:tr>
      <w:tr>
        <w:trPr>
          <w:cantSplit w:val="true"/>
        </w:trPr>
        <w:tc>
          <w:tcPr>
            <w:tcW w:w="2601" w:type="dxa"/>
            <w:tcBorders>
              <w:bottom w:val="single" w:sz="2" w:space="0" w:color="000000"/>
              <w:insideH w:val="single" w:sz="2" w:space="0" w:color="000000"/>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Female</w:t>
            </w:r>
          </w:p>
        </w:tc>
        <w:tc>
          <w:tcPr>
            <w:tcW w:w="3530" w:type="dxa"/>
            <w:tcBorders>
              <w:left w:val="single" w:sz="2" w:space="0" w:color="000000"/>
              <w:bottom w:val="single" w:sz="2" w:space="0" w:color="000000"/>
              <w:insideH w:val="single" w:sz="2" w:space="0" w:color="000000"/>
            </w:tcBorders>
            <w:shd w:fill="FFFFFF" w:val="clear"/>
            <w:tcMar>
              <w:left w:w="57" w:type="dxa"/>
            </w:tcMar>
            <w:vAlign w:val="center"/>
          </w:tcPr>
          <w:p>
            <w:pPr>
              <w:pStyle w:val="Normal"/>
              <w:spacing w:lineRule="auto" w:line="480" w:before="60" w:after="60"/>
              <w:jc w:val="center"/>
              <w:rPr/>
            </w:pPr>
            <w:r>
              <w:rPr>
                <w:rFonts w:cs="Times New Roman" w:ascii="Times New Roman" w:hAnsi="Times New Roman"/>
                <w:color w:val="000000"/>
                <w:sz w:val="24"/>
                <w:szCs w:val="24"/>
              </w:rPr>
              <w:t>1.13 (1.02 to 1.24)</w:t>
            </w:r>
          </w:p>
        </w:tc>
        <w:tc>
          <w:tcPr>
            <w:tcW w:w="3310" w:type="dxa"/>
            <w:tcBorders>
              <w:left w:val="single" w:sz="2" w:space="0" w:color="000000"/>
              <w:bottom w:val="single" w:sz="2" w:space="0" w:color="000000"/>
              <w:insideH w:val="single" w:sz="2" w:space="0" w:color="000000"/>
            </w:tcBorders>
            <w:shd w:fill="FFFFFF" w:val="clear"/>
            <w:tcMar>
              <w:left w:w="57" w:type="dxa"/>
            </w:tcMar>
            <w:vAlign w:val="center"/>
          </w:tcPr>
          <w:p>
            <w:pPr>
              <w:pStyle w:val="Normal"/>
              <w:spacing w:lineRule="auto" w:line="480" w:before="60" w:after="60"/>
              <w:jc w:val="center"/>
              <w:rPr/>
            </w:pPr>
            <w:r>
              <w:rPr>
                <w:rFonts w:cs="Times New Roman" w:ascii="Times New Roman" w:hAnsi="Times New Roman"/>
                <w:color w:val="000000"/>
                <w:sz w:val="24"/>
                <w:szCs w:val="24"/>
              </w:rPr>
              <w:t>0.91 (0.77 to 1.07)</w:t>
            </w:r>
          </w:p>
        </w:tc>
      </w:tr>
      <w:tr>
        <w:trPr>
          <w:cantSplit w:val="true"/>
        </w:trPr>
        <w:tc>
          <w:tcPr>
            <w:tcW w:w="2601" w:type="dxa"/>
            <w:tcBorders>
              <w:top w:val="single" w:sz="2" w:space="0" w:color="000000"/>
            </w:tcBorders>
            <w:shd w:fill="FFFFFF" w:val="clear"/>
          </w:tcPr>
          <w:p>
            <w:pPr>
              <w:pStyle w:val="Normal"/>
              <w:spacing w:lineRule="auto" w:line="480" w:before="60" w:after="60"/>
              <w:rPr>
                <w:rFonts w:ascii="Times New Roman" w:hAnsi="Times New Roman" w:cs="Times New Roman"/>
                <w:color w:val="000000"/>
                <w:sz w:val="24"/>
                <w:szCs w:val="24"/>
                <w:vertAlign w:val="superscript"/>
              </w:rPr>
            </w:pPr>
            <w:r>
              <w:rPr>
                <w:rFonts w:cs="Times New Roman" w:ascii="Times New Roman" w:hAnsi="Times New Roman"/>
                <w:color w:val="000000"/>
                <w:sz w:val="24"/>
                <w:szCs w:val="24"/>
              </w:rPr>
              <w:t>Socioeconomic Status</w:t>
            </w:r>
          </w:p>
        </w:tc>
        <w:tc>
          <w:tcPr>
            <w:tcW w:w="353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vertAlign w:val="superscript"/>
              </w:rPr>
            </w:pPr>
            <w:r>
              <w:rPr>
                <w:rFonts w:cs="Times New Roman" w:ascii="Times New Roman" w:hAnsi="Times New Roman"/>
                <w:color w:val="000000"/>
                <w:sz w:val="24"/>
                <w:szCs w:val="24"/>
                <w:vertAlign w:val="superscript"/>
              </w:rPr>
            </w:r>
          </w:p>
        </w:tc>
        <w:tc>
          <w:tcPr>
            <w:tcW w:w="3310" w:type="dxa"/>
            <w:tcBorders>
              <w:top w:val="single" w:sz="2" w:space="0" w:color="000000"/>
              <w:left w:val="single" w:sz="2" w:space="0" w:color="000000"/>
            </w:tcBorders>
            <w:shd w:fill="FFFFFF" w:val="clear"/>
            <w:tcMar>
              <w:left w:w="57" w:type="dxa"/>
            </w:tcMar>
          </w:tcPr>
          <w:p>
            <w:pPr>
              <w:pStyle w:val="Normal"/>
              <w:snapToGrid w:val="false"/>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cantSplit w:val="true"/>
        </w:trPr>
        <w:tc>
          <w:tcPr>
            <w:tcW w:w="2601"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High (reference)</w:t>
            </w:r>
          </w:p>
        </w:tc>
        <w:tc>
          <w:tcPr>
            <w:tcW w:w="353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1.00</w:t>
            </w:r>
          </w:p>
        </w:tc>
        <w:tc>
          <w:tcPr>
            <w:tcW w:w="3310" w:type="dxa"/>
            <w:tcBorders>
              <w:left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1.00</w:t>
            </w:r>
          </w:p>
        </w:tc>
      </w:tr>
      <w:tr>
        <w:trPr>
          <w:cantSplit w:val="true"/>
        </w:trPr>
        <w:tc>
          <w:tcPr>
            <w:tcW w:w="2601" w:type="dxa"/>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Low</w:t>
            </w:r>
            <w:r>
              <w:rPr>
                <w:rFonts w:cs="Times New Roman" w:ascii="Times New Roman" w:hAnsi="Times New Roman"/>
                <w:b/>
                <w:sz w:val="24"/>
                <w:szCs w:val="24"/>
                <w:vertAlign w:val="superscript"/>
              </w:rPr>
              <w:t>†</w:t>
            </w:r>
          </w:p>
        </w:tc>
        <w:tc>
          <w:tcPr>
            <w:tcW w:w="3530" w:type="dxa"/>
            <w:tcBorders>
              <w:left w:val="single" w:sz="2" w:space="0" w:color="000000"/>
            </w:tcBorders>
            <w:shd w:fill="FFFFFF" w:val="clear"/>
            <w:tcMar>
              <w:left w:w="57" w:type="dxa"/>
            </w:tcMar>
          </w:tcPr>
          <w:p>
            <w:pPr>
              <w:pStyle w:val="Normal"/>
              <w:keepNext/>
              <w:spacing w:lineRule="auto" w:line="480" w:before="60" w:after="60"/>
              <w:jc w:val="center"/>
              <w:rPr/>
            </w:pPr>
            <w:r>
              <w:rPr>
                <w:rFonts w:cs="Times New Roman" w:ascii="Times New Roman" w:hAnsi="Times New Roman"/>
                <w:color w:val="000000"/>
                <w:sz w:val="24"/>
                <w:szCs w:val="24"/>
              </w:rPr>
              <w:t>1.22 (1.14 to 1.30)</w:t>
            </w:r>
          </w:p>
        </w:tc>
        <w:tc>
          <w:tcPr>
            <w:tcW w:w="3310" w:type="dxa"/>
            <w:tcBorders>
              <w:left w:val="single" w:sz="2" w:space="0" w:color="000000"/>
            </w:tcBorders>
            <w:shd w:fill="FFFFFF" w:val="clear"/>
            <w:tcMar>
              <w:left w:w="57" w:type="dxa"/>
            </w:tcMar>
          </w:tcPr>
          <w:p>
            <w:pPr>
              <w:pStyle w:val="Normal"/>
              <w:keepNext/>
              <w:spacing w:lineRule="auto" w:line="480" w:before="60" w:after="60"/>
              <w:jc w:val="center"/>
              <w:rPr/>
            </w:pPr>
            <w:r>
              <w:rPr>
                <w:rFonts w:cs="Times New Roman" w:ascii="Times New Roman" w:hAnsi="Times New Roman"/>
                <w:color w:val="000000"/>
                <w:sz w:val="24"/>
                <w:szCs w:val="24"/>
              </w:rPr>
              <w:t>1.28 (1.15 to 1.43)</w:t>
            </w:r>
          </w:p>
        </w:tc>
      </w:tr>
      <w:tr>
        <w:trPr>
          <w:cantSplit w:val="true"/>
        </w:trPr>
        <w:tc>
          <w:tcPr>
            <w:tcW w:w="2601" w:type="dxa"/>
            <w:tcBorders>
              <w:top w:val="single" w:sz="2" w:space="0" w:color="000000"/>
              <w:bottom w:val="single" w:sz="2" w:space="0" w:color="000000"/>
              <w:insideH w:val="single" w:sz="2" w:space="0" w:color="000000"/>
            </w:tcBorders>
            <w:shd w:fill="FFFFFF" w:val="clear"/>
          </w:tcPr>
          <w:p>
            <w:pPr>
              <w:pStyle w:val="Normal"/>
              <w:spacing w:lineRule="auto" w:line="480" w:before="60" w:after="60"/>
              <w:ind w:left="106" w:hanging="0"/>
              <w:rPr>
                <w:rFonts w:ascii="Times New Roman" w:hAnsi="Times New Roman" w:cs="Times New Roman"/>
                <w:color w:val="000000"/>
                <w:sz w:val="24"/>
                <w:szCs w:val="24"/>
              </w:rPr>
            </w:pPr>
            <w:r>
              <w:rPr>
                <w:rFonts w:cs="Times New Roman" w:ascii="Times New Roman" w:hAnsi="Times New Roman"/>
                <w:color w:val="000000"/>
                <w:sz w:val="24"/>
                <w:szCs w:val="24"/>
              </w:rPr>
              <w:t>Recent Immigrant</w:t>
            </w:r>
          </w:p>
        </w:tc>
        <w:tc>
          <w:tcPr>
            <w:tcW w:w="3530" w:type="dxa"/>
            <w:tcBorders>
              <w:top w:val="single" w:sz="2" w:space="0" w:color="000000"/>
              <w:left w:val="single" w:sz="2" w:space="0" w:color="000000"/>
              <w:bottom w:val="single" w:sz="2" w:space="0" w:color="000000"/>
              <w:insideH w:val="single" w:sz="2" w:space="0" w:color="000000"/>
            </w:tcBorders>
            <w:shd w:fill="FFFFFF" w:val="clear"/>
            <w:tcMar>
              <w:left w:w="57" w:type="dxa"/>
            </w:tcMar>
          </w:tcPr>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t>0.70 (0.61 to 0.8)</w:t>
            </w:r>
          </w:p>
          <w:p>
            <w:pPr>
              <w:pStyle w:val="Normal"/>
              <w:spacing w:lineRule="auto" w:line="480" w:before="60" w:after="6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3310" w:type="dxa"/>
            <w:tcBorders>
              <w:top w:val="single" w:sz="2" w:space="0" w:color="000000"/>
              <w:left w:val="single" w:sz="2" w:space="0" w:color="000000"/>
              <w:bottom w:val="single" w:sz="2" w:space="0" w:color="000000"/>
              <w:insideH w:val="single" w:sz="2" w:space="0" w:color="000000"/>
            </w:tcBorders>
            <w:shd w:fill="FFFFFF" w:val="clear"/>
            <w:tcMar>
              <w:left w:w="57" w:type="dxa"/>
            </w:tcMar>
          </w:tcPr>
          <w:p>
            <w:pPr>
              <w:pStyle w:val="Normal"/>
              <w:spacing w:lineRule="auto" w:line="480" w:before="60" w:after="60"/>
              <w:jc w:val="center"/>
              <w:rPr/>
            </w:pPr>
            <w:r>
              <w:rPr>
                <w:rFonts w:cs="Times New Roman" w:ascii="Times New Roman" w:hAnsi="Times New Roman"/>
                <w:color w:val="000000"/>
                <w:sz w:val="24"/>
                <w:szCs w:val="24"/>
              </w:rPr>
              <w:t>0.76 (0.60 to 0.96)</w:t>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color w:val="000000"/>
          <w:sz w:val="24"/>
          <w:szCs w:val="24"/>
          <w:vertAlign w:val="superscript"/>
        </w:rPr>
        <w:t>*</w:t>
      </w:r>
      <w:r>
        <w:rPr>
          <w:rFonts w:cs="Times New Roman" w:ascii="Times New Roman" w:hAnsi="Times New Roman"/>
          <w:sz w:val="24"/>
          <w:szCs w:val="24"/>
        </w:rPr>
        <w:t>Models also adjusted for age, years HIV-positive, number of outpatient visits per annum, geographic residence (urban vs. rural) and level of co-morbidity using the Johns Hopkins Adjusted Clinical Group case-mix assignment software.  Because number of outpatient visits may be on the causal pathway to the outcome, we repeated our analyses without this variable and attained similar estimates.</w:t>
      </w:r>
    </w:p>
    <w:p>
      <w:pPr>
        <w:pStyle w:val="Normal"/>
        <w:spacing w:lineRule="auto" w:line="480"/>
        <w:rPr/>
      </w:pPr>
      <w:r>
        <w:rPr>
          <w:rFonts w:eastAsia="Times New Roman" w:cs="Times New Roman" w:ascii="Times New Roman" w:hAnsi="Times New Roman"/>
          <w:b/>
          <w:sz w:val="24"/>
          <w:szCs w:val="24"/>
          <w:vertAlign w:val="superscript"/>
        </w:rPr>
        <w:t>†</w:t>
      </w:r>
      <w:r>
        <w:rPr>
          <w:rFonts w:eastAsia="Times New Roman" w:cs="Times New Roman" w:ascii="Times New Roman" w:hAnsi="Times New Roman"/>
          <w:b/>
          <w:sz w:val="24"/>
          <w:szCs w:val="24"/>
        </w:rPr>
        <w:t xml:space="preserve"> </w:t>
      </w:r>
      <w:r>
        <w:rPr>
          <w:rFonts w:cs="Times New Roman" w:ascii="Times New Roman" w:hAnsi="Times New Roman"/>
          <w:sz w:val="24"/>
          <w:szCs w:val="24"/>
        </w:rPr>
        <w:t>Patients in lowest two lowest quintile groups.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Figure Legends</w:t>
      </w:r>
    </w:p>
    <w:p>
      <w:pPr>
        <w:pStyle w:val="Normal"/>
        <w:spacing w:lineRule="auto" w:line="480"/>
        <w:rPr/>
      </w:pPr>
      <w:r>
        <w:rPr>
          <w:rFonts w:cs="Times New Roman" w:ascii="Times New Roman" w:hAnsi="Times New Roman"/>
          <w:sz w:val="24"/>
          <w:szCs w:val="24"/>
        </w:rPr>
        <w:t>Figure 1: Hospitalization Rates among Persons Living with HIV in Ontario, 1992 -2008, stratified by sex</w:t>
      </w:r>
    </w:p>
    <w:p>
      <w:pPr>
        <w:pStyle w:val="Normal"/>
        <w:spacing w:lineRule="auto" w:line="480" w:before="240" w:after="200"/>
        <w:rPr/>
      </w:pPr>
      <w:r>
        <w:rPr>
          <w:rFonts w:cs="Times New Roman" w:ascii="Times New Roman" w:hAnsi="Times New Roman"/>
          <w:sz w:val="24"/>
          <w:szCs w:val="24"/>
        </w:rPr>
        <w:t>Figure 2: Hospitalization Rates among Persons Living with HIV in Ontario, 1992-2008, stratified by socioeconomic status (SES)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drawing>
          <wp:inline distT="0" distB="0" distL="0" distR="0">
            <wp:extent cx="5939155" cy="44183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39155" cy="4418330"/>
                    </a:xfrm>
                    <a:prstGeom prst="rect">
                      <a:avLst/>
                    </a:prstGeom>
                    <a:noFill/>
                    <a:ln w="9525">
                      <a:noFill/>
                      <a:miter lim="800000"/>
                      <a:headEnd/>
                      <a:tailEnd/>
                    </a:ln>
                  </pic:spPr>
                </pic:pic>
              </a:graphicData>
            </a:graphic>
          </wp:inline>
        </w:drawing>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drawing>
          <wp:inline distT="0" distB="0" distL="0" distR="0">
            <wp:extent cx="5480050" cy="389128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480050" cy="3891280"/>
                    </a:xfrm>
                    <a:prstGeom prst="rect">
                      <a:avLst/>
                    </a:prstGeom>
                    <a:noFill/>
                    <a:ln w="9525">
                      <a:noFill/>
                      <a:miter lim="800000"/>
                      <a:headEnd/>
                      <a:tailEnd/>
                    </a:ln>
                  </pic:spPr>
                </pic:pic>
              </a:graphicData>
            </a:graphic>
          </wp:inline>
        </w:drawing>
      </w:r>
    </w:p>
    <w:p>
      <w:pPr>
        <w:pStyle w:val="Normal"/>
        <w:spacing w:lineRule="auto" w:line="480" w:before="0" w:after="200"/>
        <w:rPr>
          <w:rFonts w:ascii="Times New Roman" w:hAnsi="Times New Roman" w:cs="Times New Roman"/>
          <w:sz w:val="24"/>
          <w:szCs w:val="24"/>
        </w:rPr>
      </w:pPr>
      <w:r>
        <w:rPr>
          <w:rFonts w:cs="Times New Roman" w:ascii="Times New Roman" w:hAnsi="Times New Roman"/>
          <w:sz w:val="24"/>
          <w:szCs w:val="24"/>
        </w:rPr>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charset w:val="00"/>
    <w:family w:val="swiss"/>
    <w:pitch w:val="variable"/>
  </w:font>
  <w:font w:name="Verdana">
    <w:charset w:val="00"/>
    <w:family w:val="swiss"/>
    <w:pitch w:val="variable"/>
  </w:font>
  <w:font w:name="Arial Unicode MS">
    <w:charset w:val="80"/>
    <w:family w:val="swiss"/>
    <w:pitch w:val="variable"/>
  </w:font>
  <w:font w:name="Liberation Sans">
    <w:altName w:val="Arial"/>
    <w:charset w:val="01"/>
    <w:family w:val="swiss"/>
    <w:pitch w:val="variable"/>
  </w:font>
  <w:font w:name="Tahoma">
    <w:charset w:val="00"/>
    <w:family w:val="swiss"/>
    <w:pitch w:val="variable"/>
  </w:font>
  <w:font w:name="Quadraat-Regular">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right"/>
      <w:rPr/>
    </w:pPr>
    <w:r>
      <w:rPr/>
    </w:r>
    <w:r>
      <mc:AlternateContent>
        <mc:Choice Requires="wps">
          <w:drawing>
            <wp:anchor behindDoc="0" distT="0" distB="0" distL="0" distR="0" simplePos="0" locked="0" layoutInCell="1" allowOverlap="1" relativeHeight="27">
              <wp:simplePos x="0" y="0"/>
              <wp:positionH relativeFrom="margin">
                <wp:align>right</wp:align>
              </wp:positionH>
              <wp:positionV relativeFrom="paragraph">
                <wp:posOffset>635</wp:posOffset>
              </wp:positionV>
              <wp:extent cx="178435" cy="162560"/>
              <wp:effectExtent l="0" t="0" r="0" b="0"/>
              <wp:wrapSquare wrapText="largest"/>
              <wp:docPr id="1" name="Frame1"/>
              <a:graphic xmlns:a="http://schemas.openxmlformats.org/drawingml/2006/main">
                <a:graphicData uri="http://schemas.microsoft.com/office/word/2010/wordprocessingShape">
                  <wps:wsp>
                    <wps:cNvSpPr txBox="1"/>
                    <wps:spPr>
                      <a:xfrm>
                        <a:off x="0" y="0"/>
                        <a:ext cx="178435" cy="162560"/>
                      </a:xfrm>
                      <a:prstGeom prst="rect"/>
                      <a:solidFill>
                        <a:srgbClr val="FFFFFF">
                          <a:alpha val="0"/>
                        </a:srgbClr>
                      </a:solidFill>
                    </wps:spPr>
                    <wps:txbx>
                      <w:txbxContent>
                        <w:p>
                          <w:pPr>
                            <w:pStyle w:val="Footer"/>
                            <w:tabs>
                              <w:tab w:val="center" w:pos="4680" w:leader="none"/>
                              <w:tab w:val="right" w:pos="9360" w:leader="none"/>
                            </w:tabs>
                            <w:spacing w:before="0" w:after="200"/>
                            <w:rPr>
                              <w:rStyle w:val="PageNumber"/>
                            </w:rPr>
                          </w:pPr>
                          <w:r>
                            <w:rPr>
                              <w:rStyle w:val="PageNumber"/>
                            </w:rPr>
                            <w:fldChar w:fldCharType="begin"/>
                          </w:r>
                          <w:r>
                            <w:instrText> PAGE </w:instrText>
                          </w:r>
                          <w:r>
                            <w:fldChar w:fldCharType="separate"/>
                          </w:r>
                          <w:r>
                            <w:t>24</w:t>
                          </w:r>
                          <w:r>
                            <w:fldChar w:fldCharType="end"/>
                          </w:r>
                        </w:p>
                      </w:txbxContent>
                    </wps:txbx>
                    <wps:bodyPr anchor="t">
                      <a:noAutofit/>
                    </wps:bodyPr>
                  </wps:wsp>
                </a:graphicData>
              </a:graphic>
            </wp:anchor>
          </w:drawing>
        </mc:Choice>
        <mc:Fallback>
          <w:pict>
            <v:rect fillcolor="#FFFFFF" style="position:absolute;rotation:0;width:14.05pt;height:12.8pt;margin-top:0.05pt;mso-position-vertical-relative:text;margin-left:453.95pt;mso-position-horizontal:right;mso-position-horizontal-relative:margin">
              <v:fill opacity="0f"/>
              <v:textbox>
                <w:txbxContent>
                  <w:p>
                    <w:pPr>
                      <w:pStyle w:val="Footer"/>
                      <w:tabs>
                        <w:tab w:val="center" w:pos="4680" w:leader="none"/>
                        <w:tab w:val="right" w:pos="9360" w:leader="none"/>
                      </w:tabs>
                      <w:spacing w:before="0" w:after="200"/>
                      <w:rPr>
                        <w:rStyle w:val="PageNumber"/>
                      </w:rPr>
                    </w:pPr>
                    <w:r>
                      <w:rPr>
                        <w:rStyle w:val="PageNumber"/>
                      </w:rPr>
                      <w:fldChar w:fldCharType="begin"/>
                    </w:r>
                    <w:r>
                      <w:instrText> PAGE </w:instrText>
                    </w:r>
                    <w:r>
                      <w:fldChar w:fldCharType="separate"/>
                    </w:r>
                    <w:r>
                      <w:t>24</w:t>
                    </w:r>
                    <w:r>
                      <w:fldChar w:fldCharType="end"/>
                    </w:r>
                  </w:p>
                </w:txbxContent>
              </v:textbox>
              <w10:wrap type="square" side="largest"/>
            </v:rect>
          </w:pict>
        </mc:Fallback>
      </mc:AlternateContent>
    </w:r>
  </w:p>
  <w:p>
    <w:pPr>
      <w:pStyle w:val="Footer"/>
      <w:tabs>
        <w:tab w:val="center" w:pos="4680" w:leader="none"/>
        <w:tab w:val="right" w:pos="9360"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right"/>
      <w:rPr/>
    </w:pPr>
    <w:r>
      <w:rPr/>
    </w:r>
    <w:r>
      <mc:AlternateContent>
        <mc:Choice Requires="wps">
          <w:drawing>
            <wp:anchor behindDoc="0" distT="0" distB="0" distL="0" distR="0" simplePos="0" locked="0" layoutInCell="1" allowOverlap="1" relativeHeight="29">
              <wp:simplePos x="0" y="0"/>
              <wp:positionH relativeFrom="margin">
                <wp:align>right</wp:align>
              </wp:positionH>
              <wp:positionV relativeFrom="paragraph">
                <wp:posOffset>635</wp:posOffset>
              </wp:positionV>
              <wp:extent cx="178435" cy="162560"/>
              <wp:effectExtent l="0" t="0" r="0" b="0"/>
              <wp:wrapSquare wrapText="largest"/>
              <wp:docPr id="2" name="Frame2"/>
              <a:graphic xmlns:a="http://schemas.openxmlformats.org/drawingml/2006/main">
                <a:graphicData uri="http://schemas.microsoft.com/office/word/2010/wordprocessingShape">
                  <wps:wsp>
                    <wps:cNvSpPr txBox="1"/>
                    <wps:spPr>
                      <a:xfrm>
                        <a:off x="0" y="0"/>
                        <a:ext cx="178435" cy="162560"/>
                      </a:xfrm>
                      <a:prstGeom prst="rect"/>
                      <a:solidFill>
                        <a:srgbClr val="FFFFFF">
                          <a:alpha val="0"/>
                        </a:srgbClr>
                      </a:solidFill>
                    </wps:spPr>
                    <wps:txbx>
                      <w:txbxContent>
                        <w:p>
                          <w:pPr>
                            <w:pStyle w:val="Footer"/>
                            <w:tabs>
                              <w:tab w:val="center" w:pos="4680" w:leader="none"/>
                              <w:tab w:val="right" w:pos="9360" w:leader="none"/>
                            </w:tabs>
                            <w:spacing w:before="0" w:after="200"/>
                            <w:rPr/>
                          </w:pPr>
                          <w:r>
                            <w:rPr>
                              <w:rStyle w:val="PageNumber"/>
                            </w:rPr>
                            <w:fldChar w:fldCharType="begin"/>
                          </w:r>
                          <w:r>
                            <w:instrText> PAGE </w:instrText>
                          </w:r>
                          <w:r>
                            <w:fldChar w:fldCharType="separate"/>
                          </w:r>
                          <w:r>
                            <w:t>26</w:t>
                          </w:r>
                          <w:r>
                            <w:fldChar w:fldCharType="end"/>
                          </w:r>
                        </w:p>
                      </w:txbxContent>
                    </wps:txbx>
                    <wps:bodyPr anchor="t">
                      <a:noAutofit/>
                    </wps:bodyPr>
                  </wps:wsp>
                </a:graphicData>
              </a:graphic>
            </wp:anchor>
          </w:drawing>
        </mc:Choice>
        <mc:Fallback>
          <w:pict>
            <v:rect fillcolor="#FFFFFF" style="position:absolute;rotation:0;width:14.05pt;height:12.8pt;margin-top:0.05pt;mso-position-vertical-relative:text;margin-left:633.95pt;mso-position-horizontal:right;mso-position-horizontal-relative:margin">
              <v:fill opacity="0f"/>
              <v:textbox>
                <w:txbxContent>
                  <w:p>
                    <w:pPr>
                      <w:pStyle w:val="Footer"/>
                      <w:tabs>
                        <w:tab w:val="center" w:pos="4680" w:leader="none"/>
                        <w:tab w:val="right" w:pos="9360" w:leader="none"/>
                      </w:tabs>
                      <w:spacing w:before="0" w:after="200"/>
                      <w:rPr/>
                    </w:pPr>
                    <w:r>
                      <w:rPr>
                        <w:rStyle w:val="PageNumber"/>
                      </w:rPr>
                      <w:fldChar w:fldCharType="begin"/>
                    </w:r>
                    <w:r>
                      <w:instrText> PAGE </w:instrText>
                    </w:r>
                    <w:r>
                      <w:fldChar w:fldCharType="separate"/>
                    </w:r>
                    <w:r>
                      <w:t>26</w:t>
                    </w:r>
                    <w:r>
                      <w:fldChar w:fldCharType="end"/>
                    </w:r>
                  </w:p>
                </w:txbxContent>
              </v:textbox>
              <w10:wrap type="square" side="largest"/>
            </v:rect>
          </w:pict>
        </mc:Fallback>
      </mc:AlternateContent>
    </w:r>
  </w:p>
  <w:p>
    <w:pPr>
      <w:pStyle w:val="Footer"/>
      <w:tabs>
        <w:tab w:val="center" w:pos="4680" w:leader="none"/>
        <w:tab w:val="right" w:pos="9360" w:leader="none"/>
      </w:tabs>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right"/>
      <w:rPr/>
    </w:pPr>
    <w:r>
      <w:rPr/>
    </w:r>
    <w:r>
      <mc:AlternateContent>
        <mc:Choice Requires="wps">
          <w:drawing>
            <wp:anchor behindDoc="0" distT="0" distB="0" distL="0" distR="0" simplePos="0" locked="0" layoutInCell="1" allowOverlap="1" relativeHeight="34">
              <wp:simplePos x="0" y="0"/>
              <wp:positionH relativeFrom="margin">
                <wp:align>right</wp:align>
              </wp:positionH>
              <wp:positionV relativeFrom="paragraph">
                <wp:posOffset>635</wp:posOffset>
              </wp:positionV>
              <wp:extent cx="178435" cy="162560"/>
              <wp:effectExtent l="0" t="0" r="0" b="0"/>
              <wp:wrapSquare wrapText="largest"/>
              <wp:docPr id="5" name="Frame3"/>
              <a:graphic xmlns:a="http://schemas.openxmlformats.org/drawingml/2006/main">
                <a:graphicData uri="http://schemas.microsoft.com/office/word/2010/wordprocessingShape">
                  <wps:wsp>
                    <wps:cNvSpPr txBox="1"/>
                    <wps:spPr>
                      <a:xfrm>
                        <a:off x="0" y="0"/>
                        <a:ext cx="178435" cy="162560"/>
                      </a:xfrm>
                      <a:prstGeom prst="rect"/>
                      <a:solidFill>
                        <a:srgbClr val="FFFFFF">
                          <a:alpha val="0"/>
                        </a:srgbClr>
                      </a:solidFill>
                    </wps:spPr>
                    <wps:txbx>
                      <w:txbxContent>
                        <w:p>
                          <w:pPr>
                            <w:pStyle w:val="Footer"/>
                            <w:tabs>
                              <w:tab w:val="center" w:pos="4680" w:leader="none"/>
                              <w:tab w:val="right" w:pos="9360" w:leader="none"/>
                            </w:tabs>
                            <w:spacing w:before="0" w:after="200"/>
                            <w:rPr/>
                          </w:pPr>
                          <w:r>
                            <w:rPr>
                              <w:rStyle w:val="PageNumber"/>
                            </w:rPr>
                            <w:fldChar w:fldCharType="begin"/>
                          </w:r>
                          <w:r>
                            <w:instrText> PAGE </w:instrText>
                          </w:r>
                          <w:r>
                            <w:fldChar w:fldCharType="separate"/>
                          </w:r>
                          <w:r>
                            <w:t>31</w:t>
                          </w:r>
                          <w:r>
                            <w:fldChar w:fldCharType="end"/>
                          </w:r>
                        </w:p>
                      </w:txbxContent>
                    </wps:txbx>
                    <wps:bodyPr anchor="t">
                      <a:noAutofit/>
                    </wps:bodyPr>
                  </wps:wsp>
                </a:graphicData>
              </a:graphic>
            </wp:anchor>
          </w:drawing>
        </mc:Choice>
        <mc:Fallback>
          <w:pict>
            <v:rect fillcolor="#FFFFFF" style="position:absolute;rotation:0;width:14.05pt;height:12.8pt;margin-top:0.05pt;mso-position-vertical-relative:text;margin-left:453.95pt;mso-position-horizontal:right;mso-position-horizontal-relative:margin">
              <v:fill opacity="0f"/>
              <v:textbox>
                <w:txbxContent>
                  <w:p>
                    <w:pPr>
                      <w:pStyle w:val="Footer"/>
                      <w:tabs>
                        <w:tab w:val="center" w:pos="4680" w:leader="none"/>
                        <w:tab w:val="right" w:pos="9360" w:leader="none"/>
                      </w:tabs>
                      <w:spacing w:before="0" w:after="200"/>
                      <w:rPr/>
                    </w:pPr>
                    <w:r>
                      <w:rPr>
                        <w:rStyle w:val="PageNumber"/>
                      </w:rPr>
                      <w:fldChar w:fldCharType="begin"/>
                    </w:r>
                    <w:r>
                      <w:instrText> PAGE </w:instrText>
                    </w:r>
                    <w:r>
                      <w:fldChar w:fldCharType="separate"/>
                    </w:r>
                    <w:r>
                      <w:t>31</w:t>
                    </w:r>
                    <w:r>
                      <w:fldChar w:fldCharType="end"/>
                    </w:r>
                  </w:p>
                </w:txbxContent>
              </v:textbox>
              <w10:wrap type="square" side="largest"/>
            </v:rect>
          </w:pict>
        </mc:Fallback>
      </mc:AlternateContent>
    </w:r>
  </w:p>
  <w:p>
    <w:pPr>
      <w:pStyle w:val="Footer"/>
      <w:tabs>
        <w:tab w:val="center" w:pos="4680" w:leader="none"/>
        <w:tab w:val="right" w:pos="9360" w:leader="none"/>
      </w:tab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szCs w:val="24"/>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sz w:val="24"/>
      <w:szCs w:val="24"/>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Abbr">
    <w:name w:val="abbr"/>
    <w:basedOn w:val="DefaultParagraphFont"/>
    <w:qFormat/>
    <w:rPr>
      <w:rFonts w:ascii="Verdana" w:hAnsi="Verdana" w:cs="Verdana"/>
    </w:rPr>
  </w:style>
  <w:style w:type="character" w:styleId="HTMLAcronym">
    <w:name w:val="HTML Acronym"/>
    <w:basedOn w:val="DefaultParagraph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StrongEmphasis">
    <w:name w:val="Strong Emphasis"/>
    <w:basedOn w:val="DefaultParagraphFont"/>
    <w:rPr>
      <w:b/>
      <w:bCs/>
    </w:rPr>
  </w:style>
  <w:style w:type="character" w:styleId="Ti2">
    <w:name w:val="ti2"/>
    <w:basedOn w:val="DefaultParagraphFont"/>
    <w:qFormat/>
    <w:rPr>
      <w:sz w:val="22"/>
      <w:szCs w:val="22"/>
    </w:rPr>
  </w:style>
  <w:style w:type="character" w:styleId="Journalname">
    <w:name w:val="journalname"/>
    <w:basedOn w:val="DefaultParagraphFont"/>
    <w:qFormat/>
    <w:rPr/>
  </w:style>
  <w:style w:type="character" w:styleId="Jrnl">
    <w:name w:val="jrnl"/>
    <w:basedOn w:val="DefaultParagraphFont"/>
    <w:qFormat/>
    <w:rPr/>
  </w:style>
  <w:style w:type="character" w:styleId="HTMLCite">
    <w:name w:val="HTML Cite"/>
    <w:basedOn w:val="DefaultParagraphFont"/>
    <w:qFormat/>
    <w:rPr>
      <w:i/>
      <w:iCs/>
    </w:rPr>
  </w:style>
  <w:style w:type="character" w:styleId="Citsource">
    <w:name w:val="cit-source"/>
    <w:basedOn w:val="DefaultParagraphFont"/>
    <w:qFormat/>
    <w:rPr/>
  </w:style>
  <w:style w:type="character" w:styleId="Citpublloc">
    <w:name w:val="cit-publ-loc"/>
    <w:basedOn w:val="DefaultParagraphFont"/>
    <w:qFormat/>
    <w:rPr/>
  </w:style>
  <w:style w:type="character" w:styleId="Citpubdate">
    <w:name w:val="cit-pub-date"/>
    <w:basedOn w:val="DefaultParagraphFont"/>
    <w:qFormat/>
    <w:rPr/>
  </w:style>
  <w:style w:type="character" w:styleId="HTMLTypewriter">
    <w:name w:val="HTML Typewriter"/>
    <w:basedOn w:val="DefaultParagraphFont"/>
    <w:qFormat/>
    <w:rPr>
      <w:rFonts w:ascii="Arial Unicode MS" w:hAnsi="Arial Unicode MS" w:eastAsia="Arial Unicode MS" w:cs="Arial Unicode MS"/>
      <w:sz w:val="20"/>
      <w:szCs w:val="20"/>
    </w:rPr>
  </w:style>
  <w:style w:type="character" w:styleId="Citarticletitle">
    <w:name w:val="cit-article-title"/>
    <w:basedOn w:val="DefaultParagraphFont"/>
    <w:qFormat/>
    <w:rPr/>
  </w:style>
  <w:style w:type="character" w:styleId="Char1">
    <w:name w:val=" Char1"/>
    <w:basedOn w:val="DefaultParagraphFont"/>
    <w:qFormat/>
    <w:rPr>
      <w:sz w:val="22"/>
      <w:szCs w:val="22"/>
    </w:rPr>
  </w:style>
  <w:style w:type="character" w:styleId="Char">
    <w:name w:val=" Char"/>
    <w:basedOn w:val="DefaultParagraphFont"/>
    <w:qFormat/>
    <w:rPr>
      <w:sz w:val="22"/>
      <w:szCs w:val="22"/>
    </w:rPr>
  </w:style>
  <w:style w:type="character" w:styleId="PageNumber">
    <w:name w:val="Page Number"/>
    <w:basedOn w:val="DefaultParagraphFon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40" w:before="0" w:after="0"/>
    </w:pPr>
    <w:rPr>
      <w:rFonts w:ascii="Times New Roman" w:hAnsi="Times New Roman" w:eastAsia="Times New Roman" w:cs="Times New Roman"/>
      <w:sz w:val="20"/>
      <w:szCs w:val="24"/>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121</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2012-04-27T13:30:00Z</dcterms:created>
  <dc:creator>Valued Acer Customer</dc:creator>
  <dc:language>en-CA</dc:language>
  <cp:lastModifiedBy>TANTONIOU</cp:lastModifiedBy>
  <cp:lastPrinted>2011-12-02T19:12:00Z</cp:lastPrinted>
  <dcterms:modified xsi:type="dcterms:W3CDTF">2012-04-27T15:55:00Z</dcterms:modified>
  <cp:revision>11</cp:revision>
  <dc:title>Socioeconomic- and gender-based disparities in rates of hospitalization among HIV-infected patients in a setting of universal </dc:title>
</cp:coreProperties>
</file>