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autoSpaceDE w:val="false"/>
        <w:spacing w:lineRule="auto" w:line="480" w:before="0" w:after="0"/>
        <w:jc w:val="center"/>
        <w:rPr>
          <w:b/>
          <w:b/>
        </w:rPr>
      </w:pPr>
      <w:r>
        <w:rPr>
          <w:b/>
        </w:rPr>
        <w:t>Rare Diseases:  Canada’s “Research Orphans”</w:t>
      </w:r>
    </w:p>
    <w:p>
      <w:pPr>
        <w:pStyle w:val="Normal"/>
        <w:autoSpaceDE w:val="false"/>
        <w:spacing w:lineRule="auto" w:line="480" w:before="280" w:after="280"/>
        <w:rPr/>
      </w:pPr>
      <w:r>
        <w:rPr/>
        <w:t>Gupta S, MD, MSc</w:t>
      </w:r>
      <w:r>
        <w:rPr>
          <w:vertAlign w:val="superscript"/>
        </w:rPr>
        <w:t>1,2,3</w:t>
      </w:r>
    </w:p>
    <w:p>
      <w:pPr>
        <w:pStyle w:val="Heading2"/>
        <w:numPr>
          <w:ilvl w:val="1"/>
          <w:numId w:val="1"/>
        </w:numPr>
        <w:rPr>
          <w:b w:val="false"/>
          <w:b w:val="false"/>
          <w:sz w:val="24"/>
          <w:szCs w:val="24"/>
        </w:rPr>
      </w:pPr>
      <w:r>
        <w:rPr>
          <w:b w:val="false"/>
          <w:color w:val="111111"/>
          <w:sz w:val="24"/>
          <w:szCs w:val="24"/>
        </w:rPr>
        <w:t xml:space="preserve">Dr. Gupta is an </w:t>
      </w:r>
      <w:r>
        <w:rPr>
          <w:b w:val="false"/>
          <w:bCs w:val="false"/>
          <w:sz w:val="24"/>
          <w:szCs w:val="24"/>
        </w:rPr>
        <w:t>Assistant Professor in the Department of Medicine and the Division of Respirology at the University of Toronto and an adjunct scientist at t</w:t>
      </w:r>
      <w:r>
        <w:rPr>
          <w:b w:val="false"/>
          <w:sz w:val="24"/>
          <w:szCs w:val="24"/>
        </w:rPr>
        <w:t>he Keenan Research Centre in the Li Ka Shing Knowledge Institute of St. Michael's  Hospital, Toronto, Ontario.  He is the Director of the Rare Lung Disease Research Program at St. Michael’s Hospital.</w:t>
      </w:r>
    </w:p>
    <w:p>
      <w:pPr>
        <w:pStyle w:val="Box"/>
        <w:rPr>
          <w:rFonts w:ascii="Times New Roman" w:hAnsi="Times New Roman" w:cs="Times New Roman"/>
          <w:b/>
          <w:b/>
          <w:sz w:val="24"/>
          <w:szCs w:val="24"/>
        </w:rPr>
      </w:pPr>
      <w:r>
        <w:rPr>
          <w:rFonts w:cs="Times New Roman" w:ascii="Times New Roman" w:hAnsi="Times New Roman"/>
          <w:b/>
          <w:sz w:val="24"/>
          <w:szCs w:val="24"/>
        </w:rPr>
      </w:r>
    </w:p>
    <w:p>
      <w:pPr>
        <w:pStyle w:val="Box"/>
        <w:rPr>
          <w:rFonts w:ascii="Times New Roman" w:hAnsi="Times New Roman" w:cs="Times New Roman"/>
        </w:rPr>
      </w:pPr>
      <w:r>
        <w:rPr>
          <w:rFonts w:cs="Times New Roman" w:ascii="Times New Roman" w:hAnsi="Times New Roman"/>
        </w:rPr>
      </w:r>
    </w:p>
    <w:p>
      <w:pPr>
        <w:pStyle w:val="Box"/>
        <w:rPr>
          <w:rFonts w:ascii="Times New Roman" w:hAnsi="Times New Roman" w:cs="Times New Roman"/>
        </w:rPr>
      </w:pPr>
      <w:r>
        <w:rPr>
          <w:rFonts w:cs="Times New Roman" w:ascii="Times New Roman" w:hAnsi="Times New Roman"/>
        </w:rPr>
        <w:t>Correspondence and requests for reprints:</w:t>
      </w:r>
    </w:p>
    <w:p>
      <w:pPr>
        <w:pStyle w:val="Box"/>
        <w:rPr>
          <w:rFonts w:ascii="Times New Roman" w:hAnsi="Times New Roman" w:cs="Times New Roman"/>
        </w:rPr>
      </w:pPr>
      <w:r>
        <w:rPr>
          <w:rFonts w:cs="Times New Roman" w:ascii="Times New Roman" w:hAnsi="Times New Roman"/>
        </w:rPr>
      </w:r>
    </w:p>
    <w:p>
      <w:pPr>
        <w:pStyle w:val="Box"/>
        <w:numPr>
          <w:ilvl w:val="0"/>
          <w:numId w:val="0"/>
        </w:numPr>
        <w:tabs>
          <w:tab w:val="left" w:pos="1980" w:leader="none"/>
          <w:tab w:val="left" w:pos="2070" w:leader="none"/>
        </w:tabs>
        <w:ind w:left="2070" w:hanging="0"/>
        <w:outlineLvl w:val="0"/>
        <w:rPr>
          <w:rFonts w:ascii="Times New Roman" w:hAnsi="Times New Roman" w:cs="Times New Roman"/>
        </w:rPr>
      </w:pPr>
      <w:r>
        <w:rPr>
          <w:rFonts w:cs="Times New Roman" w:ascii="Times New Roman" w:hAnsi="Times New Roman"/>
        </w:rPr>
        <w:t>Dr. Samir Gupta</w:t>
      </w:r>
    </w:p>
    <w:p>
      <w:pPr>
        <w:pStyle w:val="Box"/>
        <w:tabs>
          <w:tab w:val="left" w:pos="1980" w:leader="none"/>
          <w:tab w:val="left" w:pos="2070" w:leader="none"/>
        </w:tabs>
        <w:ind w:left="2070" w:hanging="0"/>
        <w:rPr>
          <w:rFonts w:ascii="Times New Roman" w:hAnsi="Times New Roman" w:cs="Times New Roman"/>
        </w:rPr>
      </w:pPr>
      <w:r>
        <w:rPr>
          <w:rFonts w:cs="Times New Roman" w:ascii="Times New Roman" w:hAnsi="Times New Roman"/>
        </w:rPr>
        <w:t>Suite 6045, Bond Wing</w:t>
      </w:r>
    </w:p>
    <w:p>
      <w:pPr>
        <w:pStyle w:val="Box"/>
        <w:tabs>
          <w:tab w:val="left" w:pos="1980" w:leader="none"/>
          <w:tab w:val="left" w:pos="2070" w:leader="none"/>
        </w:tabs>
        <w:ind w:left="2070" w:hanging="0"/>
        <w:rPr>
          <w:rFonts w:ascii="Times New Roman" w:hAnsi="Times New Roman" w:cs="Times New Roman"/>
        </w:rPr>
      </w:pPr>
      <w:r>
        <w:rPr>
          <w:rFonts w:cs="Times New Roman" w:ascii="Times New Roman" w:hAnsi="Times New Roman"/>
        </w:rPr>
        <w:t>30 Bond St.</w:t>
      </w:r>
    </w:p>
    <w:p>
      <w:pPr>
        <w:pStyle w:val="Box"/>
        <w:tabs>
          <w:tab w:val="left" w:pos="1980" w:leader="none"/>
          <w:tab w:val="left" w:pos="2070" w:leader="none"/>
        </w:tabs>
        <w:ind w:left="2070" w:hanging="0"/>
        <w:rPr>
          <w:rFonts w:ascii="Times New Roman" w:hAnsi="Times New Roman" w:cs="Times New Roman"/>
        </w:rPr>
      </w:pPr>
      <w:r>
        <w:rPr>
          <w:rFonts w:cs="Times New Roman" w:ascii="Times New Roman" w:hAnsi="Times New Roman"/>
        </w:rPr>
        <w:t>Toronto, ON Canada</w:t>
      </w:r>
    </w:p>
    <w:p>
      <w:pPr>
        <w:pStyle w:val="Box"/>
        <w:tabs>
          <w:tab w:val="left" w:pos="1980" w:leader="none"/>
          <w:tab w:val="left" w:pos="2070" w:leader="none"/>
        </w:tabs>
        <w:ind w:left="2070" w:hanging="0"/>
        <w:rPr>
          <w:rFonts w:ascii="Times New Roman" w:hAnsi="Times New Roman" w:cs="Times New Roman"/>
        </w:rPr>
      </w:pPr>
      <w:r>
        <w:rPr>
          <w:rFonts w:cs="Times New Roman" w:ascii="Times New Roman" w:hAnsi="Times New Roman"/>
        </w:rPr>
        <w:t>M5B 1W8</w:t>
      </w:r>
    </w:p>
    <w:p>
      <w:pPr>
        <w:pStyle w:val="Box"/>
        <w:tabs>
          <w:tab w:val="left" w:pos="1980" w:leader="none"/>
          <w:tab w:val="left" w:pos="2070" w:leader="none"/>
        </w:tabs>
        <w:ind w:left="2070" w:hanging="0"/>
        <w:rPr>
          <w:rFonts w:ascii="Times New Roman" w:hAnsi="Times New Roman" w:cs="Times New Roman"/>
          <w:lang w:val="fr-FR"/>
        </w:rPr>
      </w:pPr>
      <w:r>
        <w:rPr>
          <w:rFonts w:cs="Times New Roman" w:ascii="Times New Roman" w:hAnsi="Times New Roman"/>
          <w:lang w:val="fr-FR"/>
        </w:rPr>
        <w:t xml:space="preserve">Phone:  416-864-6026 </w:t>
      </w:r>
    </w:p>
    <w:p>
      <w:pPr>
        <w:pStyle w:val="Box"/>
        <w:tabs>
          <w:tab w:val="left" w:pos="1980" w:leader="none"/>
          <w:tab w:val="left" w:pos="2070" w:leader="none"/>
        </w:tabs>
        <w:ind w:left="2070" w:hanging="0"/>
        <w:rPr>
          <w:rFonts w:ascii="Times New Roman" w:hAnsi="Times New Roman" w:cs="Times New Roman"/>
          <w:lang w:val="fr-FR"/>
        </w:rPr>
      </w:pPr>
      <w:r>
        <w:rPr>
          <w:rFonts w:cs="Times New Roman" w:ascii="Times New Roman" w:hAnsi="Times New Roman"/>
          <w:lang w:val="fr-FR"/>
        </w:rPr>
        <w:t xml:space="preserve">Fax:  416-864-5649 </w:t>
      </w:r>
    </w:p>
    <w:p>
      <w:pPr>
        <w:pStyle w:val="Box"/>
        <w:tabs>
          <w:tab w:val="left" w:pos="1980" w:leader="none"/>
          <w:tab w:val="left" w:pos="2070" w:leader="none"/>
        </w:tabs>
        <w:ind w:left="2070" w:hanging="0"/>
        <w:rPr>
          <w:rFonts w:ascii="Times New Roman" w:hAnsi="Times New Roman" w:cs="Times New Roman"/>
          <w:lang w:val="fr-FR"/>
        </w:rPr>
      </w:pPr>
      <w:r>
        <w:rPr>
          <w:rFonts w:cs="Times New Roman" w:ascii="Times New Roman" w:hAnsi="Times New Roman"/>
          <w:lang w:val="fr-FR" w:eastAsia="en-CA"/>
        </w:rPr>
        <w:t>Email</w:t>
      </w:r>
      <w:r>
        <w:rPr>
          <w:rFonts w:cs="Times New Roman" w:ascii="Times New Roman" w:hAnsi="Times New Roman"/>
          <w:lang w:val="fr-FR"/>
        </w:rPr>
        <w:t xml:space="preserve">:  </w:t>
      </w:r>
      <w:hyperlink r:id="rId2">
        <w:r>
          <w:rPr>
            <w:rStyle w:val="InternetLink"/>
            <w:rFonts w:cs="Times New Roman" w:ascii="Times New Roman" w:hAnsi="Times New Roman"/>
            <w:lang w:val="fr-FR"/>
          </w:rPr>
          <w:t>guptas@smh.ca</w:t>
        </w:r>
      </w:hyperlink>
    </w:p>
    <w:p>
      <w:pPr>
        <w:pStyle w:val="Normal"/>
        <w:spacing w:lineRule="atLeast" w:line="336" w:before="0" w:after="225"/>
        <w:ind w:left="270" w:hanging="270"/>
        <w:rPr>
          <w:rFonts w:ascii="Times New Roman" w:hAnsi="Times New Roman" w:cs="Times New Roman"/>
          <w:lang w:val="fr-FR"/>
        </w:rPr>
      </w:pPr>
      <w:r>
        <w:rPr>
          <w:rFonts w:cs="Times New Roman"/>
          <w:lang w:val="fr-FR"/>
        </w:rPr>
      </w:r>
      <w:r>
        <w:br w:type="page"/>
      </w:r>
    </w:p>
    <w:p>
      <w:pPr>
        <w:pStyle w:val="Normal"/>
        <w:autoSpaceDE w:val="false"/>
        <w:spacing w:lineRule="auto" w:line="480" w:before="280" w:after="280"/>
        <w:rPr/>
      </w:pPr>
      <w:r>
        <w:rPr/>
        <w:t>Although definitions vary by jurisdiction, diseases affecting approximately 1 in 2000 people are considered rare.</w:t>
      </w:r>
      <w:r>
        <w:fldChar w:fldCharType="begin"/>
      </w:r>
      <w:r>
        <w:instrText> ADDIN EN.CITE &lt;EndNote&gt;&lt;Cite&gt;&lt;Author&gt;Van Weely&lt;/Author&gt;&lt;Year&gt;2004&lt;/Year&gt;&lt;RecNum&gt;111&lt;/RecNum&gt;&lt;record&gt;&lt;rec-number&gt;111&lt;/rec-number&gt;&lt;foreign-keys&gt;&lt;key app="EN" db-id="vwdwd2vripd9wfepve9x9denrtppx0f5zead"&gt;111&lt;/key&gt;&lt;/foreign-keys&gt;&lt;ref-type name="Web Page"&gt;12&lt;/ref-type&gt;&lt;contributors&gt;&lt;authors&gt;&lt;author&gt;Van Weely, S.&lt;/author&gt;&lt;author&gt;Leufkens, H.G.M.&lt;/author&gt;&lt;/authors&gt;&lt;/contributors&gt;&lt;titles&gt;&lt;title&gt;Priority Medicines for Europe and the World&amp;#xD;&amp;quot;A Public Health Approach to Innovation.&amp;quot;  Background Paper.  Orphan Diseases.&lt;/title&gt;&lt;/titles&gt;&lt;volume&gt;2007&lt;/volume&gt;&lt;number&gt;9 September&lt;/number&gt;&lt;dates&gt;&lt;year&gt;2004&lt;/year&gt;&lt;/dates&gt;&lt;urls&gt;&lt;related-urls&gt;&lt;url&gt;http://mednet3.who.int/prioritymeds/report/background/rare_diseases.doc&lt;/url&gt;&lt;/related-urls&gt;&lt;/urls&gt;&lt;/record&gt;&lt;/Cite&gt;&lt;/EndNote&gt;</w:instrText>
      </w:r>
      <w:r>
        <w:fldChar w:fldCharType="separate"/>
      </w:r>
      <w:bookmarkStart w:id="0" w:name="__Fieldmark__692_1322453857"/>
      <w:r>
        <w:rPr/>
        <w:t>[1]</w:t>
      </w:r>
      <w:r>
        <w:rPr/>
      </w:r>
      <w:r>
        <w:fldChar w:fldCharType="end"/>
      </w:r>
      <w:bookmarkEnd w:id="0"/>
      <w:r>
        <w:rPr/>
        <w:t xml:space="preserve">  Canada is one of few developed countries without a national “orphan drug” program to protect rare disease patients facing exorbitant drug costs.  Public debate over government funding for these drugs is periodically stimulated by stories of patients who are deprived of life sustaining therapies due to cost.  However, most Canadians remain unaware of an even more impactful disparity between common and rare disease care in this country - the availability of research funding.  Far from worrying about expensive therapies, patients receiving a rare disease diagnosis are surprised to learn that there is limited scientific knowledge about the causes and natural history of most of these diseases, and often little or no ongoing research.</w:t>
      </w:r>
    </w:p>
    <w:p>
      <w:pPr>
        <w:pStyle w:val="Normal"/>
        <w:spacing w:lineRule="auto" w:line="480" w:before="280" w:after="280"/>
        <w:rPr/>
      </w:pPr>
      <w:r>
        <w:rPr/>
        <w:t>The reasons for this are several fold.  Public funding agencies have a mandate to improve public health, which naturally favours grants that address common conditions.  As a result, rare disease researchers entering open grants competitions may be disadvantaged by the limited impact of their potential findings.</w:t>
      </w:r>
      <w:r>
        <w:fldChar w:fldCharType="begin"/>
      </w:r>
      <w:r>
        <w:instrText> ADDIN EN.CITE &lt;EndNote&gt;&lt;Cite&gt;&lt;Author&gt;Hampton&lt;/Author&gt;&lt;Year&gt;2006&lt;/Year&gt;&lt;RecNum&gt;151&lt;/RecNum&gt;&lt;record&gt;&lt;rec-number&gt;151&lt;/rec-number&gt;&lt;foreign-keys&gt;&lt;key app="EN" db-id="vwdwd2vripd9wfepve9x9denrtppx0f5zead"&gt;151&lt;/key&gt;&lt;/foreign-keys&gt;&lt;ref-type name="Journal Article"&gt;17&lt;/ref-type&gt;&lt;contributors&gt;&lt;authors&gt;&lt;author&gt;Hampton, T.&lt;/author&gt;&lt;/authors&gt;&lt;/contributors&gt;&lt;titles&gt;&lt;title&gt;Rare disease research gets boost&lt;/title&gt;&lt;secondary-title&gt;Jama&lt;/secondary-title&gt;&lt;/titles&gt;&lt;periodical&gt;&lt;full-title&gt;JAMA&lt;/full-title&gt;&lt;abbr-1&gt;Jama&lt;/abbr-1&gt;&lt;/periodical&gt;&lt;pages&gt;2836-8&lt;/pages&gt;&lt;volume&gt;295&lt;/volume&gt;&lt;number&gt;24&lt;/number&gt;&lt;keywords&gt;&lt;keyword&gt;*Clinical Trials&lt;/keyword&gt;&lt;keyword&gt;Humans&lt;/keyword&gt;&lt;keyword&gt;*National Institutes of Health (U.S.)/og [Organization &amp;amp; Administration]&lt;/keyword&gt;&lt;keyword&gt;*Rare Diseases&lt;/keyword&gt;&lt;keyword&gt;Research Support&lt;/keyword&gt;&lt;keyword&gt;United States&lt;/keyword&gt;&lt;/keywords&gt;&lt;dates&gt;&lt;year&gt;2006&lt;/year&gt;&lt;/dates&gt;&lt;label&gt;16804140&lt;/label&gt;&lt;urls&gt;&lt;/urls&gt;&lt;/record&gt;&lt;/Cite&gt;&lt;Cite&gt;&lt;Author&gt;Lavandeira&lt;/Author&gt;&lt;Year&gt;2002&lt;/Year&gt;&lt;RecNum&gt;143&lt;/RecNum&gt;&lt;record&gt;&lt;rec-number&gt;143&lt;/rec-number&gt;&lt;foreign-keys&gt;&lt;key app="EN" db-id="vwdwd2vripd9wfepve9x9denrtppx0f5zead"&gt;143&lt;/key&gt;&lt;/foreign-keys&gt;&lt;ref-type name="Journal Article"&gt;17&lt;/ref-type&gt;&lt;contributors&gt;&lt;authors&gt;&lt;author&gt;Lavandeira, A.&lt;/author&gt;&lt;/authors&gt;&lt;/contributors&gt;&lt;titles&gt;&lt;title&gt;Orphan drugs: legal aspects, current situation. [Review] [17 refs]&lt;/title&gt;&lt;secondary-title&gt;Haemophilia&lt;/secondary-title&gt;&lt;/titles&gt;&lt;pages&gt;194-8&lt;/pages&gt;&lt;volume&gt;8&lt;/volume&gt;&lt;number&gt;3&lt;/number&gt;&lt;keywords&gt;&lt;keyword&gt;Coagulation Protein Disorders/dt [Drug Therapy]&lt;/keyword&gt;&lt;keyword&gt;Government Regulation&lt;/keyword&gt;&lt;keyword&gt;*Hemophilia A/dt [Drug Therapy]&lt;/keyword&gt;&lt;keyword&gt;Humans&lt;/keyword&gt;&lt;keyword&gt;*Orphan Drug Production/lj [Legislation &amp;amp; Jurisprudence]&lt;/keyword&gt;&lt;/keywords&gt;&lt;dates&gt;&lt;year&gt;2002&lt;/year&gt;&lt;/dates&gt;&lt;label&gt;12010410&lt;/label&gt;&lt;urls&gt;&lt;/urls&gt;&lt;/record&gt;&lt;/Cite&gt;&lt;/EndNote&gt;</w:instrText>
      </w:r>
      <w:r>
        <w:fldChar w:fldCharType="separate"/>
      </w:r>
      <w:bookmarkStart w:id="1" w:name="__Fieldmark__693_1322453857"/>
      <w:r>
        <w:rPr/>
        <w:t>[2, 3]</w:t>
      </w:r>
      <w:r>
        <w:rPr/>
      </w:r>
      <w:r>
        <w:fldChar w:fldCharType="end"/>
      </w:r>
      <w:bookmarkEnd w:id="1"/>
      <w:r>
        <w:rPr/>
        <w:t xml:space="preserve">  Furthermore, small sample sizes make it difficult for researchers to recruit and study an adequate number of patients to reach scientifically valid conclusions.  As a result, even basic knowledge about the diagnosis, causes, and consequences of many of these diseases is lacking.</w:t>
      </w:r>
      <w:r>
        <w:fldChar w:fldCharType="begin"/>
      </w:r>
      <w:r>
        <w:instrText> ADDIN EN.CITE &lt;EndNote&gt;&lt;Cite&gt;&lt;Author&gt;Lavandeira&lt;/Author&gt;&lt;Year&gt;2002&lt;/Year&gt;&lt;RecNum&gt;143&lt;/RecNum&gt;&lt;record&gt;&lt;rec-number&gt;143&lt;/rec-number&gt;&lt;foreign-keys&gt;&lt;key app="EN" db-id="vwdwd2vripd9wfepve9x9denrtppx0f5zead"&gt;143&lt;/key&gt;&lt;/foreign-keys&gt;&lt;ref-type name="Journal Article"&gt;17&lt;/ref-type&gt;&lt;contributors&gt;&lt;authors&gt;&lt;author&gt;Lavandeira, A.&lt;/author&gt;&lt;/authors&gt;&lt;/contributors&gt;&lt;titles&gt;&lt;title&gt;Orphan drugs: legal aspects, current situation. [Review] [17 refs]&lt;/title&gt;&lt;secondary-title&gt;Haemophilia&lt;/secondary-title&gt;&lt;/titles&gt;&lt;pages&gt;194-8&lt;/pages&gt;&lt;volume&gt;8&lt;/volume&gt;&lt;number&gt;3&lt;/number&gt;&lt;keywords&gt;&lt;keyword&gt;Coagulation Protein Disorders/dt [Drug Therapy]&lt;/keyword&gt;&lt;keyword&gt;Government Regulation&lt;/keyword&gt;&lt;keyword&gt;*Hemophilia A/dt [Drug Therapy]&lt;/keyword&gt;&lt;keyword&gt;Humans&lt;/keyword&gt;&lt;keyword&gt;*Orphan Drug Production/lj [Legislation &amp;amp; Jurisprudence]&lt;/keyword&gt;&lt;/keywords&gt;&lt;dates&gt;&lt;year&gt;2002&lt;/year&gt;&lt;/dates&gt;&lt;label&gt;12010410&lt;/label&gt;&lt;urls&gt;&lt;/urls&gt;&lt;/record&gt;&lt;/Cite&gt;&lt;/EndNote&gt;</w:instrText>
      </w:r>
      <w:r>
        <w:fldChar w:fldCharType="separate"/>
      </w:r>
      <w:bookmarkStart w:id="2" w:name="__Fieldmark__694_1322453857"/>
      <w:r>
        <w:rPr/>
        <w:t>[3]</w:t>
      </w:r>
      <w:r>
        <w:rPr/>
      </w:r>
      <w:r>
        <w:fldChar w:fldCharType="end"/>
      </w:r>
      <w:bookmarkEnd w:id="2"/>
      <w:r>
        <w:rPr/>
        <w:t xml:space="preserve">  Even when these aspects are well understood and drug development can be considered, the pharmaceutical industry often opts out because development costs</w:t>
      </w:r>
      <w:r>
        <w:rPr>
          <w:color w:val="0000FF"/>
        </w:rPr>
        <w:t xml:space="preserve"> </w:t>
      </w:r>
      <w:r>
        <w:rPr/>
        <w:t>are difficult to recuperate from the small number of  potential recipients.</w:t>
      </w:r>
      <w:r>
        <w:fldChar w:fldCharType="begin"/>
      </w:r>
      <w:r>
        <w:instrText> ADDIN EN.CITE &lt;EndNote&gt;&lt;Cite&gt;&lt;Author&gt;Haffner&lt;/Author&gt;&lt;Year&gt;2006&lt;/Year&gt;&lt;RecNum&gt;9&lt;/RecNum&gt;&lt;record&gt;&lt;rec-number&gt;9&lt;/rec-number&gt;&lt;foreign-keys&gt;&lt;key app="EN" db-id="vwdwd2vripd9wfepve9x9denrtppx0f5zead"&gt;9&lt;/key&gt;&lt;/foreign-keys&gt;&lt;ref-type name="Journal Article"&gt;17&lt;/ref-type&gt;&lt;contributors&gt;&lt;authors&gt;&lt;author&gt;Haffner, M. E.&lt;/author&gt;&lt;/authors&gt;&lt;/contributors&gt;&lt;titles&gt;&lt;title&gt;Adopting orphan drugs--two dozen years of treating rare diseases.[comment]&lt;/title&gt;&lt;secondary-title&gt;New England Journal of Medicine&lt;/secondary-title&gt;&lt;/titles&gt;&lt;pages&gt;445-7&lt;/pages&gt;&lt;volume&gt;354&lt;/volume&gt;&lt;number&gt;5&lt;/number&gt;&lt;keywords&gt;&lt;keyword&gt;Botulism/dt [Drug Therapy]&lt;/keyword&gt;&lt;keyword&gt;Clinical Trials&lt;/keyword&gt;&lt;keyword&gt;Drug Approval&lt;/keyword&gt;&lt;keyword&gt;Drug Industry&lt;/keyword&gt;&lt;keyword&gt;History, 20th Century&lt;/keyword&gt;&lt;keyword&gt;Humans&lt;/keyword&gt;&lt;keyword&gt;Immunoglobulins/tu [Therapeutic Use]&lt;/keyword&gt;&lt;keyword&gt;Immunoglobulins, Intravenous/tu [Therapeutic Use]&lt;/keyword&gt;&lt;keyword&gt;Orphan Drug Production/hi [History]&lt;/keyword&gt;&lt;keyword&gt;*Orphan Drug Production/lj [Legislation &amp;amp; Jurisprudence]&lt;/keyword&gt;&lt;keyword&gt;*Rare Diseases/dt [Drug Therapy]&lt;/keyword&gt;&lt;keyword&gt;Rare Diseases/hi [History]&lt;/keyword&gt;&lt;keyword&gt;United States&lt;/keyword&gt;&lt;keyword&gt;United States Food and Drug Administration&lt;/keyword&gt;&lt;/keywords&gt;&lt;dates&gt;&lt;year&gt;2006&lt;/year&gt;&lt;/dates&gt;&lt;label&gt;16452556&lt;/label&gt;&lt;urls&gt;&lt;/urls&gt;&lt;/record&gt;&lt;/Cite&gt;&lt;/EndNote&gt;</w:instrText>
      </w:r>
      <w:r>
        <w:fldChar w:fldCharType="separate"/>
      </w:r>
      <w:bookmarkStart w:id="3" w:name="__Fieldmark__695_1322453857"/>
      <w:r>
        <w:rPr/>
        <w:t>[4]</w:t>
      </w:r>
      <w:r>
        <w:rPr/>
      </w:r>
      <w:r>
        <w:fldChar w:fldCharType="end"/>
      </w:r>
      <w:bookmarkEnd w:id="3"/>
      <w:r>
        <w:rPr/>
        <w:t xml:space="preserve"> </w:t>
      </w:r>
    </w:p>
    <w:p>
      <w:pPr>
        <w:pStyle w:val="Normal"/>
        <w:spacing w:lineRule="auto" w:line="480" w:before="280" w:after="280"/>
        <w:rPr/>
      </w:pPr>
      <w:r>
        <w:rPr/>
        <w:t>The greatest impact on this inequity has been made through government legislation.  In 1982, the U.S. Food and Drug Administration (FDA) established the Office of Orphan Products Development to promote development of products for the diagnosis and/or treatment of rare diseases.  The Orphan Drug Act, passed in 1983, created financial incentives for academic institutions and manufacturers to engage in rare disease drug development, including tax credits for costs of clinical research, a waiver of certain fees involved in new drug applications, direct FDA grant support, assistance for clinical research, and a seven-year period of exclusive marketing for successful products.</w:t>
      </w:r>
      <w:r>
        <w:fldChar w:fldCharType="begin"/>
      </w:r>
      <w:r>
        <w:instrText> ADDIN EN.CITE &lt;EndNote&gt;&lt;Cite&gt;&lt;Author&gt;Hampton&lt;/Author&gt;&lt;Year&gt;2006&lt;/Year&gt;&lt;RecNum&gt;151&lt;/RecNum&gt;&lt;record&gt;&lt;rec-number&gt;151&lt;/rec-number&gt;&lt;foreign-keys&gt;&lt;key app="EN" db-id="vwdwd2vripd9wfepve9x9denrtppx0f5zead"&gt;151&lt;/key&gt;&lt;/foreign-keys&gt;&lt;ref-type name="Journal Article"&gt;17&lt;/ref-type&gt;&lt;contributors&gt;&lt;authors&gt;&lt;author&gt;Hampton, T.&lt;/author&gt;&lt;/authors&gt;&lt;/contributors&gt;&lt;titles&gt;&lt;title&gt;Rare disease research gets boost&lt;/title&gt;&lt;secondary-title&gt;Jama&lt;/secondary-title&gt;&lt;/titles&gt;&lt;periodical&gt;&lt;full-title&gt;JAMA&lt;/full-title&gt;&lt;abbr-1&gt;Jama&lt;/abbr-1&gt;&lt;/periodical&gt;&lt;pages&gt;2836-8&lt;/pages&gt;&lt;volume&gt;295&lt;/volume&gt;&lt;number&gt;24&lt;/number&gt;&lt;keywords&gt;&lt;keyword&gt;*Clinical Trials&lt;/keyword&gt;&lt;keyword&gt;Humans&lt;/keyword&gt;&lt;keyword&gt;*National Institutes of Health (U.S.)/og [Organization &amp;amp; Administration]&lt;/keyword&gt;&lt;keyword&gt;*Rare Diseases&lt;/keyword&gt;&lt;keyword&gt;Research Support&lt;/keyword&gt;&lt;keyword&gt;United States&lt;/keyword&gt;&lt;/keywords&gt;&lt;dates&gt;&lt;year&gt;2006&lt;/year&gt;&lt;/dates&gt;&lt;label&gt;16804140&lt;/label&gt;&lt;urls&gt;&lt;/urls&gt;&lt;/record&gt;&lt;/Cite&gt;&lt;/EndNote&gt;</w:instrText>
      </w:r>
      <w:r>
        <w:fldChar w:fldCharType="separate"/>
      </w:r>
      <w:bookmarkStart w:id="4" w:name="__Fieldmark__696_1322453857"/>
      <w:r>
        <w:rPr/>
        <w:t>[2]</w:t>
      </w:r>
      <w:r>
        <w:rPr/>
      </w:r>
      <w:r>
        <w:fldChar w:fldCharType="end"/>
      </w:r>
      <w:bookmarkEnd w:id="4"/>
      <w:r>
        <w:rPr/>
        <w:t xml:space="preserve">  Since this law was passed, over 300 rare disease products affecting over 14 million Americans have come to market, compared to fewer than 10 products in the decade prior.</w:t>
      </w:r>
      <w:r>
        <w:fldChar w:fldCharType="begin"/>
      </w:r>
      <w:r>
        <w:instrText> ADDIN EN.CITE &lt;EndNote&gt;&lt;Cite&gt;&lt;Author&gt;Gericke&lt;/Author&gt;&lt;Year&gt;2005&lt;/Year&gt;&lt;RecNum&gt;244&lt;/RecNum&gt;&lt;record&gt;&lt;rec-number&gt;244&lt;/rec-number&gt;&lt;foreign-keys&gt;&lt;key app="EN" db-id="vwdwd2vripd9wfepve9x9denrtppx0f5zead"&gt;244&lt;/key&gt;&lt;/foreign-keys&gt;&lt;ref-type name="Journal Article"&gt;17&lt;/ref-type&gt;&lt;contributors&gt;&lt;authors&gt;&lt;author&gt;Gericke, C. A.&lt;/author&gt;&lt;author&gt;Riesberg, A.&lt;/author&gt;&lt;author&gt;Busse, R.&lt;/author&gt;&lt;/authors&gt;&lt;/contributors&gt;&lt;auth-address&gt;Department of Health Care Management, Technische Universitat Berlin, Strasse des 17. Juni 145, D-10623 Berlin. christian.gericke@tu-berlin.de&lt;/auth-address&gt;&lt;titles&gt;&lt;title&gt;Ethical issues in funding orphan drug research and development&lt;/title&gt;&lt;secondary-title&gt;Journal of Medical Ethics&lt;/secondary-title&gt;&lt;alt-title&gt;J Med Ethics&lt;/alt-title&gt;&lt;/titles&gt;&lt;pages&gt;164-8&lt;/pages&gt;&lt;volume&gt;31&lt;/volume&gt;&lt;number&gt;3&lt;/number&gt;&lt;keywords&gt;&lt;keyword&gt;*Drug Evaluation/ec [Economics]&lt;/keyword&gt;&lt;keyword&gt;*Ethics, Pharmacy&lt;/keyword&gt;&lt;keyword&gt;Humans&lt;/keyword&gt;&lt;keyword&gt;Morals&lt;/keyword&gt;&lt;keyword&gt;*Orphan Drug Production&lt;/keyword&gt;&lt;keyword&gt;Pharmacology, Clinical/ec [Economics]&lt;/keyword&gt;&lt;keyword&gt;*Pharmacology, Clinical/es [Ethics]&lt;/keyword&gt;&lt;keyword&gt;Research&lt;/keyword&gt;&lt;keyword&gt;*Research Support as Topic/es [Ethics]&lt;/keyword&gt;&lt;/keywords&gt;&lt;dates&gt;&lt;year&gt;2005&lt;/year&gt;&lt;pub-dates&gt;&lt;date&gt;Mar&lt;/date&gt;&lt;/pub-dates&gt;&lt;/dates&gt;&lt;isbn&gt;0306-6800&lt;/isbn&gt;&lt;accession-num&gt;15738438&lt;/accession-num&gt;&lt;urls&gt;&lt;/urls&gt;&lt;/record&gt;&lt;/Cite&gt;&lt;/EndNote&gt;</w:instrText>
      </w:r>
      <w:r>
        <w:fldChar w:fldCharType="separate"/>
      </w:r>
      <w:bookmarkStart w:id="5" w:name="__Fieldmark__697_1322453857"/>
      <w:r>
        <w:rPr/>
        <w:t>[5]</w:t>
      </w:r>
      <w:r>
        <w:rPr/>
      </w:r>
      <w:r>
        <w:fldChar w:fldCharType="end"/>
      </w:r>
      <w:bookmarkEnd w:id="5"/>
      <w:r>
        <w:rPr/>
        <w:t xml:space="preserve">  The Rare Diseases Act, passed in 2002, included provisions for a new rare disease grants network, support for research in diagnostic tools for patients with rare diseases, and development of regional centers of excellence for clinical research and training in rare diseases.</w:t>
      </w:r>
      <w:r>
        <w:fldChar w:fldCharType="begin"/>
      </w:r>
      <w:r>
        <w:instrText> ADDIN EN.CITE &lt;EndNote&gt;&lt;Cite&gt;&lt;Author&gt;Rados&lt;/Author&gt;&lt;Year&gt;2003&lt;/Year&gt;&lt;RecNum&gt;17&lt;/RecNum&gt;&lt;record&gt;&lt;rec-number&gt;17&lt;/rec-number&gt;&lt;foreign-keys&gt;&lt;key app="EN" db-id="vwdwd2vripd9wfepve9x9denrtppx0f5zead"&gt;17&lt;/key&gt;&lt;/foreign-keys&gt;&lt;ref-type name="Journal Article"&gt;17&lt;/ref-type&gt;&lt;contributors&gt;&lt;authors&gt;&lt;author&gt;Rados, C.&lt;/author&gt;&lt;/authors&gt;&lt;/contributors&gt;&lt;titles&gt;&lt;title&gt;Orphan products: hope for people with rare diseases&lt;/title&gt;&lt;secondary-title&gt;FDA Consumer&lt;/secondary-title&gt;&lt;/titles&gt;&lt;pages&gt;10-5&lt;/pages&gt;&lt;volume&gt;37&lt;/volume&gt;&lt;number&gt;6&lt;/number&gt;&lt;keywords&gt;&lt;keyword&gt;Diagnostic Errors&lt;/keyword&gt;&lt;keyword&gt;Humans&lt;/keyword&gt;&lt;keyword&gt;*Orphan Drug Production&lt;/keyword&gt;&lt;keyword&gt;Patient Education&lt;/keyword&gt;&lt;keyword&gt;Rare Diseases/di [Diagnosis]&lt;/keyword&gt;&lt;keyword&gt;*Rare Diseases/dt [Drug Therapy]&lt;/keyword&gt;&lt;keyword&gt;Self-Help Groups&lt;/keyword&gt;&lt;/keywords&gt;&lt;dates&gt;&lt;year&gt;2003&lt;/year&gt;&lt;/dates&gt;&lt;label&gt;14986582&lt;/label&gt;&lt;urls&gt;&lt;/urls&gt;&lt;/record&gt;&lt;/Cite&gt;&lt;/EndNote&gt;</w:instrText>
      </w:r>
      <w:r>
        <w:fldChar w:fldCharType="separate"/>
      </w:r>
      <w:bookmarkStart w:id="6" w:name="__Fieldmark__698_1322453857"/>
      <w:r>
        <w:rPr/>
        <w:t>[6]</w:t>
      </w:r>
      <w:r>
        <w:rPr/>
      </w:r>
      <w:r>
        <w:fldChar w:fldCharType="end"/>
      </w:r>
      <w:bookmarkEnd w:id="6"/>
      <w:r>
        <w:rPr/>
        <w:t xml:space="preserve">  Finally, the US National Institutes of Health created the Rare Diseases Clinical Research Network in 2003, with a budget of US $71 million to fund multi-national rare disease studies.</w:t>
      </w:r>
      <w:r>
        <w:fldChar w:fldCharType="begin"/>
      </w:r>
      <w:r>
        <w:instrText> ADDIN EN.CITE &lt;EndNote&gt;&lt;Cite&gt;&lt;Author&gt;Resources&lt;/Author&gt;&lt;Year&gt;2008&lt;/Year&gt;&lt;RecNum&gt;236&lt;/RecNum&gt;&lt;record&gt;&lt;rec-number&gt;236&lt;/rec-number&gt;&lt;foreign-keys&gt;&lt;key app="EN" db-id="vwdwd2vripd9wfepve9x9denrtppx0f5zead"&gt;236&lt;/key&gt;&lt;/foreign-keys&gt;&lt;ref-type name="Web Page"&gt;12&lt;/ref-type&gt;&lt;contributors&gt;&lt;authors&gt;&lt;author&gt;National Center for Research Resources&lt;/author&gt;&lt;/authors&gt;&lt;secondary-authors&gt;&lt;author&gt;National Institutes of Health&lt;/author&gt;&lt;/secondary-authors&gt;&lt;/contributors&gt;&lt;titles&gt;&lt;title&gt;Rare Diseases Clinical Research Network&lt;/title&gt;&lt;/titles&gt;&lt;volume&gt;2007&lt;/volume&gt;&lt;number&gt;Aug 17, 2007&lt;/number&gt;&lt;dates&gt;&lt;year&gt;2008&lt;/year&gt;&lt;/dates&gt;&lt;urls&gt;&lt;related-urls&gt;&lt;url&gt;http://www.ncrr.nih.gov/clinical_research_resources/resource_directory/rare_disease_clinical_research_network/index.asp&lt;/url&gt;&lt;/related-urls&gt;&lt;/urls&gt;&lt;/record&gt;&lt;/Cite&gt;&lt;Cite&gt;&lt;Author&gt;Hampton&lt;/Author&gt;&lt;Year&gt;2006&lt;/Year&gt;&lt;RecNum&gt;151&lt;/RecNum&gt;&lt;record&gt;&lt;rec-number&gt;151&lt;/rec-number&gt;&lt;foreign-keys&gt;&lt;key app="EN" db-id="vwdwd2vripd9wfepve9x9denrtppx0f5zead"&gt;151&lt;/key&gt;&lt;/foreign-keys&gt;&lt;ref-type name="Journal Article"&gt;17&lt;/ref-type&gt;&lt;contributors&gt;&lt;authors&gt;&lt;author&gt;Hampton, T.&lt;/author&gt;&lt;/authors&gt;&lt;/contributors&gt;&lt;titles&gt;&lt;title&gt;Rare disease research gets boost&lt;/title&gt;&lt;secondary-title&gt;Jama&lt;/secondary-title&gt;&lt;/titles&gt;&lt;periodical&gt;&lt;full-title&gt;JAMA&lt;/full-title&gt;&lt;abbr-1&gt;Jama&lt;/abbr-1&gt;&lt;/periodical&gt;&lt;pages&gt;2836-8&lt;/pages&gt;&lt;volume&gt;295&lt;/volume&gt;&lt;number&gt;24&lt;/number&gt;&lt;keywords&gt;&lt;keyword&gt;*Clinical Trials&lt;/keyword&gt;&lt;keyword&gt;Humans&lt;/keyword&gt;&lt;keyword&gt;*National Institutes of Health (U.S.)/og [Organization &amp;amp; Administration]&lt;/keyword&gt;&lt;keyword&gt;*Rare Diseases&lt;/keyword&gt;&lt;keyword&gt;Research Support&lt;/keyword&gt;&lt;keyword&gt;United States&lt;/keyword&gt;&lt;/keywords&gt;&lt;dates&gt;&lt;year&gt;2006&lt;/year&gt;&lt;/dates&gt;&lt;label&gt;16804140&lt;/label&gt;&lt;urls&gt;&lt;/urls&gt;&lt;/record&gt;&lt;/Cite&gt;&lt;/EndNote&gt;</w:instrText>
      </w:r>
      <w:r>
        <w:fldChar w:fldCharType="separate"/>
      </w:r>
      <w:bookmarkStart w:id="7" w:name="__Fieldmark__699_1322453857"/>
      <w:r>
        <w:rPr/>
        <w:t>[2, 7]</w:t>
      </w:r>
      <w:bookmarkEnd w:id="7"/>
      <w:r>
        <w:rPr/>
      </w:r>
      <w:r>
        <w:fldChar w:fldCharType="end"/>
      </w:r>
    </w:p>
    <w:p>
      <w:pPr>
        <w:pStyle w:val="Normal"/>
        <w:autoSpaceDE w:val="false"/>
        <w:spacing w:lineRule="auto" w:line="480" w:before="280" w:after="280"/>
        <w:rPr/>
      </w:pPr>
      <w:r>
        <w:rPr/>
        <w:t xml:space="preserve">In the European Union (EU), the “Framework Programmes” (FPs), the EU’s main instrument for research funding, have sequentially increased rare disease research funding over the past two decades.  The 5th FP (1998 - 2002) funded 47 rare disease projects for a total of 64 million </w:t>
      </w:r>
      <w:r>
        <w:rPr>
          <w:color w:val="000000"/>
        </w:rPr>
        <w:t>euros</w:t>
      </w:r>
      <w:r>
        <w:rPr/>
        <w:t xml:space="preserve">, </w:t>
      </w:r>
      <w:hyperlink r:id="rId3">
        <w:r>
          <w:rPr>
            <w:rStyle w:val="InternetLink"/>
            <w:color w:val="000000"/>
            <w:u w:val="none"/>
          </w:rPr>
          <w:t>FP6</w:t>
        </w:r>
      </w:hyperlink>
      <w:r>
        <w:rPr/>
        <w:t xml:space="preserve"> (2002 - 2006) funded 59 projects for 230 million euros, and the current </w:t>
      </w:r>
      <w:hyperlink r:id="rId4">
        <w:r>
          <w:rPr>
            <w:rStyle w:val="InternetLink"/>
            <w:color w:val="000000"/>
            <w:u w:val="none"/>
          </w:rPr>
          <w:t>FP7</w:t>
        </w:r>
      </w:hyperlink>
      <w:r>
        <w:rPr/>
        <w:t xml:space="preserve"> (2007-2013) is on track to surpass this total.</w:t>
      </w:r>
      <w:r>
        <w:fldChar w:fldCharType="begin"/>
      </w:r>
      <w:r>
        <w:instrText> ADDIN EN.CITE &lt;EndNote&gt;&lt;Cite&gt;&lt;Author&gt;Diseases&lt;/Author&gt;&lt;Year&gt;2007&lt;/Year&gt;&lt;RecNum&gt;241&lt;/RecNum&gt;&lt;record&gt;&lt;rec-number&gt;241&lt;/rec-number&gt;&lt;foreign-keys&gt;&lt;key app="EN" db-id="vwdwd2vripd9wfepve9x9denrtppx0f5zead"&gt;241&lt;/key&gt;&lt;/foreign-keys&gt;&lt;ref-type name="Web Page"&gt;12&lt;/ref-type&gt;&lt;contributors&gt;&lt;authors&gt;&lt;author&gt;Eurordis:  European Organisation for Rare Diseases&lt;/author&gt;&lt;/authors&gt;&lt;/contributors&gt;&lt;titles&gt;&lt;title&gt;Rare diseases in the 7th Research Framework Programme (May 2007)&lt;/title&gt;&lt;/titles&gt;&lt;volume&gt;2011&lt;/volume&gt;&lt;number&gt;April 21, 2011&lt;/number&gt;&lt;dates&gt;&lt;year&gt;2007&lt;/year&gt;&lt;/dates&gt;&lt;urls&gt;&lt;related-urls&gt;&lt;url&gt;http://www.eurordis.org/article.php3?id_article=1443&lt;/url&gt;&lt;/related-urls&gt;&lt;/urls&gt;&lt;/record&gt;&lt;/Cite&gt;&lt;/EndNote&gt;</w:instrText>
      </w:r>
      <w:r>
        <w:fldChar w:fldCharType="separate"/>
      </w:r>
      <w:bookmarkStart w:id="8" w:name="__Fieldmark__700_1322453857"/>
      <w:r>
        <w:rPr/>
        <w:t>[8]</w:t>
      </w:r>
      <w:r>
        <w:rPr/>
      </w:r>
      <w:r>
        <w:fldChar w:fldCharType="end"/>
      </w:r>
      <w:bookmarkEnd w:id="8"/>
      <w:r>
        <w:rPr/>
        <w:t xml:space="preserve">  The EU has also addressed the issue of orphan drug development specifically.  In 1999, the European Parliament adopted the Regulation on Orphan Medicinal Products, guaranteeing 10 years of market exclusivity for approved orphan products, facilitating their registration by creating an EU-wide approval procedure, and calling for tax credits to be developed by individual member states.</w:t>
      </w:r>
      <w:r>
        <w:fldChar w:fldCharType="begin"/>
      </w:r>
      <w:r>
        <w:instrText> ADDIN EN.CITE &lt;EndNote&gt;&lt;Cite&gt;&lt;Author&gt;Gericke&lt;/Author&gt;&lt;Year&gt;2005&lt;/Year&gt;&lt;RecNum&gt;244&lt;/RecNum&gt;&lt;record&gt;&lt;rec-number&gt;244&lt;/rec-number&gt;&lt;foreign-keys&gt;&lt;key app="EN" db-id="vwdwd2vripd9wfepve9x9denrtppx0f5zead"&gt;244&lt;/key&gt;&lt;/foreign-keys&gt;&lt;ref-type name="Journal Article"&gt;17&lt;/ref-type&gt;&lt;contributors&gt;&lt;authors&gt;&lt;author&gt;Gericke, C. A.&lt;/author&gt;&lt;author&gt;Riesberg, A.&lt;/author&gt;&lt;author&gt;Busse, R.&lt;/author&gt;&lt;/authors&gt;&lt;/contributors&gt;&lt;auth-address&gt;Department of Health Care Management, Technische Universitat Berlin, Strasse des 17. Juni 145, D-10623 Berlin. christian.gericke@tu-berlin.de&lt;/auth-address&gt;&lt;titles&gt;&lt;title&gt;Ethical issues in funding orphan drug research and development&lt;/title&gt;&lt;secondary-title&gt;Journal of Medical Ethics&lt;/secondary-title&gt;&lt;alt-title&gt;J Med Ethics&lt;/alt-title&gt;&lt;/titles&gt;&lt;pages&gt;164-8&lt;/pages&gt;&lt;volume&gt;31&lt;/volume&gt;&lt;number&gt;3&lt;/number&gt;&lt;keywords&gt;&lt;keyword&gt;*Drug Evaluation/ec [Economics]&lt;/keyword&gt;&lt;keyword&gt;*Ethics, Pharmacy&lt;/keyword&gt;&lt;keyword&gt;Humans&lt;/keyword&gt;&lt;keyword&gt;Morals&lt;/keyword&gt;&lt;keyword&gt;*Orphan Drug Production&lt;/keyword&gt;&lt;keyword&gt;Pharmacology, Clinical/ec [Economics]&lt;/keyword&gt;&lt;keyword&gt;*Pharmacology, Clinical/es [Ethics]&lt;/keyword&gt;&lt;keyword&gt;Research&lt;/keyword&gt;&lt;keyword&gt;*Research Support as Topic/es [Ethics]&lt;/keyword&gt;&lt;/keywords&gt;&lt;dates&gt;&lt;year&gt;2005&lt;/year&gt;&lt;pub-dates&gt;&lt;date&gt;Mar&lt;/date&gt;&lt;/pub-dates&gt;&lt;/dates&gt;&lt;isbn&gt;0306-6800&lt;/isbn&gt;&lt;accession-num&gt;15738438&lt;/accession-num&gt;&lt;urls&gt;&lt;/urls&gt;&lt;/record&gt;&lt;/Cite&gt;&lt;/EndNote&gt;</w:instrText>
      </w:r>
      <w:r>
        <w:fldChar w:fldCharType="separate"/>
      </w:r>
      <w:bookmarkStart w:id="9" w:name="__Fieldmark__701_1322453857"/>
      <w:r>
        <w:rPr/>
        <w:t>[5]</w:t>
      </w:r>
      <w:r>
        <w:rPr/>
      </w:r>
      <w:r>
        <w:fldChar w:fldCharType="end"/>
      </w:r>
      <w:bookmarkEnd w:id="9"/>
      <w:r>
        <w:rPr/>
        <w:t xml:space="preserve">  Individual EU countries were not far behind, with </w:t>
      </w:r>
      <w:r>
        <w:rPr>
          <w:color w:val="000000"/>
        </w:rPr>
        <w:t xml:space="preserve">Germany committing 25 million euros to a new rare disease research strategy in 2003, Spain allocating 11.9 million euros to a new program in 2003, and </w:t>
      </w:r>
      <w:r>
        <w:rPr/>
        <w:t xml:space="preserve">France creating a rare disease </w:t>
      </w:r>
      <w:r>
        <w:rPr>
          <w:color w:val="000000"/>
        </w:rPr>
        <w:t>consortium funded by both government and private charities with a 7.9 million euro budget in 2002,</w:t>
      </w:r>
      <w:r>
        <w:rPr/>
        <w:t xml:space="preserve"> and launching the French National Plan for Rare Diseases, with 20 million euros dedicated to rare disease research funding between 2005-2008.</w:t>
      </w:r>
      <w:r>
        <w:fldChar w:fldCharType="begin"/>
      </w:r>
      <w:r>
        <w:instrText> ADDIN EN.CITE &lt;EndNote&gt;&lt;Cite&gt;&lt;Author&gt;Van Weely&lt;/Author&gt;&lt;Year&gt;2004&lt;/Year&gt;&lt;RecNum&gt;111&lt;/RecNum&gt;&lt;record&gt;&lt;rec-number&gt;111&lt;/rec-number&gt;&lt;foreign-keys&gt;&lt;key app="EN" db-id="vwdwd2vripd9wfepve9x9denrtppx0f5zead"&gt;111&lt;/key&gt;&lt;/foreign-keys&gt;&lt;ref-type name="Web Page"&gt;12&lt;/ref-type&gt;&lt;contributors&gt;&lt;authors&gt;&lt;author&gt;Van Weely, S.&lt;/author&gt;&lt;author&gt;Leufkens, H.G.M.&lt;/author&gt;&lt;/authors&gt;&lt;/contributors&gt;&lt;titles&gt;&lt;title&gt;Priority Medicines for Europe and the World&amp;#xD;&amp;quot;A Public Health Approach to Innovation.&amp;quot;  Background Paper.  Orphan Diseases.&lt;/title&gt;&lt;/titles&gt;&lt;volume&gt;2007&lt;/volume&gt;&lt;number&gt;9 September&lt;/number&gt;&lt;dates&gt;&lt;year&gt;2004&lt;/year&gt;&lt;/dates&gt;&lt;urls&gt;&lt;related-urls&gt;&lt;url&gt;http://mednet3.who.int/prioritymeds/report/background/rare_diseases.doc&lt;/url&gt;&lt;/related-urls&gt;&lt;/urls&gt;&lt;/record&gt;&lt;/Cite&gt;&lt;/EndNote&gt;</w:instrText>
      </w:r>
      <w:r>
        <w:fldChar w:fldCharType="separate"/>
      </w:r>
      <w:bookmarkStart w:id="10" w:name="__Fieldmark__702_1322453857"/>
      <w:r>
        <w:rPr/>
        <w:t>[1]</w:t>
      </w:r>
      <w:bookmarkEnd w:id="10"/>
      <w:r>
        <w:rPr/>
      </w:r>
      <w:r>
        <w:fldChar w:fldCharType="end"/>
      </w:r>
    </w:p>
    <w:p>
      <w:pPr>
        <w:pStyle w:val="Normal"/>
        <w:autoSpaceDE w:val="false"/>
        <w:spacing w:lineRule="auto" w:line="480" w:before="280" w:after="280"/>
        <w:rPr/>
      </w:pPr>
      <w:r>
        <w:rPr/>
        <w:t>Other developed nations have also risen to the challenge.  The S</w:t>
      </w:r>
      <w:r>
        <w:rPr>
          <w:color w:val="000000"/>
        </w:rPr>
        <w:t xml:space="preserve">ingapore Government approved an Orphan Drug Act 1991, the </w:t>
      </w:r>
      <w:r>
        <w:rPr/>
        <w:t>Australian Orphan Drug Policy was established in 1997, the Taiwanese “</w:t>
      </w:r>
      <w:r>
        <w:rPr>
          <w:lang w:eastAsia="nl-NL"/>
        </w:rPr>
        <w:t xml:space="preserve">Rare Disorder Prevention/Treatment and Pharmaceutical Law” was implemented in 2000, </w:t>
      </w:r>
      <w:r>
        <w:rPr/>
        <w:t>and the Japanese Orphan Drug Regulation was approved in 1993, guaranteeing 10 years of marketing exclusivity to successful drug developers.</w:t>
      </w:r>
      <w:r>
        <w:fldChar w:fldCharType="begin"/>
      </w:r>
      <w:r>
        <w:instrText> ADDIN EN.CITE </w:instrText>
      </w:r>
      <w:r>
        <w:fldChar w:fldCharType="separate"/>
      </w:r>
      <w:bookmarkStart w:id="11" w:name="__Fieldmark__703_1322453857"/>
      <w:r>
        <w:rPr/>
        <w:t>[1, 3, 5]</w:t>
      </w:r>
      <w:r>
        <w:rPr/>
      </w:r>
      <w:r>
        <w:fldChar w:fldCharType="end"/>
      </w:r>
      <w:bookmarkEnd w:id="11"/>
      <w:r>
        <w:rPr/>
        <w:t xml:space="preserve"> </w:t>
      </w:r>
    </w:p>
    <w:p>
      <w:pPr>
        <w:pStyle w:val="StylePalatinoLinotypeBlackJustified"/>
        <w:spacing w:lineRule="auto" w:line="480" w:before="280" w:after="280"/>
        <w:rPr>
          <w:rFonts w:ascii="Times New Roman" w:hAnsi="Times New Roman" w:cs="Times New Roman"/>
          <w:sz w:val="24"/>
          <w:szCs w:val="24"/>
        </w:rPr>
      </w:pPr>
      <w:r>
        <w:rPr>
          <w:rFonts w:cs="Times New Roman" w:ascii="Times New Roman" w:hAnsi="Times New Roman"/>
          <w:sz w:val="24"/>
          <w:szCs w:val="24"/>
        </w:rPr>
        <w:t>Canada remains one of the few developed countries without a comprehensive rare disease policy to address research into rare diseases, drug development incentives, and drug access for patients.  Since it came into existence in 2000, the Canadian Institutes of Health Research has seen an annual budget increase from around $350 million to nearly $1 billion in 2009-10.  Yet it was not until 2011 that the first rare disease-specific competition was announced, allocating a maximum of $14.5 million between 2012-17, including commitments from partner organizations.</w:t>
      </w:r>
      <w:r>
        <w:fldChar w:fldCharType="begin"/>
      </w:r>
      <w:r>
        <w:instrText> ADDIN EN.CITE &lt;EndNote&gt;&lt;Cite&gt;&lt;Author&gt;Research&lt;/Author&gt;&lt;Year&gt;2011&lt;/Year&gt;&lt;RecNum&gt;260&lt;/RecNum&gt;&lt;record&gt;&lt;rec-number&gt;260&lt;/rec-number&gt;&lt;foreign-keys&gt;&lt;key app="EN" db-id="vwdwd2vripd9wfepve9x9denrtppx0f5zead"&gt;260&lt;/key&gt;&lt;/foreign-keys&gt;&lt;ref-type name="Web Page"&gt;12&lt;/ref-type&gt;&lt;contributors&gt;&lt;authors&gt;&lt;author&gt;Canadian Institutes of Health Research&lt;/author&gt;&lt;/authors&gt;&lt;/contributors&gt;&lt;titles&gt;&lt;title&gt;Canadian Institutes of Health Research&lt;/title&gt;&lt;/titles&gt;&lt;volume&gt;2011&lt;/volume&gt;&lt;number&gt;April 20, 2011&lt;/number&gt;&lt;dates&gt;&lt;year&gt;2011&lt;/year&gt;&lt;pub-dates&gt;&lt;date&gt;April 20, 2011&lt;/date&gt;&lt;/pub-dates&gt;&lt;/dates&gt;&lt;urls&gt;&lt;related-urls&gt;&lt;url&gt;http://www.cihr-irsc.gc.ca/e/193.html&lt;/url&gt;&lt;/related-urls&gt;&lt;/urls&gt;&lt;/record&gt;&lt;/Cite&gt;&lt;/EndNote&gt;</w:instrText>
      </w:r>
      <w:r>
        <w:fldChar w:fldCharType="separate"/>
      </w:r>
      <w:bookmarkStart w:id="12" w:name="__Fieldmark__704_1322453857"/>
      <w:r>
        <w:rPr>
          <w:rFonts w:cs="Times New Roman" w:ascii="Times New Roman" w:hAnsi="Times New Roman"/>
          <w:sz w:val="24"/>
          <w:szCs w:val="24"/>
        </w:rPr>
        <w:t>[9]</w:t>
      </w:r>
      <w:bookmarkEnd w:id="12"/>
      <w:r>
        <w:rPr>
          <w:rFonts w:cs="Times New Roman" w:ascii="Times New Roman" w:hAnsi="Times New Roman"/>
          <w:sz w:val="24"/>
          <w:szCs w:val="24"/>
        </w:rPr>
      </w:r>
      <w:r>
        <w:fldChar w:fldCharType="end"/>
      </w:r>
    </w:p>
    <w:p>
      <w:pPr>
        <w:pStyle w:val="Normal"/>
        <w:tabs>
          <w:tab w:val="left" w:pos="1440" w:leader="none"/>
        </w:tabs>
        <w:spacing w:lineRule="auto" w:line="480" w:before="280" w:after="280"/>
        <w:rPr>
          <w:rFonts w:ascii="Times New Roman" w:hAnsi="Times New Roman" w:cs="Times New Roman"/>
          <w:sz w:val="24"/>
          <w:szCs w:val="24"/>
        </w:rPr>
      </w:pPr>
      <w:r>
        <w:rPr>
          <w:rFonts w:cs="Times New Roman"/>
          <w:sz w:val="24"/>
          <w:szCs w:val="24"/>
        </w:rPr>
      </w:r>
    </w:p>
    <w:p>
      <w:pPr>
        <w:pStyle w:val="Normal"/>
        <w:spacing w:lineRule="auto" w:line="480" w:before="280" w:after="280"/>
        <w:rPr/>
      </w:pPr>
      <w:r>
        <w:rPr/>
        <w:t>In our limited resource environment, a utilitarian approach to wealth distribution would argue that substantial resource investment in rare diseases fails to maximize the benefit to society by bringing the greatest good to the greatest number.  However, the “paradox of rarity” is that with over 6000 known rare diseases and 6-8% of the population affected by a rare disease, even though each disease is rare, rare diseases patients are many.</w:t>
      </w:r>
      <w:r>
        <w:fldChar w:fldCharType="begin"/>
      </w:r>
      <w:r>
        <w:instrText> ADDIN EN.CITE &lt;EndNote&gt;&lt;Cite&gt;&lt;Author&gt;Diseases&lt;/Author&gt;&lt;Year&gt;2005&lt;/Year&gt;&lt;RecNum&gt;109&lt;/RecNum&gt;&lt;record&gt;&lt;rec-number&gt;109&lt;/rec-number&gt;&lt;foreign-keys&gt;&lt;key app="EN" db-id="vwdwd2vripd9wfepve9x9denrtppx0f5zead"&gt;109&lt;/key&gt;&lt;/foreign-keys&gt;&lt;ref-type name="Web Page"&gt;12&lt;/ref-type&gt;&lt;contributors&gt;&lt;authors&gt;&lt;author&gt;EURORDIS:  European Organisation for Rare Diseases&lt;/author&gt;&lt;/authors&gt;&lt;/contributors&gt;&lt;titles&gt;&lt;title&gt;Rare Diseases: understanding this Public Health Priority&lt;/title&gt;&lt;/titles&gt;&lt;volume&gt;2007&lt;/volume&gt;&lt;number&gt;August 10&lt;/number&gt;&lt;dates&gt;&lt;year&gt;2005&lt;/year&gt;&lt;/dates&gt;&lt;urls&gt;&lt;related-urls&gt;&lt;url&gt;http://www.eurordis.org/IMG/pdf/princeps_document-EN.pdf&lt;/url&gt;&lt;/related-urls&gt;&lt;/urls&gt;&lt;/record&gt;&lt;/Cite&gt;&lt;/EndNote&gt;</w:instrText>
      </w:r>
      <w:r>
        <w:fldChar w:fldCharType="separate"/>
      </w:r>
      <w:bookmarkStart w:id="13" w:name="__Fieldmark__705_1322453857"/>
      <w:r>
        <w:rPr/>
        <w:t>[10]</w:t>
      </w:r>
      <w:r>
        <w:rPr/>
      </w:r>
      <w:r>
        <w:fldChar w:fldCharType="end"/>
      </w:r>
      <w:bookmarkEnd w:id="13"/>
      <w:r>
        <w:rPr/>
        <w:t xml:space="preserve">  </w:t>
      </w:r>
    </w:p>
    <w:p>
      <w:pPr>
        <w:pStyle w:val="Normal"/>
        <w:spacing w:lineRule="auto" w:line="480" w:before="280" w:after="280"/>
        <w:rPr/>
      </w:pPr>
      <w:r>
        <w:rPr/>
        <w:t xml:space="preserve">Based on a belief that our society’s moral obligation is to protect each individual’s rights, The </w:t>
      </w:r>
      <w:r>
        <w:rPr>
          <w:lang w:val="en"/>
        </w:rPr>
        <w:t>Canada Health Act upholds the p</w:t>
      </w:r>
      <w:r>
        <w:rPr/>
        <w:t xml:space="preserve">rinciple of “non-abandonment,” whereby </w:t>
      </w:r>
      <w:r>
        <w:rPr>
          <w:lang w:val="en"/>
        </w:rPr>
        <w:t>all Canadians should have “timely access to health services on the basis of need, not ability to pay...” and “the health care services available to Canadians are of high quality, effective, patient-centered and safe.”</w:t>
      </w:r>
    </w:p>
    <w:p>
      <w:pPr>
        <w:pStyle w:val="Normal"/>
        <w:spacing w:lineRule="auto" w:line="480" w:before="280" w:after="280"/>
        <w:rPr>
          <w:lang w:val="en"/>
        </w:rPr>
      </w:pPr>
      <w:r>
        <w:rPr>
          <w:lang w:val="en"/>
        </w:rPr>
        <w:t xml:space="preserve">Far beyond the simple question of access to drugs, a right to effective and high-quality care can not be fulfilled without addressing the fundamental gap in access to scientific advancement and research in rare diseases.  It is time for our federal leaders to join the rest of the developed world in legislating a comprehensive strategy to enable orphan disease research.  </w:t>
      </w:r>
      <w:r>
        <w:rPr/>
        <w:t xml:space="preserve">In addition to sustained public attention, efforts by the Canadian </w:t>
      </w:r>
      <w:r>
        <w:rPr>
          <w:lang w:val="en"/>
        </w:rPr>
        <w:t xml:space="preserve">clinicians and researchers </w:t>
      </w:r>
      <w:r>
        <w:rPr/>
        <w:t>will be required to drive a political solution.</w:t>
      </w:r>
    </w:p>
    <w:p>
      <w:pPr>
        <w:pStyle w:val="Normal"/>
        <w:spacing w:lineRule="auto" w:line="480" w:before="280" w:after="280"/>
        <w:rPr>
          <w:color w:val="0000FF"/>
        </w:rPr>
      </w:pPr>
      <w:r>
        <w:rPr>
          <w:lang w:val="en"/>
        </w:rPr>
        <w:t xml:space="preserve"> </w:t>
      </w:r>
    </w:p>
    <w:p>
      <w:pPr>
        <w:pStyle w:val="Normal"/>
        <w:spacing w:lineRule="auto" w:line="480" w:before="280" w:after="280"/>
        <w:rPr>
          <w:color w:val="0000FF"/>
          <w:lang w:val="en"/>
        </w:rPr>
      </w:pPr>
      <w:r>
        <w:rPr>
          <w:color w:val="0000FF"/>
          <w:lang w:val="en"/>
        </w:rPr>
      </w:r>
    </w:p>
    <w:p>
      <w:pPr>
        <w:pStyle w:val="Normal"/>
        <w:spacing w:lineRule="auto" w:line="480" w:before="280" w:after="280"/>
        <w:rPr>
          <w:lang w:val="en"/>
        </w:rPr>
      </w:pPr>
      <w:r>
        <w:rPr>
          <w:lang w:val="en"/>
        </w:rPr>
      </w:r>
      <w:r>
        <w:br w:type="page"/>
      </w:r>
    </w:p>
    <w:p>
      <w:pPr>
        <w:pStyle w:val="Normal"/>
        <w:spacing w:lineRule="auto" w:line="480" w:before="280" w:after="280"/>
        <w:ind w:left="720" w:hanging="720"/>
        <w:rPr>
          <w:b/>
          <w:b/>
        </w:rPr>
      </w:pPr>
      <w:r>
        <w:rPr>
          <w:b/>
        </w:rPr>
        <w:t>References</w:t>
      </w:r>
    </w:p>
    <w:p>
      <w:pPr>
        <w:pStyle w:val="Normal"/>
        <w:spacing w:lineRule="auto" w:line="480" w:before="280" w:after="280"/>
        <w:ind w:left="720" w:hanging="720"/>
        <w:rPr>
          <w:b/>
          <w:b/>
        </w:rPr>
      </w:pPr>
      <w:r>
        <w:rPr>
          <w:b/>
        </w:rPr>
      </w:r>
    </w:p>
    <w:sectPr>
      <w:footerReference w:type="default" r:id="rId5"/>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mbria">
    <w:charset w:val="00"/>
    <w:family w:val="roman"/>
    <w:pitch w:val="variable"/>
  </w:font>
  <w:font w:name="Courier New">
    <w:charset w:val="00"/>
    <w:family w:val="modern"/>
    <w:pitch w:val="default"/>
  </w:font>
  <w:font w:name="Wingdings">
    <w:charset w:val="02"/>
    <w:family w:val="auto"/>
    <w:pitch w:val="variable"/>
  </w:font>
  <w:font w:name="Symbol">
    <w:charset w:val="01"/>
    <w:family w:val="roman"/>
    <w:pitch w:val="variable"/>
  </w:font>
  <w:font w:name="Verdana">
    <w:charset w:val="00"/>
    <w:family w:val="swiss"/>
    <w:pitch w:val="variable"/>
  </w:font>
  <w:font w:name="Liberation Sans">
    <w:altName w:val="Arial"/>
    <w:charset w:val="01"/>
    <w:family w:val="swiss"/>
    <w:pitch w:val="variable"/>
  </w:font>
  <w:font w:name="Tahoma">
    <w:charset w:val="00"/>
    <w:family w:val="swiss"/>
    <w:pitch w:val="variable"/>
  </w:font>
  <w:font w:name="Palatino Linotyp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7">
              <wp:simplePos x="0" y="0"/>
              <wp:positionH relativeFrom="margin">
                <wp:align>right</wp:align>
              </wp:positionH>
              <wp:positionV relativeFrom="paragraph">
                <wp:posOffset>635</wp:posOffset>
              </wp:positionV>
              <wp:extent cx="768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6</w:t>
                          </w:r>
                          <w:r>
                            <w:fldChar w:fldCharType="end"/>
                          </w:r>
                        </w:p>
                      </w:txbxContent>
                    </wps:txbx>
                    <wps:bodyPr anchor="t">
                      <a:noAutofit/>
                    </wps:bodyPr>
                  </wps:wsp>
                </a:graphicData>
              </a:graphic>
            </wp:anchor>
          </w:drawing>
        </mc:Choice>
        <mc:Fallback>
          <w:pict>
            <v:rect fillcolor="#FFFFFF" style="position:absolute;rotation:0;width:6.05pt;height:13.8pt;margin-top:0.05pt;mso-position-vertical-relative:text;margin-left:425.95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6</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outlineLvl w:val="1"/>
    </w:pPr>
    <w:rPr>
      <w:b/>
      <w:bCs/>
      <w:color w:val="0B0C47"/>
      <w:sz w:val="27"/>
      <w:szCs w:val="27"/>
    </w:rPr>
  </w:style>
  <w:style w:type="paragraph" w:styleId="Heading3">
    <w:name w:val="Heading 3"/>
    <w:basedOn w:val="Normal"/>
    <w:next w:val="Normal"/>
    <w:qFormat/>
    <w:pPr>
      <w:keepNext/>
      <w:numPr>
        <w:ilvl w:val="2"/>
        <w:numId w:val="1"/>
      </w:numPr>
      <w:spacing w:before="240" w:after="60"/>
      <w:outlineLvl w:val="2"/>
      <w:outlineLvl w:val="2"/>
    </w:pPr>
    <w:rPr>
      <w:rFonts w:ascii="Cambria" w:hAnsi="Cambria" w:eastAsia="Times New Roman" w:cs="Times New Roman"/>
      <w:b/>
      <w:bCs/>
      <w:sz w:val="26"/>
      <w:szCs w:val="26"/>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cs="Times New Roman"/>
      <w:b w:val="false"/>
      <w:i w:val="false"/>
      <w:sz w:val="24"/>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Maineditorialbodycopy1">
    <w:name w:val="main_editorial_bodycopy1"/>
    <w:basedOn w:val="DefaultParagraphFont"/>
    <w:qFormat/>
    <w:rPr>
      <w:rFonts w:ascii="Verdana" w:hAnsi="Verdana" w:cs="Verdana"/>
      <w:color w:val="336699"/>
      <w:sz w:val="15"/>
      <w:szCs w:val="15"/>
    </w:rPr>
  </w:style>
  <w:style w:type="character" w:styleId="Hyperlink8">
    <w:name w:val="Hyperlink8"/>
    <w:basedOn w:val="DefaultParagraphFont"/>
    <w:qFormat/>
    <w:rPr>
      <w:strike w:val="false"/>
      <w:dstrike w:val="false"/>
      <w:color w:val="0000FF"/>
      <w:u w:val="none"/>
    </w:rPr>
  </w:style>
  <w:style w:type="character" w:styleId="CommentReference">
    <w:name w:val="Comment Reference"/>
    <w:basedOn w:val="DefaultParagraphFont"/>
    <w:qFormat/>
    <w:rPr>
      <w:sz w:val="16"/>
      <w:szCs w:val="16"/>
    </w:rPr>
  </w:style>
  <w:style w:type="character" w:styleId="BodyText3Char">
    <w:name w:val="Body Text 3 Char"/>
    <w:basedOn w:val="DefaultParagraphFont"/>
    <w:qFormat/>
    <w:rPr>
      <w:sz w:val="16"/>
      <w:szCs w:val="16"/>
      <w:lang w:val="en-US"/>
    </w:rPr>
  </w:style>
  <w:style w:type="character" w:styleId="Headertoptitle">
    <w:name w:val="headertoptitle"/>
    <w:basedOn w:val="DefaultParagraphFont"/>
    <w:qFormat/>
    <w:rPr/>
  </w:style>
  <w:style w:type="character" w:styleId="Heading2Char">
    <w:name w:val="Heading 2 Char"/>
    <w:basedOn w:val="DefaultParagraphFont"/>
    <w:qFormat/>
    <w:rPr>
      <w:b/>
      <w:bCs/>
      <w:color w:val="0B0C47"/>
      <w:sz w:val="27"/>
      <w:szCs w:val="27"/>
      <w:lang w:val="en-US"/>
    </w:rPr>
  </w:style>
  <w:style w:type="character" w:styleId="Minitextebleu1">
    <w:name w:val="minitextebleu1"/>
    <w:basedOn w:val="DefaultParagraphFont"/>
    <w:qFormat/>
    <w:rPr>
      <w:rFonts w:ascii="Arial" w:hAnsi="Arial" w:cs="Arial"/>
      <w:b/>
      <w:bCs/>
      <w:color w:val="333366"/>
      <w:sz w:val="18"/>
      <w:szCs w:val="18"/>
    </w:rPr>
  </w:style>
  <w:style w:type="character" w:styleId="CommentTextChar">
    <w:name w:val="Comment Text Char"/>
    <w:basedOn w:val="DefaultParagraphFont"/>
    <w:qFormat/>
    <w:rPr>
      <w:lang w:val="en-US"/>
    </w:rPr>
  </w:style>
  <w:style w:type="character" w:styleId="CommentSubjectChar">
    <w:name w:val="Comment Subject Char"/>
    <w:basedOn w:val="CommentTextChar"/>
    <w:qFormat/>
    <w:rPr/>
  </w:style>
  <w:style w:type="character" w:styleId="Heading3Char">
    <w:name w:val="Heading 3 Char"/>
    <w:basedOn w:val="DefaultParagraphFont"/>
    <w:qFormat/>
    <w:rPr>
      <w:rFonts w:ascii="Cambria" w:hAnsi="Cambria" w:eastAsia="Times New Roman" w:cs="Times New Roman"/>
      <w:b/>
      <w:bCs/>
      <w:sz w:val="26"/>
      <w:szCs w:val="26"/>
      <w:lang w:val="en-US"/>
    </w:rPr>
  </w:style>
  <w:style w:type="character" w:styleId="StrongEmphasis">
    <w:name w:val="Strong Emphasis"/>
    <w:basedOn w:val="DefaultParagraphFont"/>
    <w:rPr>
      <w:b/>
      <w:bCs/>
    </w:rPr>
  </w:style>
  <w:style w:type="character" w:styleId="Style201">
    <w:name w:val="style201"/>
    <w:basedOn w:val="DefaultParagraphFont"/>
    <w:qFormat/>
    <w:rPr>
      <w:color w:val="CC6600"/>
    </w:rPr>
  </w:style>
  <w:style w:type="character" w:styleId="VisitedInternetLink">
    <w:name w:val="Visited Internet Link"/>
    <w:basedOn w:val="DefaultParagraphFont"/>
    <w:rPr>
      <w:color w:val="800080"/>
      <w:u w:val="single"/>
    </w:rPr>
  </w:style>
  <w:style w:type="character" w:styleId="PageNumber">
    <w:name w:val="Page Number"/>
    <w:basedOn w:val="DefaultParagraphFon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rPr>
      <w:i/>
      <w:iCs/>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BalloonText">
    <w:name w:val="Balloon Text"/>
    <w:basedOn w:val="Normal"/>
    <w:qFormat/>
    <w:pPr/>
    <w:rPr>
      <w:rFonts w:ascii="Tahoma" w:hAnsi="Tahoma" w:cs="Tahoma"/>
      <w:sz w:val="16"/>
      <w:szCs w:val="16"/>
    </w:rPr>
  </w:style>
  <w:style w:type="paragraph" w:styleId="NormalWeb">
    <w:name w:val="Normal (Web)"/>
    <w:basedOn w:val="Normal"/>
    <w:qFormat/>
    <w:pPr>
      <w:spacing w:before="280" w:after="280"/>
    </w:pPr>
    <w:rPr/>
  </w:style>
  <w:style w:type="paragraph" w:styleId="CommentText">
    <w:name w:val="Comment Text"/>
    <w:basedOn w:val="Normal"/>
    <w:qFormat/>
    <w:pPr/>
    <w:rPr>
      <w:sz w:val="20"/>
      <w:szCs w:val="20"/>
    </w:rPr>
  </w:style>
  <w:style w:type="paragraph" w:styleId="BodyText3">
    <w:name w:val="Body Text 3"/>
    <w:basedOn w:val="Normal"/>
    <w:qFormat/>
    <w:pPr>
      <w:spacing w:before="0" w:after="120"/>
    </w:pPr>
    <w:rPr>
      <w:sz w:val="16"/>
      <w:szCs w:val="16"/>
    </w:rPr>
  </w:style>
  <w:style w:type="paragraph" w:styleId="NormalWeb10">
    <w:name w:val="Normal (Web)10"/>
    <w:basedOn w:val="Normal"/>
    <w:qFormat/>
    <w:pPr>
      <w:spacing w:before="0" w:after="240"/>
      <w:ind w:left="330" w:hanging="0"/>
    </w:pPr>
    <w:rPr>
      <w:color w:val="000000"/>
      <w:sz w:val="22"/>
      <w:szCs w:val="22"/>
    </w:rPr>
  </w:style>
  <w:style w:type="paragraph" w:styleId="StylePalatinoLinotypeBlackJustified">
    <w:name w:val="Style Palatino Linotype Black Justified"/>
    <w:basedOn w:val="Normal"/>
    <w:qFormat/>
    <w:pPr>
      <w:jc w:val="both"/>
    </w:pPr>
    <w:rPr>
      <w:rFonts w:ascii="Palatino Linotype" w:hAnsi="Palatino Linotype" w:cs="Palatino Linotype"/>
      <w:color w:val="000000"/>
      <w:sz w:val="22"/>
      <w:szCs w:val="20"/>
      <w:lang w:val="en-GB"/>
    </w:rPr>
  </w:style>
  <w:style w:type="paragraph" w:styleId="Spip">
    <w:name w:val="spip"/>
    <w:basedOn w:val="Normal"/>
    <w:qFormat/>
    <w:pPr>
      <w:spacing w:before="280" w:after="280"/>
    </w:pPr>
    <w:rPr/>
  </w:style>
  <w:style w:type="paragraph" w:styleId="CommentSubject">
    <w:name w:val="Comment Subject"/>
    <w:basedOn w:val="CommentText"/>
    <w:next w:val="CommentText"/>
    <w:qFormat/>
    <w:pPr/>
    <w:rPr>
      <w:b/>
      <w:bCs/>
    </w:rPr>
  </w:style>
  <w:style w:type="paragraph" w:styleId="Style14">
    <w:name w:val="style14"/>
    <w:basedOn w:val="Normal"/>
    <w:qFormat/>
    <w:pPr>
      <w:spacing w:before="280" w:after="280"/>
    </w:pPr>
    <w:rPr>
      <w:rFonts w:ascii="Arial" w:hAnsi="Arial" w:cs="Arial"/>
    </w:rPr>
  </w:style>
  <w:style w:type="paragraph" w:styleId="Revision">
    <w:name w:val="Revision"/>
    <w:qFormat/>
    <w:pPr>
      <w:widowControl/>
      <w:suppressAutoHyphens w:val="true"/>
    </w:pPr>
    <w:rPr>
      <w:rFonts w:ascii="Times New Roman" w:hAnsi="Times New Roman" w:eastAsia="Times New Roman" w:cs="Times New Roman"/>
      <w:color w:val="auto"/>
      <w:sz w:val="24"/>
      <w:szCs w:val="24"/>
      <w:lang w:val="en-US" w:bidi="ar-SA" w:eastAsia="zh-CN"/>
    </w:rPr>
  </w:style>
  <w:style w:type="paragraph" w:styleId="Box">
    <w:name w:val="box"/>
    <w:basedOn w:val="Normal"/>
    <w:qFormat/>
    <w:pPr>
      <w:tabs>
        <w:tab w:val="left" w:pos="2070" w:leader="none"/>
      </w:tabs>
    </w:pPr>
    <w:rPr>
      <w:rFonts w:ascii="Arial" w:hAnsi="Arial" w:cs="Arial"/>
      <w:szCs w:val="20"/>
      <w:lang w:val="en-CA"/>
    </w:rPr>
  </w:style>
  <w:style w:type="paragraph" w:styleId="Footer">
    <w:name w:val="Footer"/>
    <w:basedOn w:val="Normal"/>
    <w:pPr>
      <w:tabs>
        <w:tab w:val="center" w:pos="4320" w:leader="none"/>
        <w:tab w:val="right" w:pos="8640" w:leader="none"/>
      </w:tabs>
    </w:pPr>
    <w:rPr/>
  </w:style>
  <w:style w:type="paragraph" w:styleId="FrameContents">
    <w:name w:val="Frame Contents"/>
    <w:basedOn w:val="Normal"/>
    <w:qFormat/>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uptas@smh.ca" TargetMode="External"/><Relationship Id="rId3" Type="http://schemas.openxmlformats.org/officeDocument/2006/relationships/hyperlink" Target="http://cordis.europa.eu/lifescihealth/home.html" TargetMode="External"/><Relationship Id="rId4" Type="http://schemas.openxmlformats.org/officeDocument/2006/relationships/hyperlink" Target="http://ec.europa.eu/research/fp7/index_en.cfm?pg=understanding"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2011-06-25T18:18:00Z</dcterms:created>
  <dc:creator>SG</dc:creator>
  <dc:language>en-CA</dc:language>
  <cp:lastModifiedBy>Samir Gupta</cp:lastModifiedBy>
  <dcterms:modified xsi:type="dcterms:W3CDTF">2011-06-25T18:50:00Z</dcterms:modified>
  <cp:revision>4</cp:revision>
  <dc:title>RARE DISEASE RESEARCH:  FUNDING SOURCES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ibraries">
    <vt:lpwstr>&lt;ENLibraries&gt;&lt;Libraries&gt;&lt;item&gt;Rare diaseases June 3rd-Converted.enl&lt;/item&gt;&lt;/Libraries&gt;&lt;/ENLibraries&gt;</vt:lpwstr>
  </property>
</Properties>
</file>