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wmf" ContentType="image/x-wmf"/>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rPr>
        <w:t>LACE+ - an extension of a validated index to predict early death or unplanned readmission following hospital discharge using administrative data</w:t>
      </w:r>
    </w:p>
    <w:p>
      <w:pPr>
        <w:pStyle w:val="Normal"/>
        <w:spacing w:lineRule="auto" w:line="360"/>
        <w:rPr>
          <w:b/>
          <w:b/>
        </w:rPr>
      </w:pPr>
      <w:r>
        <w:rPr>
          <w:b/>
        </w:rPr>
      </w:r>
    </w:p>
    <w:p>
      <w:pPr>
        <w:pStyle w:val="Normal"/>
        <w:spacing w:lineRule="auto" w:line="360"/>
        <w:rPr>
          <w:b/>
          <w:b/>
        </w:rPr>
      </w:pPr>
      <w:r>
        <w:rPr>
          <w:b/>
        </w:rPr>
      </w:r>
    </w:p>
    <w:p>
      <w:pPr>
        <w:pStyle w:val="Normal"/>
        <w:spacing w:lineRule="auto" w:line="360"/>
        <w:rPr>
          <w:rFonts w:cs="Trebuchet MS"/>
          <w:color w:val="000000"/>
        </w:rPr>
      </w:pPr>
      <w:r>
        <w:rPr>
          <w:rFonts w:cs="Trebuchet MS"/>
          <w:b/>
          <w:bCs/>
          <w:color w:val="000000"/>
        </w:rPr>
        <w:t>Carl van Walraven</w:t>
      </w:r>
      <w:r>
        <w:rPr>
          <w:rFonts w:cs="Trebuchet MS"/>
          <w:bCs/>
          <w:color w:val="000000"/>
          <w:vertAlign w:val="superscript"/>
        </w:rPr>
        <w:t>1,2</w:t>
      </w:r>
      <w:r>
        <w:rPr>
          <w:rFonts w:cs="Trebuchet MS"/>
          <w:b/>
          <w:bCs/>
          <w:color w:val="000000"/>
        </w:rPr>
        <w:t xml:space="preserve">, </w:t>
      </w:r>
      <w:r>
        <w:rPr>
          <w:rFonts w:cs="Trebuchet MS"/>
          <w:color w:val="000000"/>
        </w:rPr>
        <w:t>MD, MSc is a senior scientist in Clinical Epidemiology at the Ottawa Hospital Research Institute (OHRI), adjunct scientist at the Institute for Clinical Evaluative Sciences (ICES), and associate professor of Medicine at the University of Ottawa. Email: carlv@ohri.ca</w:t>
      </w:r>
    </w:p>
    <w:p>
      <w:pPr>
        <w:pStyle w:val="Normal"/>
        <w:spacing w:lineRule="auto" w:line="360"/>
        <w:rPr/>
      </w:pPr>
      <w:r>
        <w:rPr>
          <w:b/>
        </w:rPr>
        <w:t>Jenna Wong</w:t>
      </w:r>
      <w:r>
        <w:rPr/>
        <w:t>, MSc is a methodologist in Clinical Epidemiology at OHRI and an analyst at ICES. Email: jewong@ohri.ca</w:t>
      </w:r>
    </w:p>
    <w:p>
      <w:pPr>
        <w:pStyle w:val="Normal"/>
        <w:spacing w:lineRule="auto" w:line="360"/>
        <w:rPr/>
      </w:pPr>
      <w:r>
        <w:rPr>
          <w:b/>
        </w:rPr>
        <w:t>Alan J. Forster</w:t>
      </w:r>
      <w:r>
        <w:rPr>
          <w:vertAlign w:val="superscript"/>
        </w:rPr>
        <w:t>1,2</w:t>
      </w:r>
      <w:r>
        <w:rPr>
          <w:b/>
        </w:rPr>
        <w:t xml:space="preserve">, </w:t>
      </w:r>
      <w:r>
        <w:rPr/>
        <w:t xml:space="preserve">MD, MSc is a </w:t>
      </w:r>
      <w:r>
        <w:rPr>
          <w:rFonts w:cs="Trebuchet MS"/>
          <w:color w:val="000000"/>
        </w:rPr>
        <w:t>senior scientist in Clinical Epidemiology at OHRI, adjunct scientist at ICES, and associate professor of Medicine at the University of Ottawa. Email: aforster@ohri.ca</w:t>
      </w:r>
    </w:p>
    <w:p>
      <w:pPr>
        <w:pStyle w:val="Normal"/>
        <w:spacing w:lineRule="auto" w:line="360"/>
        <w:rPr/>
      </w:pPr>
      <w:r>
        <w:rPr/>
      </w:r>
    </w:p>
    <w:p>
      <w:pPr>
        <w:pStyle w:val="Normal"/>
        <w:numPr>
          <w:ilvl w:val="0"/>
          <w:numId w:val="1"/>
        </w:numPr>
        <w:spacing w:lineRule="auto" w:line="360"/>
        <w:rPr>
          <w:sz w:val="20"/>
          <w:szCs w:val="20"/>
        </w:rPr>
      </w:pPr>
      <w:r>
        <w:rPr>
          <w:sz w:val="20"/>
          <w:szCs w:val="20"/>
        </w:rPr>
        <w:t>Ottawa Hospital Research Institute and Institute for Clinical Evaluative Sciences, 1053 Carling Avenue, Ottawa, K1Y 4E9, Canada</w:t>
      </w:r>
    </w:p>
    <w:p>
      <w:pPr>
        <w:pStyle w:val="Normal"/>
        <w:numPr>
          <w:ilvl w:val="0"/>
          <w:numId w:val="1"/>
        </w:numPr>
        <w:spacing w:lineRule="auto" w:line="360"/>
        <w:rPr>
          <w:sz w:val="20"/>
          <w:szCs w:val="20"/>
        </w:rPr>
      </w:pPr>
      <w:r>
        <w:rPr>
          <w:sz w:val="20"/>
          <w:szCs w:val="20"/>
        </w:rPr>
        <w:t>Department of Medicine, University of Ottawa, 1053 Carling Avenue, Ottawa, K1Y 4E9, Canada</w:t>
      </w:r>
    </w:p>
    <w:p>
      <w:pPr>
        <w:pStyle w:val="Normal"/>
        <w:spacing w:lineRule="auto" w:line="360"/>
        <w:rPr>
          <w:sz w:val="20"/>
          <w:szCs w:val="20"/>
        </w:rPr>
      </w:pPr>
      <w:r>
        <w:rPr>
          <w:sz w:val="20"/>
          <w:szCs w:val="20"/>
        </w:rPr>
      </w:r>
    </w:p>
    <w:p>
      <w:pPr>
        <w:pStyle w:val="Normal"/>
        <w:spacing w:lineRule="auto" w:line="360"/>
        <w:rPr/>
      </w:pPr>
      <w:r>
        <w:rPr>
          <w:sz w:val="20"/>
          <w:szCs w:val="20"/>
        </w:rPr>
        <w:t xml:space="preserve">Corresponding author: Carl van Walraven; 1053 Carling Avenue, Administrative Services Building, 1st floor, Room 1003; Ottawa ON; K1Y 4E9; Phone: 613-761-4903; Fax: 613-761-5355; email: </w:t>
      </w:r>
      <w:hyperlink r:id="rId2">
        <w:r>
          <w:rPr>
            <w:rStyle w:val="InternetLink"/>
            <w:sz w:val="20"/>
            <w:szCs w:val="20"/>
          </w:rPr>
          <w:t>carlv@ohri.ca</w:t>
        </w:r>
      </w:hyperlink>
      <w:r>
        <w:rPr>
          <w:sz w:val="20"/>
          <w:szCs w:val="20"/>
        </w:rPr>
        <w:t xml:space="preserve"> (e-mail address to be published)</w:t>
      </w:r>
    </w:p>
    <w:p>
      <w:pPr>
        <w:pStyle w:val="Normal"/>
        <w:spacing w:lineRule="auto" w:line="360"/>
        <w:rPr>
          <w:sz w:val="20"/>
          <w:szCs w:val="20"/>
        </w:rPr>
      </w:pPr>
      <w:r>
        <w:rPr>
          <w:sz w:val="20"/>
          <w:szCs w:val="20"/>
        </w:rPr>
      </w:r>
    </w:p>
    <w:p>
      <w:pPr>
        <w:pStyle w:val="Normal"/>
        <w:spacing w:lineRule="auto" w:line="360"/>
        <w:rPr/>
      </w:pPr>
      <w:r>
        <w:rPr/>
        <w:t>Abstract count: 284</w:t>
      </w:r>
    </w:p>
    <w:p>
      <w:pPr>
        <w:pStyle w:val="Normal"/>
        <w:spacing w:lineRule="auto" w:line="360"/>
        <w:rPr/>
      </w:pPr>
      <w:r>
        <w:rPr/>
        <w:t>Text count: 3237</w:t>
      </w:r>
    </w:p>
    <w:p>
      <w:pPr>
        <w:pStyle w:val="Normal"/>
        <w:spacing w:lineRule="auto" w:line="360"/>
        <w:rPr/>
      </w:pPr>
      <w:r>
        <w:rPr/>
        <w:t>Tables: 4</w:t>
      </w:r>
    </w:p>
    <w:p>
      <w:pPr>
        <w:pStyle w:val="Normal"/>
        <w:spacing w:lineRule="auto" w:line="360"/>
        <w:rPr/>
      </w:pPr>
      <w:r>
        <w:rPr/>
        <w:t xml:space="preserve">Figures: 3 </w:t>
      </w:r>
      <w:r>
        <w:br w:type="page"/>
      </w:r>
    </w:p>
    <w:p>
      <w:pPr>
        <w:pStyle w:val="Normal"/>
        <w:spacing w:lineRule="auto" w:line="360"/>
        <w:rPr>
          <w:b/>
          <w:b/>
        </w:rPr>
      </w:pPr>
      <w:r>
        <w:rPr>
          <w:b/>
        </w:rPr>
        <w:t xml:space="preserve">ABSTRACT </w:t>
      </w:r>
    </w:p>
    <w:p>
      <w:pPr>
        <w:pStyle w:val="Normal"/>
        <w:spacing w:lineRule="auto" w:line="360"/>
        <w:rPr>
          <w:b/>
          <w:b/>
        </w:rPr>
      </w:pPr>
      <w:r>
        <w:rPr>
          <w:b/>
        </w:rPr>
      </w:r>
    </w:p>
    <w:p>
      <w:pPr>
        <w:pStyle w:val="Normal"/>
        <w:spacing w:lineRule="auto" w:line="360"/>
        <w:rPr>
          <w:b/>
          <w:b/>
        </w:rPr>
      </w:pPr>
      <w:r>
        <w:rPr>
          <w:b/>
        </w:rPr>
        <w:t>Background:</w:t>
      </w:r>
      <w:r>
        <w:rPr/>
        <w:t xml:space="preserve"> Death or urgent readmission following hospital discharge is a common, adverse event that can be used to compare outcomes of care between institutions.  To help adjust for such comparisons, we used administrative data to derive and validate an extension of the LACE index, a previously validated index for 30-day death or urgent readmission.   </w:t>
      </w:r>
    </w:p>
    <w:p>
      <w:pPr>
        <w:pStyle w:val="Normal"/>
        <w:spacing w:lineRule="auto" w:line="360"/>
        <w:rPr>
          <w:b/>
          <w:b/>
        </w:rPr>
      </w:pPr>
      <w:r>
        <w:rPr>
          <w:b/>
        </w:rPr>
        <w:t xml:space="preserve">Methods:  </w:t>
      </w:r>
      <w:r>
        <w:rPr/>
        <w:t>We randomly selected 500 000 medical and surgical patients discharged to the community from an Ontario hospital between 1 April 2003 and 31 March 2009.  We derived a logistic model on a random 250 000 patients and modified the final model into an index scoring system (the LACE</w:t>
      </w:r>
      <w:r>
        <w:rPr>
          <w:vertAlign w:val="superscript"/>
        </w:rPr>
        <w:t>+</w:t>
      </w:r>
      <w:r>
        <w:rPr/>
        <w:t xml:space="preserve"> index).  We validated the LACE</w:t>
      </w:r>
      <w:r>
        <w:rPr>
          <w:vertAlign w:val="superscript"/>
        </w:rPr>
        <w:t>+</w:t>
      </w:r>
      <w:r>
        <w:rPr/>
        <w:t xml:space="preserve"> index on the remaining patients and compared its performance with that of the original LACE index.</w:t>
      </w:r>
    </w:p>
    <w:p>
      <w:pPr>
        <w:pStyle w:val="Normal"/>
        <w:spacing w:lineRule="auto" w:line="360"/>
        <w:rPr/>
      </w:pPr>
      <w:r>
        <w:rPr>
          <w:b/>
        </w:rPr>
        <w:t xml:space="preserve">Results:  </w:t>
      </w:r>
      <w:r>
        <w:rPr/>
        <w:t>Within 30 days of discharge to the community, 33 825 (6.8%) patients died or were urgently readmitted.  In addition to the variables included in the LACE index (</w:t>
      </w:r>
      <w:r>
        <w:rPr>
          <w:b/>
        </w:rPr>
        <w:t>L</w:t>
      </w:r>
      <w:r>
        <w:rPr/>
        <w:t xml:space="preserve">ength of stay, </w:t>
      </w:r>
      <w:r>
        <w:rPr>
          <w:b/>
        </w:rPr>
        <w:t>A</w:t>
      </w:r>
      <w:r>
        <w:rPr/>
        <w:t xml:space="preserve">cuity of admission, </w:t>
      </w:r>
      <w:r>
        <w:rPr>
          <w:b/>
        </w:rPr>
        <w:t>C</w:t>
      </w:r>
      <w:r>
        <w:rPr/>
        <w:t xml:space="preserve">omorbidity, and </w:t>
      </w:r>
      <w:r>
        <w:rPr>
          <w:b/>
        </w:rPr>
        <w:t>E</w:t>
      </w:r>
      <w:r>
        <w:rPr/>
        <w:t>mergency department use in the six months prior to admission), the LACE</w:t>
      </w:r>
      <w:r>
        <w:rPr>
          <w:vertAlign w:val="superscript"/>
        </w:rPr>
        <w:t>+</w:t>
      </w:r>
      <w:r>
        <w:rPr/>
        <w:t xml:space="preserve"> index included: patient age and sex; teaching status of discharge hospital; acute diagnoses and procedures performed during the index admission; number of days on alternative level of care during the index admission; and the number of elective and urgent hospitalizations in the year prior to the index admission.  The LACE+ index was very discriminative (C-statistic of 0.7708), was well calibrated across most of its range of scores, and had a model performance that exceeded the LACE index.</w:t>
      </w:r>
    </w:p>
    <w:p>
      <w:pPr>
        <w:pStyle w:val="Normal"/>
        <w:spacing w:lineRule="auto" w:line="360"/>
        <w:rPr/>
      </w:pPr>
      <w:r>
        <w:rPr>
          <w:b/>
        </w:rPr>
        <w:t xml:space="preserve">Interpretation:  </w:t>
      </w:r>
      <w:r>
        <w:rPr/>
        <w:t xml:space="preserve">The LACE+ index can predict the risk of post-discharge urgent readmission or death using administrative data.  Its performance exceeds the LACE index and allows analysts to accurately estimate the risk of important post-discharge outcomes.   </w:t>
      </w:r>
      <w:r>
        <w:br w:type="page"/>
      </w:r>
    </w:p>
    <w:p>
      <w:pPr>
        <w:pStyle w:val="Normal"/>
        <w:spacing w:lineRule="auto" w:line="360"/>
        <w:rPr>
          <w:b/>
          <w:b/>
        </w:rPr>
      </w:pPr>
      <w:r>
        <w:rPr>
          <w:b/>
        </w:rPr>
        <w:t>INTRODUCTION</w:t>
      </w:r>
    </w:p>
    <w:p>
      <w:pPr>
        <w:pStyle w:val="Normal"/>
        <w:spacing w:lineRule="auto" w:line="360"/>
        <w:rPr/>
      </w:pPr>
      <w:r>
        <w:rPr/>
        <w:tab/>
        <w:t xml:space="preserve">Death or urgent readmission following hospital discharge is a relatively common event that is costly to the healthcare system and has obvious important effects on patient health.  Being able to accurately identify patients at high risk of these adverse post-discharge outcomes could help elucidate the mechanisms involved in early death or readmission.  Accurately adjusting for the risk of post-discharge death or urgent readmission will permit valid inter-hospital comparisons based on this outcome.   </w:t>
      </w:r>
    </w:p>
    <w:p>
      <w:pPr>
        <w:pStyle w:val="Normal"/>
        <w:spacing w:lineRule="auto" w:line="360"/>
        <w:rPr/>
      </w:pPr>
      <w:r>
        <w:rPr/>
        <w:tab/>
        <w:t xml:space="preserve">Several risk prediction models for hospital readmission have been published [1-4].  Three of these models [1-3] are cumbersome because they require community-level or socio-economic information (i.e. community-level admission rates, ethnicity, education, postal code, or marital status) that are difficult or impractical to obtain or apply.  One model (the LACE index [4]) included variables whose values could be determined using either primary data or information from administrative databases.  The LACE index predicted the risk of death or urgent readmission within 30 days of hospital discharge among medical and surgical patients using four variables: </w:t>
      </w:r>
      <w:r>
        <w:rPr>
          <w:b/>
        </w:rPr>
        <w:t>L</w:t>
      </w:r>
      <w:r>
        <w:rPr/>
        <w:t xml:space="preserve">ength of hospital stay, </w:t>
      </w:r>
      <w:r>
        <w:rPr>
          <w:b/>
        </w:rPr>
        <w:t>A</w:t>
      </w:r>
      <w:r>
        <w:rPr/>
        <w:t xml:space="preserve">cuity of admission, </w:t>
      </w:r>
      <w:r>
        <w:rPr>
          <w:b/>
        </w:rPr>
        <w:t>C</w:t>
      </w:r>
      <w:r>
        <w:rPr/>
        <w:t xml:space="preserve">omorbidity, and </w:t>
      </w:r>
      <w:r>
        <w:rPr>
          <w:b/>
        </w:rPr>
        <w:t>E</w:t>
      </w:r>
      <w:r>
        <w:rPr/>
        <w:t>mergency department use in the six months prior to admission.  The LACE index was externally validated and had good calibration.  Its discrimination was only fair (C-statistic of 0.684) though equivalent to that of other previously published, more complicated models [1-3].</w:t>
      </w:r>
    </w:p>
    <w:p>
      <w:pPr>
        <w:pStyle w:val="Normal"/>
        <w:spacing w:lineRule="auto" w:line="360"/>
        <w:rPr/>
      </w:pPr>
      <w:r>
        <w:rPr/>
        <w:tab/>
        <w:t xml:space="preserve">The LACE index was derived on a small sample of patients (approximately 2500).  This could partly explain the small number of variables in the model as well as the limited amount of information about the index hospitalization.  In this study, we determined whether we could use administrative data from a large, population-based sample to extend and improve the LACE index.  We wanted to develop an index for researchers and analysts to better predict the risk of post-discharge outcomes using administrative data.     </w:t>
      </w:r>
    </w:p>
    <w:p>
      <w:pPr>
        <w:pStyle w:val="Normal"/>
        <w:spacing w:lineRule="auto" w:line="360"/>
        <w:rPr/>
      </w:pPr>
      <w:r>
        <w:rPr/>
      </w:r>
      <w:r>
        <w:br w:type="page"/>
      </w:r>
    </w:p>
    <w:p>
      <w:pPr>
        <w:pStyle w:val="Normal"/>
        <w:spacing w:lineRule="auto" w:line="360"/>
        <w:rPr>
          <w:b/>
          <w:b/>
        </w:rPr>
      </w:pPr>
      <w:r>
        <w:rPr>
          <w:b/>
        </w:rPr>
        <w:t>METHODS:</w:t>
      </w:r>
    </w:p>
    <w:p>
      <w:pPr>
        <w:pStyle w:val="Normal"/>
        <w:spacing w:lineRule="auto" w:line="360"/>
        <w:rPr>
          <w:b/>
          <w:b/>
        </w:rPr>
      </w:pPr>
      <w:r>
        <w:rPr>
          <w:b/>
        </w:rPr>
      </w:r>
    </w:p>
    <w:p>
      <w:pPr>
        <w:pStyle w:val="Normal"/>
        <w:spacing w:lineRule="auto" w:line="360"/>
        <w:rPr>
          <w:b/>
          <w:b/>
          <w:i/>
          <w:i/>
        </w:rPr>
      </w:pPr>
      <w:r>
        <w:rPr>
          <w:b/>
          <w:i/>
        </w:rPr>
        <w:t>Study design</w:t>
      </w:r>
    </w:p>
    <w:p>
      <w:pPr>
        <w:pStyle w:val="Normal"/>
        <w:spacing w:lineRule="auto" w:line="360"/>
        <w:ind w:firstLine="720"/>
        <w:rPr/>
      </w:pPr>
      <w:r>
        <w:rPr/>
        <w:t>This was a cohort study of 500 000 randomly selected patients discharged alive to the community from a medical or surgical service at an Ontario hospital.  We derived the risk index on a randomly selected 250 000 patients and validated the index on the remaining 250 000 patients.  This study was approved by the TOH Research Ethics Board.</w:t>
      </w:r>
    </w:p>
    <w:p>
      <w:pPr>
        <w:pStyle w:val="Normal"/>
        <w:spacing w:lineRule="auto" w:line="360"/>
        <w:rPr/>
      </w:pPr>
      <w:r>
        <w:rPr/>
      </w:r>
    </w:p>
    <w:p>
      <w:pPr>
        <w:pStyle w:val="Normal"/>
        <w:spacing w:lineRule="auto" w:line="360"/>
        <w:rPr>
          <w:b/>
          <w:b/>
          <w:i/>
          <w:i/>
        </w:rPr>
      </w:pPr>
      <w:r>
        <w:rPr>
          <w:b/>
          <w:i/>
        </w:rPr>
        <w:t>Data sources</w:t>
      </w:r>
    </w:p>
    <w:p>
      <w:pPr>
        <w:pStyle w:val="Normal"/>
        <w:spacing w:lineRule="auto" w:line="360"/>
        <w:ind w:firstLine="720"/>
        <w:rPr/>
      </w:pPr>
      <w:r>
        <w:rPr/>
        <w:t xml:space="preserve">We used four population-based administrative databases that captured data on all Ontarians.  The Discharge Abstract Database (DAD) recorded all non-psychiatric hospitalizations.  The Ontario Mental Health Reporting System (OMHRS) captured all inpatient mental health encounters that occurred after 2006 (prior to this, mental hospitalizations were captured in the DAD).  The National Ambulatory Care Reporting System (NACRS) recorded all emergency room visits.  The Registered Patient Database (RPDB) recorded the death date for all Ontarians.    </w:t>
      </w:r>
    </w:p>
    <w:p>
      <w:pPr>
        <w:pStyle w:val="Normal"/>
        <w:spacing w:lineRule="auto" w:line="360"/>
        <w:rPr>
          <w:i/>
          <w:i/>
        </w:rPr>
      </w:pPr>
      <w:r>
        <w:rPr>
          <w:i/>
        </w:rPr>
      </w:r>
    </w:p>
    <w:p>
      <w:pPr>
        <w:pStyle w:val="Normal"/>
        <w:spacing w:lineRule="auto" w:line="360"/>
        <w:rPr>
          <w:b/>
          <w:b/>
          <w:i/>
          <w:i/>
        </w:rPr>
      </w:pPr>
      <w:r>
        <w:rPr>
          <w:b/>
          <w:i/>
        </w:rPr>
        <w:t>Study population</w:t>
      </w:r>
    </w:p>
    <w:p>
      <w:pPr>
        <w:pStyle w:val="Normal"/>
        <w:spacing w:lineRule="auto" w:line="360"/>
        <w:ind w:firstLine="720"/>
        <w:rPr/>
      </w:pPr>
      <w:r>
        <w:rPr/>
        <w:t xml:space="preserve">We used the DAD to identify all adult discharges to the community from medical and surgical services in acute-care Ontario hospitals between 1 April 2003 and 31 March 2009.  We chose this study period to ensure sufficient availability of data in the population-based databases to create the model covariates and determine the study outcome for all patients.  We excluded same day surgeries because these are similar to outpatient surgeries and involve patients whose characteristics may differ from inpatients.  To identify patients transferred between acute care hospitals, we linked the hospitalizations together and considered them a single admission; approximately 4% of hospitalizations involved a transfer between different acute care hospitals.  We excluded psychiatric and obstetrical admissions since they were not included in the original derivation of the LACE index [4].  We also excluded admissions where the patient was ineligible for health care coverage in Ontario during the follow-up period because post-discharge outcomes would not be captured for these patients.  </w:t>
      </w:r>
    </w:p>
    <w:p>
      <w:pPr>
        <w:pStyle w:val="Normal"/>
        <w:spacing w:lineRule="auto" w:line="360"/>
        <w:ind w:firstLine="720"/>
        <w:rPr/>
      </w:pPr>
      <w:r>
        <w:rPr/>
        <w:t xml:space="preserve">After identifying all eligible admissions, we randomly selected one admission per patient and then randomly selected 500 000 patients.  </w:t>
      </w:r>
    </w:p>
    <w:p>
      <w:pPr>
        <w:pStyle w:val="Normal"/>
        <w:spacing w:lineRule="auto" w:line="360"/>
        <w:ind w:firstLine="720"/>
        <w:rPr/>
      </w:pPr>
      <w:r>
        <w:rPr/>
        <w:t xml:space="preserve">  </w:t>
      </w:r>
    </w:p>
    <w:p>
      <w:pPr>
        <w:pStyle w:val="Normal"/>
        <w:spacing w:lineRule="auto" w:line="360"/>
        <w:rPr/>
      </w:pPr>
      <w:r>
        <w:rPr>
          <w:b/>
          <w:i/>
        </w:rPr>
        <w:t>Potential predictors of 30-day death or urgent readmission</w:t>
      </w:r>
    </w:p>
    <w:p>
      <w:pPr>
        <w:pStyle w:val="Normal"/>
        <w:spacing w:lineRule="auto" w:line="360"/>
        <w:ind w:firstLine="720"/>
        <w:rPr/>
      </w:pPr>
      <w:r>
        <w:rPr/>
        <w:t xml:space="preserve">We first created the four LACE index predictors: </w:t>
      </w:r>
      <w:r>
        <w:rPr>
          <w:b/>
        </w:rPr>
        <w:t>L</w:t>
      </w:r>
      <w:r>
        <w:rPr/>
        <w:t xml:space="preserve">ength of the index hospitalization (in days); </w:t>
      </w:r>
      <w:r>
        <w:rPr>
          <w:b/>
        </w:rPr>
        <w:t>A</w:t>
      </w:r>
      <w:r>
        <w:rPr/>
        <w:t xml:space="preserve">cuity of the index admission (categorized as urgent or planned); </w:t>
      </w:r>
      <w:r>
        <w:rPr>
          <w:b/>
        </w:rPr>
        <w:t>C</w:t>
      </w:r>
      <w:r>
        <w:rPr/>
        <w:t xml:space="preserve">omorbidity of the patient (expressed using the Charlson score); and </w:t>
      </w:r>
      <w:r>
        <w:rPr>
          <w:b/>
        </w:rPr>
        <w:t>E</w:t>
      </w:r>
      <w:r>
        <w:rPr/>
        <w:t xml:space="preserve">mergency department utilization (expressed as the number of visits to the emergency department in the six months prior to the index admission).  Hospital length of stay and admission urgency was determined using the DAD.  The Charlson score was calculated using the International Classification of Disease and Related Health Problems, Tenth Revision, Canada (ICD-10-CA) codes cited by Quan </w:t>
      </w:r>
      <w:r>
        <w:rPr>
          <w:i/>
        </w:rPr>
        <w:t>et. al</w:t>
      </w:r>
      <w:r>
        <w:rPr/>
        <w:t xml:space="preserve"> [5].  The number of visits to an emergency department in the six months prior to the index admission was determined by linking to NACRS.  </w:t>
      </w:r>
    </w:p>
    <w:p>
      <w:pPr>
        <w:pStyle w:val="Normal"/>
        <w:spacing w:lineRule="auto" w:line="360"/>
        <w:ind w:firstLine="720"/>
        <w:rPr/>
      </w:pPr>
      <w:r>
        <w:rPr/>
        <w:t xml:space="preserve">We captured important acute diagnoses and procedures performed during the index admission with a validated index that used Case Mix Group (CMG) codes [unpublished van Walraven, Wong, and Forster].  CMGs aggregate acute care inpatients with similar clinical and resource-utilization characteristics and are assigned using an algorithm developed (and revised yearly) by the Canadian Institute for Health Information (CIHI).  This CMG index assigned a score that ranged from -6 to 7 to certain CMG codes which were independently associated with 30-day death or urgent readmission independent of the LACE score.  We determined the CMG code for all patients using the 2008 CMG algorithm applied to all hospitalizations.  </w:t>
      </w:r>
    </w:p>
    <w:p>
      <w:pPr>
        <w:pStyle w:val="Normal"/>
        <w:spacing w:lineRule="auto" w:line="360"/>
        <w:ind w:firstLine="720"/>
        <w:rPr/>
      </w:pPr>
      <w:r>
        <w:rPr/>
        <w:t xml:space="preserve">Finally, we also created the following covariates for each hospitalization using the DAD: patient age and sex; number of urgent and elective hospitalizations in the year prior to the index admission (expressed as separate variables); number of days in an intensive care unit (ICU) during the index admission; number of days with alternative level of care (ALC) status during the index admission (a status assigned to patients who remain in hospital but are no longer receiving active medical care); and teaching status of the hospital from which the patient was discharged.  We further divided non-teaching hospitals into “large” (≥100 beds) and “small” (&lt;100 beds) hospitals.  We chose a longer look-back period of one year for previous hospitalizations (compared to six months for previous emergency department visits) because hospitalizations are less common than emergency room visits and because we separated previous hospitalizations into urgent and elective.  We determined the number of days spent in an ICU using validated special care unit codes for ICU treatment [6].  </w:t>
      </w:r>
    </w:p>
    <w:p>
      <w:pPr>
        <w:pStyle w:val="Normal"/>
        <w:spacing w:lineRule="auto" w:line="360"/>
        <w:rPr>
          <w:b/>
          <w:b/>
          <w:i/>
          <w:i/>
        </w:rPr>
      </w:pPr>
      <w:r>
        <w:rPr>
          <w:b/>
          <w:i/>
        </w:rPr>
      </w:r>
    </w:p>
    <w:p>
      <w:pPr>
        <w:pStyle w:val="Normal"/>
        <w:spacing w:lineRule="auto" w:line="360"/>
        <w:rPr>
          <w:b/>
          <w:b/>
          <w:i/>
          <w:i/>
        </w:rPr>
      </w:pPr>
      <w:r>
        <w:rPr>
          <w:b/>
          <w:i/>
        </w:rPr>
        <w:t>Outcome</w:t>
      </w:r>
    </w:p>
    <w:p>
      <w:pPr>
        <w:pStyle w:val="Normal"/>
        <w:spacing w:lineRule="auto" w:line="360"/>
        <w:ind w:firstLine="720"/>
        <w:rPr/>
      </w:pPr>
      <w:r>
        <w:rPr/>
        <w:t xml:space="preserve">The primary outcome in this study was death or urgent readmission within 30 days of hospital discharge.  We determined death status by linking to RPDB.  We determined urgent readmission status by linking to DAD and OMHRS.  We included readmissions regardless of their diagnosis as long as they were categorized as ‘urgent’ (i.e. ‘unplanned’) and were not preceded by an earlier ‘non-urgent’ (i.e. ‘planned’) readmission.   </w:t>
      </w:r>
    </w:p>
    <w:p>
      <w:pPr>
        <w:pStyle w:val="Normal"/>
        <w:spacing w:lineRule="auto" w:line="360"/>
        <w:rPr/>
      </w:pPr>
      <w:r>
        <w:rPr/>
      </w:r>
    </w:p>
    <w:p>
      <w:pPr>
        <w:pStyle w:val="Normal"/>
        <w:spacing w:lineRule="auto" w:line="360"/>
        <w:rPr>
          <w:b/>
          <w:b/>
        </w:rPr>
      </w:pPr>
      <w:r>
        <w:rPr>
          <w:b/>
          <w:i/>
        </w:rPr>
        <w:t>Derivation of the LACE</w:t>
      </w:r>
      <w:r>
        <w:rPr>
          <w:b/>
          <w:i/>
          <w:vertAlign w:val="superscript"/>
        </w:rPr>
        <w:t>+</w:t>
      </w:r>
      <w:r>
        <w:rPr>
          <w:b/>
          <w:i/>
        </w:rPr>
        <w:t xml:space="preserve"> index</w:t>
      </w:r>
    </w:p>
    <w:p>
      <w:pPr>
        <w:pStyle w:val="Normal"/>
        <w:spacing w:lineRule="auto" w:line="360"/>
        <w:ind w:firstLine="720"/>
        <w:rPr/>
      </w:pPr>
      <w:r>
        <w:rPr/>
        <w:t xml:space="preserve">We first derived a logistic regression model for 30-day death or urgent readmission using a randomly selected 250 000 patients.  We entered all candidate covariates into an initial multivariable model and then performed variable selection (with a significance level of α = 0.05) using methods described by Sauerbrei and Royston [7].  These methods combined backward selection with a systematic process of identifying the optimal first-degree fractional polynomial transformation for continuous covariates.  Once we identified all significant covariates, we came up with a list of candidate interaction terms, added them jointly to the model, and used backward selection to remove interactions with a </w:t>
      </w:r>
      <w:r>
        <w:rPr>
          <w:i/>
        </w:rPr>
        <w:t>p</w:t>
      </w:r>
      <w:r>
        <w:rPr/>
        <w:t>-value greater than or equal to 0.0001.</w:t>
      </w:r>
    </w:p>
    <w:p>
      <w:pPr>
        <w:pStyle w:val="Normal"/>
        <w:spacing w:lineRule="auto" w:line="360"/>
        <w:rPr/>
      </w:pPr>
      <w:r>
        <w:rPr/>
        <w:tab/>
        <w:t xml:space="preserve">We then used methods described by Sullivan </w:t>
      </w:r>
      <w:r>
        <w:rPr>
          <w:i/>
        </w:rPr>
        <w:t xml:space="preserve">et al. </w:t>
      </w:r>
      <w:r>
        <w:rPr/>
        <w:t xml:space="preserve">[8] to modify the final logistic model into a risk index (which we refer to as the “LACE+” index).  The number of points assigned to each binomial variable equaled the covariate’s regression coefficient divided by the constant (the categorical variable in the model with the smallest absolute value) and rounded to the nearest integer.  For continuous variables, we first categorized the variable using decile cut-points.  The number of points assigned to each category equaled the difference in regression units between its mid-point and the mid-point of the reference category divided by the constant and rounded to the nearest integer.  We combined continuous variable categories that were assigned the same number of points.  The reference category for each variable in the model was assigned 0 points.   </w:t>
      </w:r>
    </w:p>
    <w:p>
      <w:pPr>
        <w:pStyle w:val="Normal"/>
        <w:spacing w:lineRule="auto" w:line="360"/>
        <w:rPr/>
      </w:pPr>
      <w:r>
        <w:rPr/>
      </w:r>
    </w:p>
    <w:p>
      <w:pPr>
        <w:pStyle w:val="Normal"/>
        <w:spacing w:lineRule="auto" w:line="360"/>
        <w:rPr/>
      </w:pPr>
      <w:r>
        <w:rPr>
          <w:b/>
          <w:i/>
        </w:rPr>
        <w:t>Assessment and validation of the LACE</w:t>
      </w:r>
      <w:r>
        <w:rPr>
          <w:b/>
          <w:i/>
          <w:vertAlign w:val="superscript"/>
        </w:rPr>
        <w:t>+</w:t>
      </w:r>
      <w:r>
        <w:rPr>
          <w:b/>
          <w:i/>
        </w:rPr>
        <w:t xml:space="preserve"> index</w:t>
      </w:r>
    </w:p>
    <w:p>
      <w:pPr>
        <w:pStyle w:val="Normal"/>
        <w:spacing w:lineRule="auto" w:line="360"/>
        <w:ind w:firstLine="720"/>
        <w:rPr/>
      </w:pPr>
      <w:r>
        <w:rPr/>
        <w:t>Using the remaining 250 000 patients (the validation set), we assessed the ability of the LACE</w:t>
      </w:r>
      <w:r>
        <w:rPr>
          <w:vertAlign w:val="superscript"/>
        </w:rPr>
        <w:t>+</w:t>
      </w:r>
      <w:r>
        <w:rPr/>
        <w:t xml:space="preserve"> index to predict 30-day death or urgent readmission.  We first calculated each patient’s total LACE</w:t>
      </w:r>
      <w:r>
        <w:rPr>
          <w:vertAlign w:val="superscript"/>
        </w:rPr>
        <w:t>+</w:t>
      </w:r>
      <w:r>
        <w:rPr/>
        <w:t xml:space="preserve"> score.  We then fit a logistic regression model with 30-day death or urgent readmission as the outcome and the LACE</w:t>
      </w:r>
      <w:r>
        <w:rPr>
          <w:vertAlign w:val="superscript"/>
        </w:rPr>
        <w:t>+</w:t>
      </w:r>
      <w:r>
        <w:rPr/>
        <w:t xml:space="preserve"> score as the independent predictor.  We assessed the model’s discrimination using the C-statistic with 95% confidence intervals [9] and assessed overall calibration using the Hosmer-Lemeshow (H-L) goodness-of-fit test [10].  We further assessed calibration by comparing the expected to observed event rate within 10-point strata.  The expected risk of death or urgent readmission for each patient was calculated as the inverse of 1 + </w:t>
      </w:r>
      <w:r>
        <w:rPr>
          <w:i/>
        </w:rPr>
        <w:t>e</w:t>
      </w:r>
      <w:r>
        <w:rPr>
          <w:vertAlign w:val="superscript"/>
        </w:rPr>
        <w:t>-(intercept + β*score)</w:t>
      </w:r>
      <w:r>
        <w:rPr/>
        <w:t>, where β was the coefficient of the LACE</w:t>
      </w:r>
      <w:r>
        <w:rPr>
          <w:vertAlign w:val="superscript"/>
        </w:rPr>
        <w:t>+</w:t>
      </w:r>
      <w:r>
        <w:rPr/>
        <w:t xml:space="preserve"> index in the regression model.  The expected and observed event rates were considered similar if the expected rate was within the exact 95% CI [11] around the observed rate.    </w:t>
      </w:r>
    </w:p>
    <w:p>
      <w:pPr>
        <w:pStyle w:val="Normal"/>
        <w:spacing w:lineRule="auto" w:line="360"/>
        <w:ind w:firstLine="720"/>
        <w:rPr/>
      </w:pPr>
      <w:r>
        <w:rPr/>
        <w:t>In the validation set, we compared the performance of the original LACE index with the LACE</w:t>
      </w:r>
      <w:r>
        <w:rPr>
          <w:vertAlign w:val="superscript"/>
        </w:rPr>
        <w:t>+</w:t>
      </w:r>
      <w:r>
        <w:rPr/>
        <w:t xml:space="preserve"> index using the Integrated Discrimination Improvement (IDI) and the Net Reclassification Improvement (NRI) [12].  The IDI is the discrimination slope (the mean predicted risk in patients with the event minus that of patients without the event) of a model with the LACE</w:t>
      </w:r>
      <w:r>
        <w:rPr>
          <w:vertAlign w:val="superscript"/>
        </w:rPr>
        <w:t>+</w:t>
      </w:r>
      <w:r>
        <w:rPr/>
        <w:t xml:space="preserve"> index as the independent predictor minus the discrimination slope of a model with the LACE index as the independent predictor.  An IDI above zero indicates improved discrimination (i.e. a larger separation in mean predicted risk between events and nonevents) with the LACE</w:t>
      </w:r>
      <w:r>
        <w:rPr>
          <w:vertAlign w:val="superscript"/>
        </w:rPr>
        <w:t>+</w:t>
      </w:r>
      <w:r>
        <w:rPr/>
        <w:t xml:space="preserve"> index.  The NRI measured the amount of correct reclassification (i.e. predicted risk moving upwards for events and downwards for non-events) when the predicted risk of death or urgent readmission from the LACE</w:t>
      </w:r>
      <w:r>
        <w:rPr>
          <w:vertAlign w:val="superscript"/>
        </w:rPr>
        <w:t>+</w:t>
      </w:r>
      <w:r>
        <w:rPr/>
        <w:t xml:space="preserve"> index was compared to that from the LACE index.  The NRI equals the proportion of correct minus incorrect reclassifications among events (i.e. patients who died or were urgently readmitted) plus the proportion of correct minus incorrect reclassifications among non-events.  An NRI above zero indicates improved risk prediction with the new model.  Because no established risk categories for early death or urgent readmission exist, we calculated a category-less NRI [13] where “upward” reclassification was defined as a higher event risk predicted by the LACE</w:t>
      </w:r>
      <w:r>
        <w:rPr>
          <w:vertAlign w:val="superscript"/>
        </w:rPr>
        <w:t>+</w:t>
      </w:r>
      <w:r>
        <w:rPr/>
        <w:t xml:space="preserve"> index and “downward” reclassification was defined as a lower event risk predicted by the LACE</w:t>
      </w:r>
      <w:r>
        <w:rPr>
          <w:vertAlign w:val="superscript"/>
        </w:rPr>
        <w:t>+</w:t>
      </w:r>
      <w:r>
        <w:rPr/>
        <w:t xml:space="preserve"> index.  </w:t>
      </w:r>
    </w:p>
    <w:p>
      <w:pPr>
        <w:pStyle w:val="Normal"/>
        <w:spacing w:lineRule="auto" w:line="360"/>
        <w:rPr>
          <w:b/>
          <w:b/>
        </w:rPr>
      </w:pPr>
      <w:r>
        <w:rPr>
          <w:b/>
        </w:rPr>
      </w:r>
    </w:p>
    <w:p>
      <w:pPr>
        <w:pStyle w:val="Normal"/>
        <w:spacing w:lineRule="auto" w:line="360"/>
        <w:rPr>
          <w:b/>
          <w:b/>
        </w:rPr>
      </w:pPr>
      <w:r>
        <w:rPr>
          <w:b/>
        </w:rPr>
      </w:r>
    </w:p>
    <w:p>
      <w:pPr>
        <w:pStyle w:val="Normal"/>
        <w:spacing w:lineRule="auto" w:line="360"/>
        <w:rPr/>
      </w:pPr>
      <w:r>
        <w:rPr>
          <w:b/>
        </w:rPr>
        <w:t>RESULTS:</w:t>
      </w:r>
    </w:p>
    <w:p>
      <w:pPr>
        <w:pStyle w:val="Normal"/>
        <w:spacing w:lineRule="auto" w:line="360"/>
        <w:rPr/>
      </w:pPr>
      <w:r>
        <w:rPr>
          <w:b/>
        </w:rPr>
        <w:tab/>
      </w:r>
      <w:r>
        <w:rPr/>
        <w:t>Of approximately 6.5 million hospitalizations that occurred in Ontario during the study period, nearly 3.3 million were eligible for the study (Figure 1).  These hospitalizations involved more than 1.8 million individuals of which 500 000 were randomly selected for the study.</w:t>
      </w:r>
    </w:p>
    <w:p>
      <w:pPr>
        <w:pStyle w:val="Normal"/>
        <w:spacing w:lineRule="auto" w:line="360"/>
        <w:ind w:firstLine="720"/>
        <w:rPr/>
      </w:pPr>
      <w:r>
        <w:rPr/>
        <w:t xml:space="preserve">Table 1 describes the study cohort.  Patients were middle-aged and had few documented chronic comorbidities.  Approximately one-third had visited the emergency department in the last 6 months; fewer had been hospitalized urgently (14%) or electively (6%) in the last year.  Approximately half of admissions occurred at a large, non-teaching hospital.  In nearly one-third of hospitalizations, the patient had an acute diagnosis or procedure associated with an increased (CMG score &gt;0) or decreased (CMG score &lt;0) risk of 30-day death or urgent readmission.  Patients were uncommonly admitted to an ICU (11%) or designated ALC (2%) during their index admission.  Following discharge to the community, 6.8% of patients died or were urgently readmitted within 30 days.  Only 0.7% of patients died within 30 days without a prior urgent readmission.  The derivation and validation sets were virtually identical (Table 1).      </w:t>
      </w:r>
    </w:p>
    <w:p>
      <w:pPr>
        <w:pStyle w:val="Normal"/>
        <w:spacing w:lineRule="auto" w:line="360"/>
        <w:ind w:firstLine="720"/>
        <w:rPr/>
      </w:pPr>
      <w:r>
        <w:rPr/>
        <w:t xml:space="preserve">With the exception of the number of days in an ICU, all covariates were associated with 30-day death or urgent readmission at the univariate level (Table 2).  Of the continuous covariates, all except the number of days on ALC were modeled using either a logarithmic, square root, inverse, or squared transformation (Table 2 and Figure 2).  We jointly offered six interaction terms to this model (age and: Charlson score; number of urgent admissions in the previous year; CMG score; length of stay; admission urgency and CMG score; Charlson score and number of urgent admissions in the previous year), of which three were ultimately retained because they had a </w:t>
      </w:r>
      <w:r>
        <w:rPr>
          <w:i/>
        </w:rPr>
        <w:t>p</w:t>
      </w:r>
      <w:r>
        <w:rPr/>
        <w:t xml:space="preserve">-value less than 0.0001.  </w:t>
      </w:r>
    </w:p>
    <w:p>
      <w:pPr>
        <w:pStyle w:val="Normal"/>
        <w:spacing w:lineRule="auto" w:line="360"/>
        <w:ind w:firstLine="720"/>
        <w:rPr/>
      </w:pPr>
      <w:r>
        <w:rPr/>
        <w:t>We then modified the final logistic model into a scoring index for 30-day death or urgent readmission (Table 3).  For patient age, the number of points assigned depended on the Charlson score and number of urgent admissions in the previous year.  The final LACE</w:t>
      </w:r>
      <w:r>
        <w:rPr>
          <w:vertAlign w:val="superscript"/>
        </w:rPr>
        <w:t>+</w:t>
      </w:r>
      <w:r>
        <w:rPr/>
        <w:t xml:space="preserve"> score had a possible value that ranged from -17 to 114.  In the validation set, the LACE</w:t>
      </w:r>
      <w:r>
        <w:rPr>
          <w:vertAlign w:val="superscript"/>
        </w:rPr>
        <w:t>+</w:t>
      </w:r>
      <w:r>
        <w:rPr/>
        <w:t xml:space="preserve"> score distribution was skewed slightly to the right (Figure 3).  </w:t>
      </w:r>
    </w:p>
    <w:p>
      <w:pPr>
        <w:pStyle w:val="Normal"/>
        <w:spacing w:lineRule="auto" w:line="360"/>
        <w:ind w:firstLine="720"/>
        <w:rPr/>
      </w:pPr>
      <w:r>
        <w:rPr/>
        <w:t>The LACE</w:t>
      </w:r>
      <w:r>
        <w:rPr>
          <w:vertAlign w:val="superscript"/>
        </w:rPr>
        <w:t>+</w:t>
      </w:r>
      <w:r>
        <w:rPr/>
        <w:t xml:space="preserve"> index was significantly associated with the risk of 30-day death or urgent readmission; the odds ratio for a 1-point increase in the LACE</w:t>
      </w:r>
      <w:r>
        <w:rPr>
          <w:vertAlign w:val="superscript"/>
        </w:rPr>
        <w:t>+</w:t>
      </w:r>
      <w:r>
        <w:rPr/>
        <w:t xml:space="preserve"> index was 1.045 (95% CI 1.044-1.045).  The index was very discriminative, indicated by a C-statistic of 0.7708 (95% CI 0.7671-0.7745), which significantly exceeded that of the LACE index (C-statistic 0.7375, 95% CI 0.7336-0.7414).  The H-L statistic for the LACE</w:t>
      </w:r>
      <w:r>
        <w:rPr>
          <w:vertAlign w:val="superscript"/>
        </w:rPr>
        <w:t>+</w:t>
      </w:r>
      <w:r>
        <w:rPr/>
        <w:t xml:space="preserve"> index was 42.18 (</w:t>
      </w:r>
      <w:r>
        <w:rPr>
          <w:i/>
        </w:rPr>
        <w:t>p</w:t>
      </w:r>
      <w:r>
        <w:rPr/>
        <w:t xml:space="preserve">&lt;.0001, 8 degrees of freedom), suggesting poor calibration (the H-L statistic for the LACE index was 13.38, </w:t>
      </w:r>
      <w:r>
        <w:rPr>
          <w:i/>
        </w:rPr>
        <w:t>p</w:t>
      </w:r>
      <w:r>
        <w:rPr/>
        <w:t xml:space="preserve"> = 0.099, suggesting good calibration).  However, the calibration graph comparing the observed and expected event rate within risk strata showed very similar observed and expected rates in all but the highest risk strata (Figure 3).  These high-risk strata comprised only 1.5% of the validation set (Table 4).  Across all risk strata, the overall expected was identical to the observed rate (Table 4).  </w:t>
      </w:r>
    </w:p>
    <w:p>
      <w:pPr>
        <w:pStyle w:val="Normal"/>
        <w:spacing w:lineRule="auto" w:line="360"/>
        <w:ind w:firstLine="720"/>
        <w:rPr/>
      </w:pPr>
      <w:r>
        <w:rPr/>
        <w:t>The LACE</w:t>
      </w:r>
      <w:r>
        <w:rPr>
          <w:vertAlign w:val="superscript"/>
        </w:rPr>
        <w:t>+</w:t>
      </w:r>
      <w:r>
        <w:rPr/>
        <w:t xml:space="preserve"> index was significantly associated with each outcome separately.  For 30-day death, the odds ratio for a 1-point increase in the LACE</w:t>
      </w:r>
      <w:r>
        <w:rPr>
          <w:vertAlign w:val="superscript"/>
        </w:rPr>
        <w:t>+</w:t>
      </w:r>
      <w:r>
        <w:rPr/>
        <w:t xml:space="preserve"> index was 1.068 (95% CI 1.066-1.069).  The index had excellent discrimination (C-statistic 0.883, 95% CI 0.879-0.888) for 30-day death, but the H-L test suggested it was poorly calibrated (H-L statistic of 113.89, </w:t>
      </w:r>
      <w:r>
        <w:rPr>
          <w:i/>
        </w:rPr>
        <w:t>p</w:t>
      </w:r>
      <w:r>
        <w:rPr/>
        <w:t>&lt;.0001).  For 30-day urgent readmission, the odds ratio for a 1-point increase in the LACE</w:t>
      </w:r>
      <w:r>
        <w:rPr>
          <w:vertAlign w:val="superscript"/>
        </w:rPr>
        <w:t>+</w:t>
      </w:r>
      <w:r>
        <w:rPr/>
        <w:t xml:space="preserve"> index was 1.045 (95% CI 1.044-1.045).  The index had good discrimination (C-statistic 0.753, 95% CI 0.749-0.757) for 30-day urgent readmission, but poor calibration (H-L statistic of 62.07, </w:t>
      </w:r>
      <w:r>
        <w:rPr>
          <w:i/>
        </w:rPr>
        <w:t>p</w:t>
      </w:r>
      <w:r>
        <w:rPr/>
        <w:t xml:space="preserve">&lt;.0001).  </w:t>
      </w:r>
    </w:p>
    <w:p>
      <w:pPr>
        <w:pStyle w:val="Normal"/>
        <w:spacing w:lineRule="auto" w:line="360"/>
        <w:ind w:firstLine="720"/>
        <w:rPr/>
      </w:pPr>
      <w:r>
        <w:rPr/>
        <w:t>The IDI and NRI both indicated that the LACE</w:t>
      </w:r>
      <w:r>
        <w:rPr>
          <w:vertAlign w:val="superscript"/>
        </w:rPr>
        <w:t>+</w:t>
      </w:r>
      <w:r>
        <w:rPr/>
        <w:t xml:space="preserve"> index was significantly better at predicting 30-day death or urgent readmission compared to the original LACE index.  The IDI was 0.020 (95% CI 0.019-0.021) on the absolute scale and 16.7% (15.1%-18.3%) on the relative scale, both suggesting improved overall discrimination with the LACE</w:t>
      </w:r>
      <w:r>
        <w:rPr>
          <w:vertAlign w:val="superscript"/>
        </w:rPr>
        <w:t>+</w:t>
      </w:r>
      <w:r>
        <w:rPr/>
        <w:t xml:space="preserve"> index.  The NRI was 0.329 (95% CI 0.314-0.344), indicating that a significantly higher proportion of patients were correctly reclassified with the LACE</w:t>
      </w:r>
      <w:r>
        <w:rPr>
          <w:vertAlign w:val="superscript"/>
        </w:rPr>
        <w:t>+</w:t>
      </w:r>
      <w:r>
        <w:rPr/>
        <w:t xml:space="preserve"> index.  </w:t>
      </w:r>
    </w:p>
    <w:p>
      <w:pPr>
        <w:pStyle w:val="Normal"/>
        <w:spacing w:lineRule="auto" w:line="360"/>
        <w:rPr>
          <w:b/>
          <w:b/>
        </w:rPr>
      </w:pPr>
      <w:r>
        <w:rPr>
          <w:b/>
        </w:rPr>
      </w:r>
    </w:p>
    <w:p>
      <w:pPr>
        <w:pStyle w:val="Normal"/>
        <w:spacing w:lineRule="auto" w:line="360"/>
        <w:rPr>
          <w:b/>
          <w:b/>
        </w:rPr>
      </w:pPr>
      <w:r>
        <w:rPr>
          <w:b/>
        </w:rPr>
        <w:t>DISCUSSION</w:t>
      </w:r>
    </w:p>
    <w:p>
      <w:pPr>
        <w:pStyle w:val="Normal"/>
        <w:spacing w:lineRule="auto" w:line="360"/>
        <w:ind w:firstLine="720"/>
        <w:rPr/>
      </w:pPr>
      <w:r>
        <w:rPr/>
        <w:t>In this study, we derived and internally validated a new index (LACE+) for 30-day death or urgent readmission that can be calculated with administrative data.  This index had excellent discrimination and was well calibrated across most of its score range.</w:t>
      </w:r>
    </w:p>
    <w:p>
      <w:pPr>
        <w:pStyle w:val="Normal"/>
        <w:spacing w:lineRule="auto" w:line="360"/>
        <w:ind w:firstLine="720"/>
        <w:rPr/>
      </w:pPr>
      <w:r>
        <w:rPr/>
        <w:t>Compared to the LACE index, LACE</w:t>
      </w:r>
      <w:r>
        <w:rPr>
          <w:vertAlign w:val="superscript"/>
        </w:rPr>
        <w:t>+</w:t>
      </w:r>
      <w:r>
        <w:rPr/>
        <w:t xml:space="preserve"> captured additional information on acute conditions and procedures performed during the index admission, whether or not the patient changed from active care to an alternative level of care during the admission, the teaching status of the hospital at which the admission took place, and the number of urgent and elective hospitalizations occurring in the year prior to the admission.  Although previous hospitalizations were not found to be a significant predictor of 30-day death or urgent readmission in the derivation of the LACE index [4], the fact that previous hospitalizations were a significant independent predictor in this study was likely due to a longer look-back period and a larger sample size.  When these new covariates were combined with the predictors from the LACE index, we found that the ability to predict risk of 30-day death or urgent readmission significantly improved.  </w:t>
      </w:r>
    </w:p>
    <w:p>
      <w:pPr>
        <w:pStyle w:val="Normal"/>
        <w:spacing w:lineRule="auto" w:line="360"/>
        <w:ind w:firstLine="720"/>
        <w:rPr/>
      </w:pPr>
      <w:r>
        <w:rPr/>
        <w:t>Due to the large size of the validation set, we were not surprised that the H-L test for the LACE</w:t>
      </w:r>
      <w:r>
        <w:rPr>
          <w:vertAlign w:val="superscript"/>
        </w:rPr>
        <w:t>+</w:t>
      </w:r>
      <w:r>
        <w:rPr/>
        <w:t xml:space="preserve"> index was highly significant.  With very large sample sizes, even a slight departure from perfect fit can result in a significant H-L test [14].  Therefore, as suggested by Kramer and Zimmerman [14], we supplemented the results of the H-L test by constructing a calibration graph comparing the observed and predicted event rate within 10-point strata of the LACE</w:t>
      </w:r>
      <w:r>
        <w:rPr>
          <w:vertAlign w:val="superscript"/>
        </w:rPr>
        <w:t>+</w:t>
      </w:r>
      <w:r>
        <w:rPr/>
        <w:t xml:space="preserve"> index.  The calibration graph revealed close agreement between the observed and predicted event rate in all but the highest strata, which contained only a very small proportion of patients.  Although the 95% CI around the observed event rate excluded the expected rate in six strata (Figure 2), many of these strata contained a large number of patients and thus had an extremely narrow CI around the observed rate (Table 4).   </w:t>
      </w:r>
    </w:p>
    <w:p>
      <w:pPr>
        <w:pStyle w:val="Normal"/>
        <w:spacing w:lineRule="auto" w:line="360"/>
        <w:ind w:firstLine="720"/>
        <w:rPr/>
      </w:pPr>
      <w:r>
        <w:rPr/>
        <w:t>We used several methods to compare the performance of the LACE</w:t>
      </w:r>
      <w:r>
        <w:rPr>
          <w:vertAlign w:val="superscript"/>
        </w:rPr>
        <w:t>+</w:t>
      </w:r>
      <w:r>
        <w:rPr/>
        <w:t xml:space="preserve"> index and the LACE index.  The C-statistic, IDI, and NRI indicated that the performance of the LACE</w:t>
      </w:r>
      <w:r>
        <w:rPr>
          <w:vertAlign w:val="superscript"/>
        </w:rPr>
        <w:t>+</w:t>
      </w:r>
      <w:r>
        <w:rPr/>
        <w:t xml:space="preserve"> index was superior.  The H-L statistic, however, suggested that the calibration of the LACE index was better, but this was likely because the LACE</w:t>
      </w:r>
      <w:r>
        <w:rPr>
          <w:vertAlign w:val="superscript"/>
        </w:rPr>
        <w:t>+</w:t>
      </w:r>
      <w:r>
        <w:rPr/>
        <w:t xml:space="preserve"> index had better discrimination (and calibration often worsens when discrimination improves).  It should be noted that the C-statistic of 0.738 for the LACE index in this study was notably higher than the C-statistic of 0.684 reported from the external validation of the LACE index in the original study [4].  This discrepancy was most likely due to measurement error in the original study since transfer hospitalizations were not linked as a single admission (resulting instead from transfer codes in the DAD); this resulted in a higher urgent readmission rate of 7.3% in the original study (compared to 6.0% in this study). </w:t>
      </w:r>
    </w:p>
    <w:p>
      <w:pPr>
        <w:pStyle w:val="Normal"/>
        <w:spacing w:lineRule="auto" w:line="360"/>
        <w:ind w:firstLine="720"/>
        <w:rPr/>
      </w:pPr>
      <w:r>
        <w:rPr/>
        <w:t>A major advantage of the LACE</w:t>
      </w:r>
      <w:r>
        <w:rPr>
          <w:vertAlign w:val="superscript"/>
        </w:rPr>
        <w:t>+</w:t>
      </w:r>
      <w:r>
        <w:rPr/>
        <w:t xml:space="preserve"> index is that all of its components can be easily readily determined using data available in Canadian administrative databases.  The index therefore has great utility for researchers using such databases because it could risk adjust in analyses involving large patient populations where early death or hospital readmission is an outcome.  Furthermore, the LACE+ index does not require the use of community-level or socio-economic information, which is often difficult to obtain and unavailable for certain patients.  </w:t>
      </w:r>
    </w:p>
    <w:p>
      <w:pPr>
        <w:pStyle w:val="Normal"/>
        <w:spacing w:lineRule="auto" w:line="360"/>
        <w:ind w:firstLine="720"/>
        <w:rPr/>
      </w:pPr>
      <w:r>
        <w:rPr/>
        <w:t>There are several considerations to our study findings.  First, because the LACE</w:t>
      </w:r>
      <w:r>
        <w:rPr>
          <w:vertAlign w:val="superscript"/>
        </w:rPr>
        <w:t>+</w:t>
      </w:r>
      <w:r>
        <w:rPr/>
        <w:t xml:space="preserve"> index was derived and validated on a large, random, population-based sample from Ontario, we believe that it can be confidently applied to all Ontarian hospitalized medical and surgical patients.  However, before LACE</w:t>
      </w:r>
      <w:r>
        <w:rPr>
          <w:vertAlign w:val="superscript"/>
        </w:rPr>
        <w:t>+</w:t>
      </w:r>
      <w:r>
        <w:rPr>
          <w:i/>
        </w:rPr>
        <w:t xml:space="preserve"> </w:t>
      </w:r>
      <w:r>
        <w:rPr/>
        <w:t>can be applied elsewhere in Canada, the index should be validated in other provinces.  Second, because we had access to population-based datasets that included information on all deaths, hospitalizations, and emergency department visits that occurred in Ontario, we were able to accurately measure death and urgent readmission status, as well as previous health care utilization characteristics.  People with access to only information from a single health care institution may not be able to measure the index predictors or post-discharge outcomes as accurately and may consequently find that the LACE</w:t>
      </w:r>
      <w:r>
        <w:rPr>
          <w:vertAlign w:val="superscript"/>
        </w:rPr>
        <w:t>+</w:t>
      </w:r>
      <w:r>
        <w:rPr/>
        <w:t xml:space="preserve"> index does not perform as well.  Third, because the CMG code (determined by CIHI) is available for Canadian hospitalizations only, the CMG score cannot be calculated for administrative data outside of Canada.  However, researchers from other countries could still apply the LACE</w:t>
      </w:r>
      <w:r>
        <w:rPr>
          <w:vertAlign w:val="superscript"/>
        </w:rPr>
        <w:t>+</w:t>
      </w:r>
      <w:r>
        <w:rPr/>
        <w:t xml:space="preserve"> index by replacing the CMG score with their own similar index for acute diagnoses and procedures.  As well, because CIHI determines the CMG code using retrospectively abstracted hospital data, the inclusion of the CMG score means that the LACE+ index cannot be used using primarily collected data.  </w:t>
      </w:r>
    </w:p>
    <w:p>
      <w:pPr>
        <w:pStyle w:val="Normal"/>
        <w:spacing w:lineRule="auto" w:line="360"/>
        <w:ind w:firstLine="720"/>
        <w:rPr/>
      </w:pPr>
      <w:r>
        <w:rPr/>
        <w:t xml:space="preserve">In this study, we derived and validated an accurate risk index for 30-day death or urgent readmission that could be easily measured using administrative data.  This index could be used as a risk-adjustment methodology in analyses comparing post-discharge outcomes between health care providers and could also be used to identify high-risk patients for post-discharge interventions.   </w:t>
      </w:r>
    </w:p>
    <w:p>
      <w:pPr>
        <w:pStyle w:val="Normal"/>
        <w:rPr/>
      </w:pPr>
      <w:r>
        <w:rPr/>
      </w:r>
    </w:p>
    <w:p>
      <w:pPr>
        <w:pStyle w:val="Normal"/>
        <w:spacing w:lineRule="auto" w:line="360"/>
        <w:rPr>
          <w:b/>
          <w:b/>
        </w:rPr>
      </w:pPr>
      <w:r>
        <w:rPr>
          <w:b/>
        </w:rPr>
        <w:t>Author Contributions</w:t>
      </w:r>
    </w:p>
    <w:p>
      <w:pPr>
        <w:pStyle w:val="Normal"/>
        <w:spacing w:lineRule="auto" w:line="360"/>
        <w:rPr/>
      </w:pPr>
      <w:r>
        <w:rPr/>
        <w:t xml:space="preserve">Carl van Walraven conceived the project idea, wrote the protocol, directed the study analysis, contributed to the writing and editing of the manuscript, and is the guarantor for the study.  Jenna Wong conducted the statistical analysis, produced the tables and figures, and wrote the first draft of the paper.  Alan Forster helped guide the analysis and interpretation of the study results, and also critically reviewed the paper for intellectual content.  All authors have read and approved the final version of the manuscript.  </w:t>
      </w:r>
    </w:p>
    <w:p>
      <w:pPr>
        <w:pStyle w:val="Normal"/>
        <w:spacing w:lineRule="auto" w:line="360"/>
        <w:rPr>
          <w:b/>
          <w:b/>
        </w:rPr>
      </w:pPr>
      <w:r>
        <w:rPr>
          <w:b/>
        </w:rPr>
      </w:r>
    </w:p>
    <w:p>
      <w:pPr>
        <w:pStyle w:val="Normal"/>
        <w:spacing w:lineRule="auto" w:line="360"/>
        <w:rPr>
          <w:b/>
          <w:b/>
        </w:rPr>
      </w:pPr>
      <w:r>
        <w:rPr>
          <w:b/>
        </w:rPr>
        <w:t>Competing Interests</w:t>
      </w:r>
    </w:p>
    <w:p>
      <w:pPr>
        <w:pStyle w:val="Normal"/>
        <w:spacing w:lineRule="auto" w:line="360"/>
        <w:rPr/>
      </w:pPr>
      <w:r>
        <w:rPr/>
        <w:t xml:space="preserve">All authors declare no competing interests.  </w:t>
      </w:r>
      <w:r>
        <w:br w:type="page"/>
      </w:r>
    </w:p>
    <w:p>
      <w:pPr>
        <w:pStyle w:val="Normal"/>
        <w:spacing w:lineRule="auto" w:line="360"/>
        <w:rPr/>
      </w:pPr>
      <w:r>
        <w:rPr/>
        <w:t>References</w:t>
      </w:r>
    </w:p>
    <w:p>
      <w:pPr>
        <w:pStyle w:val="Normal"/>
        <w:jc w:val="center"/>
        <w:rPr/>
      </w:pPr>
      <w:r>
        <w:rPr/>
      </w:r>
    </w:p>
    <w:p>
      <w:pPr>
        <w:pStyle w:val="Normal"/>
        <w:tabs>
          <w:tab w:val="right" w:pos="360" w:leader="none"/>
          <w:tab w:val="left" w:pos="540" w:leader="none"/>
        </w:tabs>
        <w:spacing w:before="0" w:after="240"/>
        <w:ind w:left="540" w:hanging="540"/>
        <w:rPr/>
      </w:pPr>
      <w:r>
        <w:rPr/>
        <w:tab/>
        <w:t xml:space="preserve">1. </w:t>
        <w:tab/>
        <w:t xml:space="preserve">Bottle A, Aylin P, Majeed A: </w:t>
      </w:r>
      <w:r>
        <w:rPr>
          <w:b/>
        </w:rPr>
        <w:t>Identifying patients at high risk of emergency hospital admissions: a logistic regression analysis.</w:t>
      </w:r>
      <w:r>
        <w:rPr/>
        <w:t xml:space="preserve"> </w:t>
      </w:r>
      <w:r>
        <w:rPr>
          <w:i/>
        </w:rPr>
        <w:t>J R Soc Med</w:t>
      </w:r>
      <w:r>
        <w:rPr/>
        <w:t xml:space="preserve"> 2006, </w:t>
      </w:r>
      <w:r>
        <w:rPr>
          <w:b/>
        </w:rPr>
        <w:t>99:</w:t>
      </w:r>
      <w:r>
        <w:rPr/>
        <w:t xml:space="preserve"> 406-414.</w:t>
      </w:r>
    </w:p>
    <w:p>
      <w:pPr>
        <w:pStyle w:val="Normal"/>
        <w:tabs>
          <w:tab w:val="right" w:pos="360" w:leader="none"/>
          <w:tab w:val="left" w:pos="540" w:leader="none"/>
        </w:tabs>
        <w:spacing w:before="0" w:after="240"/>
        <w:ind w:left="540" w:hanging="540"/>
        <w:rPr/>
      </w:pPr>
      <w:r>
        <w:rPr/>
        <w:tab/>
        <w:t xml:space="preserve">2. </w:t>
        <w:tab/>
        <w:t xml:space="preserve">Billings J, Dixon J, Mijanovich T, Wennberg D: </w:t>
      </w:r>
      <w:r>
        <w:rPr>
          <w:b/>
        </w:rPr>
        <w:t>Case finding for patients at risk of readmission to hospital: development of algorithm to identify high risk patients.</w:t>
      </w:r>
      <w:r>
        <w:rPr/>
        <w:t xml:space="preserve"> </w:t>
      </w:r>
      <w:r>
        <w:rPr>
          <w:i/>
        </w:rPr>
        <w:t>Br Med J</w:t>
      </w:r>
      <w:r>
        <w:rPr/>
        <w:t xml:space="preserve"> 2006, </w:t>
      </w:r>
      <w:r>
        <w:rPr>
          <w:b/>
        </w:rPr>
        <w:t>333:</w:t>
      </w:r>
      <w:r>
        <w:rPr/>
        <w:t xml:space="preserve"> 327.</w:t>
      </w:r>
    </w:p>
    <w:p>
      <w:pPr>
        <w:pStyle w:val="Normal"/>
        <w:tabs>
          <w:tab w:val="right" w:pos="360" w:leader="none"/>
          <w:tab w:val="left" w:pos="540" w:leader="none"/>
        </w:tabs>
        <w:spacing w:before="0" w:after="240"/>
        <w:ind w:left="540" w:hanging="540"/>
        <w:rPr/>
      </w:pPr>
      <w:r>
        <w:rPr/>
        <w:tab/>
        <w:t xml:space="preserve">3. </w:t>
        <w:tab/>
        <w:t xml:space="preserve">Hasan O, Meltzer DO, Shaykevich SA, Bell CM, Kaboli PJ, Auerbach AD </w:t>
      </w:r>
      <w:r>
        <w:rPr>
          <w:i/>
        </w:rPr>
        <w:t>et al</w:t>
      </w:r>
      <w:r>
        <w:rPr/>
        <w:t xml:space="preserve">.: </w:t>
      </w:r>
      <w:r>
        <w:rPr>
          <w:b/>
        </w:rPr>
        <w:t>Hospital readmission in general medicine patients: a prediction model.</w:t>
      </w:r>
      <w:r>
        <w:rPr/>
        <w:t xml:space="preserve"> </w:t>
      </w:r>
      <w:r>
        <w:rPr>
          <w:i/>
        </w:rPr>
        <w:t>J Gen Intern Med</w:t>
      </w:r>
      <w:r>
        <w:rPr/>
        <w:t xml:space="preserve"> 2010, </w:t>
      </w:r>
      <w:r>
        <w:rPr>
          <w:b/>
        </w:rPr>
        <w:t>25:</w:t>
      </w:r>
      <w:r>
        <w:rPr/>
        <w:t xml:space="preserve"> 211-219.</w:t>
      </w:r>
    </w:p>
    <w:p>
      <w:pPr>
        <w:pStyle w:val="Normal"/>
        <w:tabs>
          <w:tab w:val="right" w:pos="360" w:leader="none"/>
          <w:tab w:val="left" w:pos="540" w:leader="none"/>
        </w:tabs>
        <w:spacing w:before="0" w:after="240"/>
        <w:ind w:left="540" w:hanging="540"/>
        <w:rPr/>
      </w:pPr>
      <w:r>
        <w:rPr/>
        <w:tab/>
        <w:t xml:space="preserve">4. </w:t>
        <w:tab/>
        <w:t xml:space="preserve">van Walraven C, Dhalla IA, Bell CM, Etchells E, Stiell IG, Zarnke K </w:t>
      </w:r>
      <w:r>
        <w:rPr>
          <w:i/>
        </w:rPr>
        <w:t>et al</w:t>
      </w:r>
      <w:r>
        <w:rPr/>
        <w:t xml:space="preserve">.: </w:t>
      </w:r>
      <w:r>
        <w:rPr>
          <w:b/>
        </w:rPr>
        <w:t>Derivation and validation of an index to predict early death or unplanned readmission after discharge from hospital to the community.</w:t>
      </w:r>
      <w:r>
        <w:rPr/>
        <w:t xml:space="preserve"> </w:t>
      </w:r>
      <w:r>
        <w:rPr>
          <w:i/>
        </w:rPr>
        <w:t>CMAJ</w:t>
      </w:r>
      <w:r>
        <w:rPr/>
        <w:t xml:space="preserve"> 2010, </w:t>
      </w:r>
      <w:r>
        <w:rPr>
          <w:b/>
        </w:rPr>
        <w:t>182:</w:t>
      </w:r>
      <w:r>
        <w:rPr/>
        <w:t xml:space="preserve"> 551-557.</w:t>
      </w:r>
    </w:p>
    <w:p>
      <w:pPr>
        <w:pStyle w:val="Normal"/>
        <w:tabs>
          <w:tab w:val="right" w:pos="360" w:leader="none"/>
          <w:tab w:val="left" w:pos="540" w:leader="none"/>
        </w:tabs>
        <w:spacing w:before="0" w:after="240"/>
        <w:ind w:left="540" w:hanging="540"/>
        <w:rPr/>
      </w:pPr>
      <w:r>
        <w:rPr/>
        <w:tab/>
        <w:t xml:space="preserve">5. </w:t>
        <w:tab/>
        <w:t xml:space="preserve">Quan H, Sundararajan V, Halfon P, Fong A, Burnand B, Luthi JC </w:t>
      </w:r>
      <w:r>
        <w:rPr>
          <w:i/>
        </w:rPr>
        <w:t>et al</w:t>
      </w:r>
      <w:r>
        <w:rPr/>
        <w:t xml:space="preserve">.: </w:t>
      </w:r>
      <w:r>
        <w:rPr>
          <w:b/>
        </w:rPr>
        <w:t>Coding algorithms for defining comorbidities in ICD-9-CM and ICD-10 administrative data.</w:t>
      </w:r>
      <w:r>
        <w:rPr/>
        <w:t xml:space="preserve"> </w:t>
      </w:r>
      <w:r>
        <w:rPr>
          <w:i/>
        </w:rPr>
        <w:t>Med Care</w:t>
      </w:r>
      <w:r>
        <w:rPr/>
        <w:t xml:space="preserve"> 2005, </w:t>
      </w:r>
      <w:r>
        <w:rPr>
          <w:b/>
        </w:rPr>
        <w:t>43:</w:t>
      </w:r>
      <w:r>
        <w:rPr/>
        <w:t xml:space="preserve"> 1130-1139.</w:t>
      </w:r>
    </w:p>
    <w:p>
      <w:pPr>
        <w:pStyle w:val="Normal"/>
        <w:tabs>
          <w:tab w:val="right" w:pos="360" w:leader="none"/>
          <w:tab w:val="left" w:pos="540" w:leader="none"/>
        </w:tabs>
        <w:spacing w:before="0" w:after="240"/>
        <w:ind w:left="540" w:hanging="540"/>
        <w:rPr/>
      </w:pPr>
      <w:r>
        <w:rPr/>
        <w:tab/>
        <w:t xml:space="preserve">6. </w:t>
        <w:tab/>
        <w:t xml:space="preserve">Scales DC, Guan J, Martin CM, Redelmeier DA: </w:t>
      </w:r>
      <w:r>
        <w:rPr>
          <w:b/>
        </w:rPr>
        <w:t>Administrative data accurately identified intensive care unit admissions in Ontario.</w:t>
      </w:r>
      <w:r>
        <w:rPr/>
        <w:t xml:space="preserve"> </w:t>
      </w:r>
      <w:r>
        <w:rPr>
          <w:i/>
        </w:rPr>
        <w:t>J Clin Epidemiol</w:t>
      </w:r>
      <w:r>
        <w:rPr/>
        <w:t xml:space="preserve"> 2006, </w:t>
      </w:r>
      <w:r>
        <w:rPr>
          <w:b/>
        </w:rPr>
        <w:t>59:</w:t>
      </w:r>
      <w:r>
        <w:rPr/>
        <w:t xml:space="preserve"> 802-807.</w:t>
      </w:r>
    </w:p>
    <w:p>
      <w:pPr>
        <w:pStyle w:val="Normal"/>
        <w:tabs>
          <w:tab w:val="right" w:pos="360" w:leader="none"/>
          <w:tab w:val="left" w:pos="540" w:leader="none"/>
        </w:tabs>
        <w:spacing w:before="0" w:after="240"/>
        <w:ind w:left="540" w:hanging="540"/>
        <w:rPr/>
      </w:pPr>
      <w:r>
        <w:rPr/>
        <w:tab/>
        <w:t xml:space="preserve">7. </w:t>
        <w:tab/>
        <w:t xml:space="preserve">Sauerbrei W, Royston P: </w:t>
      </w:r>
      <w:r>
        <w:rPr>
          <w:b/>
        </w:rPr>
        <w:t>Building multivariable prognostic and diagnostic models: transformation of the predictors by using fractional polynomials.</w:t>
      </w:r>
      <w:r>
        <w:rPr/>
        <w:t xml:space="preserve"> </w:t>
      </w:r>
      <w:r>
        <w:rPr>
          <w:i/>
        </w:rPr>
        <w:t>Journal of the Royal Statistical Society Series A</w:t>
      </w:r>
      <w:r>
        <w:rPr/>
        <w:t xml:space="preserve"> 1999, </w:t>
      </w:r>
      <w:r>
        <w:rPr>
          <w:b/>
        </w:rPr>
        <w:t>162:</w:t>
      </w:r>
      <w:r>
        <w:rPr/>
        <w:t xml:space="preserve"> 71-94.</w:t>
      </w:r>
    </w:p>
    <w:p>
      <w:pPr>
        <w:pStyle w:val="Normal"/>
        <w:tabs>
          <w:tab w:val="right" w:pos="360" w:leader="none"/>
          <w:tab w:val="left" w:pos="540" w:leader="none"/>
        </w:tabs>
        <w:spacing w:before="0" w:after="240"/>
        <w:ind w:left="540" w:hanging="540"/>
        <w:rPr/>
      </w:pPr>
      <w:r>
        <w:rPr/>
        <w:tab/>
        <w:t xml:space="preserve">8. </w:t>
        <w:tab/>
        <w:t xml:space="preserve">Sullivan LM, Massaro JM, D'Agostino RB, Sr.: </w:t>
      </w:r>
      <w:r>
        <w:rPr>
          <w:b/>
        </w:rPr>
        <w:t>Presentation of multivariate data for clinical use: The Framingham Study risk score functions.</w:t>
      </w:r>
      <w:r>
        <w:rPr/>
        <w:t xml:space="preserve"> </w:t>
      </w:r>
      <w:r>
        <w:rPr>
          <w:i/>
        </w:rPr>
        <w:t>Stat Med</w:t>
      </w:r>
      <w:r>
        <w:rPr/>
        <w:t xml:space="preserve"> 2004, </w:t>
      </w:r>
      <w:r>
        <w:rPr>
          <w:b/>
        </w:rPr>
        <w:t>23:</w:t>
      </w:r>
      <w:r>
        <w:rPr/>
        <w:t xml:space="preserve"> 1631-1660.</w:t>
      </w:r>
    </w:p>
    <w:p>
      <w:pPr>
        <w:pStyle w:val="Normal"/>
        <w:tabs>
          <w:tab w:val="right" w:pos="360" w:leader="none"/>
          <w:tab w:val="left" w:pos="540" w:leader="none"/>
        </w:tabs>
        <w:spacing w:before="0" w:after="240"/>
        <w:ind w:left="540" w:hanging="540"/>
        <w:rPr/>
      </w:pPr>
      <w:r>
        <w:rPr/>
        <w:tab/>
        <w:t xml:space="preserve">9. </w:t>
        <w:tab/>
        <w:t xml:space="preserve">Gonen M: </w:t>
      </w:r>
      <w:r>
        <w:rPr>
          <w:b/>
        </w:rPr>
        <w:t>Single Continuous Predictor.</w:t>
      </w:r>
      <w:r>
        <w:rPr/>
        <w:t xml:space="preserve"> In </w:t>
      </w:r>
      <w:r>
        <w:rPr>
          <w:i/>
        </w:rPr>
        <w:t>Analyzing receiver operating characteristic curves with SAS</w:t>
      </w:r>
      <w:r>
        <w:rPr/>
        <w:t>. Cary, N.C.: SAS Institute Inc.; 2007:15-36.</w:t>
      </w:r>
    </w:p>
    <w:p>
      <w:pPr>
        <w:pStyle w:val="Normal"/>
        <w:tabs>
          <w:tab w:val="right" w:pos="360" w:leader="none"/>
          <w:tab w:val="left" w:pos="540" w:leader="none"/>
        </w:tabs>
        <w:spacing w:before="0" w:after="240"/>
        <w:ind w:left="540" w:hanging="540"/>
        <w:rPr/>
      </w:pPr>
      <w:r>
        <w:rPr/>
        <w:tab/>
        <w:t xml:space="preserve">10. </w:t>
        <w:tab/>
        <w:t xml:space="preserve">Hosmer DW, Hosmer T, Le Cessie S, Lemeshow S: </w:t>
      </w:r>
      <w:r>
        <w:rPr>
          <w:b/>
        </w:rPr>
        <w:t>A comparison of goodness-of-fit tests for the logistic regression model.</w:t>
      </w:r>
      <w:r>
        <w:rPr/>
        <w:t xml:space="preserve"> </w:t>
      </w:r>
      <w:r>
        <w:rPr>
          <w:i/>
        </w:rPr>
        <w:t>Stat Med</w:t>
      </w:r>
      <w:r>
        <w:rPr/>
        <w:t xml:space="preserve"> 1997, </w:t>
      </w:r>
      <w:r>
        <w:rPr>
          <w:b/>
        </w:rPr>
        <w:t>16:</w:t>
      </w:r>
      <w:r>
        <w:rPr/>
        <w:t xml:space="preserve"> 965-980.</w:t>
      </w:r>
    </w:p>
    <w:p>
      <w:pPr>
        <w:pStyle w:val="Normal"/>
        <w:tabs>
          <w:tab w:val="right" w:pos="360" w:leader="none"/>
          <w:tab w:val="left" w:pos="540" w:leader="none"/>
        </w:tabs>
        <w:spacing w:before="0" w:after="240"/>
        <w:ind w:left="540" w:hanging="540"/>
        <w:rPr/>
      </w:pPr>
      <w:r>
        <w:rPr/>
        <w:tab/>
        <w:t xml:space="preserve">11. </w:t>
        <w:tab/>
        <w:t xml:space="preserve">Daly L: </w:t>
      </w:r>
      <w:r>
        <w:rPr>
          <w:b/>
        </w:rPr>
        <w:t>Simple SAS macros for the calculation of exact binomial and Poisson confidence limits.</w:t>
      </w:r>
      <w:r>
        <w:rPr/>
        <w:t xml:space="preserve"> </w:t>
      </w:r>
      <w:r>
        <w:rPr>
          <w:i/>
        </w:rPr>
        <w:t>Comput Biol Med</w:t>
      </w:r>
      <w:r>
        <w:rPr/>
        <w:t xml:space="preserve"> 1992, </w:t>
      </w:r>
      <w:r>
        <w:rPr>
          <w:b/>
        </w:rPr>
        <w:t>22:</w:t>
      </w:r>
      <w:r>
        <w:rPr/>
        <w:t xml:space="preserve"> 351-361.</w:t>
      </w:r>
    </w:p>
    <w:p>
      <w:pPr>
        <w:pStyle w:val="Normal"/>
        <w:tabs>
          <w:tab w:val="right" w:pos="360" w:leader="none"/>
          <w:tab w:val="left" w:pos="540" w:leader="none"/>
        </w:tabs>
        <w:spacing w:before="0" w:after="240"/>
        <w:ind w:left="540" w:hanging="540"/>
        <w:rPr/>
      </w:pPr>
      <w:r>
        <w:rPr/>
        <w:tab/>
        <w:t xml:space="preserve">12. </w:t>
        <w:tab/>
        <w:t xml:space="preserve">Pencina MJ, D'Agostino RB, Sr., D'Agostino RB, Jr., Vasan RS: </w:t>
      </w:r>
      <w:r>
        <w:rPr>
          <w:b/>
        </w:rPr>
        <w:t>Evaluating the added predictive ability of a new marker: from area under the ROC curve to reclassification and beyond.</w:t>
      </w:r>
      <w:r>
        <w:rPr/>
        <w:t xml:space="preserve"> </w:t>
      </w:r>
      <w:r>
        <w:rPr>
          <w:i/>
        </w:rPr>
        <w:t>Stat Med</w:t>
      </w:r>
      <w:r>
        <w:rPr/>
        <w:t xml:space="preserve"> 2008, </w:t>
      </w:r>
      <w:r>
        <w:rPr>
          <w:b/>
        </w:rPr>
        <w:t>27:</w:t>
      </w:r>
      <w:r>
        <w:rPr/>
        <w:t xml:space="preserve"> 157-172.</w:t>
      </w:r>
    </w:p>
    <w:p>
      <w:pPr>
        <w:pStyle w:val="Normal"/>
        <w:tabs>
          <w:tab w:val="right" w:pos="360" w:leader="none"/>
          <w:tab w:val="left" w:pos="540" w:leader="none"/>
        </w:tabs>
        <w:spacing w:before="0" w:after="240"/>
        <w:ind w:left="540" w:hanging="540"/>
        <w:rPr/>
      </w:pPr>
      <w:r>
        <w:rPr/>
        <w:tab/>
        <w:t xml:space="preserve">13. </w:t>
        <w:tab/>
        <w:t xml:space="preserve">Pencina MJ, D'Agostino RB, Sr., Steyerberg EW: </w:t>
      </w:r>
      <w:r>
        <w:rPr>
          <w:b/>
        </w:rPr>
        <w:t>Extensions of net reclassification improvement calculations to measure usefulness of new biomarkers.</w:t>
      </w:r>
      <w:r>
        <w:rPr/>
        <w:t xml:space="preserve"> </w:t>
      </w:r>
      <w:r>
        <w:rPr>
          <w:i/>
        </w:rPr>
        <w:t>Stat Med</w:t>
      </w:r>
      <w:r>
        <w:rPr/>
        <w:t xml:space="preserve"> 2011, </w:t>
      </w:r>
      <w:r>
        <w:rPr>
          <w:b/>
        </w:rPr>
        <w:t>30:</w:t>
      </w:r>
      <w:r>
        <w:rPr/>
        <w:t xml:space="preserve"> 11-21.</w:t>
      </w:r>
    </w:p>
    <w:p>
      <w:pPr>
        <w:pStyle w:val="Normal"/>
        <w:tabs>
          <w:tab w:val="right" w:pos="360" w:leader="none"/>
          <w:tab w:val="left" w:pos="540" w:leader="none"/>
        </w:tabs>
        <w:spacing w:before="0" w:after="240"/>
        <w:ind w:left="540" w:hanging="540"/>
        <w:rPr/>
      </w:pPr>
      <w:r>
        <w:rPr/>
        <w:tab/>
        <w:t xml:space="preserve">14. </w:t>
        <w:tab/>
        <w:t xml:space="preserve">Kramer AA, Zimmerman JE: </w:t>
      </w:r>
      <w:r>
        <w:rPr>
          <w:b/>
        </w:rPr>
        <w:t>Assessing the calibration of mortality benchmarks in critical care: The Hosmer-Lemeshow test revisited.</w:t>
      </w:r>
      <w:r>
        <w:rPr/>
        <w:t xml:space="preserve"> </w:t>
      </w:r>
      <w:r>
        <w:rPr>
          <w:i/>
        </w:rPr>
        <w:t>Critical Care Medicine 35(9):2052-6,</w:t>
      </w:r>
      <w:r>
        <w:rPr/>
        <w:t xml:space="preserve"> 2007.</w:t>
      </w:r>
    </w:p>
    <w:p>
      <w:pPr>
        <w:pStyle w:val="Normal"/>
        <w:tabs>
          <w:tab w:val="right" w:pos="360" w:leader="none"/>
          <w:tab w:val="left" w:pos="540" w:leader="none"/>
        </w:tabs>
        <w:ind w:left="540" w:hanging="540"/>
        <w:rPr/>
      </w:pPr>
      <w:r>
        <w:rPr/>
      </w:r>
    </w:p>
    <w:p>
      <w:pPr>
        <w:pStyle w:val="Normal"/>
        <w:tabs>
          <w:tab w:val="right" w:pos="360" w:leader="none"/>
          <w:tab w:val="left" w:pos="540" w:leader="none"/>
        </w:tabs>
        <w:ind w:left="540" w:hanging="540"/>
        <w:rPr/>
      </w:pPr>
      <w:r>
        <w:rPr/>
      </w:r>
      <w:r>
        <w:br w:type="page"/>
      </w:r>
    </w:p>
    <w:p>
      <w:pPr>
        <w:pStyle w:val="Normal"/>
        <w:tabs>
          <w:tab w:val="right" w:pos="360" w:leader="none"/>
          <w:tab w:val="left" w:pos="540" w:leader="none"/>
        </w:tabs>
        <w:ind w:left="540" w:hanging="540"/>
        <w:rPr/>
      </w:pPr>
      <w:r>
        <w:rPr>
          <w:b/>
        </w:rPr>
        <w:t xml:space="preserve">Figure 1: </w:t>
      </w:r>
      <w:r>
        <w:rPr/>
        <w:t>Creation of the study cohort</w:t>
      </w:r>
    </w:p>
    <w:p>
      <w:pPr>
        <w:pStyle w:val="Normal"/>
        <w:tabs>
          <w:tab w:val="right" w:pos="360" w:leader="none"/>
          <w:tab w:val="left" w:pos="540" w:leader="none"/>
        </w:tabs>
        <w:ind w:left="540" w:hanging="540"/>
        <w:rPr/>
      </w:pPr>
      <w:r>
        <w:rPr/>
      </w:r>
    </w:p>
    <w:p>
      <w:pPr>
        <w:pStyle w:val="Normal"/>
        <w:rPr/>
      </w:pPr>
      <w:r>
        <w:rPr/>
      </w:r>
    </w:p>
    <w:p>
      <w:pPr>
        <w:pStyle w:val="Normal"/>
        <w:rPr>
          <w:lang w:val="en-CA" w:eastAsia="en-CA"/>
        </w:rPr>
      </w:pPr>
      <w:r>
        <w:rPr>
          <w:lang w:val="en-CA" w:eastAsia="en-CA"/>
        </w:rPr>
        <mc:AlternateContent>
          <mc:Choice Requires="wpg">
            <w:drawing>
              <wp:anchor behindDoc="0" distT="0" distB="0" distL="114935" distR="114935" simplePos="0" locked="0" layoutInCell="1" allowOverlap="1" relativeHeight="19">
                <wp:simplePos x="0" y="0"/>
                <wp:positionH relativeFrom="column">
                  <wp:posOffset>1219200</wp:posOffset>
                </wp:positionH>
                <wp:positionV relativeFrom="paragraph">
                  <wp:posOffset>7620</wp:posOffset>
                </wp:positionV>
                <wp:extent cx="4427855" cy="6654800"/>
                <wp:effectExtent l="0" t="0" r="0" b="0"/>
                <wp:wrapNone/>
                <wp:docPr id="1" name=""/>
                <a:graphic xmlns:a="http://schemas.openxmlformats.org/drawingml/2006/main">
                  <a:graphicData uri="http://schemas.microsoft.com/office/word/2010/wordprocessingGroup">
                    <wpg:wgp>
                      <wpg:cNvGrpSpPr/>
                      <wpg:grpSpPr>
                        <a:xfrm>
                          <a:off x="0" y="0"/>
                          <a:ext cx="4427280" cy="6654240"/>
                        </a:xfrm>
                      </wpg:grpSpPr>
                      <wps:wsp>
                        <wps:cNvSpPr txBox="1"/>
                        <wps:spPr>
                          <a:xfrm>
                            <a:off x="0" y="0"/>
                            <a:ext cx="2629080" cy="80028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All acute care hosptializations in Ontario between 1 April 2003 and 31 March 2009</w:t>
                              </w:r>
                            </w:p>
                            <w:p>
                              <w:pPr>
                                <w:bidi w:val="0"/>
                                <w:jc w:val="center"/>
                                <w:rPr/>
                              </w:pPr>
                              <w:r>
                                <w:rPr>
                                  <w:sz w:val="24"/>
                                  <w:szCs w:val="24"/>
                                  <w:rFonts w:ascii="Times New Roman" w:hAnsi="Times New Roman" w:eastAsia="Times New Roman" w:cs="Times New Roman"/>
                                  <w:color w:val="auto"/>
                                  <w:lang w:val="en-US" w:bidi="ar-SA"/>
                                </w:rPr>
                                <w:t>(6 516 313)</w:t>
                              </w:r>
                            </w:p>
                          </w:txbxContent>
                        </wps:txbx>
                        <wps:bodyPr wrap="square">
                          <a:noAutofit/>
                        </wps:bodyPr>
                      </wps:wsp>
                      <wps:wsp>
                        <wps:cNvSpPr txBox="1"/>
                        <wps:spPr>
                          <a:xfrm>
                            <a:off x="1638360" y="1323360"/>
                            <a:ext cx="2788920" cy="27612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died in hospital (261 336)</w:t>
                              </w:r>
                            </w:p>
                          </w:txbxContent>
                        </wps:txbx>
                        <wps:bodyPr wrap="square">
                          <a:noAutofit/>
                        </wps:bodyPr>
                      </wps:wsp>
                      <wps:wsp>
                        <wps:cNvSpPr txBox="1"/>
                        <wps:spPr>
                          <a:xfrm>
                            <a:off x="1638360" y="1739160"/>
                            <a:ext cx="2788920" cy="27612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&lt; 18 years of age (1 296 820)</w:t>
                              </w:r>
                            </w:p>
                          </w:txbxContent>
                        </wps:txbx>
                        <wps:bodyPr wrap="square">
                          <a:noAutofit/>
                        </wps:bodyPr>
                      </wps:wsp>
                      <wps:wsp>
                        <wps:cNvSpPr txBox="1"/>
                        <wps:spPr>
                          <a:xfrm>
                            <a:off x="1638360" y="2155320"/>
                            <a:ext cx="2788920" cy="457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Psychiatric or obstetrical admission</w:t>
                              </w:r>
                            </w:p>
                            <w:p>
                              <w:pPr>
                                <w:bidi w:val="0"/>
                                <w:rPr/>
                              </w:pPr>
                              <w:r>
                                <w:rPr>
                                  <w:sz w:val="24"/>
                                  <w:szCs w:val="24"/>
                                  <w:rFonts w:ascii="Times New Roman" w:hAnsi="Times New Roman" w:eastAsia="Times New Roman" w:cs="Times New Roman"/>
                                  <w:color w:val="auto"/>
                                  <w:lang w:val="en-US" w:bidi="ar-SA"/>
                                </w:rPr>
                                <w:t>(1 021 732)</w:t>
                              </w:r>
                            </w:p>
                          </w:txbxContent>
                        </wps:txbx>
                        <wps:bodyPr wrap="square">
                          <a:noAutofit/>
                        </wps:bodyPr>
                      </wps:wsp>
                      <wps:wsp>
                        <wps:cNvSpPr txBox="1"/>
                        <wps:spPr>
                          <a:xfrm>
                            <a:off x="1638360" y="2743200"/>
                            <a:ext cx="2788920" cy="457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discharged to long-term care, rehabilitation, or other hospital (656 011)</w:t>
                              </w:r>
                            </w:p>
                          </w:txbxContent>
                        </wps:txbx>
                        <wps:bodyPr wrap="square">
                          <a:noAutofit/>
                        </wps:bodyPr>
                      </wps:wsp>
                      <wps:wsp>
                        <wps:cNvSpPr txBox="1"/>
                        <wps:spPr>
                          <a:xfrm>
                            <a:off x="1638360" y="3380760"/>
                            <a:ext cx="2788920" cy="619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ineligible for OHIP coverage at discharge or during 30-day period following discharge (3 381)</w:t>
                              </w:r>
                            </w:p>
                          </w:txbxContent>
                        </wps:txbx>
                        <wps:bodyPr wrap="square">
                          <a:noAutofit/>
                        </wps:bodyPr>
                      </wps:wsp>
                      <wps:wsp>
                        <wps:cNvSpPr txBox="1"/>
                        <wps:spPr>
                          <a:xfrm>
                            <a:off x="38160" y="4234680"/>
                            <a:ext cx="2514600" cy="45720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Eligible hospitalizations</w:t>
                              </w:r>
                            </w:p>
                            <w:p>
                              <w:pPr>
                                <w:bidi w:val="0"/>
                                <w:jc w:val="center"/>
                                <w:rPr/>
                              </w:pPr>
                              <w:r>
                                <w:rPr>
                                  <w:sz w:val="24"/>
                                  <w:szCs w:val="24"/>
                                  <w:rFonts w:ascii="Times New Roman" w:hAnsi="Times New Roman" w:eastAsia="Times New Roman" w:cs="Times New Roman"/>
                                  <w:color w:val="auto"/>
                                  <w:lang w:val="en-US" w:bidi="ar-SA"/>
                                </w:rPr>
                                <w:t>(3 277 033)</w:t>
                              </w:r>
                            </w:p>
                          </w:txbxContent>
                        </wps:txbx>
                        <wps:bodyPr wrap="square">
                          <a:noAutofit/>
                        </wps:bodyPr>
                      </wps:wsp>
                      <wps:wsp>
                        <wps:cNvSpPr/>
                        <wps:spPr>
                          <a:xfrm>
                            <a:off x="1299240" y="4690080"/>
                            <a:ext cx="0" cy="343080"/>
                          </a:xfrm>
                          <a:prstGeom prst="line">
                            <a:avLst/>
                          </a:prstGeom>
                          <a:ln w="9360">
                            <a:solidFill>
                              <a:srgbClr val="000000"/>
                            </a:solidFill>
                            <a:miter/>
                            <a:tailEnd len="med" type="triangle" w="med"/>
                          </a:ln>
                        </wps:spPr>
                        <wps:bodyPr/>
                      </wps:wsp>
                      <wps:wsp>
                        <wps:cNvSpPr txBox="1"/>
                        <wps:spPr>
                          <a:xfrm>
                            <a:off x="38160" y="5044320"/>
                            <a:ext cx="2514600" cy="68580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Randomly select 1 admission per person</w:t>
                              </w:r>
                            </w:p>
                            <w:p>
                              <w:pPr>
                                <w:bidi w:val="0"/>
                                <w:jc w:val="center"/>
                                <w:rPr/>
                              </w:pPr>
                              <w:r>
                                <w:rPr>
                                  <w:sz w:val="24"/>
                                  <w:szCs w:val="24"/>
                                  <w:rFonts w:ascii="Times New Roman" w:hAnsi="Times New Roman" w:eastAsia="Times New Roman" w:cs="Times New Roman"/>
                                  <w:color w:val="auto"/>
                                  <w:lang w:val="en-US" w:bidi="ar-SA"/>
                                </w:rPr>
                                <w:t>(n=1 851 930)</w:t>
                              </w:r>
                            </w:p>
                          </w:txbxContent>
                        </wps:txbx>
                        <wps:bodyPr wrap="square">
                          <a:noAutofit/>
                        </wps:bodyPr>
                      </wps:wsp>
                      <wps:wsp>
                        <wps:cNvSpPr/>
                        <wps:spPr>
                          <a:xfrm>
                            <a:off x="1296720" y="5728320"/>
                            <a:ext cx="0" cy="343080"/>
                          </a:xfrm>
                          <a:prstGeom prst="line">
                            <a:avLst/>
                          </a:prstGeom>
                          <a:ln w="9360">
                            <a:solidFill>
                              <a:srgbClr val="000000"/>
                            </a:solidFill>
                            <a:miter/>
                            <a:tailEnd len="med" type="triangle" w="med"/>
                          </a:ln>
                        </wps:spPr>
                        <wps:bodyPr/>
                      </wps:wsp>
                      <wps:wsp>
                        <wps:cNvSpPr txBox="1"/>
                        <wps:spPr>
                          <a:xfrm>
                            <a:off x="38160" y="6082560"/>
                            <a:ext cx="2514600" cy="57168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Randomly select 500 000 admissions:</w:t>
                              </w:r>
                            </w:p>
                            <w:p>
                              <w:pPr>
                                <w:bidi w:val="0"/>
                                <w:jc w:val="center"/>
                                <w:rPr/>
                              </w:pPr>
                              <w:r>
                                <w:rPr>
                                  <w:sz w:val="24"/>
                                  <w:szCs w:val="24"/>
                                  <w:rFonts w:ascii="Times New Roman" w:hAnsi="Times New Roman" w:eastAsia="Times New Roman" w:cs="Times New Roman"/>
                                  <w:color w:val="auto"/>
                                  <w:lang w:val="en-US" w:bidi="ar-SA"/>
                                </w:rPr>
                                <w:t xml:space="preserve"> </w:t>
                              </w:r>
                              <w:r>
                                <w:rPr>
                                  <w:sz w:val="24"/>
                                  <w:szCs w:val="24"/>
                                  <w:b/>
                                  <w:rFonts w:ascii="Times New Roman" w:hAnsi="Times New Roman" w:eastAsia="Times New Roman" w:cs="Times New Roman"/>
                                  <w:color w:val="auto"/>
                                  <w:lang w:val="en-US" w:bidi="ar-SA"/>
                                </w:rPr>
                                <w:t>FINAL COHORT</w:t>
                              </w:r>
                            </w:p>
                          </w:txbxContent>
                        </wps:txbx>
                        <wps:bodyPr wrap="square">
                          <a:noAutofit/>
                        </wps:bodyPr>
                      </wps:wsp>
                      <wps:wsp>
                        <wps:cNvSpPr/>
                        <wps:spPr>
                          <a:xfrm>
                            <a:off x="1295280" y="1457280"/>
                            <a:ext cx="343080" cy="0"/>
                          </a:xfrm>
                          <a:prstGeom prst="line">
                            <a:avLst/>
                          </a:prstGeom>
                          <a:ln w="9360">
                            <a:solidFill>
                              <a:srgbClr val="000000"/>
                            </a:solidFill>
                            <a:miter/>
                            <a:tailEnd len="med" type="triangle" w="med"/>
                          </a:ln>
                        </wps:spPr>
                        <wps:bodyPr/>
                      </wps:wsp>
                      <wps:wsp>
                        <wps:cNvSpPr/>
                        <wps:spPr>
                          <a:xfrm>
                            <a:off x="1295280" y="1876320"/>
                            <a:ext cx="343080" cy="0"/>
                          </a:xfrm>
                          <a:prstGeom prst="line">
                            <a:avLst/>
                          </a:prstGeom>
                          <a:ln w="9360">
                            <a:solidFill>
                              <a:srgbClr val="000000"/>
                            </a:solidFill>
                            <a:miter/>
                            <a:tailEnd len="med" type="triangle" w="med"/>
                          </a:ln>
                        </wps:spPr>
                        <wps:bodyPr/>
                      </wps:wsp>
                      <wps:wsp>
                        <wps:cNvSpPr/>
                        <wps:spPr>
                          <a:xfrm>
                            <a:off x="1295280" y="2362320"/>
                            <a:ext cx="343080" cy="0"/>
                          </a:xfrm>
                          <a:prstGeom prst="line">
                            <a:avLst/>
                          </a:prstGeom>
                          <a:ln w="9360">
                            <a:solidFill>
                              <a:srgbClr val="000000"/>
                            </a:solidFill>
                            <a:miter/>
                            <a:tailEnd len="med" type="triangle" w="med"/>
                          </a:ln>
                        </wps:spPr>
                        <wps:bodyPr/>
                      </wps:wsp>
                      <wps:wsp>
                        <wps:cNvSpPr/>
                        <wps:spPr>
                          <a:xfrm>
                            <a:off x="1295280" y="2943360"/>
                            <a:ext cx="343080" cy="0"/>
                          </a:xfrm>
                          <a:prstGeom prst="line">
                            <a:avLst/>
                          </a:prstGeom>
                          <a:ln w="9360">
                            <a:solidFill>
                              <a:srgbClr val="000000"/>
                            </a:solidFill>
                            <a:miter/>
                            <a:tailEnd len="med" type="triangle" w="med"/>
                          </a:ln>
                        </wps:spPr>
                        <wps:bodyPr/>
                      </wps:wsp>
                      <wps:wsp>
                        <wps:cNvSpPr/>
                        <wps:spPr>
                          <a:xfrm>
                            <a:off x="1295280" y="3669120"/>
                            <a:ext cx="343080" cy="0"/>
                          </a:xfrm>
                          <a:prstGeom prst="line">
                            <a:avLst/>
                          </a:prstGeom>
                          <a:ln w="9360">
                            <a:solidFill>
                              <a:srgbClr val="000000"/>
                            </a:solidFill>
                            <a:miter/>
                            <a:tailEnd len="med" type="triangle" w="med"/>
                          </a:ln>
                        </wps:spPr>
                        <wps:bodyPr/>
                      </wps:wsp>
                      <wps:wsp>
                        <wps:cNvSpPr txBox="1"/>
                        <wps:spPr>
                          <a:xfrm>
                            <a:off x="2390040" y="961920"/>
                            <a:ext cx="1228680" cy="266760"/>
                          </a:xfrm>
                          <a:prstGeom prst="rect">
                            <a:avLst/>
                          </a:prstGeom>
                          <a:solidFill>
                            <a:srgbClr val="ffffff"/>
                          </a:solidFill>
                          <a:ln>
                            <a:noFill/>
                          </a:ln>
                        </wps:spPr>
                        <wps:txbx>
                          <w:txbxContent>
                            <w:p>
                              <w:pPr>
                                <w:bidi w:val="0"/>
                                <w:jc w:val="center"/>
                                <w:rPr/>
                              </w:pPr>
                              <w:r>
                                <w:rPr>
                                  <w:sz w:val="24"/>
                                  <w:b/>
                                  <w:u w:val="single"/>
                                  <w:szCs w:val="24"/>
                                  <w:rFonts w:ascii="Times New Roman" w:hAnsi="Times New Roman" w:eastAsia="Times New Roman" w:cs="Times New Roman"/>
                                  <w:color w:val="auto"/>
                                  <w:lang w:val="en-US" w:bidi="ar-SA"/>
                                </w:rPr>
                                <w:t>EXCLUSIONS</w:t>
                              </w:r>
                            </w:p>
                          </w:txbxContent>
                        </wps:txbx>
                        <wps:bodyPr wrap="square">
                          <a:noAutofit/>
                        </wps:bodyPr>
                      </wps:wsp>
                      <wps:wsp>
                        <wps:cNvSpPr/>
                        <wps:spPr>
                          <a:xfrm>
                            <a:off x="1295280" y="794520"/>
                            <a:ext cx="0" cy="3429000"/>
                          </a:xfrm>
                          <a:prstGeom prst="line">
                            <a:avLst/>
                          </a:prstGeom>
                          <a:ln w="9360">
                            <a:solidFill>
                              <a:srgbClr val="000000"/>
                            </a:solidFill>
                            <a:miter/>
                            <a:tailEnd len="med" type="triangle" w="med"/>
                          </a:ln>
                        </wps:spPr>
                        <wps:bodyPr/>
                      </wps:wsp>
                    </wpg:wgp>
                  </a:graphicData>
                </a:graphic>
              </wp:anchor>
            </w:drawing>
          </mc:Choice>
          <mc:Fallback>
            <w:pict>
              <v:group id="shape_0" style="position:absolute;margin-left:96pt;margin-top:0.6pt;width:348.6pt;height:523.95pt" coordorigin="1920,12" coordsize="6972,10479">
                <v:shapetype id="shapetype_202" coordsize="21600,21600" o:spt="202" path="m,l,21600l21600,21600l21600,xe">
                  <v:stroke joinstyle="miter"/>
                  <v:path gradientshapeok="t" o:connecttype="rect"/>
                </v:shapetype>
                <v:shape id="shape_0" fillcolor="white" stroked="t" style="position:absolute;left:1920;top:12;width:4139;height:1259" type="shapetype_202">
                  <v:textbox>
                    <w:txbxContent>
                      <w:p>
                        <w:pPr>
                          <w:bidi w:val="0"/>
                          <w:jc w:val="center"/>
                          <w:rPr/>
                        </w:pPr>
                        <w:r>
                          <w:rPr>
                            <w:sz w:val="24"/>
                            <w:szCs w:val="24"/>
                            <w:rFonts w:ascii="Times New Roman" w:hAnsi="Times New Roman" w:eastAsia="Times New Roman" w:cs="Times New Roman"/>
                            <w:color w:val="auto"/>
                            <w:lang w:val="en-US" w:bidi="ar-SA"/>
                          </w:rPr>
                          <w:t>All acute care hosptializations in Ontario between 1 April 2003 and 31 March 2009</w:t>
                        </w:r>
                      </w:p>
                      <w:p>
                        <w:pPr>
                          <w:bidi w:val="0"/>
                          <w:jc w:val="center"/>
                          <w:rPr/>
                        </w:pPr>
                        <w:r>
                          <w:rPr>
                            <w:sz w:val="24"/>
                            <w:szCs w:val="24"/>
                            <w:rFonts w:ascii="Times New Roman" w:hAnsi="Times New Roman" w:eastAsia="Times New Roman" w:cs="Times New Roman"/>
                            <w:color w:val="auto"/>
                            <w:lang w:val="en-US" w:bidi="ar-SA"/>
                          </w:rPr>
                          <w:t>(6 516 313)</w:t>
                        </w:r>
                      </w:p>
                    </w:txbxContent>
                  </v:textbox>
                  <w10:wrap type="square"/>
                  <v:fill type="solid" color2="black" o:detectmouseclick="t"/>
                  <v:stroke color="black" weight="9360" joinstyle="miter" endcap="square"/>
                </v:shape>
                <v:shape id="shape_0" fillcolor="white" stroked="t" style="position:absolute;left:4500;top:2096;width:4391;height:434" type="shapetype_202">
                  <v:textbox>
                    <w:txbxContent>
                      <w:p>
                        <w:pPr>
                          <w:bidi w:val="0"/>
                          <w:rPr/>
                        </w:pPr>
                        <w:r>
                          <w:rPr>
                            <w:sz w:val="24"/>
                            <w:szCs w:val="24"/>
                            <w:rFonts w:ascii="Times New Roman" w:hAnsi="Times New Roman" w:eastAsia="Times New Roman" w:cs="Times New Roman"/>
                            <w:color w:val="auto"/>
                            <w:lang w:val="en-US" w:bidi="ar-SA"/>
                          </w:rPr>
                          <w:t>Patient died in hospital (261 336)</w:t>
                        </w:r>
                      </w:p>
                    </w:txbxContent>
                  </v:textbox>
                  <w10:wrap type="square"/>
                  <v:fill type="solid" color2="black" o:detectmouseclick="t"/>
                  <v:stroke color="black" weight="9360" joinstyle="miter" endcap="square"/>
                </v:shape>
                <v:shape id="shape_0" fillcolor="white" stroked="t" style="position:absolute;left:4500;top:2751;width:4391;height:434" type="shapetype_202">
                  <v:textbox>
                    <w:txbxContent>
                      <w:p>
                        <w:pPr>
                          <w:bidi w:val="0"/>
                          <w:rPr/>
                        </w:pPr>
                        <w:r>
                          <w:rPr>
                            <w:sz w:val="24"/>
                            <w:szCs w:val="24"/>
                            <w:rFonts w:ascii="Times New Roman" w:hAnsi="Times New Roman" w:eastAsia="Times New Roman" w:cs="Times New Roman"/>
                            <w:color w:val="auto"/>
                            <w:lang w:val="en-US" w:bidi="ar-SA"/>
                          </w:rPr>
                          <w:t>Patient &lt; 18 years of age (1 296 820)</w:t>
                        </w:r>
                      </w:p>
                    </w:txbxContent>
                  </v:textbox>
                  <w10:wrap type="square"/>
                  <v:fill type="solid" color2="black" o:detectmouseclick="t"/>
                  <v:stroke color="black" weight="9360" joinstyle="miter" endcap="square"/>
                </v:shape>
                <v:shape id="shape_0" fillcolor="white" stroked="t" style="position:absolute;left:4500;top:3406;width:4391;height:719" type="shapetype_202">
                  <v:textbox>
                    <w:txbxContent>
                      <w:p>
                        <w:pPr>
                          <w:bidi w:val="0"/>
                          <w:rPr/>
                        </w:pPr>
                        <w:r>
                          <w:rPr>
                            <w:sz w:val="24"/>
                            <w:szCs w:val="24"/>
                            <w:rFonts w:ascii="Times New Roman" w:hAnsi="Times New Roman" w:eastAsia="Times New Roman" w:cs="Times New Roman"/>
                            <w:color w:val="auto"/>
                            <w:lang w:val="en-US" w:bidi="ar-SA"/>
                          </w:rPr>
                          <w:t>Psychiatric or obstetrical admission</w:t>
                        </w:r>
                      </w:p>
                      <w:p>
                        <w:pPr>
                          <w:bidi w:val="0"/>
                          <w:rPr/>
                        </w:pPr>
                        <w:r>
                          <w:rPr>
                            <w:sz w:val="24"/>
                            <w:szCs w:val="24"/>
                            <w:rFonts w:ascii="Times New Roman" w:hAnsi="Times New Roman" w:eastAsia="Times New Roman" w:cs="Times New Roman"/>
                            <w:color w:val="auto"/>
                            <w:lang w:val="en-US" w:bidi="ar-SA"/>
                          </w:rPr>
                          <w:t>(1 021 732)</w:t>
                        </w:r>
                      </w:p>
                    </w:txbxContent>
                  </v:textbox>
                  <w10:wrap type="square"/>
                  <v:fill type="solid" color2="black" o:detectmouseclick="t"/>
                  <v:stroke color="black" weight="9360" joinstyle="miter" endcap="square"/>
                </v:shape>
                <v:shape id="shape_0" fillcolor="white" stroked="t" style="position:absolute;left:4500;top:4332;width:4391;height:719" type="shapetype_202">
                  <v:textbox>
                    <w:txbxContent>
                      <w:p>
                        <w:pPr>
                          <w:bidi w:val="0"/>
                          <w:rPr/>
                        </w:pPr>
                        <w:r>
                          <w:rPr>
                            <w:sz w:val="24"/>
                            <w:szCs w:val="24"/>
                            <w:rFonts w:ascii="Times New Roman" w:hAnsi="Times New Roman" w:eastAsia="Times New Roman" w:cs="Times New Roman"/>
                            <w:color w:val="auto"/>
                            <w:lang w:val="en-US" w:bidi="ar-SA"/>
                          </w:rPr>
                          <w:t>Patient discharged to long-term care, rehabilitation, or other hospital (656 011)</w:t>
                        </w:r>
                      </w:p>
                    </w:txbxContent>
                  </v:textbox>
                  <w10:wrap type="square"/>
                  <v:fill type="solid" color2="black" o:detectmouseclick="t"/>
                  <v:stroke color="black" weight="9360" joinstyle="miter" endcap="square"/>
                </v:shape>
                <v:shape id="shape_0" fillcolor="white" stroked="t" style="position:absolute;left:4500;top:5336;width:4391;height:974" type="shapetype_202">
                  <v:textbox>
                    <w:txbxContent>
                      <w:p>
                        <w:pPr>
                          <w:bidi w:val="0"/>
                          <w:rPr/>
                        </w:pPr>
                        <w:r>
                          <w:rPr>
                            <w:sz w:val="24"/>
                            <w:szCs w:val="24"/>
                            <w:rFonts w:ascii="Times New Roman" w:hAnsi="Times New Roman" w:eastAsia="Times New Roman" w:cs="Times New Roman"/>
                            <w:color w:val="auto"/>
                            <w:lang w:val="en-US" w:bidi="ar-SA"/>
                          </w:rPr>
                          <w:t>Patient ineligible for OHIP coverage at discharge or during 30-day period following discharge (3 381)</w:t>
                        </w:r>
                      </w:p>
                    </w:txbxContent>
                  </v:textbox>
                  <w10:wrap type="square"/>
                  <v:fill type="solid" color2="black" o:detectmouseclick="t"/>
                  <v:stroke color="black" weight="9360" joinstyle="miter" endcap="square"/>
                </v:shape>
                <v:shape id="shape_0" fillcolor="white" stroked="t" style="position:absolute;left:1980;top:6681;width:3959;height:719" type="shapetype_202">
                  <v:textbox>
                    <w:txbxContent>
                      <w:p>
                        <w:pPr>
                          <w:bidi w:val="0"/>
                          <w:jc w:val="center"/>
                          <w:rPr/>
                        </w:pPr>
                        <w:r>
                          <w:rPr>
                            <w:sz w:val="24"/>
                            <w:szCs w:val="24"/>
                            <w:rFonts w:ascii="Times New Roman" w:hAnsi="Times New Roman" w:eastAsia="Times New Roman" w:cs="Times New Roman"/>
                            <w:color w:val="auto"/>
                            <w:lang w:val="en-US" w:bidi="ar-SA"/>
                          </w:rPr>
                          <w:t>Eligible hospitalizations</w:t>
                        </w:r>
                      </w:p>
                      <w:p>
                        <w:pPr>
                          <w:bidi w:val="0"/>
                          <w:jc w:val="center"/>
                          <w:rPr/>
                        </w:pPr>
                        <w:r>
                          <w:rPr>
                            <w:sz w:val="24"/>
                            <w:szCs w:val="24"/>
                            <w:rFonts w:ascii="Times New Roman" w:hAnsi="Times New Roman" w:eastAsia="Times New Roman" w:cs="Times New Roman"/>
                            <w:color w:val="auto"/>
                            <w:lang w:val="en-US" w:bidi="ar-SA"/>
                          </w:rPr>
                          <w:t>(3 277 033)</w:t>
                        </w:r>
                      </w:p>
                    </w:txbxContent>
                  </v:textbox>
                  <w10:wrap type="square"/>
                  <v:fill type="solid" color2="black" o:detectmouseclick="t"/>
                  <v:stroke color="black" weight="9360" joinstyle="miter" endcap="square"/>
                </v:shape>
                <v:line id="shape_0" from="3966,7398" to="3966,7937" stroked="t" style="position:absolute">
                  <v:stroke color="black" weight="9360" endarrow="block" endarrowwidth="medium" endarrowlength="medium" joinstyle="miter" endcap="square"/>
                  <v:fill on="false" o:detectmouseclick="t"/>
                </v:line>
                <v:shape id="shape_0" fillcolor="white" stroked="t" style="position:absolute;left:1980;top:7956;width:3959;height:1079" type="shapetype_202">
                  <v:textbox>
                    <w:txbxContent>
                      <w:p>
                        <w:pPr>
                          <w:bidi w:val="0"/>
                          <w:jc w:val="center"/>
                          <w:rPr/>
                        </w:pPr>
                        <w:r>
                          <w:rPr>
                            <w:sz w:val="24"/>
                            <w:szCs w:val="24"/>
                            <w:rFonts w:ascii="Times New Roman" w:hAnsi="Times New Roman" w:eastAsia="Times New Roman" w:cs="Times New Roman"/>
                            <w:color w:val="auto"/>
                            <w:lang w:val="en-US" w:bidi="ar-SA"/>
                          </w:rPr>
                          <w:t>Randomly select 1 admission per person</w:t>
                        </w:r>
                      </w:p>
                      <w:p>
                        <w:pPr>
                          <w:bidi w:val="0"/>
                          <w:jc w:val="center"/>
                          <w:rPr/>
                        </w:pPr>
                        <w:r>
                          <w:rPr>
                            <w:sz w:val="24"/>
                            <w:szCs w:val="24"/>
                            <w:rFonts w:ascii="Times New Roman" w:hAnsi="Times New Roman" w:eastAsia="Times New Roman" w:cs="Times New Roman"/>
                            <w:color w:val="auto"/>
                            <w:lang w:val="en-US" w:bidi="ar-SA"/>
                          </w:rPr>
                          <w:t>(n=1 851 930)</w:t>
                        </w:r>
                      </w:p>
                    </w:txbxContent>
                  </v:textbox>
                  <w10:wrap type="square"/>
                  <v:fill type="solid" color2="black" o:detectmouseclick="t"/>
                  <v:stroke color="black" weight="9360" joinstyle="miter" endcap="square"/>
                </v:shape>
                <v:line id="shape_0" from="3962,9033" to="3962,9572" stroked="t" style="position:absolute">
                  <v:stroke color="black" weight="9360" endarrow="block" endarrowwidth="medium" endarrowlength="medium" joinstyle="miter" endcap="square"/>
                  <v:fill on="false" o:detectmouseclick="t"/>
                </v:line>
                <v:shape id="shape_0" fillcolor="white" stroked="t" style="position:absolute;left:1980;top:9591;width:3959;height:899" type="shapetype_202">
                  <v:textbox>
                    <w:txbxContent>
                      <w:p>
                        <w:pPr>
                          <w:bidi w:val="0"/>
                          <w:jc w:val="center"/>
                          <w:rPr/>
                        </w:pPr>
                        <w:r>
                          <w:rPr>
                            <w:sz w:val="24"/>
                            <w:szCs w:val="24"/>
                            <w:rFonts w:ascii="Times New Roman" w:hAnsi="Times New Roman" w:eastAsia="Times New Roman" w:cs="Times New Roman"/>
                            <w:color w:val="auto"/>
                            <w:lang w:val="en-US" w:bidi="ar-SA"/>
                          </w:rPr>
                          <w:t>Randomly select 500 000 admissions:</w:t>
                        </w:r>
                      </w:p>
                      <w:p>
                        <w:pPr>
                          <w:bidi w:val="0"/>
                          <w:jc w:val="center"/>
                          <w:rPr/>
                        </w:pPr>
                        <w:r>
                          <w:rPr>
                            <w:sz w:val="24"/>
                            <w:szCs w:val="24"/>
                            <w:rFonts w:ascii="Times New Roman" w:hAnsi="Times New Roman" w:eastAsia="Times New Roman" w:cs="Times New Roman"/>
                            <w:color w:val="auto"/>
                            <w:lang w:val="en-US" w:bidi="ar-SA"/>
                          </w:rPr>
                          <w:t xml:space="preserve"> </w:t>
                        </w:r>
                        <w:r>
                          <w:rPr>
                            <w:sz w:val="24"/>
                            <w:szCs w:val="24"/>
                            <w:b/>
                            <w:rFonts w:ascii="Times New Roman" w:hAnsi="Times New Roman" w:eastAsia="Times New Roman" w:cs="Times New Roman"/>
                            <w:color w:val="auto"/>
                            <w:lang w:val="en-US" w:bidi="ar-SA"/>
                          </w:rPr>
                          <w:t>FINAL COHORT</w:t>
                        </w:r>
                      </w:p>
                    </w:txbxContent>
                  </v:textbox>
                  <w10:wrap type="square"/>
                  <v:fill type="solid" color2="black" o:detectmouseclick="t"/>
                  <v:stroke color="black" weight="9360" joinstyle="miter" endcap="square"/>
                </v:shape>
                <v:line id="shape_0" from="3960,2307" to="4499,2307" stroked="t" style="position:absolute">
                  <v:stroke color="black" weight="9360" endarrow="block" endarrowwidth="medium" endarrowlength="medium" joinstyle="miter" endcap="square"/>
                  <v:fill on="false" o:detectmouseclick="t"/>
                </v:line>
                <v:line id="shape_0" from="3960,2967" to="4499,2967" stroked="t" style="position:absolute">
                  <v:stroke color="black" weight="9360" endarrow="block" endarrowwidth="medium" endarrowlength="medium" joinstyle="miter" endcap="square"/>
                  <v:fill on="false" o:detectmouseclick="t"/>
                </v:line>
                <v:line id="shape_0" from="3960,3732" to="4499,3732" stroked="t" style="position:absolute">
                  <v:stroke color="black" weight="9360" endarrow="block" endarrowwidth="medium" endarrowlength="medium" joinstyle="miter" endcap="square"/>
                  <v:fill on="false" o:detectmouseclick="t"/>
                </v:line>
                <v:line id="shape_0" from="3960,4647" to="4499,4647" stroked="t" style="position:absolute">
                  <v:stroke color="black" weight="9360" endarrow="block" endarrowwidth="medium" endarrowlength="medium" joinstyle="miter" endcap="square"/>
                  <v:fill on="false" o:detectmouseclick="t"/>
                </v:line>
                <v:line id="shape_0" from="3960,5790" to="4499,5790" stroked="t" style="position:absolute">
                  <v:stroke color="black" weight="9360" endarrow="block" endarrowwidth="medium" endarrowlength="medium" joinstyle="miter" endcap="square"/>
                  <v:fill on="false" o:detectmouseclick="t"/>
                </v:line>
                <v:shape id="shape_0" fillcolor="white" stroked="f" style="position:absolute;left:5684;top:1527;width:1934;height:419" type="shapetype_202">
                  <v:textbox>
                    <w:txbxContent>
                      <w:p>
                        <w:pPr>
                          <w:bidi w:val="0"/>
                          <w:jc w:val="center"/>
                          <w:rPr/>
                        </w:pPr>
                        <w:r>
                          <w:rPr>
                            <w:sz w:val="24"/>
                            <w:b/>
                            <w:u w:val="single"/>
                            <w:szCs w:val="24"/>
                            <w:rFonts w:ascii="Times New Roman" w:hAnsi="Times New Roman" w:eastAsia="Times New Roman" w:cs="Times New Roman"/>
                            <w:color w:val="auto"/>
                            <w:lang w:val="en-US" w:bidi="ar-SA"/>
                          </w:rPr>
                          <w:t>EXCLUSIONS</w:t>
                        </w:r>
                      </w:p>
                    </w:txbxContent>
                  </v:textbox>
                  <w10:wrap type="square"/>
                  <v:fill type="solid" color2="black" o:detectmouseclick="t"/>
                  <v:stroke color="#3465a4" joinstyle="round" endcap="flat"/>
                </v:shape>
                <v:line id="shape_0" from="3960,1263" to="3960,6662" stroked="t" style="position:absolute">
                  <v:stroke color="black" weight="9360" endarrow="block" endarrowwidth="medium" endarrowlength="medium" joinstyle="miter" endcap="square"/>
                  <v:fill on="false" o:detectmouseclick="t"/>
                </v:lin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3"/>
          <w:type w:val="nextPage"/>
          <w:pgSz w:w="12240" w:h="15840"/>
          <w:pgMar w:left="1800" w:right="1800" w:header="0" w:top="1440" w:footer="720" w:bottom="1440" w:gutter="0"/>
          <w:pgNumType w:start="1" w:fmt="decimal"/>
          <w:formProt w:val="false"/>
          <w:textDirection w:val="lrTb"/>
          <w:docGrid w:type="default" w:linePitch="360" w:charSpace="0"/>
        </w:sectPr>
        <w:pStyle w:val="Normal"/>
        <w:rPr/>
      </w:pPr>
      <w:r>
        <w:rPr/>
      </w:r>
    </w:p>
    <w:p>
      <w:pPr>
        <w:pStyle w:val="Normal"/>
        <w:ind w:left="-540" w:hanging="0"/>
        <w:rPr/>
      </w:pPr>
      <w:r>
        <w:rPr>
          <w:b/>
        </w:rPr>
        <w:t>Figure 2:</w:t>
      </w:r>
      <w:r>
        <w:rPr/>
        <w:t xml:space="preserve">  Association of transformed continuous covariates and interaction terms with 30-day death or urgent readmission.  </w:t>
      </w:r>
    </w:p>
    <w:p>
      <w:pPr>
        <w:pStyle w:val="Normal"/>
        <w:ind w:left="-540" w:hanging="0"/>
        <w:rPr/>
      </w:pPr>
      <w:r>
        <w:rPr/>
        <w:drawing>
          <wp:inline distT="0" distB="0" distL="0" distR="0">
            <wp:extent cx="5887720" cy="75311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87720" cy="7531100"/>
                    </a:xfrm>
                    <a:prstGeom prst="rect">
                      <a:avLst/>
                    </a:prstGeom>
                    <a:noFill/>
                    <a:ln w="9525">
                      <a:noFill/>
                      <a:miter lim="800000"/>
                      <a:headEnd/>
                      <a:tailEnd/>
                    </a:ln>
                  </pic:spPr>
                </pic:pic>
              </a:graphicData>
            </a:graphic>
          </wp:inline>
        </w:drawing>
      </w:r>
    </w:p>
    <w:p>
      <w:pPr>
        <w:pStyle w:val="Normal"/>
        <w:rPr>
          <w:sz w:val="20"/>
          <w:szCs w:val="20"/>
        </w:rPr>
      </w:pPr>
      <w:r>
        <w:rPr>
          <w:sz w:val="20"/>
          <w:szCs w:val="20"/>
        </w:rPr>
      </w:r>
    </w:p>
    <w:p>
      <w:pPr>
        <w:sectPr>
          <w:footerReference w:type="default" r:id="rId5"/>
          <w:type w:val="nextPage"/>
          <w:pgSz w:w="12240" w:h="15840"/>
          <w:pgMar w:left="1800" w:right="1800" w:header="0" w:top="720" w:footer="720" w:bottom="776" w:gutter="0"/>
          <w:pgNumType w:fmt="decimal"/>
          <w:formProt w:val="false"/>
          <w:textDirection w:val="lrTb"/>
          <w:docGrid w:type="default" w:linePitch="360" w:charSpace="0"/>
        </w:sectPr>
        <w:pStyle w:val="Normal"/>
        <w:ind w:left="-540" w:hanging="0"/>
        <w:rPr>
          <w:sz w:val="20"/>
          <w:szCs w:val="20"/>
        </w:rPr>
      </w:pPr>
      <w:r>
        <w:rPr>
          <w:sz w:val="20"/>
          <w:szCs w:val="20"/>
        </w:rPr>
        <w:t xml:space="preserve">The graphs above show the predicted risk of 30-day death or urgent readmission (y-axis) for different values (x-axis) of each transformed continuous covariate in the final logistic regression model.  The expected risk of death or urgent readmission was calculated as the inverse of 1 + </w:t>
      </w:r>
      <w:r>
        <w:rPr>
          <w:i/>
          <w:sz w:val="20"/>
          <w:szCs w:val="20"/>
        </w:rPr>
        <w:t>e</w:t>
      </w:r>
      <w:r>
        <w:rPr>
          <w:sz w:val="20"/>
          <w:szCs w:val="20"/>
          <w:vertAlign w:val="superscript"/>
        </w:rPr>
        <w:t>-(intercept + β1*X1 + … + β</w:t>
      </w:r>
      <w:r>
        <w:rPr>
          <w:i/>
          <w:sz w:val="20"/>
          <w:szCs w:val="20"/>
          <w:vertAlign w:val="superscript"/>
        </w:rPr>
        <w:t>K</w:t>
      </w:r>
      <w:r>
        <w:rPr>
          <w:sz w:val="20"/>
          <w:szCs w:val="20"/>
          <w:vertAlign w:val="superscript"/>
        </w:rPr>
        <w:t>*X</w:t>
      </w:r>
      <w:r>
        <w:rPr>
          <w:i/>
          <w:sz w:val="20"/>
          <w:szCs w:val="20"/>
          <w:vertAlign w:val="superscript"/>
        </w:rPr>
        <w:t>K</w:t>
      </w:r>
      <w:r>
        <w:rPr>
          <w:sz w:val="20"/>
          <w:szCs w:val="20"/>
          <w:vertAlign w:val="superscript"/>
        </w:rPr>
        <w:t>)</w:t>
      </w:r>
      <w:r>
        <w:rPr>
          <w:sz w:val="20"/>
          <w:szCs w:val="20"/>
        </w:rPr>
        <w:t xml:space="preserve">, where β was the regression coefficient of each covariate (X) in the final model and </w:t>
      </w:r>
      <w:r>
        <w:rPr>
          <w:i/>
          <w:sz w:val="20"/>
          <w:szCs w:val="20"/>
        </w:rPr>
        <w:t>K</w:t>
      </w:r>
      <w:r>
        <w:rPr>
          <w:sz w:val="20"/>
          <w:szCs w:val="20"/>
        </w:rPr>
        <w:t xml:space="preserve"> was the total number of covariates in the final model.  In each graph, the covariate of interest was allowed to vary from the 1</w:t>
      </w:r>
      <w:r>
        <w:rPr>
          <w:sz w:val="20"/>
          <w:szCs w:val="20"/>
          <w:vertAlign w:val="superscript"/>
        </w:rPr>
        <w:t>st</w:t>
      </w:r>
      <w:r>
        <w:rPr>
          <w:sz w:val="20"/>
          <w:szCs w:val="20"/>
        </w:rPr>
        <w:t xml:space="preserve"> to 99</w:t>
      </w:r>
      <w:r>
        <w:rPr>
          <w:sz w:val="20"/>
          <w:szCs w:val="20"/>
          <w:vertAlign w:val="superscript"/>
        </w:rPr>
        <w:t>th</w:t>
      </w:r>
      <w:r>
        <w:rPr>
          <w:sz w:val="20"/>
          <w:szCs w:val="20"/>
        </w:rPr>
        <w:t xml:space="preserve"> percentile of observed values while the value of all other covariates was set to the median or reference value (unless otherwise noted). </w:t>
      </w:r>
    </w:p>
    <w:p>
      <w:pPr>
        <w:pStyle w:val="Normal"/>
        <w:rPr/>
      </w:pPr>
      <w:r>
        <w:rPr>
          <w:b/>
        </w:rPr>
        <w:t xml:space="preserve">Figure 3. </w:t>
      </w:r>
      <w:r>
        <w:rPr/>
        <w:t>Distribution and calibration of the LACE</w:t>
      </w:r>
      <w:r>
        <w:rPr>
          <w:vertAlign w:val="superscript"/>
        </w:rPr>
        <w:t>+</w:t>
      </w:r>
      <w:r>
        <w:rPr/>
        <w:t xml:space="preserve"> index by 10-point strata</w:t>
      </w:r>
    </w:p>
    <w:p>
      <w:pPr>
        <w:pStyle w:val="Normal"/>
        <w:rPr/>
      </w:pPr>
      <w:r>
        <w:rPr/>
      </w:r>
    </w:p>
    <w:p>
      <w:pPr>
        <w:pStyle w:val="Normal"/>
        <w:ind w:left="-720" w:hanging="0"/>
        <w:rPr/>
      </w:pPr>
      <w:r>
        <w:rPr/>
        <w:drawing>
          <wp:inline distT="0" distB="0" distL="0" distR="0">
            <wp:extent cx="6120765" cy="5121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765" cy="5121910"/>
                    </a:xfrm>
                    <a:prstGeom prst="rect">
                      <a:avLst/>
                    </a:prstGeom>
                    <a:noFill/>
                    <a:ln w="9525">
                      <a:noFill/>
                      <a:miter lim="800000"/>
                      <a:headEnd/>
                      <a:tailEnd/>
                    </a:ln>
                  </pic:spPr>
                </pic:pic>
              </a:graphicData>
            </a:graphic>
          </wp:inline>
        </w:drawing>
      </w:r>
    </w:p>
    <w:p>
      <w:pPr>
        <w:pStyle w:val="Normal"/>
        <w:rPr/>
      </w:pPr>
      <w:r>
        <w:rPr/>
        <w:t>Bars = number of patients in the validation set within each 10-point risk strata of the LACE</w:t>
      </w:r>
      <w:r>
        <w:rPr>
          <w:vertAlign w:val="superscript"/>
        </w:rPr>
        <w:t>+</w:t>
      </w:r>
      <w:r>
        <w:rPr/>
        <w:t xml:space="preserve"> index (left axis); grey line = expected event rate within each stratum (right axis); black line = observed event rate within each stratum (right axis) with 95% confidence intervals calculated using exact methods [11]; stars indicate strata where the 95% confidence interval around the observed rate excludes the expected rate</w:t>
      </w:r>
    </w:p>
    <w:p>
      <w:pPr>
        <w:pStyle w:val="Normal"/>
        <w:rPr/>
      </w:pPr>
      <w:r>
        <w:rPr/>
      </w:r>
      <w:r>
        <w:br w:type="page"/>
      </w:r>
    </w:p>
    <w:p>
      <w:pPr>
        <w:pStyle w:val="Normal"/>
        <w:ind w:left="-720" w:hanging="0"/>
        <w:rPr/>
      </w:pPr>
      <w:r>
        <w:rPr>
          <w:b/>
        </w:rPr>
        <w:t>Table 1</w:t>
      </w:r>
      <w:r>
        <w:rPr/>
        <w:t>: Description of study cohort.</w:t>
      </w:r>
    </w:p>
    <w:p>
      <w:pPr>
        <w:pStyle w:val="Normal"/>
        <w:rPr/>
      </w:pPr>
      <w:r>
        <w:rPr/>
      </w:r>
    </w:p>
    <w:tbl>
      <w:tblPr>
        <w:tblW w:w="8856" w:type="dxa"/>
        <w:jc w:val="left"/>
        <w:tblInd w:w="0" w:type="dxa"/>
        <w:tblBorders/>
        <w:tblCellMar>
          <w:top w:w="0" w:type="dxa"/>
          <w:left w:w="108" w:type="dxa"/>
          <w:bottom w:w="0" w:type="dxa"/>
          <w:right w:w="108" w:type="dxa"/>
        </w:tblCellMar>
      </w:tblPr>
      <w:tblGrid>
        <w:gridCol w:w="4068"/>
        <w:gridCol w:w="1620"/>
        <w:gridCol w:w="1620"/>
        <w:gridCol w:w="1548"/>
      </w:tblGrid>
      <w:tr>
        <w:trPr/>
        <w:tc>
          <w:tcPr>
            <w:tcW w:w="4068" w:type="dxa"/>
            <w:tcBorders/>
            <w:shd w:fill="auto" w:val="clear"/>
          </w:tcPr>
          <w:p>
            <w:pPr>
              <w:pStyle w:val="Normal"/>
              <w:jc w:val="left"/>
              <w:rPr>
                <w:sz w:val="20"/>
                <w:szCs w:val="20"/>
                <w:vertAlign w:val="superscript"/>
              </w:rPr>
            </w:pPr>
            <w:r>
              <w:rPr>
                <w:sz w:val="20"/>
                <w:szCs w:val="20"/>
              </w:rPr>
              <w:t>Characteristic*</w:t>
            </w:r>
          </w:p>
        </w:tc>
        <w:tc>
          <w:tcPr>
            <w:tcW w:w="1620" w:type="dxa"/>
            <w:tcBorders/>
            <w:shd w:fill="auto" w:val="clear"/>
          </w:tcPr>
          <w:p>
            <w:pPr>
              <w:pStyle w:val="Normal"/>
              <w:rPr>
                <w:rFonts w:ascii="Times New Roman Bold" w:hAnsi="Times New Roman Bold" w:cs="Times New Roman Bold"/>
                <w:b/>
                <w:b/>
                <w:sz w:val="20"/>
              </w:rPr>
            </w:pPr>
            <w:r>
              <w:rPr>
                <w:rFonts w:cs="Times New Roman Bold" w:ascii="Times New Roman Bold" w:hAnsi="Times New Roman Bold"/>
                <w:b/>
                <w:sz w:val="20"/>
              </w:rPr>
              <w:t xml:space="preserve">Overall </w:t>
            </w:r>
          </w:p>
          <w:p>
            <w:pPr>
              <w:pStyle w:val="Normal"/>
              <w:rPr/>
            </w:pPr>
            <w:r>
              <w:rPr>
                <w:rFonts w:cs="Times New Roman Bold" w:ascii="Times New Roman Bold" w:hAnsi="Times New Roman Bold"/>
                <w:b/>
                <w:sz w:val="20"/>
                <w:szCs w:val="20"/>
              </w:rPr>
              <w:t>(n= 500,000)</w:t>
            </w:r>
          </w:p>
        </w:tc>
        <w:tc>
          <w:tcPr>
            <w:tcW w:w="1620" w:type="dxa"/>
            <w:tcBorders/>
            <w:shd w:fill="auto" w:val="clear"/>
          </w:tcPr>
          <w:p>
            <w:pPr>
              <w:pStyle w:val="Normal"/>
              <w:rPr>
                <w:rFonts w:ascii="Times New Roman Bold" w:hAnsi="Times New Roman Bold" w:cs="Times New Roman Bold"/>
                <w:b/>
                <w:b/>
                <w:sz w:val="20"/>
              </w:rPr>
            </w:pPr>
            <w:r>
              <w:rPr>
                <w:rFonts w:cs="Times New Roman Bold" w:ascii="Times New Roman Bold" w:hAnsi="Times New Roman Bold"/>
                <w:b/>
                <w:sz w:val="20"/>
              </w:rPr>
              <w:t xml:space="preserve">Derivation </w:t>
            </w:r>
            <w:r>
              <w:rPr>
                <w:rFonts w:cs="Times New Roman Bold" w:ascii="Times New Roman Bold" w:hAnsi="Times New Roman Bold"/>
                <w:b/>
                <w:sz w:val="20"/>
                <w:szCs w:val="20"/>
              </w:rPr>
              <w:t>(n=250,000)</w:t>
            </w:r>
          </w:p>
        </w:tc>
        <w:tc>
          <w:tcPr>
            <w:tcW w:w="1548" w:type="dxa"/>
            <w:tcBorders/>
            <w:shd w:fill="auto" w:val="clear"/>
          </w:tcPr>
          <w:p>
            <w:pPr>
              <w:pStyle w:val="Normal"/>
              <w:rPr>
                <w:rFonts w:ascii="Times New Roman Bold" w:hAnsi="Times New Roman Bold" w:cs="Times New Roman Bold"/>
                <w:b/>
                <w:b/>
                <w:sz w:val="20"/>
              </w:rPr>
            </w:pPr>
            <w:r>
              <w:rPr>
                <w:rFonts w:cs="Times New Roman Bold" w:ascii="Times New Roman Bold" w:hAnsi="Times New Roman Bold"/>
                <w:b/>
                <w:sz w:val="20"/>
              </w:rPr>
              <w:t xml:space="preserve">Validation </w:t>
            </w:r>
            <w:r>
              <w:rPr>
                <w:rFonts w:cs="Times New Roman Bold" w:ascii="Times New Roman Bold" w:hAnsi="Times New Roman Bold"/>
                <w:b/>
                <w:sz w:val="20"/>
                <w:szCs w:val="20"/>
              </w:rPr>
              <w:t>(n=250,000)</w:t>
            </w:r>
          </w:p>
        </w:tc>
      </w:tr>
      <w:tr>
        <w:trPr/>
        <w:tc>
          <w:tcPr>
            <w:tcW w:w="4068" w:type="dxa"/>
            <w:tcBorders/>
            <w:shd w:fill="auto" w:val="clear"/>
          </w:tcPr>
          <w:p>
            <w:pPr>
              <w:pStyle w:val="Normal"/>
              <w:jc w:val="left"/>
              <w:rPr>
                <w:sz w:val="20"/>
              </w:rPr>
            </w:pPr>
            <w:r>
              <w:rPr>
                <w:sz w:val="20"/>
              </w:rPr>
              <w:t>Predictors:</w:t>
            </w:r>
          </w:p>
        </w:tc>
        <w:tc>
          <w:tcPr>
            <w:tcW w:w="1620" w:type="dxa"/>
            <w:tcBorders/>
            <w:shd w:fill="auto" w:val="clear"/>
            <w:vAlign w:val="bottom"/>
          </w:tcPr>
          <w:p>
            <w:pPr>
              <w:pStyle w:val="Normal"/>
              <w:snapToGrid w:val="false"/>
              <w:rPr>
                <w:sz w:val="20"/>
              </w:rPr>
            </w:pPr>
            <w:r>
              <w:rPr>
                <w:sz w:val="20"/>
              </w:rPr>
            </w:r>
          </w:p>
        </w:tc>
        <w:tc>
          <w:tcPr>
            <w:tcW w:w="1620" w:type="dxa"/>
            <w:tcBorders/>
            <w:shd w:fill="auto" w:val="clear"/>
            <w:vAlign w:val="bottom"/>
          </w:tcPr>
          <w:p>
            <w:pPr>
              <w:pStyle w:val="Normal"/>
              <w:snapToGrid w:val="false"/>
              <w:rPr>
                <w:sz w:val="20"/>
              </w:rPr>
            </w:pPr>
            <w:r>
              <w:rPr>
                <w:sz w:val="20"/>
              </w:rPr>
            </w:r>
          </w:p>
        </w:tc>
        <w:tc>
          <w:tcPr>
            <w:tcW w:w="1548" w:type="dxa"/>
            <w:tcBorders/>
            <w:shd w:fill="auto" w:val="clear"/>
            <w:vAlign w:val="bottom"/>
          </w:tcPr>
          <w:p>
            <w:pPr>
              <w:pStyle w:val="Normal"/>
              <w:snapToGrid w:val="false"/>
              <w:rPr>
                <w:sz w:val="20"/>
              </w:rPr>
            </w:pPr>
            <w:r>
              <w:rPr>
                <w:sz w:val="20"/>
              </w:rPr>
            </w:r>
          </w:p>
        </w:tc>
      </w:tr>
      <w:tr>
        <w:trPr/>
        <w:tc>
          <w:tcPr>
            <w:tcW w:w="4068" w:type="dxa"/>
            <w:tcBorders/>
            <w:shd w:fill="auto" w:val="clear"/>
          </w:tcPr>
          <w:p>
            <w:pPr>
              <w:pStyle w:val="Normal"/>
              <w:jc w:val="left"/>
              <w:rPr>
                <w:sz w:val="20"/>
              </w:rPr>
            </w:pPr>
            <w:r>
              <w:rPr>
                <w:sz w:val="20"/>
              </w:rPr>
              <w:t>-  Mean age (SD)</w:t>
            </w:r>
          </w:p>
        </w:tc>
        <w:tc>
          <w:tcPr>
            <w:tcW w:w="1620" w:type="dxa"/>
            <w:tcBorders/>
            <w:shd w:fill="auto" w:val="clear"/>
            <w:vAlign w:val="bottom"/>
          </w:tcPr>
          <w:p>
            <w:pPr>
              <w:pStyle w:val="Normal"/>
              <w:rPr>
                <w:sz w:val="20"/>
              </w:rPr>
            </w:pPr>
            <w:r>
              <w:rPr>
                <w:sz w:val="20"/>
              </w:rPr>
              <w:t>57.9 (18.4)</w:t>
            </w:r>
          </w:p>
        </w:tc>
        <w:tc>
          <w:tcPr>
            <w:tcW w:w="1620" w:type="dxa"/>
            <w:tcBorders/>
            <w:shd w:fill="auto" w:val="clear"/>
            <w:vAlign w:val="bottom"/>
          </w:tcPr>
          <w:p>
            <w:pPr>
              <w:pStyle w:val="Normal"/>
              <w:rPr>
                <w:sz w:val="20"/>
              </w:rPr>
            </w:pPr>
            <w:r>
              <w:rPr>
                <w:sz w:val="20"/>
              </w:rPr>
              <w:t>57.9 (18.4)</w:t>
            </w:r>
          </w:p>
        </w:tc>
        <w:tc>
          <w:tcPr>
            <w:tcW w:w="1548" w:type="dxa"/>
            <w:tcBorders/>
            <w:shd w:fill="auto" w:val="clear"/>
            <w:vAlign w:val="bottom"/>
          </w:tcPr>
          <w:p>
            <w:pPr>
              <w:pStyle w:val="Normal"/>
              <w:rPr>
                <w:sz w:val="20"/>
              </w:rPr>
            </w:pPr>
            <w:r>
              <w:rPr>
                <w:sz w:val="20"/>
              </w:rPr>
              <w:t>57.9 (18.5)</w:t>
            </w:r>
          </w:p>
        </w:tc>
      </w:tr>
      <w:tr>
        <w:trPr/>
        <w:tc>
          <w:tcPr>
            <w:tcW w:w="4068" w:type="dxa"/>
            <w:tcBorders/>
            <w:shd w:fill="auto" w:val="clear"/>
          </w:tcPr>
          <w:p>
            <w:pPr>
              <w:pStyle w:val="Normal"/>
              <w:jc w:val="left"/>
              <w:rPr>
                <w:sz w:val="20"/>
              </w:rPr>
            </w:pPr>
            <w:r>
              <w:rPr>
                <w:sz w:val="20"/>
              </w:rPr>
              <w:t>-  Male</w:t>
            </w:r>
          </w:p>
        </w:tc>
        <w:tc>
          <w:tcPr>
            <w:tcW w:w="1620" w:type="dxa"/>
            <w:tcBorders/>
            <w:shd w:fill="auto" w:val="clear"/>
            <w:vAlign w:val="bottom"/>
          </w:tcPr>
          <w:p>
            <w:pPr>
              <w:pStyle w:val="Normal"/>
              <w:rPr>
                <w:sz w:val="20"/>
              </w:rPr>
            </w:pPr>
            <w:r>
              <w:rPr>
                <w:sz w:val="20"/>
              </w:rPr>
              <w:t>239 590 (47.9)</w:t>
            </w:r>
          </w:p>
        </w:tc>
        <w:tc>
          <w:tcPr>
            <w:tcW w:w="1620" w:type="dxa"/>
            <w:tcBorders/>
            <w:shd w:fill="auto" w:val="clear"/>
            <w:vAlign w:val="bottom"/>
          </w:tcPr>
          <w:p>
            <w:pPr>
              <w:pStyle w:val="Normal"/>
              <w:rPr>
                <w:sz w:val="20"/>
              </w:rPr>
            </w:pPr>
            <w:r>
              <w:rPr>
                <w:sz w:val="20"/>
              </w:rPr>
              <w:t>120 031 (48.0)</w:t>
            </w:r>
          </w:p>
        </w:tc>
        <w:tc>
          <w:tcPr>
            <w:tcW w:w="1548" w:type="dxa"/>
            <w:tcBorders/>
            <w:shd w:fill="auto" w:val="clear"/>
            <w:vAlign w:val="bottom"/>
          </w:tcPr>
          <w:p>
            <w:pPr>
              <w:pStyle w:val="Normal"/>
              <w:rPr>
                <w:sz w:val="20"/>
              </w:rPr>
            </w:pPr>
            <w:r>
              <w:rPr>
                <w:sz w:val="20"/>
              </w:rPr>
              <w:t>119 559 (47.8)</w:t>
            </w:r>
          </w:p>
        </w:tc>
      </w:tr>
      <w:tr>
        <w:trPr/>
        <w:tc>
          <w:tcPr>
            <w:tcW w:w="4068" w:type="dxa"/>
            <w:tcBorders/>
            <w:shd w:fill="auto" w:val="clear"/>
          </w:tcPr>
          <w:p>
            <w:pPr>
              <w:pStyle w:val="Normal"/>
              <w:jc w:val="left"/>
              <w:rPr>
                <w:sz w:val="20"/>
              </w:rPr>
            </w:pPr>
            <w:r>
              <w:rPr>
                <w:sz w:val="20"/>
              </w:rPr>
              <w:t>-  Charlson Index &gt; 0</w:t>
            </w:r>
          </w:p>
        </w:tc>
        <w:tc>
          <w:tcPr>
            <w:tcW w:w="1620" w:type="dxa"/>
            <w:tcBorders/>
            <w:shd w:fill="auto" w:val="clear"/>
            <w:vAlign w:val="bottom"/>
          </w:tcPr>
          <w:p>
            <w:pPr>
              <w:pStyle w:val="Normal"/>
              <w:rPr>
                <w:sz w:val="20"/>
              </w:rPr>
            </w:pPr>
            <w:r>
              <w:rPr>
                <w:sz w:val="20"/>
              </w:rPr>
              <w:t>124 447 (24.9)</w:t>
            </w:r>
          </w:p>
        </w:tc>
        <w:tc>
          <w:tcPr>
            <w:tcW w:w="1620" w:type="dxa"/>
            <w:tcBorders/>
            <w:shd w:fill="auto" w:val="clear"/>
            <w:vAlign w:val="bottom"/>
          </w:tcPr>
          <w:p>
            <w:pPr>
              <w:pStyle w:val="Normal"/>
              <w:rPr>
                <w:sz w:val="20"/>
              </w:rPr>
            </w:pPr>
            <w:r>
              <w:rPr>
                <w:sz w:val="20"/>
              </w:rPr>
              <w:t>62 368 (24.9)</w:t>
            </w:r>
          </w:p>
        </w:tc>
        <w:tc>
          <w:tcPr>
            <w:tcW w:w="1548" w:type="dxa"/>
            <w:tcBorders/>
            <w:shd w:fill="auto" w:val="clear"/>
            <w:vAlign w:val="bottom"/>
          </w:tcPr>
          <w:p>
            <w:pPr>
              <w:pStyle w:val="Normal"/>
              <w:rPr>
                <w:sz w:val="20"/>
              </w:rPr>
            </w:pPr>
            <w:r>
              <w:rPr>
                <w:sz w:val="20"/>
              </w:rPr>
              <w:t>62 079 (24.8)</w:t>
            </w:r>
          </w:p>
        </w:tc>
      </w:tr>
      <w:tr>
        <w:trPr/>
        <w:tc>
          <w:tcPr>
            <w:tcW w:w="4068" w:type="dxa"/>
            <w:tcBorders/>
            <w:shd w:fill="auto" w:val="clear"/>
          </w:tcPr>
          <w:p>
            <w:pPr>
              <w:pStyle w:val="Normal"/>
              <w:jc w:val="left"/>
              <w:rPr>
                <w:sz w:val="20"/>
              </w:rPr>
            </w:pPr>
            <w:r>
              <w:rPr>
                <w:sz w:val="20"/>
              </w:rPr>
              <w:t>-  Median length of stay (IQR)</w:t>
            </w:r>
          </w:p>
        </w:tc>
        <w:tc>
          <w:tcPr>
            <w:tcW w:w="1620" w:type="dxa"/>
            <w:tcBorders/>
            <w:shd w:fill="auto" w:val="clear"/>
            <w:vAlign w:val="bottom"/>
          </w:tcPr>
          <w:p>
            <w:pPr>
              <w:pStyle w:val="Normal"/>
              <w:rPr>
                <w:sz w:val="20"/>
              </w:rPr>
            </w:pPr>
            <w:r>
              <w:rPr>
                <w:sz w:val="20"/>
              </w:rPr>
              <w:t xml:space="preserve">3 (2-6) </w:t>
            </w:r>
          </w:p>
        </w:tc>
        <w:tc>
          <w:tcPr>
            <w:tcW w:w="1620" w:type="dxa"/>
            <w:tcBorders/>
            <w:shd w:fill="auto" w:val="clear"/>
            <w:vAlign w:val="bottom"/>
          </w:tcPr>
          <w:p>
            <w:pPr>
              <w:pStyle w:val="Normal"/>
              <w:rPr>
                <w:sz w:val="20"/>
              </w:rPr>
            </w:pPr>
            <w:r>
              <w:rPr>
                <w:sz w:val="20"/>
              </w:rPr>
              <w:t>3 (2-6)</w:t>
            </w:r>
          </w:p>
        </w:tc>
        <w:tc>
          <w:tcPr>
            <w:tcW w:w="1548" w:type="dxa"/>
            <w:tcBorders/>
            <w:shd w:fill="auto" w:val="clear"/>
            <w:vAlign w:val="bottom"/>
          </w:tcPr>
          <w:p>
            <w:pPr>
              <w:pStyle w:val="Normal"/>
              <w:rPr>
                <w:sz w:val="20"/>
              </w:rPr>
            </w:pPr>
            <w:r>
              <w:rPr>
                <w:sz w:val="20"/>
              </w:rPr>
              <w:t>3 (2-6)</w:t>
            </w:r>
          </w:p>
        </w:tc>
      </w:tr>
      <w:tr>
        <w:trPr/>
        <w:tc>
          <w:tcPr>
            <w:tcW w:w="4068" w:type="dxa"/>
            <w:tcBorders/>
            <w:shd w:fill="auto" w:val="clear"/>
          </w:tcPr>
          <w:p>
            <w:pPr>
              <w:pStyle w:val="Normal"/>
              <w:jc w:val="left"/>
              <w:rPr>
                <w:sz w:val="20"/>
              </w:rPr>
            </w:pPr>
            <w:r>
              <w:rPr>
                <w:sz w:val="20"/>
              </w:rPr>
              <w:t xml:space="preserve">-  Emergent </w:t>
            </w:r>
            <w:r>
              <w:rPr>
                <w:sz w:val="20"/>
                <w:szCs w:val="20"/>
              </w:rPr>
              <w:t>admission</w:t>
            </w:r>
          </w:p>
        </w:tc>
        <w:tc>
          <w:tcPr>
            <w:tcW w:w="1620" w:type="dxa"/>
            <w:tcBorders/>
            <w:shd w:fill="auto" w:val="clear"/>
            <w:vAlign w:val="bottom"/>
          </w:tcPr>
          <w:p>
            <w:pPr>
              <w:pStyle w:val="Normal"/>
              <w:rPr>
                <w:sz w:val="20"/>
              </w:rPr>
            </w:pPr>
            <w:r>
              <w:rPr>
                <w:sz w:val="20"/>
              </w:rPr>
              <w:t>321 977 (64.4)</w:t>
            </w:r>
          </w:p>
        </w:tc>
        <w:tc>
          <w:tcPr>
            <w:tcW w:w="1620" w:type="dxa"/>
            <w:tcBorders/>
            <w:shd w:fill="auto" w:val="clear"/>
            <w:vAlign w:val="bottom"/>
          </w:tcPr>
          <w:p>
            <w:pPr>
              <w:pStyle w:val="Normal"/>
              <w:rPr>
                <w:sz w:val="20"/>
              </w:rPr>
            </w:pPr>
            <w:r>
              <w:rPr>
                <w:sz w:val="20"/>
              </w:rPr>
              <w:t>160 990 (64.4)</w:t>
            </w:r>
          </w:p>
        </w:tc>
        <w:tc>
          <w:tcPr>
            <w:tcW w:w="1548" w:type="dxa"/>
            <w:tcBorders/>
            <w:shd w:fill="auto" w:val="clear"/>
            <w:vAlign w:val="bottom"/>
          </w:tcPr>
          <w:p>
            <w:pPr>
              <w:pStyle w:val="Normal"/>
              <w:rPr>
                <w:sz w:val="20"/>
              </w:rPr>
            </w:pPr>
            <w:r>
              <w:rPr>
                <w:sz w:val="20"/>
              </w:rPr>
              <w:t>160 987 (64.4)</w:t>
            </w:r>
          </w:p>
        </w:tc>
      </w:tr>
      <w:tr>
        <w:trPr/>
        <w:tc>
          <w:tcPr>
            <w:tcW w:w="4068" w:type="dxa"/>
            <w:tcBorders/>
            <w:shd w:fill="auto" w:val="clear"/>
          </w:tcPr>
          <w:p>
            <w:pPr>
              <w:pStyle w:val="Normal"/>
              <w:jc w:val="left"/>
              <w:rPr/>
            </w:pPr>
            <w:r>
              <w:rPr>
                <w:sz w:val="20"/>
              </w:rPr>
              <w:t xml:space="preserve">-  ≥1 ED visit in previous 6 months </w:t>
            </w:r>
          </w:p>
        </w:tc>
        <w:tc>
          <w:tcPr>
            <w:tcW w:w="1620" w:type="dxa"/>
            <w:tcBorders/>
            <w:shd w:fill="auto" w:val="clear"/>
            <w:vAlign w:val="bottom"/>
          </w:tcPr>
          <w:p>
            <w:pPr>
              <w:pStyle w:val="Normal"/>
              <w:rPr>
                <w:sz w:val="20"/>
              </w:rPr>
            </w:pPr>
            <w:r>
              <w:rPr>
                <w:sz w:val="20"/>
              </w:rPr>
              <w:t>188 315 (37.7)</w:t>
            </w:r>
          </w:p>
        </w:tc>
        <w:tc>
          <w:tcPr>
            <w:tcW w:w="1620" w:type="dxa"/>
            <w:tcBorders/>
            <w:shd w:fill="auto" w:val="clear"/>
            <w:vAlign w:val="bottom"/>
          </w:tcPr>
          <w:p>
            <w:pPr>
              <w:pStyle w:val="Normal"/>
              <w:rPr>
                <w:sz w:val="20"/>
              </w:rPr>
            </w:pPr>
            <w:r>
              <w:rPr>
                <w:sz w:val="20"/>
              </w:rPr>
              <w:t>94 255 (37.7)</w:t>
            </w:r>
          </w:p>
        </w:tc>
        <w:tc>
          <w:tcPr>
            <w:tcW w:w="1548" w:type="dxa"/>
            <w:tcBorders/>
            <w:shd w:fill="auto" w:val="clear"/>
            <w:vAlign w:val="bottom"/>
          </w:tcPr>
          <w:p>
            <w:pPr>
              <w:pStyle w:val="Normal"/>
              <w:rPr>
                <w:sz w:val="20"/>
              </w:rPr>
            </w:pPr>
            <w:r>
              <w:rPr>
                <w:sz w:val="20"/>
              </w:rPr>
              <w:t>94 060 (37.6)</w:t>
            </w:r>
          </w:p>
        </w:tc>
      </w:tr>
      <w:tr>
        <w:trPr/>
        <w:tc>
          <w:tcPr>
            <w:tcW w:w="4068" w:type="dxa"/>
            <w:tcBorders/>
            <w:shd w:fill="auto" w:val="clear"/>
          </w:tcPr>
          <w:p>
            <w:pPr>
              <w:pStyle w:val="Normal"/>
              <w:jc w:val="left"/>
              <w:rPr/>
            </w:pPr>
            <w:r>
              <w:rPr>
                <w:sz w:val="20"/>
              </w:rPr>
              <w:t xml:space="preserve">-  ≥1 urgent </w:t>
            </w:r>
            <w:r>
              <w:rPr>
                <w:sz w:val="20"/>
                <w:szCs w:val="20"/>
              </w:rPr>
              <w:t xml:space="preserve">admission </w:t>
            </w:r>
            <w:r>
              <w:rPr>
                <w:sz w:val="20"/>
              </w:rPr>
              <w:t>in previous year</w:t>
            </w:r>
          </w:p>
        </w:tc>
        <w:tc>
          <w:tcPr>
            <w:tcW w:w="1620" w:type="dxa"/>
            <w:tcBorders/>
            <w:shd w:fill="auto" w:val="clear"/>
            <w:vAlign w:val="bottom"/>
          </w:tcPr>
          <w:p>
            <w:pPr>
              <w:pStyle w:val="Normal"/>
              <w:rPr>
                <w:sz w:val="20"/>
              </w:rPr>
            </w:pPr>
            <w:r>
              <w:rPr>
                <w:sz w:val="20"/>
              </w:rPr>
              <w:t>69 975 (14.0)</w:t>
            </w:r>
          </w:p>
        </w:tc>
        <w:tc>
          <w:tcPr>
            <w:tcW w:w="1620" w:type="dxa"/>
            <w:tcBorders/>
            <w:shd w:fill="auto" w:val="clear"/>
            <w:vAlign w:val="bottom"/>
          </w:tcPr>
          <w:p>
            <w:pPr>
              <w:pStyle w:val="Normal"/>
              <w:rPr>
                <w:sz w:val="20"/>
              </w:rPr>
            </w:pPr>
            <w:r>
              <w:rPr>
                <w:sz w:val="20"/>
              </w:rPr>
              <w:t>35 000 (14.0)</w:t>
            </w:r>
          </w:p>
        </w:tc>
        <w:tc>
          <w:tcPr>
            <w:tcW w:w="1548" w:type="dxa"/>
            <w:tcBorders/>
            <w:shd w:fill="auto" w:val="clear"/>
            <w:vAlign w:val="bottom"/>
          </w:tcPr>
          <w:p>
            <w:pPr>
              <w:pStyle w:val="Normal"/>
              <w:rPr>
                <w:sz w:val="20"/>
              </w:rPr>
            </w:pPr>
            <w:r>
              <w:rPr>
                <w:sz w:val="20"/>
              </w:rPr>
              <w:t>34 975 (14.0)</w:t>
            </w:r>
          </w:p>
        </w:tc>
      </w:tr>
      <w:tr>
        <w:trPr/>
        <w:tc>
          <w:tcPr>
            <w:tcW w:w="4068" w:type="dxa"/>
            <w:tcBorders/>
            <w:shd w:fill="auto" w:val="clear"/>
          </w:tcPr>
          <w:p>
            <w:pPr>
              <w:pStyle w:val="Normal"/>
              <w:jc w:val="left"/>
              <w:rPr/>
            </w:pPr>
            <w:r>
              <w:rPr>
                <w:sz w:val="20"/>
              </w:rPr>
              <w:t xml:space="preserve">-  ≥1 elective </w:t>
            </w:r>
            <w:r>
              <w:rPr>
                <w:sz w:val="20"/>
                <w:szCs w:val="20"/>
              </w:rPr>
              <w:t xml:space="preserve">admission </w:t>
            </w:r>
            <w:r>
              <w:rPr>
                <w:sz w:val="20"/>
              </w:rPr>
              <w:t>in previous year</w:t>
            </w:r>
          </w:p>
        </w:tc>
        <w:tc>
          <w:tcPr>
            <w:tcW w:w="1620" w:type="dxa"/>
            <w:tcBorders/>
            <w:shd w:fill="auto" w:val="clear"/>
            <w:vAlign w:val="bottom"/>
          </w:tcPr>
          <w:p>
            <w:pPr>
              <w:pStyle w:val="Normal"/>
              <w:rPr>
                <w:sz w:val="20"/>
              </w:rPr>
            </w:pPr>
            <w:r>
              <w:rPr>
                <w:sz w:val="20"/>
              </w:rPr>
              <w:t>30 750 (6.2)</w:t>
            </w:r>
          </w:p>
        </w:tc>
        <w:tc>
          <w:tcPr>
            <w:tcW w:w="1620" w:type="dxa"/>
            <w:tcBorders/>
            <w:shd w:fill="auto" w:val="clear"/>
            <w:vAlign w:val="bottom"/>
          </w:tcPr>
          <w:p>
            <w:pPr>
              <w:pStyle w:val="Normal"/>
              <w:rPr>
                <w:sz w:val="20"/>
              </w:rPr>
            </w:pPr>
            <w:r>
              <w:rPr>
                <w:sz w:val="20"/>
              </w:rPr>
              <w:t>15 200 (6.1)</w:t>
            </w:r>
          </w:p>
        </w:tc>
        <w:tc>
          <w:tcPr>
            <w:tcW w:w="1548" w:type="dxa"/>
            <w:tcBorders/>
            <w:shd w:fill="auto" w:val="clear"/>
            <w:vAlign w:val="bottom"/>
          </w:tcPr>
          <w:p>
            <w:pPr>
              <w:pStyle w:val="Normal"/>
              <w:rPr>
                <w:sz w:val="20"/>
              </w:rPr>
            </w:pPr>
            <w:r>
              <w:rPr>
                <w:sz w:val="20"/>
              </w:rPr>
              <w:t>15 550 (6.2)</w:t>
            </w:r>
          </w:p>
        </w:tc>
      </w:tr>
      <w:tr>
        <w:trPr/>
        <w:tc>
          <w:tcPr>
            <w:tcW w:w="4068" w:type="dxa"/>
            <w:tcBorders/>
            <w:shd w:fill="auto" w:val="clear"/>
          </w:tcPr>
          <w:p>
            <w:pPr>
              <w:pStyle w:val="Normal"/>
              <w:jc w:val="left"/>
              <w:rPr>
                <w:sz w:val="20"/>
              </w:rPr>
            </w:pPr>
            <w:r>
              <w:rPr>
                <w:sz w:val="20"/>
              </w:rPr>
              <w:t xml:space="preserve">-  CMG score </w:t>
            </w:r>
          </w:p>
        </w:tc>
        <w:tc>
          <w:tcPr>
            <w:tcW w:w="1620" w:type="dxa"/>
            <w:tcBorders/>
            <w:shd w:fill="auto" w:val="clear"/>
            <w:vAlign w:val="bottom"/>
          </w:tcPr>
          <w:p>
            <w:pPr>
              <w:pStyle w:val="Normal"/>
              <w:snapToGrid w:val="false"/>
              <w:rPr>
                <w:sz w:val="20"/>
              </w:rPr>
            </w:pPr>
            <w:r>
              <w:rPr>
                <w:sz w:val="20"/>
              </w:rPr>
            </w:r>
          </w:p>
        </w:tc>
        <w:tc>
          <w:tcPr>
            <w:tcW w:w="1620" w:type="dxa"/>
            <w:tcBorders/>
            <w:shd w:fill="auto" w:val="clear"/>
            <w:vAlign w:val="bottom"/>
          </w:tcPr>
          <w:p>
            <w:pPr>
              <w:pStyle w:val="Normal"/>
              <w:snapToGrid w:val="false"/>
              <w:rPr>
                <w:sz w:val="20"/>
              </w:rPr>
            </w:pPr>
            <w:r>
              <w:rPr>
                <w:sz w:val="20"/>
              </w:rPr>
            </w:r>
          </w:p>
        </w:tc>
        <w:tc>
          <w:tcPr>
            <w:tcW w:w="1548" w:type="dxa"/>
            <w:tcBorders/>
            <w:shd w:fill="auto" w:val="clear"/>
            <w:vAlign w:val="bottom"/>
          </w:tcPr>
          <w:p>
            <w:pPr>
              <w:pStyle w:val="Normal"/>
              <w:snapToGrid w:val="false"/>
              <w:rPr>
                <w:sz w:val="20"/>
              </w:rPr>
            </w:pPr>
            <w:r>
              <w:rPr>
                <w:sz w:val="20"/>
              </w:rPr>
            </w:r>
          </w:p>
        </w:tc>
      </w:tr>
      <w:tr>
        <w:trPr/>
        <w:tc>
          <w:tcPr>
            <w:tcW w:w="4068" w:type="dxa"/>
            <w:tcBorders/>
            <w:shd w:fill="auto" w:val="clear"/>
          </w:tcPr>
          <w:p>
            <w:pPr>
              <w:pStyle w:val="Normal"/>
              <w:ind w:left="360" w:hanging="0"/>
              <w:jc w:val="left"/>
              <w:rPr>
                <w:sz w:val="20"/>
              </w:rPr>
            </w:pPr>
            <w:r>
              <w:rPr>
                <w:sz w:val="20"/>
              </w:rPr>
              <w:t>&gt; 0</w:t>
            </w:r>
          </w:p>
        </w:tc>
        <w:tc>
          <w:tcPr>
            <w:tcW w:w="1620" w:type="dxa"/>
            <w:tcBorders/>
            <w:shd w:fill="auto" w:val="clear"/>
            <w:vAlign w:val="bottom"/>
          </w:tcPr>
          <w:p>
            <w:pPr>
              <w:pStyle w:val="Normal"/>
              <w:rPr>
                <w:sz w:val="20"/>
              </w:rPr>
            </w:pPr>
            <w:r>
              <w:rPr>
                <w:sz w:val="20"/>
              </w:rPr>
              <w:t>78 053 (15.6)</w:t>
            </w:r>
          </w:p>
        </w:tc>
        <w:tc>
          <w:tcPr>
            <w:tcW w:w="1620" w:type="dxa"/>
            <w:tcBorders/>
            <w:shd w:fill="auto" w:val="clear"/>
            <w:vAlign w:val="bottom"/>
          </w:tcPr>
          <w:p>
            <w:pPr>
              <w:pStyle w:val="Normal"/>
              <w:rPr>
                <w:sz w:val="20"/>
              </w:rPr>
            </w:pPr>
            <w:r>
              <w:rPr>
                <w:sz w:val="20"/>
              </w:rPr>
              <w:t>39 142 (15.7)</w:t>
            </w:r>
          </w:p>
        </w:tc>
        <w:tc>
          <w:tcPr>
            <w:tcW w:w="1548" w:type="dxa"/>
            <w:tcBorders/>
            <w:shd w:fill="auto" w:val="clear"/>
            <w:vAlign w:val="bottom"/>
          </w:tcPr>
          <w:p>
            <w:pPr>
              <w:pStyle w:val="Normal"/>
              <w:rPr>
                <w:sz w:val="20"/>
              </w:rPr>
            </w:pPr>
            <w:r>
              <w:rPr>
                <w:sz w:val="20"/>
              </w:rPr>
              <w:t>38 911 (15.6)</w:t>
            </w:r>
          </w:p>
        </w:tc>
      </w:tr>
      <w:tr>
        <w:trPr/>
        <w:tc>
          <w:tcPr>
            <w:tcW w:w="4068" w:type="dxa"/>
            <w:tcBorders/>
            <w:shd w:fill="auto" w:val="clear"/>
          </w:tcPr>
          <w:p>
            <w:pPr>
              <w:pStyle w:val="Normal"/>
              <w:ind w:left="360" w:hanging="0"/>
              <w:jc w:val="left"/>
              <w:rPr>
                <w:sz w:val="20"/>
              </w:rPr>
            </w:pPr>
            <w:r>
              <w:rPr>
                <w:sz w:val="20"/>
              </w:rPr>
              <w:t>&lt; 0</w:t>
            </w:r>
          </w:p>
        </w:tc>
        <w:tc>
          <w:tcPr>
            <w:tcW w:w="1620" w:type="dxa"/>
            <w:tcBorders/>
            <w:shd w:fill="auto" w:val="clear"/>
            <w:vAlign w:val="bottom"/>
          </w:tcPr>
          <w:p>
            <w:pPr>
              <w:pStyle w:val="Normal"/>
              <w:rPr>
                <w:sz w:val="20"/>
              </w:rPr>
            </w:pPr>
            <w:r>
              <w:rPr>
                <w:sz w:val="20"/>
              </w:rPr>
              <w:t>69 151 (13.8)</w:t>
            </w:r>
          </w:p>
        </w:tc>
        <w:tc>
          <w:tcPr>
            <w:tcW w:w="1620" w:type="dxa"/>
            <w:tcBorders/>
            <w:shd w:fill="auto" w:val="clear"/>
            <w:vAlign w:val="bottom"/>
          </w:tcPr>
          <w:p>
            <w:pPr>
              <w:pStyle w:val="Normal"/>
              <w:rPr>
                <w:sz w:val="20"/>
              </w:rPr>
            </w:pPr>
            <w:r>
              <w:rPr>
                <w:sz w:val="20"/>
              </w:rPr>
              <w:t>34 554 (13.8)</w:t>
            </w:r>
          </w:p>
        </w:tc>
        <w:tc>
          <w:tcPr>
            <w:tcW w:w="1548" w:type="dxa"/>
            <w:tcBorders/>
            <w:shd w:fill="auto" w:val="clear"/>
            <w:vAlign w:val="bottom"/>
          </w:tcPr>
          <w:p>
            <w:pPr>
              <w:pStyle w:val="Normal"/>
              <w:rPr>
                <w:sz w:val="20"/>
              </w:rPr>
            </w:pPr>
            <w:r>
              <w:rPr>
                <w:sz w:val="20"/>
              </w:rPr>
              <w:t>34 597 (13.8)</w:t>
            </w:r>
          </w:p>
        </w:tc>
      </w:tr>
      <w:tr>
        <w:trPr/>
        <w:tc>
          <w:tcPr>
            <w:tcW w:w="4068" w:type="dxa"/>
            <w:tcBorders/>
            <w:shd w:fill="auto" w:val="clear"/>
          </w:tcPr>
          <w:p>
            <w:pPr>
              <w:pStyle w:val="Normal"/>
              <w:ind w:left="180" w:hanging="180"/>
              <w:jc w:val="left"/>
              <w:rPr>
                <w:sz w:val="20"/>
              </w:rPr>
            </w:pPr>
            <w:r>
              <w:rPr>
                <w:sz w:val="20"/>
              </w:rPr>
              <w:t>-  Admitted to an ICU during index admission</w:t>
            </w:r>
          </w:p>
        </w:tc>
        <w:tc>
          <w:tcPr>
            <w:tcW w:w="1620" w:type="dxa"/>
            <w:tcBorders/>
            <w:shd w:fill="auto" w:val="clear"/>
            <w:vAlign w:val="bottom"/>
          </w:tcPr>
          <w:p>
            <w:pPr>
              <w:pStyle w:val="Normal"/>
              <w:rPr>
                <w:sz w:val="20"/>
              </w:rPr>
            </w:pPr>
            <w:r>
              <w:rPr>
                <w:sz w:val="20"/>
              </w:rPr>
              <w:t>56 840 (11.4)</w:t>
            </w:r>
          </w:p>
        </w:tc>
        <w:tc>
          <w:tcPr>
            <w:tcW w:w="1620" w:type="dxa"/>
            <w:tcBorders/>
            <w:shd w:fill="auto" w:val="clear"/>
            <w:vAlign w:val="bottom"/>
          </w:tcPr>
          <w:p>
            <w:pPr>
              <w:pStyle w:val="Normal"/>
              <w:rPr>
                <w:sz w:val="20"/>
              </w:rPr>
            </w:pPr>
            <w:r>
              <w:rPr>
                <w:sz w:val="20"/>
              </w:rPr>
              <w:t>28 351 (11.3)</w:t>
            </w:r>
          </w:p>
        </w:tc>
        <w:tc>
          <w:tcPr>
            <w:tcW w:w="1548" w:type="dxa"/>
            <w:tcBorders/>
            <w:shd w:fill="auto" w:val="clear"/>
            <w:vAlign w:val="bottom"/>
          </w:tcPr>
          <w:p>
            <w:pPr>
              <w:pStyle w:val="Normal"/>
              <w:rPr>
                <w:sz w:val="20"/>
              </w:rPr>
            </w:pPr>
            <w:r>
              <w:rPr>
                <w:sz w:val="20"/>
              </w:rPr>
              <w:t>28 489 (11.4)</w:t>
            </w:r>
          </w:p>
        </w:tc>
      </w:tr>
      <w:tr>
        <w:trPr/>
        <w:tc>
          <w:tcPr>
            <w:tcW w:w="4068" w:type="dxa"/>
            <w:tcBorders/>
            <w:shd w:fill="auto" w:val="clear"/>
          </w:tcPr>
          <w:p>
            <w:pPr>
              <w:pStyle w:val="Normal"/>
              <w:jc w:val="left"/>
              <w:rPr>
                <w:sz w:val="20"/>
              </w:rPr>
            </w:pPr>
            <w:r>
              <w:rPr>
                <w:sz w:val="20"/>
              </w:rPr>
              <w:t>-  Median length of stay in ICU† (IQR)</w:t>
            </w:r>
          </w:p>
        </w:tc>
        <w:tc>
          <w:tcPr>
            <w:tcW w:w="1620" w:type="dxa"/>
            <w:tcBorders/>
            <w:shd w:fill="auto" w:val="clear"/>
            <w:vAlign w:val="bottom"/>
          </w:tcPr>
          <w:p>
            <w:pPr>
              <w:pStyle w:val="Normal"/>
              <w:rPr>
                <w:sz w:val="20"/>
              </w:rPr>
            </w:pPr>
            <w:r>
              <w:rPr>
                <w:sz w:val="20"/>
              </w:rPr>
              <w:t>3 (2-4)</w:t>
            </w:r>
          </w:p>
        </w:tc>
        <w:tc>
          <w:tcPr>
            <w:tcW w:w="1620" w:type="dxa"/>
            <w:tcBorders/>
            <w:shd w:fill="auto" w:val="clear"/>
            <w:vAlign w:val="bottom"/>
          </w:tcPr>
          <w:p>
            <w:pPr>
              <w:pStyle w:val="Normal"/>
              <w:rPr>
                <w:sz w:val="20"/>
              </w:rPr>
            </w:pPr>
            <w:r>
              <w:rPr>
                <w:sz w:val="20"/>
              </w:rPr>
              <w:t>3 (2-4)</w:t>
            </w:r>
          </w:p>
        </w:tc>
        <w:tc>
          <w:tcPr>
            <w:tcW w:w="1548" w:type="dxa"/>
            <w:tcBorders/>
            <w:shd w:fill="auto" w:val="clear"/>
            <w:vAlign w:val="bottom"/>
          </w:tcPr>
          <w:p>
            <w:pPr>
              <w:pStyle w:val="Normal"/>
              <w:rPr>
                <w:sz w:val="20"/>
              </w:rPr>
            </w:pPr>
            <w:r>
              <w:rPr>
                <w:sz w:val="20"/>
              </w:rPr>
              <w:t>3 (2-4)</w:t>
            </w:r>
          </w:p>
        </w:tc>
      </w:tr>
      <w:tr>
        <w:trPr/>
        <w:tc>
          <w:tcPr>
            <w:tcW w:w="4068" w:type="dxa"/>
            <w:tcBorders/>
            <w:shd w:fill="auto" w:val="clear"/>
          </w:tcPr>
          <w:p>
            <w:pPr>
              <w:pStyle w:val="Normal"/>
              <w:ind w:left="180" w:hanging="180"/>
              <w:jc w:val="left"/>
              <w:rPr>
                <w:sz w:val="20"/>
              </w:rPr>
            </w:pPr>
            <w:r>
              <w:rPr>
                <w:sz w:val="20"/>
              </w:rPr>
              <w:t>-  Switched to ALC status during index admission</w:t>
            </w:r>
          </w:p>
        </w:tc>
        <w:tc>
          <w:tcPr>
            <w:tcW w:w="1620" w:type="dxa"/>
            <w:tcBorders/>
            <w:shd w:fill="auto" w:val="clear"/>
            <w:vAlign w:val="bottom"/>
          </w:tcPr>
          <w:p>
            <w:pPr>
              <w:pStyle w:val="Normal"/>
              <w:rPr>
                <w:sz w:val="20"/>
              </w:rPr>
            </w:pPr>
            <w:r>
              <w:rPr>
                <w:sz w:val="20"/>
              </w:rPr>
              <w:t>9 458 (1.9)</w:t>
            </w:r>
          </w:p>
        </w:tc>
        <w:tc>
          <w:tcPr>
            <w:tcW w:w="1620" w:type="dxa"/>
            <w:tcBorders/>
            <w:shd w:fill="auto" w:val="clear"/>
            <w:vAlign w:val="bottom"/>
          </w:tcPr>
          <w:p>
            <w:pPr>
              <w:pStyle w:val="Normal"/>
              <w:rPr>
                <w:sz w:val="20"/>
              </w:rPr>
            </w:pPr>
            <w:r>
              <w:rPr>
                <w:sz w:val="20"/>
              </w:rPr>
              <w:t>4 661 (1.9)</w:t>
            </w:r>
          </w:p>
        </w:tc>
        <w:tc>
          <w:tcPr>
            <w:tcW w:w="1548" w:type="dxa"/>
            <w:tcBorders/>
            <w:shd w:fill="auto" w:val="clear"/>
            <w:vAlign w:val="bottom"/>
          </w:tcPr>
          <w:p>
            <w:pPr>
              <w:pStyle w:val="Normal"/>
              <w:rPr>
                <w:sz w:val="20"/>
              </w:rPr>
            </w:pPr>
            <w:r>
              <w:rPr>
                <w:sz w:val="20"/>
              </w:rPr>
              <w:t>4 797 (1.9)</w:t>
            </w:r>
          </w:p>
        </w:tc>
      </w:tr>
      <w:tr>
        <w:trPr/>
        <w:tc>
          <w:tcPr>
            <w:tcW w:w="4068" w:type="dxa"/>
            <w:tcBorders/>
            <w:shd w:fill="auto" w:val="clear"/>
          </w:tcPr>
          <w:p>
            <w:pPr>
              <w:pStyle w:val="Normal"/>
              <w:jc w:val="left"/>
              <w:rPr>
                <w:sz w:val="20"/>
                <w:vertAlign w:val="superscript"/>
              </w:rPr>
            </w:pPr>
            <w:r>
              <w:rPr>
                <w:sz w:val="20"/>
              </w:rPr>
              <w:t>-  Median number of days on ALC‡</w:t>
            </w:r>
          </w:p>
        </w:tc>
        <w:tc>
          <w:tcPr>
            <w:tcW w:w="1620" w:type="dxa"/>
            <w:tcBorders/>
            <w:shd w:fill="auto" w:val="clear"/>
            <w:vAlign w:val="bottom"/>
          </w:tcPr>
          <w:p>
            <w:pPr>
              <w:pStyle w:val="Normal"/>
              <w:rPr>
                <w:sz w:val="20"/>
              </w:rPr>
            </w:pPr>
            <w:r>
              <w:rPr>
                <w:sz w:val="20"/>
              </w:rPr>
              <w:t>7 (3-15)</w:t>
            </w:r>
          </w:p>
        </w:tc>
        <w:tc>
          <w:tcPr>
            <w:tcW w:w="1620" w:type="dxa"/>
            <w:tcBorders/>
            <w:shd w:fill="auto" w:val="clear"/>
            <w:vAlign w:val="bottom"/>
          </w:tcPr>
          <w:p>
            <w:pPr>
              <w:pStyle w:val="Normal"/>
              <w:rPr>
                <w:sz w:val="20"/>
              </w:rPr>
            </w:pPr>
            <w:r>
              <w:rPr>
                <w:sz w:val="20"/>
              </w:rPr>
              <w:t>7 (3-15)</w:t>
            </w:r>
          </w:p>
        </w:tc>
        <w:tc>
          <w:tcPr>
            <w:tcW w:w="1548" w:type="dxa"/>
            <w:tcBorders/>
            <w:shd w:fill="auto" w:val="clear"/>
            <w:vAlign w:val="bottom"/>
          </w:tcPr>
          <w:p>
            <w:pPr>
              <w:pStyle w:val="Normal"/>
              <w:rPr>
                <w:sz w:val="20"/>
              </w:rPr>
            </w:pPr>
            <w:r>
              <w:rPr>
                <w:sz w:val="20"/>
              </w:rPr>
              <w:t>7 (3-15)</w:t>
            </w:r>
          </w:p>
        </w:tc>
      </w:tr>
      <w:tr>
        <w:trPr/>
        <w:tc>
          <w:tcPr>
            <w:tcW w:w="4068" w:type="dxa"/>
            <w:tcBorders/>
            <w:shd w:fill="auto" w:val="clear"/>
          </w:tcPr>
          <w:p>
            <w:pPr>
              <w:pStyle w:val="Normal"/>
              <w:jc w:val="left"/>
              <w:rPr>
                <w:sz w:val="20"/>
              </w:rPr>
            </w:pPr>
            <w:r>
              <w:rPr>
                <w:sz w:val="20"/>
              </w:rPr>
              <w:t>-  Discharge institution</w:t>
            </w:r>
          </w:p>
        </w:tc>
        <w:tc>
          <w:tcPr>
            <w:tcW w:w="1620" w:type="dxa"/>
            <w:tcBorders/>
            <w:shd w:fill="auto" w:val="clear"/>
            <w:vAlign w:val="bottom"/>
          </w:tcPr>
          <w:p>
            <w:pPr>
              <w:pStyle w:val="Normal"/>
              <w:snapToGrid w:val="false"/>
              <w:rPr>
                <w:sz w:val="20"/>
              </w:rPr>
            </w:pPr>
            <w:r>
              <w:rPr>
                <w:sz w:val="20"/>
              </w:rPr>
            </w:r>
          </w:p>
        </w:tc>
        <w:tc>
          <w:tcPr>
            <w:tcW w:w="1620" w:type="dxa"/>
            <w:tcBorders/>
            <w:shd w:fill="auto" w:val="clear"/>
            <w:vAlign w:val="bottom"/>
          </w:tcPr>
          <w:p>
            <w:pPr>
              <w:pStyle w:val="Normal"/>
              <w:snapToGrid w:val="false"/>
              <w:rPr>
                <w:sz w:val="20"/>
              </w:rPr>
            </w:pPr>
            <w:r>
              <w:rPr>
                <w:sz w:val="20"/>
              </w:rPr>
            </w:r>
          </w:p>
        </w:tc>
        <w:tc>
          <w:tcPr>
            <w:tcW w:w="1548" w:type="dxa"/>
            <w:tcBorders/>
            <w:shd w:fill="auto" w:val="clear"/>
            <w:vAlign w:val="bottom"/>
          </w:tcPr>
          <w:p>
            <w:pPr>
              <w:pStyle w:val="Normal"/>
              <w:snapToGrid w:val="false"/>
              <w:rPr>
                <w:sz w:val="20"/>
              </w:rPr>
            </w:pPr>
            <w:r>
              <w:rPr>
                <w:sz w:val="20"/>
              </w:rPr>
            </w:r>
          </w:p>
        </w:tc>
      </w:tr>
      <w:tr>
        <w:trPr/>
        <w:tc>
          <w:tcPr>
            <w:tcW w:w="4068" w:type="dxa"/>
            <w:tcBorders/>
            <w:shd w:fill="auto" w:val="clear"/>
          </w:tcPr>
          <w:p>
            <w:pPr>
              <w:pStyle w:val="Normal"/>
              <w:ind w:left="360" w:hanging="0"/>
              <w:jc w:val="left"/>
              <w:rPr>
                <w:sz w:val="20"/>
              </w:rPr>
            </w:pPr>
            <w:r>
              <w:rPr>
                <w:sz w:val="20"/>
              </w:rPr>
              <w:t>Teaching hospital</w:t>
            </w:r>
          </w:p>
        </w:tc>
        <w:tc>
          <w:tcPr>
            <w:tcW w:w="1620" w:type="dxa"/>
            <w:tcBorders/>
            <w:shd w:fill="auto" w:val="clear"/>
            <w:vAlign w:val="bottom"/>
          </w:tcPr>
          <w:p>
            <w:pPr>
              <w:pStyle w:val="Normal"/>
              <w:rPr>
                <w:sz w:val="20"/>
              </w:rPr>
            </w:pPr>
            <w:r>
              <w:rPr>
                <w:sz w:val="20"/>
              </w:rPr>
              <w:t>159 580 (31.9)</w:t>
            </w:r>
          </w:p>
        </w:tc>
        <w:tc>
          <w:tcPr>
            <w:tcW w:w="1620" w:type="dxa"/>
            <w:tcBorders/>
            <w:shd w:fill="auto" w:val="clear"/>
            <w:vAlign w:val="bottom"/>
          </w:tcPr>
          <w:p>
            <w:pPr>
              <w:pStyle w:val="Normal"/>
              <w:rPr>
                <w:sz w:val="20"/>
              </w:rPr>
            </w:pPr>
            <w:r>
              <w:rPr>
                <w:sz w:val="20"/>
              </w:rPr>
              <w:t>79 850 (31.9)</w:t>
            </w:r>
          </w:p>
        </w:tc>
        <w:tc>
          <w:tcPr>
            <w:tcW w:w="1548" w:type="dxa"/>
            <w:tcBorders/>
            <w:shd w:fill="auto" w:val="clear"/>
            <w:vAlign w:val="bottom"/>
          </w:tcPr>
          <w:p>
            <w:pPr>
              <w:pStyle w:val="Normal"/>
              <w:rPr>
                <w:sz w:val="20"/>
              </w:rPr>
            </w:pPr>
            <w:r>
              <w:rPr>
                <w:sz w:val="20"/>
              </w:rPr>
              <w:t>79 730 (31.9)</w:t>
            </w:r>
          </w:p>
        </w:tc>
      </w:tr>
      <w:tr>
        <w:trPr/>
        <w:tc>
          <w:tcPr>
            <w:tcW w:w="4068" w:type="dxa"/>
            <w:tcBorders/>
            <w:shd w:fill="auto" w:val="clear"/>
          </w:tcPr>
          <w:p>
            <w:pPr>
              <w:pStyle w:val="Normal"/>
              <w:ind w:left="360" w:hanging="0"/>
              <w:jc w:val="left"/>
              <w:rPr/>
            </w:pPr>
            <w:r>
              <w:rPr>
                <w:sz w:val="20"/>
              </w:rPr>
              <w:t>Large non-teaching hospital (≥100 beds)</w:t>
            </w:r>
          </w:p>
        </w:tc>
        <w:tc>
          <w:tcPr>
            <w:tcW w:w="1620" w:type="dxa"/>
            <w:tcBorders/>
            <w:shd w:fill="auto" w:val="clear"/>
            <w:vAlign w:val="bottom"/>
          </w:tcPr>
          <w:p>
            <w:pPr>
              <w:pStyle w:val="Normal"/>
              <w:rPr>
                <w:sz w:val="20"/>
              </w:rPr>
            </w:pPr>
            <w:r>
              <w:rPr>
                <w:sz w:val="20"/>
              </w:rPr>
              <w:t>269 247 (53.8)</w:t>
            </w:r>
          </w:p>
        </w:tc>
        <w:tc>
          <w:tcPr>
            <w:tcW w:w="1620" w:type="dxa"/>
            <w:tcBorders/>
            <w:shd w:fill="auto" w:val="clear"/>
            <w:vAlign w:val="bottom"/>
          </w:tcPr>
          <w:p>
            <w:pPr>
              <w:pStyle w:val="Normal"/>
              <w:rPr>
                <w:sz w:val="20"/>
              </w:rPr>
            </w:pPr>
            <w:r>
              <w:rPr>
                <w:sz w:val="20"/>
              </w:rPr>
              <w:t>134 469 (53.8)</w:t>
            </w:r>
          </w:p>
        </w:tc>
        <w:tc>
          <w:tcPr>
            <w:tcW w:w="1548" w:type="dxa"/>
            <w:tcBorders/>
            <w:shd w:fill="auto" w:val="clear"/>
            <w:vAlign w:val="bottom"/>
          </w:tcPr>
          <w:p>
            <w:pPr>
              <w:pStyle w:val="Normal"/>
              <w:rPr>
                <w:sz w:val="20"/>
              </w:rPr>
            </w:pPr>
            <w:r>
              <w:rPr>
                <w:sz w:val="20"/>
              </w:rPr>
              <w:t>134 778 (53.9)</w:t>
            </w:r>
          </w:p>
        </w:tc>
      </w:tr>
      <w:tr>
        <w:trPr/>
        <w:tc>
          <w:tcPr>
            <w:tcW w:w="4068" w:type="dxa"/>
            <w:tcBorders/>
            <w:shd w:fill="auto" w:val="clear"/>
          </w:tcPr>
          <w:p>
            <w:pPr>
              <w:pStyle w:val="Normal"/>
              <w:ind w:left="360" w:hanging="0"/>
              <w:jc w:val="left"/>
              <w:rPr>
                <w:sz w:val="20"/>
              </w:rPr>
            </w:pPr>
            <w:r>
              <w:rPr>
                <w:sz w:val="20"/>
              </w:rPr>
              <w:t>Small non-teaching hospital (&lt;100 beds)</w:t>
            </w:r>
          </w:p>
        </w:tc>
        <w:tc>
          <w:tcPr>
            <w:tcW w:w="1620" w:type="dxa"/>
            <w:tcBorders/>
            <w:shd w:fill="auto" w:val="clear"/>
            <w:vAlign w:val="bottom"/>
          </w:tcPr>
          <w:p>
            <w:pPr>
              <w:pStyle w:val="Normal"/>
              <w:rPr>
                <w:sz w:val="20"/>
              </w:rPr>
            </w:pPr>
            <w:r>
              <w:rPr>
                <w:sz w:val="20"/>
              </w:rPr>
              <w:t>71 173 (14.2)</w:t>
            </w:r>
          </w:p>
        </w:tc>
        <w:tc>
          <w:tcPr>
            <w:tcW w:w="1620" w:type="dxa"/>
            <w:tcBorders/>
            <w:shd w:fill="auto" w:val="clear"/>
            <w:vAlign w:val="bottom"/>
          </w:tcPr>
          <w:p>
            <w:pPr>
              <w:pStyle w:val="Normal"/>
              <w:rPr>
                <w:sz w:val="20"/>
              </w:rPr>
            </w:pPr>
            <w:r>
              <w:rPr>
                <w:sz w:val="20"/>
              </w:rPr>
              <w:t>35 681 (14.3)</w:t>
            </w:r>
          </w:p>
        </w:tc>
        <w:tc>
          <w:tcPr>
            <w:tcW w:w="1548" w:type="dxa"/>
            <w:tcBorders/>
            <w:shd w:fill="auto" w:val="clear"/>
            <w:vAlign w:val="bottom"/>
          </w:tcPr>
          <w:p>
            <w:pPr>
              <w:pStyle w:val="Normal"/>
              <w:rPr>
                <w:sz w:val="20"/>
              </w:rPr>
            </w:pPr>
            <w:r>
              <w:rPr>
                <w:sz w:val="20"/>
              </w:rPr>
              <w:t>35 492 (14.2)</w:t>
            </w:r>
          </w:p>
        </w:tc>
      </w:tr>
      <w:tr>
        <w:trPr/>
        <w:tc>
          <w:tcPr>
            <w:tcW w:w="4068" w:type="dxa"/>
            <w:tcBorders/>
            <w:shd w:fill="auto" w:val="clear"/>
          </w:tcPr>
          <w:p>
            <w:pPr>
              <w:pStyle w:val="Normal"/>
              <w:ind w:left="180" w:hanging="180"/>
              <w:jc w:val="left"/>
              <w:rPr>
                <w:sz w:val="20"/>
              </w:rPr>
            </w:pPr>
            <w:r>
              <w:rPr>
                <w:sz w:val="20"/>
              </w:rPr>
              <w:t>Outcomes:</w:t>
            </w:r>
          </w:p>
        </w:tc>
        <w:tc>
          <w:tcPr>
            <w:tcW w:w="1620" w:type="dxa"/>
            <w:tcBorders/>
            <w:shd w:fill="auto" w:val="clear"/>
            <w:vAlign w:val="bottom"/>
          </w:tcPr>
          <w:p>
            <w:pPr>
              <w:pStyle w:val="Normal"/>
              <w:snapToGrid w:val="false"/>
              <w:rPr>
                <w:sz w:val="20"/>
              </w:rPr>
            </w:pPr>
            <w:r>
              <w:rPr>
                <w:sz w:val="20"/>
              </w:rPr>
            </w:r>
          </w:p>
        </w:tc>
        <w:tc>
          <w:tcPr>
            <w:tcW w:w="1620" w:type="dxa"/>
            <w:tcBorders/>
            <w:shd w:fill="auto" w:val="clear"/>
            <w:vAlign w:val="bottom"/>
          </w:tcPr>
          <w:p>
            <w:pPr>
              <w:pStyle w:val="Normal"/>
              <w:snapToGrid w:val="false"/>
              <w:rPr>
                <w:sz w:val="20"/>
              </w:rPr>
            </w:pPr>
            <w:r>
              <w:rPr>
                <w:sz w:val="20"/>
              </w:rPr>
            </w:r>
          </w:p>
        </w:tc>
        <w:tc>
          <w:tcPr>
            <w:tcW w:w="1548" w:type="dxa"/>
            <w:tcBorders/>
            <w:shd w:fill="auto" w:val="clear"/>
            <w:vAlign w:val="bottom"/>
          </w:tcPr>
          <w:p>
            <w:pPr>
              <w:pStyle w:val="Normal"/>
              <w:snapToGrid w:val="false"/>
              <w:rPr>
                <w:sz w:val="20"/>
              </w:rPr>
            </w:pPr>
            <w:r>
              <w:rPr>
                <w:sz w:val="20"/>
              </w:rPr>
            </w:r>
          </w:p>
        </w:tc>
      </w:tr>
      <w:tr>
        <w:trPr/>
        <w:tc>
          <w:tcPr>
            <w:tcW w:w="4068" w:type="dxa"/>
            <w:tcBorders/>
            <w:shd w:fill="auto" w:val="clear"/>
          </w:tcPr>
          <w:p>
            <w:pPr>
              <w:pStyle w:val="Normal"/>
              <w:ind w:left="180" w:hanging="180"/>
              <w:jc w:val="left"/>
              <w:rPr>
                <w:sz w:val="20"/>
              </w:rPr>
            </w:pPr>
            <w:r>
              <w:rPr>
                <w:sz w:val="20"/>
              </w:rPr>
              <w:t>-  Death or urgent readmission in 30 days</w:t>
            </w:r>
          </w:p>
        </w:tc>
        <w:tc>
          <w:tcPr>
            <w:tcW w:w="1620" w:type="dxa"/>
            <w:tcBorders/>
            <w:shd w:fill="auto" w:val="clear"/>
            <w:vAlign w:val="bottom"/>
          </w:tcPr>
          <w:p>
            <w:pPr>
              <w:pStyle w:val="Normal"/>
              <w:rPr>
                <w:sz w:val="20"/>
              </w:rPr>
            </w:pPr>
            <w:r>
              <w:rPr>
                <w:sz w:val="20"/>
              </w:rPr>
              <w:t>33 825 (6.8)</w:t>
            </w:r>
          </w:p>
        </w:tc>
        <w:tc>
          <w:tcPr>
            <w:tcW w:w="1620" w:type="dxa"/>
            <w:tcBorders/>
            <w:shd w:fill="auto" w:val="clear"/>
            <w:vAlign w:val="bottom"/>
          </w:tcPr>
          <w:p>
            <w:pPr>
              <w:pStyle w:val="Normal"/>
              <w:rPr>
                <w:sz w:val="20"/>
              </w:rPr>
            </w:pPr>
            <w:r>
              <w:rPr>
                <w:sz w:val="20"/>
              </w:rPr>
              <w:t>16 820 (6.7)</w:t>
            </w:r>
          </w:p>
        </w:tc>
        <w:tc>
          <w:tcPr>
            <w:tcW w:w="1548" w:type="dxa"/>
            <w:tcBorders/>
            <w:shd w:fill="auto" w:val="clear"/>
            <w:vAlign w:val="bottom"/>
          </w:tcPr>
          <w:p>
            <w:pPr>
              <w:pStyle w:val="Normal"/>
              <w:rPr>
                <w:sz w:val="20"/>
              </w:rPr>
            </w:pPr>
            <w:r>
              <w:rPr>
                <w:sz w:val="20"/>
              </w:rPr>
              <w:t>17 005 (6.8)</w:t>
            </w:r>
          </w:p>
        </w:tc>
      </w:tr>
      <w:tr>
        <w:trPr/>
        <w:tc>
          <w:tcPr>
            <w:tcW w:w="4068" w:type="dxa"/>
            <w:tcBorders/>
            <w:shd w:fill="auto" w:val="clear"/>
          </w:tcPr>
          <w:p>
            <w:pPr>
              <w:pStyle w:val="Normal"/>
              <w:ind w:left="180" w:hanging="180"/>
              <w:jc w:val="left"/>
              <w:rPr/>
            </w:pPr>
            <w:r>
              <w:rPr>
                <w:sz w:val="20"/>
              </w:rPr>
              <w:t>-  Urgent readmission in 30 days</w:t>
            </w:r>
          </w:p>
        </w:tc>
        <w:tc>
          <w:tcPr>
            <w:tcW w:w="1620" w:type="dxa"/>
            <w:tcBorders/>
            <w:shd w:fill="auto" w:val="clear"/>
            <w:vAlign w:val="bottom"/>
          </w:tcPr>
          <w:p>
            <w:pPr>
              <w:pStyle w:val="Normal"/>
              <w:rPr>
                <w:sz w:val="20"/>
              </w:rPr>
            </w:pPr>
            <w:r>
              <w:rPr>
                <w:sz w:val="20"/>
              </w:rPr>
              <w:t>30 234 (6.0)</w:t>
            </w:r>
          </w:p>
        </w:tc>
        <w:tc>
          <w:tcPr>
            <w:tcW w:w="1620" w:type="dxa"/>
            <w:tcBorders/>
            <w:shd w:fill="auto" w:val="clear"/>
            <w:vAlign w:val="bottom"/>
          </w:tcPr>
          <w:p>
            <w:pPr>
              <w:pStyle w:val="Normal"/>
              <w:rPr>
                <w:sz w:val="20"/>
              </w:rPr>
            </w:pPr>
            <w:r>
              <w:rPr>
                <w:sz w:val="20"/>
              </w:rPr>
              <w:t>15 044 (6.0)</w:t>
            </w:r>
          </w:p>
        </w:tc>
        <w:tc>
          <w:tcPr>
            <w:tcW w:w="1548" w:type="dxa"/>
            <w:tcBorders/>
            <w:shd w:fill="auto" w:val="clear"/>
            <w:vAlign w:val="bottom"/>
          </w:tcPr>
          <w:p>
            <w:pPr>
              <w:pStyle w:val="Normal"/>
              <w:rPr>
                <w:sz w:val="20"/>
              </w:rPr>
            </w:pPr>
            <w:r>
              <w:rPr>
                <w:sz w:val="20"/>
              </w:rPr>
              <w:t>15 190 (6.1)</w:t>
            </w:r>
          </w:p>
        </w:tc>
      </w:tr>
      <w:tr>
        <w:trPr/>
        <w:tc>
          <w:tcPr>
            <w:tcW w:w="4068" w:type="dxa"/>
            <w:tcBorders/>
            <w:shd w:fill="auto" w:val="clear"/>
          </w:tcPr>
          <w:p>
            <w:pPr>
              <w:pStyle w:val="Normal"/>
              <w:ind w:left="180" w:hanging="180"/>
              <w:jc w:val="left"/>
              <w:rPr>
                <w:sz w:val="20"/>
                <w:vertAlign w:val="superscript"/>
              </w:rPr>
            </w:pPr>
            <w:r>
              <w:rPr>
                <w:sz w:val="20"/>
              </w:rPr>
              <w:t>-  Death in 30 days§</w:t>
            </w:r>
          </w:p>
        </w:tc>
        <w:tc>
          <w:tcPr>
            <w:tcW w:w="1620" w:type="dxa"/>
            <w:tcBorders/>
            <w:shd w:fill="auto" w:val="clear"/>
            <w:vAlign w:val="bottom"/>
          </w:tcPr>
          <w:p>
            <w:pPr>
              <w:pStyle w:val="Normal"/>
              <w:rPr>
                <w:sz w:val="20"/>
              </w:rPr>
            </w:pPr>
            <w:r>
              <w:rPr>
                <w:sz w:val="20"/>
              </w:rPr>
              <w:t>3 591 (0.7)</w:t>
            </w:r>
          </w:p>
        </w:tc>
        <w:tc>
          <w:tcPr>
            <w:tcW w:w="1620" w:type="dxa"/>
            <w:tcBorders/>
            <w:shd w:fill="auto" w:val="clear"/>
            <w:vAlign w:val="bottom"/>
          </w:tcPr>
          <w:p>
            <w:pPr>
              <w:pStyle w:val="Normal"/>
              <w:rPr>
                <w:sz w:val="20"/>
              </w:rPr>
            </w:pPr>
            <w:r>
              <w:rPr>
                <w:sz w:val="20"/>
              </w:rPr>
              <w:t>1 776 (0.7)</w:t>
            </w:r>
          </w:p>
        </w:tc>
        <w:tc>
          <w:tcPr>
            <w:tcW w:w="1548" w:type="dxa"/>
            <w:tcBorders/>
            <w:shd w:fill="auto" w:val="clear"/>
            <w:vAlign w:val="bottom"/>
          </w:tcPr>
          <w:p>
            <w:pPr>
              <w:pStyle w:val="Normal"/>
              <w:rPr>
                <w:sz w:val="20"/>
              </w:rPr>
            </w:pPr>
            <w:r>
              <w:rPr>
                <w:sz w:val="20"/>
              </w:rPr>
              <w:t>1 815 (0.7)</w:t>
            </w:r>
          </w:p>
        </w:tc>
      </w:tr>
    </w:tbl>
    <w:p>
      <w:pPr>
        <w:pStyle w:val="Normal"/>
        <w:rPr>
          <w:vertAlign w:val="superscript"/>
        </w:rPr>
      </w:pPr>
      <w:r>
        <w:rPr>
          <w:vertAlign w:val="superscript"/>
        </w:rPr>
      </w:r>
    </w:p>
    <w:p>
      <w:pPr>
        <w:pStyle w:val="Normal"/>
        <w:rPr/>
      </w:pPr>
      <w:r>
        <w:rPr/>
        <w:t>SD = standard deviation; IQR = interquartile range; ED = emergency department; CMG = case mix group; ICU = intensive care unit; ALC = alternative level of care</w:t>
      </w:r>
    </w:p>
    <w:p>
      <w:pPr>
        <w:pStyle w:val="Normal"/>
        <w:rPr/>
      </w:pPr>
      <w:r>
        <w:rPr/>
      </w:r>
    </w:p>
    <w:p>
      <w:pPr>
        <w:pStyle w:val="Normal"/>
        <w:rPr/>
      </w:pPr>
      <w:r>
        <w:rPr/>
        <w:t xml:space="preserve">*unless otherwise indicated, the number (proportion, %) is provided. </w:t>
      </w:r>
    </w:p>
    <w:p>
      <w:pPr>
        <w:pStyle w:val="Normal"/>
        <w:rPr/>
      </w:pPr>
      <w:r>
        <w:rPr/>
        <w:t>†</w:t>
      </w:r>
      <w:r>
        <w:rPr/>
        <w:t>among patients admitted to an ICU during index admission</w:t>
      </w:r>
    </w:p>
    <w:p>
      <w:pPr>
        <w:pStyle w:val="Normal"/>
        <w:rPr/>
      </w:pPr>
      <w:r>
        <w:rPr/>
        <w:t>‡</w:t>
      </w:r>
      <w:r>
        <w:rPr/>
        <w:t>among patients switched to ALC during index admission</w:t>
      </w:r>
    </w:p>
    <w:p>
      <w:pPr>
        <w:pStyle w:val="Normal"/>
        <w:rPr/>
      </w:pPr>
      <w:r>
        <w:rPr>
          <w:sz w:val="20"/>
        </w:rPr>
        <w:t>§</w:t>
      </w:r>
      <w:r>
        <w:rPr/>
        <w:t>not preceded by an urgent readmission</w:t>
      </w:r>
      <w:r>
        <w:br w:type="page"/>
      </w:r>
    </w:p>
    <w:p>
      <w:pPr>
        <w:pStyle w:val="Normal"/>
        <w:rPr/>
      </w:pPr>
      <w:r>
        <w:rPr>
          <w:b/>
        </w:rPr>
        <w:t xml:space="preserve">Table 2. </w:t>
      </w:r>
      <w:r>
        <w:rPr/>
        <w:t>Final risk prediction model</w:t>
      </w:r>
    </w:p>
    <w:p>
      <w:pPr>
        <w:pStyle w:val="Normal"/>
        <w:rPr/>
      </w:pPr>
      <w:r>
        <w:rPr/>
      </w:r>
    </w:p>
    <w:tbl>
      <w:tblPr>
        <w:tblW w:w="9108" w:type="dxa"/>
        <w:jc w:val="left"/>
        <w:tblInd w:w="0" w:type="dxa"/>
        <w:tblBorders/>
        <w:tblCellMar>
          <w:top w:w="0" w:type="dxa"/>
          <w:left w:w="108" w:type="dxa"/>
          <w:bottom w:w="0" w:type="dxa"/>
          <w:right w:w="108" w:type="dxa"/>
        </w:tblCellMar>
      </w:tblPr>
      <w:tblGrid>
        <w:gridCol w:w="4248"/>
        <w:gridCol w:w="1620"/>
        <w:gridCol w:w="1440"/>
        <w:gridCol w:w="1800"/>
      </w:tblGrid>
      <w:tr>
        <w:trPr/>
        <w:tc>
          <w:tcPr>
            <w:tcW w:w="4248" w:type="dxa"/>
            <w:tcBorders/>
            <w:shd w:fill="auto" w:val="clear"/>
          </w:tcPr>
          <w:p>
            <w:pPr>
              <w:pStyle w:val="Normal"/>
              <w:jc w:val="left"/>
              <w:rPr>
                <w:sz w:val="20"/>
                <w:szCs w:val="20"/>
                <w:vertAlign w:val="superscript"/>
              </w:rPr>
            </w:pPr>
            <w:r>
              <w:rPr>
                <w:sz w:val="20"/>
                <w:szCs w:val="20"/>
              </w:rPr>
              <w:t>COVARIATE*</w:t>
            </w:r>
          </w:p>
        </w:tc>
        <w:tc>
          <w:tcPr>
            <w:tcW w:w="1620" w:type="dxa"/>
            <w:tcBorders/>
            <w:shd w:fill="auto" w:val="clear"/>
          </w:tcPr>
          <w:p>
            <w:pPr>
              <w:pStyle w:val="Normal"/>
              <w:rPr>
                <w:rFonts w:ascii="Times New Roman Bold" w:hAnsi="Times New Roman Bold" w:cs="Times New Roman Bold"/>
                <w:b/>
                <w:b/>
                <w:sz w:val="20"/>
                <w:szCs w:val="20"/>
              </w:rPr>
            </w:pPr>
            <w:r>
              <w:rPr>
                <w:rFonts w:cs="Times New Roman Bold" w:ascii="Times New Roman Bold" w:hAnsi="Times New Roman Bold"/>
                <w:b/>
                <w:sz w:val="20"/>
                <w:szCs w:val="20"/>
              </w:rPr>
              <w:t>PARAMETER ESTIMATE</w:t>
            </w:r>
          </w:p>
        </w:tc>
        <w:tc>
          <w:tcPr>
            <w:tcW w:w="1440" w:type="dxa"/>
            <w:tcBorders/>
            <w:shd w:fill="auto" w:val="clear"/>
          </w:tcPr>
          <w:p>
            <w:pPr>
              <w:pStyle w:val="Normal"/>
              <w:rPr>
                <w:rFonts w:ascii="Times New Roman Bold" w:hAnsi="Times New Roman Bold" w:cs="Times New Roman Bold"/>
                <w:b/>
                <w:b/>
                <w:sz w:val="20"/>
                <w:szCs w:val="20"/>
              </w:rPr>
            </w:pPr>
            <w:r>
              <w:rPr>
                <w:rFonts w:cs="Times New Roman Bold" w:ascii="Times New Roman Bold" w:hAnsi="Times New Roman Bold"/>
                <w:b/>
                <w:sz w:val="20"/>
                <w:szCs w:val="20"/>
              </w:rPr>
              <w:t>STANDARD ERROR</w:t>
            </w:r>
          </w:p>
        </w:tc>
        <w:tc>
          <w:tcPr>
            <w:tcW w:w="1800" w:type="dxa"/>
            <w:tcBorders/>
            <w:shd w:fill="auto" w:val="clear"/>
          </w:tcPr>
          <w:p>
            <w:pPr>
              <w:pStyle w:val="Normal"/>
              <w:rPr>
                <w:rFonts w:ascii="Times New Roman Bold" w:hAnsi="Times New Roman Bold" w:cs="Times New Roman Bold"/>
                <w:b/>
                <w:b/>
                <w:sz w:val="20"/>
                <w:szCs w:val="20"/>
                <w:vertAlign w:val="superscript"/>
              </w:rPr>
            </w:pPr>
            <w:r>
              <w:rPr>
                <w:rFonts w:cs="Times New Roman Bold" w:ascii="Times New Roman Bold" w:hAnsi="Times New Roman Bold"/>
                <w:b/>
                <w:sz w:val="20"/>
                <w:szCs w:val="20"/>
              </w:rPr>
              <w:t>ADJUSTED ODDS RATIO (95% CI)</w:t>
            </w:r>
            <w:r>
              <w:rPr>
                <w:b/>
                <w:sz w:val="20"/>
                <w:szCs w:val="20"/>
              </w:rPr>
              <w:t>†</w:t>
            </w:r>
          </w:p>
        </w:tc>
      </w:tr>
      <w:tr>
        <w:trPr/>
        <w:tc>
          <w:tcPr>
            <w:tcW w:w="4248" w:type="dxa"/>
            <w:tcBorders/>
            <w:shd w:fill="auto" w:val="clear"/>
          </w:tcPr>
          <w:p>
            <w:pPr>
              <w:pStyle w:val="Normal"/>
              <w:ind w:left="180" w:hanging="180"/>
              <w:jc w:val="left"/>
              <w:rPr>
                <w:sz w:val="20"/>
                <w:szCs w:val="20"/>
              </w:rPr>
            </w:pPr>
            <w:r>
              <w:rPr>
                <w:sz w:val="20"/>
                <w:szCs w:val="20"/>
              </w:rPr>
              <w:t xml:space="preserve">-  Male </w:t>
            </w:r>
          </w:p>
        </w:tc>
        <w:tc>
          <w:tcPr>
            <w:tcW w:w="1620" w:type="dxa"/>
            <w:tcBorders/>
            <w:shd w:fill="auto" w:val="clear"/>
          </w:tcPr>
          <w:p>
            <w:pPr>
              <w:pStyle w:val="Normal"/>
              <w:rPr>
                <w:sz w:val="20"/>
                <w:szCs w:val="20"/>
              </w:rPr>
            </w:pPr>
            <w:r>
              <w:rPr>
                <w:sz w:val="20"/>
                <w:szCs w:val="20"/>
              </w:rPr>
              <w:t>0.10422</w:t>
            </w:r>
          </w:p>
        </w:tc>
        <w:tc>
          <w:tcPr>
            <w:tcW w:w="1440" w:type="dxa"/>
            <w:tcBorders/>
            <w:shd w:fill="auto" w:val="clear"/>
          </w:tcPr>
          <w:p>
            <w:pPr>
              <w:pStyle w:val="Normal"/>
              <w:rPr>
                <w:sz w:val="20"/>
                <w:szCs w:val="20"/>
              </w:rPr>
            </w:pPr>
            <w:r>
              <w:rPr>
                <w:sz w:val="20"/>
                <w:szCs w:val="20"/>
              </w:rPr>
              <w:t>0.01690</w:t>
            </w:r>
          </w:p>
        </w:tc>
        <w:tc>
          <w:tcPr>
            <w:tcW w:w="1800" w:type="dxa"/>
            <w:tcBorders/>
            <w:shd w:fill="auto" w:val="clear"/>
          </w:tcPr>
          <w:p>
            <w:pPr>
              <w:pStyle w:val="Normal"/>
              <w:rPr>
                <w:sz w:val="20"/>
                <w:szCs w:val="20"/>
              </w:rPr>
            </w:pPr>
            <w:r>
              <w:rPr>
                <w:sz w:val="20"/>
                <w:szCs w:val="20"/>
              </w:rPr>
              <w:t>1.11 (1.07-1.15)</w:t>
            </w:r>
          </w:p>
        </w:tc>
      </w:tr>
      <w:tr>
        <w:trPr/>
        <w:tc>
          <w:tcPr>
            <w:tcW w:w="4248" w:type="dxa"/>
            <w:tcBorders/>
            <w:shd w:fill="auto" w:val="clear"/>
          </w:tcPr>
          <w:p>
            <w:pPr>
              <w:pStyle w:val="Normal"/>
              <w:ind w:left="180" w:hanging="180"/>
              <w:jc w:val="left"/>
              <w:rPr>
                <w:sz w:val="20"/>
                <w:szCs w:val="20"/>
              </w:rPr>
            </w:pPr>
            <w:r>
              <w:rPr>
                <w:sz w:val="20"/>
                <w:szCs w:val="20"/>
              </w:rPr>
              <w:t xml:space="preserve">-  Urgent admission </w:t>
            </w:r>
          </w:p>
        </w:tc>
        <w:tc>
          <w:tcPr>
            <w:tcW w:w="1620" w:type="dxa"/>
            <w:tcBorders/>
            <w:shd w:fill="auto" w:val="clear"/>
          </w:tcPr>
          <w:p>
            <w:pPr>
              <w:pStyle w:val="Normal"/>
              <w:rPr>
                <w:sz w:val="20"/>
                <w:szCs w:val="20"/>
              </w:rPr>
            </w:pPr>
            <w:r>
              <w:rPr>
                <w:sz w:val="20"/>
                <w:szCs w:val="20"/>
              </w:rPr>
              <w:t>0.60273</w:t>
            </w:r>
          </w:p>
        </w:tc>
        <w:tc>
          <w:tcPr>
            <w:tcW w:w="1440" w:type="dxa"/>
            <w:tcBorders/>
            <w:shd w:fill="auto" w:val="clear"/>
          </w:tcPr>
          <w:p>
            <w:pPr>
              <w:pStyle w:val="Normal"/>
              <w:rPr>
                <w:sz w:val="20"/>
                <w:szCs w:val="20"/>
              </w:rPr>
            </w:pPr>
            <w:r>
              <w:rPr>
                <w:sz w:val="20"/>
                <w:szCs w:val="20"/>
              </w:rPr>
              <w:t>0.02333</w:t>
            </w:r>
          </w:p>
        </w:tc>
        <w:tc>
          <w:tcPr>
            <w:tcW w:w="1800" w:type="dxa"/>
            <w:tcBorders/>
            <w:shd w:fill="auto" w:val="clear"/>
          </w:tcPr>
          <w:p>
            <w:pPr>
              <w:pStyle w:val="Normal"/>
              <w:rPr>
                <w:sz w:val="20"/>
                <w:szCs w:val="20"/>
              </w:rPr>
            </w:pPr>
            <w:r>
              <w:rPr>
                <w:sz w:val="20"/>
                <w:szCs w:val="20"/>
              </w:rPr>
              <w:t>1.83 (1.75-1.91)</w:t>
            </w:r>
          </w:p>
        </w:tc>
      </w:tr>
      <w:tr>
        <w:trPr/>
        <w:tc>
          <w:tcPr>
            <w:tcW w:w="4248" w:type="dxa"/>
            <w:tcBorders/>
            <w:shd w:fill="auto" w:val="clear"/>
          </w:tcPr>
          <w:p>
            <w:pPr>
              <w:pStyle w:val="Normal"/>
              <w:ind w:left="180" w:hanging="180"/>
              <w:jc w:val="left"/>
              <w:rPr>
                <w:sz w:val="20"/>
                <w:szCs w:val="20"/>
              </w:rPr>
            </w:pPr>
            <w:r>
              <w:rPr>
                <w:sz w:val="20"/>
                <w:szCs w:val="20"/>
              </w:rPr>
              <w:t xml:space="preserve">-  Discharge institution </w:t>
            </w:r>
          </w:p>
        </w:tc>
        <w:tc>
          <w:tcPr>
            <w:tcW w:w="1620" w:type="dxa"/>
            <w:tcBorders/>
            <w:shd w:fill="auto" w:val="clear"/>
          </w:tcPr>
          <w:p>
            <w:pPr>
              <w:pStyle w:val="Normal"/>
              <w:snapToGrid w:val="false"/>
              <w:rPr>
                <w:sz w:val="20"/>
                <w:szCs w:val="20"/>
              </w:rPr>
            </w:pPr>
            <w:r>
              <w:rPr>
                <w:sz w:val="20"/>
                <w:szCs w:val="20"/>
              </w:rPr>
            </w:r>
          </w:p>
        </w:tc>
        <w:tc>
          <w:tcPr>
            <w:tcW w:w="1440" w:type="dxa"/>
            <w:tcBorders/>
            <w:shd w:fill="auto" w:val="clear"/>
          </w:tcPr>
          <w:p>
            <w:pPr>
              <w:pStyle w:val="Normal"/>
              <w:snapToGrid w:val="false"/>
              <w:rPr>
                <w:sz w:val="20"/>
                <w:szCs w:val="20"/>
              </w:rPr>
            </w:pPr>
            <w:r>
              <w:rPr>
                <w:sz w:val="20"/>
                <w:szCs w:val="20"/>
              </w:rPr>
            </w:r>
          </w:p>
        </w:tc>
        <w:tc>
          <w:tcPr>
            <w:tcW w:w="1800" w:type="dxa"/>
            <w:tcBorders/>
            <w:shd w:fill="auto" w:val="clear"/>
          </w:tcPr>
          <w:p>
            <w:pPr>
              <w:pStyle w:val="Normal"/>
              <w:snapToGrid w:val="false"/>
              <w:rPr>
                <w:sz w:val="20"/>
                <w:szCs w:val="20"/>
              </w:rPr>
            </w:pPr>
            <w:r>
              <w:rPr>
                <w:sz w:val="20"/>
                <w:szCs w:val="20"/>
              </w:rPr>
            </w:r>
          </w:p>
        </w:tc>
      </w:tr>
      <w:tr>
        <w:trPr/>
        <w:tc>
          <w:tcPr>
            <w:tcW w:w="4248" w:type="dxa"/>
            <w:tcBorders/>
            <w:shd w:fill="auto" w:val="clear"/>
          </w:tcPr>
          <w:p>
            <w:pPr>
              <w:pStyle w:val="Normal"/>
              <w:ind w:left="360" w:hanging="0"/>
              <w:jc w:val="left"/>
              <w:rPr>
                <w:sz w:val="20"/>
                <w:szCs w:val="20"/>
              </w:rPr>
            </w:pPr>
            <w:r>
              <w:rPr>
                <w:sz w:val="20"/>
                <w:szCs w:val="20"/>
              </w:rPr>
              <w:t xml:space="preserve">Teaching vs. small non-teaching hospital </w:t>
            </w:r>
          </w:p>
        </w:tc>
        <w:tc>
          <w:tcPr>
            <w:tcW w:w="1620" w:type="dxa"/>
            <w:tcBorders/>
            <w:shd w:fill="auto" w:val="clear"/>
          </w:tcPr>
          <w:p>
            <w:pPr>
              <w:pStyle w:val="Normal"/>
              <w:rPr>
                <w:sz w:val="20"/>
                <w:szCs w:val="20"/>
              </w:rPr>
            </w:pPr>
            <w:r>
              <w:rPr>
                <w:sz w:val="20"/>
                <w:szCs w:val="20"/>
              </w:rPr>
              <w:t>-0.01328</w:t>
            </w:r>
          </w:p>
        </w:tc>
        <w:tc>
          <w:tcPr>
            <w:tcW w:w="1440" w:type="dxa"/>
            <w:tcBorders/>
            <w:shd w:fill="auto" w:val="clear"/>
          </w:tcPr>
          <w:p>
            <w:pPr>
              <w:pStyle w:val="Normal"/>
              <w:rPr>
                <w:sz w:val="20"/>
                <w:szCs w:val="20"/>
              </w:rPr>
            </w:pPr>
            <w:r>
              <w:rPr>
                <w:sz w:val="20"/>
                <w:szCs w:val="20"/>
              </w:rPr>
              <w:t>0.02600</w:t>
            </w:r>
          </w:p>
        </w:tc>
        <w:tc>
          <w:tcPr>
            <w:tcW w:w="1800" w:type="dxa"/>
            <w:tcBorders/>
            <w:shd w:fill="auto" w:val="clear"/>
          </w:tcPr>
          <w:p>
            <w:pPr>
              <w:pStyle w:val="Normal"/>
              <w:rPr>
                <w:sz w:val="20"/>
                <w:szCs w:val="20"/>
              </w:rPr>
            </w:pPr>
            <w:r>
              <w:rPr>
                <w:sz w:val="20"/>
                <w:szCs w:val="20"/>
              </w:rPr>
              <w:t>0.97 (0.94-1.04)</w:t>
            </w:r>
          </w:p>
        </w:tc>
      </w:tr>
      <w:tr>
        <w:trPr/>
        <w:tc>
          <w:tcPr>
            <w:tcW w:w="4248" w:type="dxa"/>
            <w:tcBorders/>
            <w:shd w:fill="auto" w:val="clear"/>
          </w:tcPr>
          <w:p>
            <w:pPr>
              <w:pStyle w:val="Normal"/>
              <w:ind w:left="360" w:hanging="0"/>
              <w:jc w:val="left"/>
              <w:rPr>
                <w:sz w:val="20"/>
                <w:szCs w:val="20"/>
              </w:rPr>
            </w:pPr>
            <w:r>
              <w:rPr>
                <w:sz w:val="20"/>
                <w:szCs w:val="20"/>
              </w:rPr>
              <w:t xml:space="preserve">Large vs. small non-teaching hospital </w:t>
            </w:r>
          </w:p>
        </w:tc>
        <w:tc>
          <w:tcPr>
            <w:tcW w:w="1620" w:type="dxa"/>
            <w:tcBorders/>
            <w:shd w:fill="auto" w:val="clear"/>
          </w:tcPr>
          <w:p>
            <w:pPr>
              <w:pStyle w:val="Normal"/>
              <w:rPr>
                <w:sz w:val="20"/>
                <w:szCs w:val="20"/>
              </w:rPr>
            </w:pPr>
            <w:r>
              <w:rPr>
                <w:sz w:val="20"/>
                <w:szCs w:val="20"/>
              </w:rPr>
              <w:t>-0.06150</w:t>
            </w:r>
          </w:p>
        </w:tc>
        <w:tc>
          <w:tcPr>
            <w:tcW w:w="1440" w:type="dxa"/>
            <w:tcBorders/>
            <w:shd w:fill="auto" w:val="clear"/>
          </w:tcPr>
          <w:p>
            <w:pPr>
              <w:pStyle w:val="Normal"/>
              <w:rPr>
                <w:sz w:val="20"/>
                <w:szCs w:val="20"/>
              </w:rPr>
            </w:pPr>
            <w:r>
              <w:rPr>
                <w:sz w:val="20"/>
                <w:szCs w:val="20"/>
              </w:rPr>
              <w:t>0.02384</w:t>
            </w:r>
          </w:p>
        </w:tc>
        <w:tc>
          <w:tcPr>
            <w:tcW w:w="1800" w:type="dxa"/>
            <w:tcBorders/>
            <w:shd w:fill="auto" w:val="clear"/>
          </w:tcPr>
          <w:p>
            <w:pPr>
              <w:pStyle w:val="Normal"/>
              <w:rPr>
                <w:sz w:val="20"/>
                <w:szCs w:val="20"/>
              </w:rPr>
            </w:pPr>
            <w:r>
              <w:rPr>
                <w:sz w:val="20"/>
                <w:szCs w:val="20"/>
              </w:rPr>
              <w:t>0.94 (0.90-0.99)</w:t>
            </w:r>
          </w:p>
        </w:tc>
      </w:tr>
      <w:tr>
        <w:trPr/>
        <w:tc>
          <w:tcPr>
            <w:tcW w:w="4248" w:type="dxa"/>
            <w:tcBorders/>
            <w:shd w:fill="auto" w:val="clear"/>
          </w:tcPr>
          <w:p>
            <w:pPr>
              <w:pStyle w:val="Normal"/>
              <w:ind w:left="180" w:hanging="180"/>
              <w:jc w:val="left"/>
              <w:rPr>
                <w:sz w:val="20"/>
                <w:szCs w:val="20"/>
              </w:rPr>
            </w:pPr>
            <w:r>
              <w:rPr>
                <w:sz w:val="20"/>
                <w:szCs w:val="20"/>
              </w:rPr>
              <w:t>-  Age</w:t>
            </w:r>
            <w:r>
              <w:rPr>
                <w:sz w:val="20"/>
                <w:szCs w:val="20"/>
                <w:vertAlign w:val="superscript"/>
              </w:rPr>
              <w:t>2</w:t>
            </w:r>
          </w:p>
        </w:tc>
        <w:tc>
          <w:tcPr>
            <w:tcW w:w="1620" w:type="dxa"/>
            <w:tcBorders/>
            <w:shd w:fill="auto" w:val="clear"/>
          </w:tcPr>
          <w:p>
            <w:pPr>
              <w:pStyle w:val="Normal"/>
              <w:rPr>
                <w:sz w:val="20"/>
                <w:szCs w:val="20"/>
              </w:rPr>
            </w:pPr>
            <w:r>
              <w:rPr>
                <w:sz w:val="20"/>
                <w:szCs w:val="20"/>
              </w:rPr>
              <w:t>0.00032</w:t>
            </w:r>
          </w:p>
        </w:tc>
        <w:tc>
          <w:tcPr>
            <w:tcW w:w="1440" w:type="dxa"/>
            <w:tcBorders/>
            <w:shd w:fill="auto" w:val="clear"/>
          </w:tcPr>
          <w:p>
            <w:pPr>
              <w:pStyle w:val="Normal"/>
              <w:rPr>
                <w:sz w:val="20"/>
                <w:szCs w:val="20"/>
              </w:rPr>
            </w:pPr>
            <w:r>
              <w:rPr>
                <w:sz w:val="20"/>
                <w:szCs w:val="20"/>
              </w:rPr>
              <w:t>0.00002</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sz w:val="20"/>
                <w:szCs w:val="20"/>
              </w:rPr>
            </w:pPr>
            <w:r>
              <w:rPr>
                <w:sz w:val="20"/>
                <w:szCs w:val="20"/>
              </w:rPr>
              <w:t>-  Log(length of stay)</w:t>
            </w:r>
          </w:p>
        </w:tc>
        <w:tc>
          <w:tcPr>
            <w:tcW w:w="1620" w:type="dxa"/>
            <w:tcBorders/>
            <w:shd w:fill="auto" w:val="clear"/>
          </w:tcPr>
          <w:p>
            <w:pPr>
              <w:pStyle w:val="Normal"/>
              <w:rPr>
                <w:sz w:val="20"/>
                <w:szCs w:val="20"/>
              </w:rPr>
            </w:pPr>
            <w:r>
              <w:rPr>
                <w:sz w:val="20"/>
                <w:szCs w:val="20"/>
              </w:rPr>
              <w:t>0.28249</w:t>
            </w:r>
          </w:p>
        </w:tc>
        <w:tc>
          <w:tcPr>
            <w:tcW w:w="1440" w:type="dxa"/>
            <w:tcBorders/>
            <w:shd w:fill="auto" w:val="clear"/>
          </w:tcPr>
          <w:p>
            <w:pPr>
              <w:pStyle w:val="Normal"/>
              <w:rPr>
                <w:sz w:val="20"/>
                <w:szCs w:val="20"/>
              </w:rPr>
            </w:pPr>
            <w:r>
              <w:rPr>
                <w:sz w:val="20"/>
                <w:szCs w:val="20"/>
              </w:rPr>
              <w:t>0.01147</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pPr>
            <w:r>
              <w:rPr>
                <w:sz w:val="20"/>
                <w:szCs w:val="20"/>
              </w:rPr>
              <w:t>-  Charlson score</w:t>
            </w:r>
            <w:r>
              <w:rPr>
                <w:sz w:val="20"/>
                <w:szCs w:val="20"/>
                <w:vertAlign w:val="superscript"/>
              </w:rPr>
              <w:t>0.5</w:t>
            </w:r>
          </w:p>
        </w:tc>
        <w:tc>
          <w:tcPr>
            <w:tcW w:w="1620" w:type="dxa"/>
            <w:tcBorders/>
            <w:shd w:fill="auto" w:val="clear"/>
          </w:tcPr>
          <w:p>
            <w:pPr>
              <w:pStyle w:val="Normal"/>
              <w:rPr>
                <w:sz w:val="20"/>
                <w:szCs w:val="20"/>
              </w:rPr>
            </w:pPr>
            <w:r>
              <w:rPr>
                <w:sz w:val="20"/>
                <w:szCs w:val="20"/>
              </w:rPr>
              <w:t>1.32586</w:t>
            </w:r>
          </w:p>
        </w:tc>
        <w:tc>
          <w:tcPr>
            <w:tcW w:w="1440" w:type="dxa"/>
            <w:tcBorders/>
            <w:shd w:fill="auto" w:val="clear"/>
          </w:tcPr>
          <w:p>
            <w:pPr>
              <w:pStyle w:val="Normal"/>
              <w:rPr>
                <w:sz w:val="20"/>
                <w:szCs w:val="20"/>
              </w:rPr>
            </w:pPr>
            <w:r>
              <w:rPr>
                <w:sz w:val="20"/>
                <w:szCs w:val="20"/>
              </w:rPr>
              <w:t>0.07319</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sz w:val="20"/>
                <w:szCs w:val="20"/>
              </w:rPr>
            </w:pPr>
            <w:r>
              <w:rPr>
                <w:sz w:val="20"/>
                <w:szCs w:val="20"/>
              </w:rPr>
              <w:t xml:space="preserve">-  Log(Number of ED visits in previous 6 months) </w:t>
            </w:r>
          </w:p>
        </w:tc>
        <w:tc>
          <w:tcPr>
            <w:tcW w:w="1620" w:type="dxa"/>
            <w:tcBorders/>
            <w:shd w:fill="auto" w:val="clear"/>
          </w:tcPr>
          <w:p>
            <w:pPr>
              <w:pStyle w:val="Normal"/>
              <w:rPr>
                <w:sz w:val="20"/>
                <w:szCs w:val="20"/>
              </w:rPr>
            </w:pPr>
            <w:r>
              <w:rPr>
                <w:sz w:val="20"/>
                <w:szCs w:val="20"/>
              </w:rPr>
              <w:t>0.37177</w:t>
            </w:r>
          </w:p>
        </w:tc>
        <w:tc>
          <w:tcPr>
            <w:tcW w:w="1440" w:type="dxa"/>
            <w:tcBorders/>
            <w:shd w:fill="auto" w:val="clear"/>
          </w:tcPr>
          <w:p>
            <w:pPr>
              <w:pStyle w:val="Normal"/>
              <w:rPr>
                <w:sz w:val="20"/>
                <w:szCs w:val="20"/>
              </w:rPr>
            </w:pPr>
            <w:r>
              <w:rPr>
                <w:sz w:val="20"/>
                <w:szCs w:val="20"/>
              </w:rPr>
              <w:t>0.01622</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pPr>
            <w:r>
              <w:rPr>
                <w:sz w:val="20"/>
                <w:szCs w:val="20"/>
              </w:rPr>
              <w:t>-  Number of urgent admissions in previous year</w:t>
            </w:r>
            <w:r>
              <w:rPr>
                <w:sz w:val="20"/>
                <w:szCs w:val="20"/>
                <w:vertAlign w:val="superscript"/>
              </w:rPr>
              <w:t>0.5</w:t>
            </w:r>
          </w:p>
        </w:tc>
        <w:tc>
          <w:tcPr>
            <w:tcW w:w="1620" w:type="dxa"/>
            <w:tcBorders/>
            <w:shd w:fill="auto" w:val="clear"/>
          </w:tcPr>
          <w:p>
            <w:pPr>
              <w:pStyle w:val="Normal"/>
              <w:rPr>
                <w:sz w:val="20"/>
                <w:szCs w:val="20"/>
              </w:rPr>
            </w:pPr>
            <w:r>
              <w:rPr>
                <w:sz w:val="20"/>
                <w:szCs w:val="20"/>
              </w:rPr>
              <w:t>1.81390</w:t>
            </w:r>
          </w:p>
        </w:tc>
        <w:tc>
          <w:tcPr>
            <w:tcW w:w="1440" w:type="dxa"/>
            <w:tcBorders/>
            <w:shd w:fill="auto" w:val="clear"/>
          </w:tcPr>
          <w:p>
            <w:pPr>
              <w:pStyle w:val="Normal"/>
              <w:rPr>
                <w:sz w:val="20"/>
                <w:szCs w:val="20"/>
              </w:rPr>
            </w:pPr>
            <w:r>
              <w:rPr>
                <w:sz w:val="20"/>
                <w:szCs w:val="20"/>
              </w:rPr>
              <w:t>0.09126</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pPr>
            <w:r>
              <w:rPr>
                <w:sz w:val="20"/>
                <w:szCs w:val="20"/>
              </w:rPr>
              <w:t>-  Number of elective admissions in previous year</w:t>
            </w:r>
            <w:r>
              <w:rPr>
                <w:sz w:val="20"/>
                <w:szCs w:val="20"/>
                <w:vertAlign w:val="superscript"/>
              </w:rPr>
              <w:t>-1</w:t>
            </w:r>
          </w:p>
        </w:tc>
        <w:tc>
          <w:tcPr>
            <w:tcW w:w="1620" w:type="dxa"/>
            <w:tcBorders/>
            <w:shd w:fill="auto" w:val="clear"/>
          </w:tcPr>
          <w:p>
            <w:pPr>
              <w:pStyle w:val="Normal"/>
              <w:rPr>
                <w:sz w:val="20"/>
                <w:szCs w:val="20"/>
              </w:rPr>
            </w:pPr>
            <w:r>
              <w:rPr>
                <w:sz w:val="20"/>
                <w:szCs w:val="20"/>
              </w:rPr>
              <w:t>-0.50616</w:t>
            </w:r>
          </w:p>
        </w:tc>
        <w:tc>
          <w:tcPr>
            <w:tcW w:w="1440" w:type="dxa"/>
            <w:tcBorders/>
            <w:shd w:fill="auto" w:val="clear"/>
          </w:tcPr>
          <w:p>
            <w:pPr>
              <w:pStyle w:val="Normal"/>
              <w:rPr>
                <w:sz w:val="20"/>
                <w:szCs w:val="20"/>
              </w:rPr>
            </w:pPr>
            <w:r>
              <w:rPr>
                <w:sz w:val="20"/>
                <w:szCs w:val="20"/>
              </w:rPr>
              <w:t>0.05751</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pPr>
            <w:r>
              <w:rPr>
                <w:sz w:val="20"/>
                <w:szCs w:val="20"/>
              </w:rPr>
              <w:t>-  CMG score</w:t>
            </w:r>
            <w:r>
              <w:rPr>
                <w:sz w:val="20"/>
                <w:szCs w:val="20"/>
                <w:vertAlign w:val="superscript"/>
              </w:rPr>
              <w:t>2</w:t>
            </w:r>
          </w:p>
        </w:tc>
        <w:tc>
          <w:tcPr>
            <w:tcW w:w="1620" w:type="dxa"/>
            <w:tcBorders/>
            <w:shd w:fill="auto" w:val="clear"/>
          </w:tcPr>
          <w:p>
            <w:pPr>
              <w:pStyle w:val="Normal"/>
              <w:rPr>
                <w:sz w:val="20"/>
                <w:szCs w:val="20"/>
              </w:rPr>
            </w:pPr>
            <w:r>
              <w:rPr>
                <w:sz w:val="20"/>
                <w:szCs w:val="20"/>
              </w:rPr>
              <w:t>0.01393</w:t>
            </w:r>
          </w:p>
        </w:tc>
        <w:tc>
          <w:tcPr>
            <w:tcW w:w="1440" w:type="dxa"/>
            <w:tcBorders/>
            <w:shd w:fill="auto" w:val="clear"/>
          </w:tcPr>
          <w:p>
            <w:pPr>
              <w:pStyle w:val="Normal"/>
              <w:rPr>
                <w:sz w:val="20"/>
                <w:szCs w:val="20"/>
              </w:rPr>
            </w:pPr>
            <w:r>
              <w:rPr>
                <w:sz w:val="20"/>
                <w:szCs w:val="20"/>
              </w:rPr>
              <w:t>0.00031</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sz w:val="20"/>
                <w:szCs w:val="20"/>
              </w:rPr>
            </w:pPr>
            <w:r>
              <w:rPr>
                <w:sz w:val="20"/>
                <w:szCs w:val="20"/>
              </w:rPr>
              <w:t>-  Number of days on ALC status</w:t>
            </w:r>
          </w:p>
        </w:tc>
        <w:tc>
          <w:tcPr>
            <w:tcW w:w="1620" w:type="dxa"/>
            <w:tcBorders/>
            <w:shd w:fill="auto" w:val="clear"/>
          </w:tcPr>
          <w:p>
            <w:pPr>
              <w:pStyle w:val="Normal"/>
              <w:rPr>
                <w:sz w:val="20"/>
                <w:szCs w:val="20"/>
              </w:rPr>
            </w:pPr>
            <w:r>
              <w:rPr>
                <w:sz w:val="20"/>
                <w:szCs w:val="20"/>
              </w:rPr>
              <w:t>-0.01033</w:t>
            </w:r>
          </w:p>
        </w:tc>
        <w:tc>
          <w:tcPr>
            <w:tcW w:w="1440" w:type="dxa"/>
            <w:tcBorders/>
            <w:shd w:fill="auto" w:val="clear"/>
          </w:tcPr>
          <w:p>
            <w:pPr>
              <w:pStyle w:val="Normal"/>
              <w:rPr>
                <w:sz w:val="20"/>
                <w:szCs w:val="20"/>
              </w:rPr>
            </w:pPr>
            <w:r>
              <w:rPr>
                <w:sz w:val="20"/>
                <w:szCs w:val="20"/>
              </w:rPr>
              <w:t>0.00209</w:t>
            </w:r>
          </w:p>
        </w:tc>
        <w:tc>
          <w:tcPr>
            <w:tcW w:w="1800" w:type="dxa"/>
            <w:tcBorders/>
            <w:shd w:fill="auto" w:val="clear"/>
          </w:tcPr>
          <w:p>
            <w:pPr>
              <w:pStyle w:val="Normal"/>
              <w:rPr>
                <w:sz w:val="20"/>
                <w:szCs w:val="20"/>
              </w:rPr>
            </w:pPr>
            <w:r>
              <w:rPr>
                <w:sz w:val="20"/>
                <w:szCs w:val="20"/>
              </w:rPr>
              <w:t>0.99 (0.99-0.99)</w:t>
            </w:r>
          </w:p>
        </w:tc>
      </w:tr>
      <w:tr>
        <w:trPr/>
        <w:tc>
          <w:tcPr>
            <w:tcW w:w="4248" w:type="dxa"/>
            <w:tcBorders/>
            <w:shd w:fill="auto" w:val="clear"/>
          </w:tcPr>
          <w:p>
            <w:pPr>
              <w:pStyle w:val="Normal"/>
              <w:ind w:left="180" w:hanging="180"/>
              <w:jc w:val="left"/>
              <w:rPr/>
            </w:pPr>
            <w:r>
              <w:rPr>
                <w:sz w:val="20"/>
                <w:szCs w:val="20"/>
              </w:rPr>
              <w:t>-  Age</w:t>
            </w:r>
            <w:r>
              <w:rPr>
                <w:sz w:val="20"/>
                <w:szCs w:val="20"/>
                <w:vertAlign w:val="superscript"/>
              </w:rPr>
              <w:t>2</w:t>
            </w:r>
            <w:r>
              <w:rPr>
                <w:sz w:val="20"/>
                <w:szCs w:val="20"/>
              </w:rPr>
              <w:t xml:space="preserve"> x Charlson score</w:t>
            </w:r>
            <w:r>
              <w:rPr>
                <w:sz w:val="20"/>
                <w:szCs w:val="20"/>
                <w:vertAlign w:val="superscript"/>
              </w:rPr>
              <w:t>0.5</w:t>
            </w:r>
          </w:p>
        </w:tc>
        <w:tc>
          <w:tcPr>
            <w:tcW w:w="1620" w:type="dxa"/>
            <w:tcBorders/>
            <w:shd w:fill="auto" w:val="clear"/>
          </w:tcPr>
          <w:p>
            <w:pPr>
              <w:pStyle w:val="Normal"/>
              <w:rPr>
                <w:sz w:val="20"/>
                <w:szCs w:val="20"/>
              </w:rPr>
            </w:pPr>
            <w:r>
              <w:rPr>
                <w:sz w:val="20"/>
                <w:szCs w:val="20"/>
              </w:rPr>
              <w:t>-0.00005</w:t>
            </w:r>
          </w:p>
        </w:tc>
        <w:tc>
          <w:tcPr>
            <w:tcW w:w="1440" w:type="dxa"/>
            <w:tcBorders/>
            <w:shd w:fill="auto" w:val="clear"/>
          </w:tcPr>
          <w:p>
            <w:pPr>
              <w:pStyle w:val="Normal"/>
              <w:rPr>
                <w:sz w:val="20"/>
                <w:szCs w:val="20"/>
              </w:rPr>
            </w:pPr>
            <w:r>
              <w:rPr>
                <w:sz w:val="20"/>
                <w:szCs w:val="20"/>
              </w:rPr>
              <w:t>0.00001</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pPr>
            <w:r>
              <w:rPr>
                <w:sz w:val="20"/>
                <w:szCs w:val="20"/>
              </w:rPr>
              <w:t>-  Age</w:t>
            </w:r>
            <w:r>
              <w:rPr>
                <w:sz w:val="20"/>
                <w:szCs w:val="20"/>
                <w:vertAlign w:val="superscript"/>
              </w:rPr>
              <w:t>2</w:t>
            </w:r>
            <w:r>
              <w:rPr>
                <w:sz w:val="20"/>
                <w:szCs w:val="20"/>
              </w:rPr>
              <w:t xml:space="preserve"> x Number of urgent admissions in previous year</w:t>
            </w:r>
            <w:r>
              <w:rPr>
                <w:sz w:val="20"/>
                <w:szCs w:val="20"/>
                <w:vertAlign w:val="superscript"/>
              </w:rPr>
              <w:t>0.5</w:t>
            </w:r>
          </w:p>
        </w:tc>
        <w:tc>
          <w:tcPr>
            <w:tcW w:w="1620" w:type="dxa"/>
            <w:tcBorders/>
            <w:shd w:fill="auto" w:val="clear"/>
          </w:tcPr>
          <w:p>
            <w:pPr>
              <w:pStyle w:val="Normal"/>
              <w:rPr>
                <w:sz w:val="20"/>
                <w:szCs w:val="20"/>
              </w:rPr>
            </w:pPr>
            <w:r>
              <w:rPr>
                <w:sz w:val="20"/>
                <w:szCs w:val="20"/>
              </w:rPr>
              <w:t>-0.00011</w:t>
            </w:r>
          </w:p>
        </w:tc>
        <w:tc>
          <w:tcPr>
            <w:tcW w:w="1440" w:type="dxa"/>
            <w:tcBorders/>
            <w:shd w:fill="auto" w:val="clear"/>
          </w:tcPr>
          <w:p>
            <w:pPr>
              <w:pStyle w:val="Normal"/>
              <w:rPr>
                <w:sz w:val="20"/>
                <w:szCs w:val="20"/>
              </w:rPr>
            </w:pPr>
            <w:r>
              <w:rPr>
                <w:sz w:val="20"/>
                <w:szCs w:val="20"/>
              </w:rPr>
              <w:t>0.00001</w:t>
            </w:r>
          </w:p>
        </w:tc>
        <w:tc>
          <w:tcPr>
            <w:tcW w:w="1800" w:type="dxa"/>
            <w:tcBorders/>
            <w:shd w:fill="auto" w:val="clear"/>
          </w:tcPr>
          <w:p>
            <w:pPr>
              <w:pStyle w:val="Normal"/>
              <w:rPr>
                <w:sz w:val="20"/>
                <w:szCs w:val="20"/>
              </w:rPr>
            </w:pPr>
            <w:r>
              <w:rPr>
                <w:sz w:val="20"/>
                <w:szCs w:val="20"/>
              </w:rPr>
              <w:t>-</w:t>
            </w:r>
          </w:p>
        </w:tc>
      </w:tr>
      <w:tr>
        <w:trPr/>
        <w:tc>
          <w:tcPr>
            <w:tcW w:w="4248" w:type="dxa"/>
            <w:tcBorders/>
            <w:shd w:fill="auto" w:val="clear"/>
          </w:tcPr>
          <w:p>
            <w:pPr>
              <w:pStyle w:val="Normal"/>
              <w:ind w:left="180" w:hanging="180"/>
              <w:jc w:val="left"/>
              <w:rPr>
                <w:b/>
                <w:b/>
                <w:sz w:val="20"/>
                <w:szCs w:val="20"/>
                <w:vertAlign w:val="superscript"/>
              </w:rPr>
            </w:pPr>
            <w:r>
              <w:rPr>
                <w:b/>
                <w:sz w:val="20"/>
                <w:szCs w:val="20"/>
              </w:rPr>
              <w:t xml:space="preserve">-  </w:t>
            </w:r>
            <w:r>
              <w:rPr>
                <w:sz w:val="20"/>
                <w:szCs w:val="20"/>
              </w:rPr>
              <w:t>Charlson score</w:t>
            </w:r>
            <w:r>
              <w:rPr>
                <w:sz w:val="20"/>
                <w:szCs w:val="20"/>
                <w:vertAlign w:val="superscript"/>
              </w:rPr>
              <w:t>0.5</w:t>
            </w:r>
            <w:r>
              <w:rPr>
                <w:sz w:val="20"/>
                <w:szCs w:val="20"/>
              </w:rPr>
              <w:t xml:space="preserve"> x Number of urgent admissions in previous year</w:t>
            </w:r>
            <w:r>
              <w:rPr>
                <w:sz w:val="20"/>
                <w:szCs w:val="20"/>
                <w:vertAlign w:val="superscript"/>
              </w:rPr>
              <w:t>0.5</w:t>
            </w:r>
          </w:p>
        </w:tc>
        <w:tc>
          <w:tcPr>
            <w:tcW w:w="1620" w:type="dxa"/>
            <w:tcBorders/>
            <w:shd w:fill="auto" w:val="clear"/>
          </w:tcPr>
          <w:p>
            <w:pPr>
              <w:pStyle w:val="Normal"/>
              <w:rPr>
                <w:sz w:val="20"/>
                <w:szCs w:val="20"/>
              </w:rPr>
            </w:pPr>
            <w:r>
              <w:rPr>
                <w:sz w:val="20"/>
                <w:szCs w:val="20"/>
              </w:rPr>
              <w:t>-0.31468</w:t>
            </w:r>
          </w:p>
        </w:tc>
        <w:tc>
          <w:tcPr>
            <w:tcW w:w="1440" w:type="dxa"/>
            <w:tcBorders/>
            <w:shd w:fill="auto" w:val="clear"/>
          </w:tcPr>
          <w:p>
            <w:pPr>
              <w:pStyle w:val="Normal"/>
              <w:rPr>
                <w:sz w:val="20"/>
                <w:szCs w:val="20"/>
              </w:rPr>
            </w:pPr>
            <w:r>
              <w:rPr>
                <w:sz w:val="20"/>
                <w:szCs w:val="20"/>
              </w:rPr>
              <w:t>0.04856</w:t>
            </w:r>
          </w:p>
        </w:tc>
        <w:tc>
          <w:tcPr>
            <w:tcW w:w="1800" w:type="dxa"/>
            <w:tcBorders/>
            <w:shd w:fill="auto" w:val="clear"/>
          </w:tcPr>
          <w:p>
            <w:pPr>
              <w:pStyle w:val="Normal"/>
              <w:rPr>
                <w:sz w:val="20"/>
                <w:szCs w:val="20"/>
              </w:rPr>
            </w:pPr>
            <w:r>
              <w:rPr>
                <w:sz w:val="20"/>
                <w:szCs w:val="20"/>
              </w:rPr>
              <w:t>-</w:t>
            </w:r>
          </w:p>
        </w:tc>
      </w:tr>
    </w:tbl>
    <w:p>
      <w:pPr>
        <w:pStyle w:val="Normal"/>
        <w:rPr/>
      </w:pPr>
      <w:r>
        <w:rPr/>
        <w:t>ED = emergency department; CMG = case mix group; ALC = alternative level of care; CI = confidence interval; small non-teaching hospital = non-teaching hospital with &lt;100 beds; large non-teaching hospital = non-teaching hospital with ≥100 beds</w:t>
      </w:r>
    </w:p>
    <w:p>
      <w:pPr>
        <w:pStyle w:val="Normal"/>
        <w:rPr/>
      </w:pPr>
      <w:r>
        <w:rPr/>
      </w:r>
    </w:p>
    <w:p>
      <w:pPr>
        <w:pStyle w:val="Normal"/>
        <w:rPr/>
      </w:pPr>
      <w:r>
        <w:rPr/>
        <w:t xml:space="preserve">*In the final risk prediction model, male and urgent admission were expressed as binary variables.  Discharge institution was a categorical variable with three levels expressed using two binary variables (with small non-teaching hospitals designated as the reference level).  All other covariates were expressed as continuous variables using the transformations specified above.  Before applying the transformations, a value of 1 was added to the original value of length of stay, Charlson score, number of previous ED visits, number of previous urgent admissions, and number of previous elective admissions to ensure each covariate’s domain was &gt; 0.  For the CMG score, a value of 7 was added to the original covariate value before applying the transformation.       </w:t>
      </w:r>
    </w:p>
    <w:p>
      <w:pPr>
        <w:pStyle w:val="Normal"/>
        <w:rPr/>
      </w:pPr>
      <w:r>
        <w:rPr/>
        <w:t>†</w:t>
      </w:r>
      <w:r>
        <w:rPr/>
        <w:t>The adjusted odds ratio is shown for covariates that are not transformed and not involved in an interaction term.  The association of these covariates with 30-day death or urgent readmission is presented in Figure 2.</w:t>
      </w:r>
    </w:p>
    <w:p>
      <w:pPr>
        <w:pStyle w:val="Normal"/>
        <w:rPr/>
      </w:pPr>
      <w:r>
        <w:rPr/>
      </w:r>
      <w:r>
        <w:br w:type="page"/>
      </w:r>
    </w:p>
    <w:p>
      <w:pPr>
        <w:pStyle w:val="Normal"/>
        <w:rPr>
          <w:i/>
          <w:i/>
          <w:vertAlign w:val="superscript"/>
        </w:rPr>
      </w:pPr>
      <w:r>
        <w:rPr>
          <w:b/>
        </w:rPr>
        <w:t xml:space="preserve">Table 3. </w:t>
      </w:r>
      <w:r>
        <w:rPr/>
        <w:t>LACE</w:t>
      </w:r>
      <w:r>
        <w:rPr>
          <w:vertAlign w:val="superscript"/>
        </w:rPr>
        <w:t xml:space="preserve">+ </w:t>
      </w:r>
      <w:r>
        <w:rPr/>
        <w:t>scoring system to predict risk of 30-day death or urgent readmission</w:t>
      </w:r>
    </w:p>
    <w:p>
      <w:pPr>
        <w:pStyle w:val="Normal"/>
        <w:rPr>
          <w:i/>
          <w:i/>
          <w:vertAlign w:val="superscript"/>
        </w:rPr>
      </w:pPr>
      <w:r>
        <w:rPr>
          <w:i/>
          <w:vertAlign w:val="superscript"/>
        </w:rPr>
      </w:r>
    </w:p>
    <w:tbl>
      <w:tblPr>
        <w:tblW w:w="9480"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1417"/>
        <w:gridCol w:w="1211"/>
        <w:gridCol w:w="566"/>
        <w:gridCol w:w="694"/>
        <w:gridCol w:w="180"/>
        <w:gridCol w:w="1260"/>
        <w:gridCol w:w="180"/>
        <w:gridCol w:w="1301"/>
        <w:gridCol w:w="1249"/>
        <w:gridCol w:w="1422"/>
      </w:tblGrid>
      <w:tr>
        <w:trPr/>
        <w:tc>
          <w:tcPr>
            <w:tcW w:w="4068" w:type="dxa"/>
            <w:gridSpan w:val="5"/>
            <w:tcBorders>
              <w:bottom w:val="single" w:sz="4" w:space="0" w:color="000000"/>
              <w:insideH w:val="single" w:sz="4" w:space="0" w:color="000000"/>
            </w:tcBorders>
            <w:shd w:fill="auto" w:val="clear"/>
          </w:tcPr>
          <w:p>
            <w:pPr>
              <w:pStyle w:val="Normal"/>
              <w:rPr>
                <w:b/>
                <w:b/>
                <w:sz w:val="20"/>
                <w:szCs w:val="20"/>
              </w:rPr>
            </w:pPr>
            <w:r>
              <w:rPr>
                <w:b/>
                <w:sz w:val="20"/>
                <w:szCs w:val="20"/>
              </w:rPr>
              <w:t>PREDICTOR</w:t>
            </w:r>
          </w:p>
        </w:tc>
        <w:tc>
          <w:tcPr>
            <w:tcW w:w="1440" w:type="dxa"/>
            <w:gridSpan w:val="2"/>
            <w:tcBorders>
              <w:bottom w:val="single" w:sz="4" w:space="0" w:color="000000"/>
              <w:insideH w:val="single" w:sz="4" w:space="0" w:color="000000"/>
            </w:tcBorders>
            <w:shd w:fill="auto" w:val="clear"/>
          </w:tcPr>
          <w:p>
            <w:pPr>
              <w:pStyle w:val="Normal"/>
              <w:rPr>
                <w:b/>
                <w:b/>
                <w:sz w:val="20"/>
                <w:szCs w:val="20"/>
              </w:rPr>
            </w:pPr>
            <w:r>
              <w:rPr>
                <w:b/>
                <w:sz w:val="20"/>
                <w:szCs w:val="20"/>
              </w:rPr>
              <w:t>POINTS</w:t>
            </w:r>
          </w:p>
        </w:tc>
        <w:tc>
          <w:tcPr>
            <w:tcW w:w="1301" w:type="dxa"/>
            <w:tcBorders/>
            <w:shd w:fill="auto" w:val="clear"/>
          </w:tcPr>
          <w:p>
            <w:pPr>
              <w:pStyle w:val="Normal"/>
              <w:snapToGrid w:val="false"/>
              <w:rPr>
                <w:b/>
                <w:b/>
                <w:sz w:val="20"/>
                <w:szCs w:val="20"/>
              </w:rPr>
            </w:pPr>
            <w:r>
              <w:rPr>
                <w:b/>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rPr>
                <w:sz w:val="20"/>
                <w:szCs w:val="20"/>
              </w:rPr>
            </w:pPr>
            <w:r>
              <w:rPr>
                <w:sz w:val="20"/>
                <w:szCs w:val="20"/>
              </w:rPr>
            </w:r>
          </w:p>
        </w:tc>
      </w:tr>
      <w:tr>
        <w:trPr/>
        <w:tc>
          <w:tcPr>
            <w:tcW w:w="4068" w:type="dxa"/>
            <w:gridSpan w:val="5"/>
            <w:tcBorders>
              <w:top w:val="single" w:sz="4" w:space="0" w:color="000000"/>
            </w:tcBorders>
            <w:shd w:fill="auto" w:val="clear"/>
          </w:tcPr>
          <w:p>
            <w:pPr>
              <w:pStyle w:val="Normal"/>
              <w:rPr>
                <w:sz w:val="20"/>
                <w:szCs w:val="20"/>
              </w:rPr>
            </w:pPr>
            <w:r>
              <w:rPr>
                <w:sz w:val="20"/>
                <w:szCs w:val="20"/>
              </w:rPr>
              <w:t>Male</w:t>
            </w:r>
          </w:p>
        </w:tc>
        <w:tc>
          <w:tcPr>
            <w:tcW w:w="1440" w:type="dxa"/>
            <w:gridSpan w:val="2"/>
            <w:tcBorders>
              <w:top w:val="single" w:sz="4" w:space="0" w:color="000000"/>
            </w:tcBorders>
            <w:shd w:fill="auto" w:val="clear"/>
          </w:tcPr>
          <w:p>
            <w:pPr>
              <w:pStyle w:val="Normal"/>
              <w:jc w:val="center"/>
              <w:rPr>
                <w:sz w:val="20"/>
                <w:szCs w:val="20"/>
              </w:rPr>
            </w:pPr>
            <w:r>
              <w:rPr>
                <w:sz w:val="20"/>
                <w:szCs w:val="20"/>
              </w:rPr>
              <w:t>3</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Emergent admission</w:t>
            </w:r>
          </w:p>
        </w:tc>
        <w:tc>
          <w:tcPr>
            <w:tcW w:w="1440" w:type="dxa"/>
            <w:gridSpan w:val="2"/>
            <w:tcBorders/>
            <w:shd w:fill="auto" w:val="clear"/>
          </w:tcPr>
          <w:p>
            <w:pPr>
              <w:pStyle w:val="Normal"/>
              <w:jc w:val="center"/>
              <w:rPr>
                <w:sz w:val="20"/>
                <w:szCs w:val="20"/>
              </w:rPr>
            </w:pPr>
            <w:r>
              <w:rPr>
                <w:sz w:val="20"/>
                <w:szCs w:val="20"/>
              </w:rPr>
              <w:t>15</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Discharge institution</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Teaching hospital</w:t>
            </w:r>
          </w:p>
        </w:tc>
        <w:tc>
          <w:tcPr>
            <w:tcW w:w="1440" w:type="dxa"/>
            <w:gridSpan w:val="2"/>
            <w:tcBorders/>
            <w:shd w:fill="auto" w:val="clear"/>
          </w:tcPr>
          <w:p>
            <w:pPr>
              <w:pStyle w:val="Normal"/>
              <w:jc w:val="center"/>
              <w:rPr>
                <w:sz w:val="20"/>
                <w:szCs w:val="20"/>
              </w:rPr>
            </w:pPr>
            <w:r>
              <w:rPr>
                <w:sz w:val="20"/>
                <w:szCs w:val="20"/>
              </w:rPr>
              <w:t>-3</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vertAlign w:val="superscript"/>
              </w:rPr>
            </w:pPr>
            <w:r>
              <w:rPr>
                <w:sz w:val="20"/>
                <w:szCs w:val="20"/>
              </w:rPr>
              <w:t>Large non-teaching hospital*</w:t>
            </w:r>
          </w:p>
        </w:tc>
        <w:tc>
          <w:tcPr>
            <w:tcW w:w="1440" w:type="dxa"/>
            <w:gridSpan w:val="2"/>
            <w:tcBorders/>
            <w:shd w:fill="auto" w:val="clear"/>
          </w:tcPr>
          <w:p>
            <w:pPr>
              <w:pStyle w:val="Normal"/>
              <w:jc w:val="center"/>
              <w:rPr>
                <w:sz w:val="20"/>
                <w:szCs w:val="20"/>
              </w:rPr>
            </w:pPr>
            <w:r>
              <w:rPr>
                <w:sz w:val="20"/>
                <w:szCs w:val="20"/>
              </w:rPr>
              <w:t>-1</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Length of stay (days)</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&lt;1</w:t>
            </w:r>
          </w:p>
        </w:tc>
        <w:tc>
          <w:tcPr>
            <w:tcW w:w="1440" w:type="dxa"/>
            <w:gridSpan w:val="2"/>
            <w:tcBorders/>
            <w:shd w:fill="auto" w:val="clear"/>
          </w:tcPr>
          <w:p>
            <w:pPr>
              <w:pStyle w:val="Normal"/>
              <w:jc w:val="center"/>
              <w:rPr>
                <w:sz w:val="20"/>
                <w:szCs w:val="20"/>
              </w:rPr>
            </w:pPr>
            <w:r>
              <w:rPr>
                <w:sz w:val="20"/>
                <w:szCs w:val="20"/>
              </w:rPr>
              <w:t>0</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1</w:t>
            </w:r>
          </w:p>
        </w:tc>
        <w:tc>
          <w:tcPr>
            <w:tcW w:w="1440" w:type="dxa"/>
            <w:gridSpan w:val="2"/>
            <w:tcBorders/>
            <w:shd w:fill="auto" w:val="clear"/>
          </w:tcPr>
          <w:p>
            <w:pPr>
              <w:pStyle w:val="Normal"/>
              <w:jc w:val="center"/>
              <w:rPr>
                <w:sz w:val="20"/>
                <w:szCs w:val="20"/>
              </w:rPr>
            </w:pPr>
            <w:r>
              <w:rPr>
                <w:sz w:val="20"/>
                <w:szCs w:val="20"/>
              </w:rPr>
              <w:t>2</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2</w:t>
            </w:r>
          </w:p>
        </w:tc>
        <w:tc>
          <w:tcPr>
            <w:tcW w:w="1440" w:type="dxa"/>
            <w:gridSpan w:val="2"/>
            <w:tcBorders/>
            <w:shd w:fill="auto" w:val="clear"/>
          </w:tcPr>
          <w:p>
            <w:pPr>
              <w:pStyle w:val="Normal"/>
              <w:jc w:val="center"/>
              <w:rPr>
                <w:sz w:val="20"/>
                <w:szCs w:val="20"/>
              </w:rPr>
            </w:pPr>
            <w:r>
              <w:rPr>
                <w:sz w:val="20"/>
                <w:szCs w:val="20"/>
              </w:rPr>
              <w:t>3</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3</w:t>
            </w:r>
          </w:p>
        </w:tc>
        <w:tc>
          <w:tcPr>
            <w:tcW w:w="1440" w:type="dxa"/>
            <w:gridSpan w:val="2"/>
            <w:tcBorders/>
            <w:shd w:fill="auto" w:val="clear"/>
          </w:tcPr>
          <w:p>
            <w:pPr>
              <w:pStyle w:val="Normal"/>
              <w:jc w:val="center"/>
              <w:rPr>
                <w:sz w:val="20"/>
                <w:szCs w:val="20"/>
              </w:rPr>
            </w:pPr>
            <w:r>
              <w:rPr>
                <w:sz w:val="20"/>
                <w:szCs w:val="20"/>
              </w:rPr>
              <w:t>4</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4</w:t>
            </w:r>
          </w:p>
        </w:tc>
        <w:tc>
          <w:tcPr>
            <w:tcW w:w="1440" w:type="dxa"/>
            <w:gridSpan w:val="2"/>
            <w:tcBorders/>
            <w:shd w:fill="auto" w:val="clear"/>
          </w:tcPr>
          <w:p>
            <w:pPr>
              <w:pStyle w:val="Normal"/>
              <w:jc w:val="center"/>
              <w:rPr>
                <w:sz w:val="20"/>
                <w:szCs w:val="20"/>
              </w:rPr>
            </w:pPr>
            <w:r>
              <w:rPr>
                <w:sz w:val="20"/>
                <w:szCs w:val="20"/>
              </w:rPr>
              <w:t>5</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5-6</w:t>
            </w:r>
          </w:p>
        </w:tc>
        <w:tc>
          <w:tcPr>
            <w:tcW w:w="1440" w:type="dxa"/>
            <w:gridSpan w:val="2"/>
            <w:tcBorders/>
            <w:shd w:fill="auto" w:val="clear"/>
          </w:tcPr>
          <w:p>
            <w:pPr>
              <w:pStyle w:val="Normal"/>
              <w:jc w:val="center"/>
              <w:rPr>
                <w:sz w:val="20"/>
                <w:szCs w:val="20"/>
              </w:rPr>
            </w:pPr>
            <w:r>
              <w:rPr>
                <w:sz w:val="20"/>
                <w:szCs w:val="20"/>
              </w:rPr>
              <w:t>6</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7-10</w:t>
            </w:r>
          </w:p>
        </w:tc>
        <w:tc>
          <w:tcPr>
            <w:tcW w:w="1440" w:type="dxa"/>
            <w:gridSpan w:val="2"/>
            <w:tcBorders/>
            <w:shd w:fill="auto" w:val="clear"/>
          </w:tcPr>
          <w:p>
            <w:pPr>
              <w:pStyle w:val="Normal"/>
              <w:jc w:val="center"/>
              <w:rPr>
                <w:sz w:val="20"/>
                <w:szCs w:val="20"/>
              </w:rPr>
            </w:pPr>
            <w:r>
              <w:rPr>
                <w:sz w:val="20"/>
                <w:szCs w:val="20"/>
              </w:rPr>
              <w:t>7</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jc w:val="center"/>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&gt;10</w:t>
            </w:r>
          </w:p>
        </w:tc>
        <w:tc>
          <w:tcPr>
            <w:tcW w:w="1440" w:type="dxa"/>
            <w:gridSpan w:val="2"/>
            <w:tcBorders/>
            <w:shd w:fill="auto" w:val="clear"/>
          </w:tcPr>
          <w:p>
            <w:pPr>
              <w:pStyle w:val="Normal"/>
              <w:jc w:val="center"/>
              <w:rPr>
                <w:sz w:val="20"/>
                <w:szCs w:val="20"/>
              </w:rPr>
            </w:pPr>
            <w:r>
              <w:rPr>
                <w:sz w:val="20"/>
                <w:szCs w:val="20"/>
              </w:rPr>
              <w:t>9</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CMG score</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&lt;-2</w:t>
            </w:r>
          </w:p>
        </w:tc>
        <w:tc>
          <w:tcPr>
            <w:tcW w:w="1440" w:type="dxa"/>
            <w:gridSpan w:val="2"/>
            <w:tcBorders/>
            <w:shd w:fill="auto" w:val="clear"/>
          </w:tcPr>
          <w:p>
            <w:pPr>
              <w:pStyle w:val="Normal"/>
              <w:jc w:val="center"/>
              <w:rPr>
                <w:sz w:val="20"/>
                <w:szCs w:val="20"/>
              </w:rPr>
            </w:pPr>
            <w:r>
              <w:rPr>
                <w:sz w:val="20"/>
                <w:szCs w:val="20"/>
              </w:rPr>
              <w:t>-13</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-2 - -1</w:t>
            </w:r>
          </w:p>
        </w:tc>
        <w:tc>
          <w:tcPr>
            <w:tcW w:w="1440" w:type="dxa"/>
            <w:gridSpan w:val="2"/>
            <w:tcBorders/>
            <w:shd w:fill="auto" w:val="clear"/>
          </w:tcPr>
          <w:p>
            <w:pPr>
              <w:pStyle w:val="Normal"/>
              <w:jc w:val="center"/>
              <w:rPr>
                <w:sz w:val="20"/>
                <w:szCs w:val="20"/>
              </w:rPr>
            </w:pPr>
            <w:r>
              <w:rPr>
                <w:sz w:val="20"/>
                <w:szCs w:val="20"/>
              </w:rPr>
              <w:t>-6</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0</w:t>
            </w:r>
          </w:p>
        </w:tc>
        <w:tc>
          <w:tcPr>
            <w:tcW w:w="1440" w:type="dxa"/>
            <w:gridSpan w:val="2"/>
            <w:tcBorders/>
            <w:shd w:fill="auto" w:val="clear"/>
          </w:tcPr>
          <w:p>
            <w:pPr>
              <w:pStyle w:val="Normal"/>
              <w:jc w:val="center"/>
              <w:rPr>
                <w:sz w:val="20"/>
                <w:szCs w:val="20"/>
              </w:rPr>
            </w:pPr>
            <w:r>
              <w:rPr>
                <w:sz w:val="20"/>
                <w:szCs w:val="20"/>
              </w:rPr>
              <w:t>0</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1-2</w:t>
            </w:r>
          </w:p>
        </w:tc>
        <w:tc>
          <w:tcPr>
            <w:tcW w:w="1440" w:type="dxa"/>
            <w:gridSpan w:val="2"/>
            <w:tcBorders/>
            <w:shd w:fill="auto" w:val="clear"/>
          </w:tcPr>
          <w:p>
            <w:pPr>
              <w:pStyle w:val="Normal"/>
              <w:jc w:val="center"/>
              <w:rPr>
                <w:sz w:val="20"/>
                <w:szCs w:val="20"/>
              </w:rPr>
            </w:pPr>
            <w:r>
              <w:rPr>
                <w:sz w:val="20"/>
                <w:szCs w:val="20"/>
              </w:rPr>
              <w:t>8</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&gt;2</w:t>
            </w:r>
          </w:p>
        </w:tc>
        <w:tc>
          <w:tcPr>
            <w:tcW w:w="1440" w:type="dxa"/>
            <w:gridSpan w:val="2"/>
            <w:tcBorders/>
            <w:shd w:fill="auto" w:val="clear"/>
          </w:tcPr>
          <w:p>
            <w:pPr>
              <w:pStyle w:val="Normal"/>
              <w:jc w:val="center"/>
              <w:rPr>
                <w:sz w:val="20"/>
                <w:szCs w:val="20"/>
              </w:rPr>
            </w:pPr>
            <w:r>
              <w:rPr>
                <w:sz w:val="20"/>
                <w:szCs w:val="20"/>
              </w:rPr>
              <w:t>24</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Number of days on ALC status</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0</w:t>
            </w:r>
          </w:p>
        </w:tc>
        <w:tc>
          <w:tcPr>
            <w:tcW w:w="1440" w:type="dxa"/>
            <w:gridSpan w:val="2"/>
            <w:tcBorders/>
            <w:shd w:fill="auto" w:val="clear"/>
          </w:tcPr>
          <w:p>
            <w:pPr>
              <w:pStyle w:val="Normal"/>
              <w:jc w:val="center"/>
              <w:rPr>
                <w:sz w:val="20"/>
                <w:szCs w:val="20"/>
              </w:rPr>
            </w:pPr>
            <w:r>
              <w:rPr>
                <w:sz w:val="20"/>
                <w:szCs w:val="20"/>
              </w:rPr>
              <w:t>0</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&gt;0</w:t>
            </w:r>
          </w:p>
        </w:tc>
        <w:tc>
          <w:tcPr>
            <w:tcW w:w="1440" w:type="dxa"/>
            <w:gridSpan w:val="2"/>
            <w:tcBorders/>
            <w:shd w:fill="auto" w:val="clear"/>
          </w:tcPr>
          <w:p>
            <w:pPr>
              <w:pStyle w:val="Normal"/>
              <w:jc w:val="center"/>
              <w:rPr>
                <w:sz w:val="20"/>
                <w:szCs w:val="20"/>
              </w:rPr>
            </w:pPr>
            <w:r>
              <w:rPr>
                <w:sz w:val="20"/>
                <w:szCs w:val="20"/>
              </w:rPr>
              <w:t>-1</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sz w:val="20"/>
                <w:szCs w:val="20"/>
              </w:rPr>
            </w:pPr>
            <w:r>
              <w:rPr>
                <w:sz w:val="20"/>
                <w:szCs w:val="20"/>
              </w:rPr>
              <w:t>Number of ED visits in previous 6 months</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0</w:t>
            </w:r>
          </w:p>
        </w:tc>
        <w:tc>
          <w:tcPr>
            <w:tcW w:w="1440" w:type="dxa"/>
            <w:gridSpan w:val="2"/>
            <w:tcBorders/>
            <w:shd w:fill="auto" w:val="clear"/>
          </w:tcPr>
          <w:p>
            <w:pPr>
              <w:pStyle w:val="Normal"/>
              <w:jc w:val="center"/>
              <w:rPr>
                <w:sz w:val="20"/>
                <w:szCs w:val="20"/>
              </w:rPr>
            </w:pPr>
            <w:r>
              <w:rPr>
                <w:sz w:val="20"/>
                <w:szCs w:val="20"/>
              </w:rPr>
              <w:t>0</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1</w:t>
            </w:r>
          </w:p>
        </w:tc>
        <w:tc>
          <w:tcPr>
            <w:tcW w:w="1440" w:type="dxa"/>
            <w:gridSpan w:val="2"/>
            <w:tcBorders/>
            <w:shd w:fill="auto" w:val="clear"/>
          </w:tcPr>
          <w:p>
            <w:pPr>
              <w:pStyle w:val="Normal"/>
              <w:jc w:val="center"/>
              <w:rPr>
                <w:sz w:val="20"/>
                <w:szCs w:val="20"/>
              </w:rPr>
            </w:pPr>
            <w:r>
              <w:rPr>
                <w:sz w:val="20"/>
                <w:szCs w:val="20"/>
              </w:rPr>
              <w:t>3</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&gt;1</w:t>
            </w:r>
          </w:p>
        </w:tc>
        <w:tc>
          <w:tcPr>
            <w:tcW w:w="1440" w:type="dxa"/>
            <w:gridSpan w:val="2"/>
            <w:tcBorders/>
            <w:shd w:fill="auto" w:val="clear"/>
          </w:tcPr>
          <w:p>
            <w:pPr>
              <w:pStyle w:val="Normal"/>
              <w:jc w:val="center"/>
              <w:rPr>
                <w:sz w:val="20"/>
                <w:szCs w:val="20"/>
              </w:rPr>
            </w:pPr>
            <w:r>
              <w:rPr>
                <w:sz w:val="20"/>
                <w:szCs w:val="20"/>
              </w:rPr>
              <w:t>6</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rPr/>
            </w:pPr>
            <w:r>
              <w:rPr>
                <w:sz w:val="20"/>
                <w:szCs w:val="20"/>
              </w:rPr>
              <w:t>Number of elective admissions in previous year</w:t>
            </w:r>
          </w:p>
        </w:tc>
        <w:tc>
          <w:tcPr>
            <w:tcW w:w="1440" w:type="dxa"/>
            <w:gridSpan w:val="2"/>
            <w:tcBorders/>
            <w:shd w:fill="auto" w:val="clear"/>
          </w:tcPr>
          <w:p>
            <w:pPr>
              <w:pStyle w:val="Normal"/>
              <w:snapToGrid w:val="false"/>
              <w:jc w:val="center"/>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shd w:fill="auto" w:val="clear"/>
          </w:tcPr>
          <w:p>
            <w:pPr>
              <w:pStyle w:val="Normal"/>
              <w:ind w:left="180" w:hanging="0"/>
              <w:rPr>
                <w:sz w:val="20"/>
                <w:szCs w:val="20"/>
              </w:rPr>
            </w:pPr>
            <w:r>
              <w:rPr>
                <w:sz w:val="20"/>
                <w:szCs w:val="20"/>
              </w:rPr>
              <w:t>0</w:t>
            </w:r>
          </w:p>
        </w:tc>
        <w:tc>
          <w:tcPr>
            <w:tcW w:w="1440" w:type="dxa"/>
            <w:gridSpan w:val="2"/>
            <w:tcBorders/>
            <w:shd w:fill="auto" w:val="clear"/>
          </w:tcPr>
          <w:p>
            <w:pPr>
              <w:pStyle w:val="Normal"/>
              <w:jc w:val="center"/>
              <w:rPr>
                <w:sz w:val="20"/>
                <w:szCs w:val="20"/>
              </w:rPr>
            </w:pPr>
            <w:r>
              <w:rPr>
                <w:sz w:val="20"/>
                <w:szCs w:val="20"/>
              </w:rPr>
              <w:t>0</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4068" w:type="dxa"/>
            <w:gridSpan w:val="5"/>
            <w:tcBorders>
              <w:bottom w:val="single" w:sz="4" w:space="0" w:color="000000"/>
              <w:insideH w:val="single" w:sz="4" w:space="0" w:color="000000"/>
            </w:tcBorders>
            <w:shd w:fill="auto" w:val="clear"/>
          </w:tcPr>
          <w:p>
            <w:pPr>
              <w:pStyle w:val="Normal"/>
              <w:ind w:left="180" w:hanging="0"/>
              <w:rPr>
                <w:sz w:val="20"/>
                <w:szCs w:val="20"/>
              </w:rPr>
            </w:pPr>
            <w:r>
              <w:rPr>
                <w:sz w:val="20"/>
                <w:szCs w:val="20"/>
              </w:rPr>
              <w:t>&gt;0</w:t>
            </w:r>
          </w:p>
        </w:tc>
        <w:tc>
          <w:tcPr>
            <w:tcW w:w="1440" w:type="dxa"/>
            <w:gridSpan w:val="2"/>
            <w:tcBorders>
              <w:bottom w:val="single" w:sz="4" w:space="0" w:color="000000"/>
              <w:insideH w:val="single" w:sz="4" w:space="0" w:color="000000"/>
            </w:tcBorders>
            <w:shd w:fill="auto" w:val="clear"/>
          </w:tcPr>
          <w:p>
            <w:pPr>
              <w:pStyle w:val="Normal"/>
              <w:jc w:val="center"/>
              <w:rPr>
                <w:sz w:val="20"/>
                <w:szCs w:val="20"/>
              </w:rPr>
            </w:pPr>
            <w:r>
              <w:rPr>
                <w:sz w:val="20"/>
                <w:szCs w:val="20"/>
              </w:rPr>
              <w:t>6</w:t>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jc w:val="center"/>
              <w:rPr>
                <w:sz w:val="20"/>
                <w:szCs w:val="20"/>
              </w:rPr>
            </w:pPr>
            <w:r>
              <w:rPr>
                <w:sz w:val="20"/>
                <w:szCs w:val="20"/>
              </w:rPr>
            </w:r>
          </w:p>
        </w:tc>
      </w:tr>
      <w:tr>
        <w:trPr/>
        <w:tc>
          <w:tcPr>
            <w:tcW w:w="1417" w:type="dxa"/>
            <w:tcBorders>
              <w:top w:val="single" w:sz="4" w:space="0" w:color="000000"/>
            </w:tcBorders>
            <w:shd w:fill="auto" w:val="clear"/>
          </w:tcPr>
          <w:p>
            <w:pPr>
              <w:pStyle w:val="Normal"/>
              <w:snapToGrid w:val="false"/>
              <w:rPr>
                <w:sz w:val="20"/>
                <w:szCs w:val="20"/>
              </w:rPr>
            </w:pPr>
            <w:r>
              <w:rPr>
                <w:sz w:val="20"/>
                <w:szCs w:val="20"/>
              </w:rPr>
            </w:r>
          </w:p>
        </w:tc>
        <w:tc>
          <w:tcPr>
            <w:tcW w:w="1777" w:type="dxa"/>
            <w:gridSpan w:val="2"/>
            <w:tcBorders>
              <w:top w:val="single" w:sz="4" w:space="0" w:color="000000"/>
            </w:tcBorders>
            <w:shd w:fill="auto" w:val="clear"/>
          </w:tcPr>
          <w:p>
            <w:pPr>
              <w:pStyle w:val="Normal"/>
              <w:snapToGrid w:val="false"/>
              <w:rPr>
                <w:sz w:val="20"/>
                <w:szCs w:val="20"/>
              </w:rPr>
            </w:pPr>
            <w:r>
              <w:rPr>
                <w:sz w:val="20"/>
                <w:szCs w:val="20"/>
              </w:rPr>
            </w:r>
          </w:p>
        </w:tc>
        <w:tc>
          <w:tcPr>
            <w:tcW w:w="874" w:type="dxa"/>
            <w:gridSpan w:val="2"/>
            <w:tcBorders>
              <w:top w:val="single" w:sz="4" w:space="0" w:color="000000"/>
            </w:tcBorders>
            <w:shd w:fill="auto" w:val="clear"/>
          </w:tcPr>
          <w:p>
            <w:pPr>
              <w:pStyle w:val="Normal"/>
              <w:snapToGrid w:val="false"/>
              <w:rPr>
                <w:sz w:val="20"/>
                <w:szCs w:val="20"/>
              </w:rPr>
            </w:pPr>
            <w:r>
              <w:rPr>
                <w:sz w:val="20"/>
                <w:szCs w:val="20"/>
              </w:rPr>
            </w:r>
          </w:p>
        </w:tc>
        <w:tc>
          <w:tcPr>
            <w:tcW w:w="1440" w:type="dxa"/>
            <w:gridSpan w:val="2"/>
            <w:tcBorders>
              <w:top w:val="single" w:sz="4" w:space="0" w:color="000000"/>
            </w:tcBorders>
            <w:shd w:fill="auto" w:val="clear"/>
          </w:tcPr>
          <w:p>
            <w:pPr>
              <w:pStyle w:val="Normal"/>
              <w:snapToGrid w:val="false"/>
              <w:rPr>
                <w:sz w:val="20"/>
                <w:szCs w:val="20"/>
              </w:rPr>
            </w:pPr>
            <w:r>
              <w:rPr>
                <w:sz w:val="20"/>
                <w:szCs w:val="20"/>
              </w:rPr>
            </w:r>
          </w:p>
        </w:tc>
        <w:tc>
          <w:tcPr>
            <w:tcW w:w="1301" w:type="dxa"/>
            <w:tcBorders/>
            <w:shd w:fill="auto" w:val="clear"/>
          </w:tcPr>
          <w:p>
            <w:pPr>
              <w:pStyle w:val="Normal"/>
              <w:snapToGrid w:val="false"/>
              <w:rPr>
                <w:sz w:val="20"/>
                <w:szCs w:val="20"/>
              </w:rPr>
            </w:pPr>
            <w:r>
              <w:rPr>
                <w:sz w:val="20"/>
                <w:szCs w:val="20"/>
              </w:rPr>
            </w:r>
          </w:p>
        </w:tc>
        <w:tc>
          <w:tcPr>
            <w:tcW w:w="1249" w:type="dxa"/>
            <w:tcBorders/>
            <w:shd w:fill="auto" w:val="clear"/>
          </w:tcPr>
          <w:p>
            <w:pPr>
              <w:pStyle w:val="Normal"/>
              <w:snapToGrid w:val="false"/>
              <w:rPr>
                <w:sz w:val="20"/>
                <w:szCs w:val="20"/>
              </w:rPr>
            </w:pPr>
            <w:r>
              <w:rPr>
                <w:sz w:val="20"/>
                <w:szCs w:val="20"/>
              </w:rPr>
            </w:r>
          </w:p>
        </w:tc>
        <w:tc>
          <w:tcPr>
            <w:tcW w:w="1422" w:type="dxa"/>
            <w:tcBorders/>
            <w:shd w:fill="auto" w:val="clear"/>
          </w:tcPr>
          <w:p>
            <w:pPr>
              <w:pStyle w:val="Normal"/>
              <w:snapToGrid w:val="false"/>
              <w:rPr>
                <w:sz w:val="20"/>
                <w:szCs w:val="20"/>
              </w:rPr>
            </w:pPr>
            <w:r>
              <w:rPr>
                <w:sz w:val="20"/>
                <w:szCs w:val="20"/>
              </w:rPr>
            </w:r>
          </w:p>
        </w:tc>
      </w:tr>
      <w:tr>
        <w:trPr/>
        <w:tc>
          <w:tcPr>
            <w:tcW w:w="1417" w:type="dxa"/>
            <w:tcBorders/>
            <w:shd w:fill="auto" w:val="clear"/>
          </w:tcPr>
          <w:p>
            <w:pPr>
              <w:pStyle w:val="Normal"/>
              <w:snapToGrid w:val="false"/>
              <w:rPr>
                <w:sz w:val="20"/>
                <w:szCs w:val="20"/>
              </w:rPr>
            </w:pPr>
            <w:r>
              <w:rPr>
                <w:sz w:val="20"/>
                <w:szCs w:val="20"/>
              </w:rPr>
            </w:r>
          </w:p>
        </w:tc>
        <w:tc>
          <w:tcPr>
            <w:tcW w:w="8063" w:type="dxa"/>
            <w:gridSpan w:val="9"/>
            <w:tcBorders/>
            <w:shd w:fill="auto" w:val="clear"/>
          </w:tcPr>
          <w:p>
            <w:pPr>
              <w:pStyle w:val="Normal"/>
              <w:jc w:val="center"/>
              <w:rPr>
                <w:b/>
                <w:b/>
                <w:sz w:val="20"/>
                <w:szCs w:val="20"/>
              </w:rPr>
            </w:pPr>
            <w:r>
              <w:rPr>
                <w:b/>
                <w:sz w:val="20"/>
                <w:szCs w:val="20"/>
              </w:rPr>
              <w:t>Points by Charlson score and number of urgent admissions in previous year</w:t>
            </w:r>
          </w:p>
        </w:tc>
      </w:tr>
      <w:tr>
        <w:trPr/>
        <w:tc>
          <w:tcPr>
            <w:tcW w:w="1417" w:type="dxa"/>
            <w:tcBorders/>
            <w:shd w:fill="auto" w:val="clear"/>
          </w:tcPr>
          <w:p>
            <w:pPr>
              <w:pStyle w:val="Normal"/>
              <w:snapToGrid w:val="false"/>
              <w:rPr>
                <w:b/>
                <w:b/>
                <w:sz w:val="20"/>
                <w:szCs w:val="20"/>
              </w:rPr>
            </w:pPr>
            <w:r>
              <w:rPr>
                <w:b/>
                <w:sz w:val="20"/>
                <w:szCs w:val="20"/>
              </w:rPr>
            </w:r>
          </w:p>
        </w:tc>
        <w:tc>
          <w:tcPr>
            <w:tcW w:w="3911" w:type="dxa"/>
            <w:gridSpan w:val="5"/>
            <w:tcBorders>
              <w:bottom w:val="single" w:sz="4" w:space="0" w:color="000000"/>
              <w:insideH w:val="single" w:sz="4" w:space="0" w:color="000000"/>
            </w:tcBorders>
            <w:shd w:fill="auto" w:val="clear"/>
          </w:tcPr>
          <w:p>
            <w:pPr>
              <w:pStyle w:val="Normal"/>
              <w:jc w:val="center"/>
              <w:rPr>
                <w:b/>
                <w:b/>
                <w:sz w:val="20"/>
                <w:szCs w:val="20"/>
              </w:rPr>
            </w:pPr>
            <w:r>
              <w:rPr>
                <w:b/>
                <w:sz w:val="20"/>
                <w:szCs w:val="20"/>
              </w:rPr>
              <w:t>Previous urgent admissions = 0</w:t>
            </w:r>
          </w:p>
        </w:tc>
        <w:tc>
          <w:tcPr>
            <w:tcW w:w="4152" w:type="dxa"/>
            <w:gridSpan w:val="4"/>
            <w:tcBorders>
              <w:bottom w:val="single" w:sz="4" w:space="0" w:color="000000"/>
              <w:insideH w:val="single" w:sz="4" w:space="0" w:color="000000"/>
            </w:tcBorders>
            <w:shd w:fill="auto" w:val="clear"/>
          </w:tcPr>
          <w:p>
            <w:pPr>
              <w:pStyle w:val="Normal"/>
              <w:jc w:val="center"/>
              <w:rPr>
                <w:b/>
                <w:b/>
                <w:sz w:val="20"/>
                <w:szCs w:val="20"/>
              </w:rPr>
            </w:pPr>
            <w:r>
              <w:rPr>
                <w:b/>
                <w:sz w:val="20"/>
                <w:szCs w:val="20"/>
              </w:rPr>
              <w:t>Previous urgent admissions &gt; 0</w:t>
            </w:r>
          </w:p>
        </w:tc>
      </w:tr>
      <w:tr>
        <w:trPr/>
        <w:tc>
          <w:tcPr>
            <w:tcW w:w="1417" w:type="dxa"/>
            <w:tcBorders>
              <w:bottom w:val="single" w:sz="4" w:space="0" w:color="000000"/>
              <w:insideH w:val="single" w:sz="4" w:space="0" w:color="000000"/>
            </w:tcBorders>
            <w:shd w:fill="auto" w:val="clear"/>
          </w:tcPr>
          <w:p>
            <w:pPr>
              <w:pStyle w:val="Normal"/>
              <w:rPr>
                <w:b/>
                <w:b/>
                <w:sz w:val="20"/>
                <w:szCs w:val="20"/>
              </w:rPr>
            </w:pPr>
            <w:r>
              <w:rPr>
                <w:b/>
                <w:sz w:val="20"/>
                <w:szCs w:val="20"/>
              </w:rPr>
              <w:t>PREDICTOR</w:t>
            </w:r>
          </w:p>
        </w:tc>
        <w:tc>
          <w:tcPr>
            <w:tcW w:w="1211" w:type="dxa"/>
            <w:tcBorders>
              <w:top w:val="single" w:sz="4" w:space="0" w:color="000000"/>
              <w:bottom w:val="single" w:sz="4" w:space="0" w:color="000000"/>
              <w:insideH w:val="single" w:sz="4" w:space="0" w:color="000000"/>
            </w:tcBorders>
            <w:shd w:fill="auto" w:val="clear"/>
          </w:tcPr>
          <w:p>
            <w:pPr>
              <w:pStyle w:val="Normal"/>
              <w:jc w:val="center"/>
              <w:rPr>
                <w:b/>
                <w:b/>
                <w:sz w:val="20"/>
                <w:szCs w:val="20"/>
              </w:rPr>
            </w:pPr>
            <w:r>
              <w:rPr>
                <w:b/>
                <w:sz w:val="20"/>
                <w:szCs w:val="20"/>
              </w:rPr>
              <w:t>Charlson 0</w:t>
            </w:r>
          </w:p>
        </w:tc>
        <w:tc>
          <w:tcPr>
            <w:tcW w:w="1260" w:type="dxa"/>
            <w:gridSpan w:val="2"/>
            <w:tcBorders>
              <w:top w:val="single" w:sz="4" w:space="0" w:color="000000"/>
              <w:bottom w:val="single" w:sz="4" w:space="0" w:color="000000"/>
              <w:insideH w:val="single" w:sz="4" w:space="0" w:color="000000"/>
            </w:tcBorders>
            <w:shd w:fill="auto" w:val="clear"/>
          </w:tcPr>
          <w:p>
            <w:pPr>
              <w:pStyle w:val="Normal"/>
              <w:jc w:val="center"/>
              <w:rPr>
                <w:b/>
                <w:b/>
                <w:sz w:val="20"/>
                <w:szCs w:val="20"/>
              </w:rPr>
            </w:pPr>
            <w:r>
              <w:rPr>
                <w:b/>
                <w:sz w:val="20"/>
                <w:szCs w:val="20"/>
              </w:rPr>
              <w:t>Charlson 1</w:t>
            </w:r>
          </w:p>
        </w:tc>
        <w:tc>
          <w:tcPr>
            <w:tcW w:w="1440" w:type="dxa"/>
            <w:gridSpan w:val="2"/>
            <w:tcBorders>
              <w:top w:val="single" w:sz="4" w:space="0" w:color="000000"/>
              <w:bottom w:val="single" w:sz="4" w:space="0" w:color="000000"/>
              <w:insideH w:val="single" w:sz="4" w:space="0" w:color="000000"/>
            </w:tcBorders>
            <w:shd w:fill="auto" w:val="clear"/>
          </w:tcPr>
          <w:p>
            <w:pPr>
              <w:pStyle w:val="Normal"/>
              <w:jc w:val="center"/>
              <w:rPr>
                <w:b/>
                <w:b/>
                <w:sz w:val="20"/>
                <w:szCs w:val="20"/>
              </w:rPr>
            </w:pPr>
            <w:r>
              <w:rPr>
                <w:b/>
                <w:sz w:val="20"/>
                <w:szCs w:val="20"/>
              </w:rPr>
              <w:t>Charlson &gt;1</w:t>
            </w:r>
          </w:p>
        </w:tc>
        <w:tc>
          <w:tcPr>
            <w:tcW w:w="1481" w:type="dxa"/>
            <w:gridSpan w:val="2"/>
            <w:tcBorders>
              <w:top w:val="single" w:sz="4" w:space="0" w:color="000000"/>
              <w:bottom w:val="single" w:sz="4" w:space="0" w:color="000000"/>
              <w:insideH w:val="single" w:sz="4" w:space="0" w:color="000000"/>
            </w:tcBorders>
            <w:shd w:fill="auto" w:val="clear"/>
          </w:tcPr>
          <w:p>
            <w:pPr>
              <w:pStyle w:val="Normal"/>
              <w:jc w:val="center"/>
              <w:rPr>
                <w:b/>
                <w:b/>
                <w:sz w:val="20"/>
                <w:szCs w:val="20"/>
              </w:rPr>
            </w:pPr>
            <w:r>
              <w:rPr>
                <w:b/>
                <w:sz w:val="20"/>
                <w:szCs w:val="20"/>
              </w:rPr>
              <w:t>Charlson 0</w:t>
            </w:r>
          </w:p>
        </w:tc>
        <w:tc>
          <w:tcPr>
            <w:tcW w:w="1249" w:type="dxa"/>
            <w:tcBorders>
              <w:top w:val="single" w:sz="4" w:space="0" w:color="000000"/>
              <w:bottom w:val="single" w:sz="4" w:space="0" w:color="000000"/>
              <w:insideH w:val="single" w:sz="4" w:space="0" w:color="000000"/>
            </w:tcBorders>
            <w:shd w:fill="auto" w:val="clear"/>
          </w:tcPr>
          <w:p>
            <w:pPr>
              <w:pStyle w:val="Normal"/>
              <w:jc w:val="center"/>
              <w:rPr/>
            </w:pPr>
            <w:r>
              <w:rPr>
                <w:b/>
                <w:sz w:val="20"/>
                <w:szCs w:val="20"/>
              </w:rPr>
              <w:t>Charlson 1</w:t>
            </w:r>
          </w:p>
        </w:tc>
        <w:tc>
          <w:tcPr>
            <w:tcW w:w="1422" w:type="dxa"/>
            <w:tcBorders>
              <w:top w:val="single" w:sz="4" w:space="0" w:color="000000"/>
              <w:bottom w:val="single" w:sz="4" w:space="0" w:color="000000"/>
              <w:insideH w:val="single" w:sz="4" w:space="0" w:color="000000"/>
            </w:tcBorders>
            <w:shd w:fill="auto" w:val="clear"/>
          </w:tcPr>
          <w:p>
            <w:pPr>
              <w:pStyle w:val="Normal"/>
              <w:jc w:val="center"/>
              <w:rPr>
                <w:b/>
                <w:b/>
                <w:sz w:val="20"/>
                <w:szCs w:val="20"/>
              </w:rPr>
            </w:pPr>
            <w:r>
              <w:rPr>
                <w:b/>
                <w:sz w:val="20"/>
                <w:szCs w:val="20"/>
              </w:rPr>
              <w:t>Charlson &gt; 1</w:t>
            </w:r>
          </w:p>
        </w:tc>
      </w:tr>
      <w:tr>
        <w:trPr/>
        <w:tc>
          <w:tcPr>
            <w:tcW w:w="1417" w:type="dxa"/>
            <w:tcBorders>
              <w:top w:val="single" w:sz="4" w:space="0" w:color="000000"/>
            </w:tcBorders>
            <w:shd w:fill="auto" w:val="clear"/>
          </w:tcPr>
          <w:p>
            <w:pPr>
              <w:pStyle w:val="Normal"/>
              <w:rPr>
                <w:sz w:val="20"/>
                <w:szCs w:val="20"/>
              </w:rPr>
            </w:pPr>
            <w:r>
              <w:rPr>
                <w:sz w:val="20"/>
                <w:szCs w:val="20"/>
              </w:rPr>
              <w:t>Age (years)</w:t>
            </w:r>
          </w:p>
        </w:tc>
        <w:tc>
          <w:tcPr>
            <w:tcW w:w="1211" w:type="dxa"/>
            <w:tcBorders>
              <w:top w:val="single" w:sz="4" w:space="0" w:color="000000"/>
            </w:tcBorders>
            <w:shd w:fill="auto" w:val="clear"/>
          </w:tcPr>
          <w:p>
            <w:pPr>
              <w:pStyle w:val="Normal"/>
              <w:snapToGrid w:val="false"/>
              <w:rPr>
                <w:sz w:val="20"/>
                <w:szCs w:val="20"/>
              </w:rPr>
            </w:pPr>
            <w:r>
              <w:rPr>
                <w:sz w:val="20"/>
                <w:szCs w:val="20"/>
              </w:rPr>
            </w:r>
          </w:p>
        </w:tc>
        <w:tc>
          <w:tcPr>
            <w:tcW w:w="1260" w:type="dxa"/>
            <w:gridSpan w:val="2"/>
            <w:tcBorders>
              <w:top w:val="single" w:sz="4" w:space="0" w:color="000000"/>
            </w:tcBorders>
            <w:shd w:fill="auto" w:val="clear"/>
          </w:tcPr>
          <w:p>
            <w:pPr>
              <w:pStyle w:val="Normal"/>
              <w:snapToGrid w:val="false"/>
              <w:rPr>
                <w:sz w:val="20"/>
                <w:szCs w:val="20"/>
              </w:rPr>
            </w:pPr>
            <w:r>
              <w:rPr>
                <w:sz w:val="20"/>
                <w:szCs w:val="20"/>
              </w:rPr>
            </w:r>
          </w:p>
        </w:tc>
        <w:tc>
          <w:tcPr>
            <w:tcW w:w="1440" w:type="dxa"/>
            <w:gridSpan w:val="2"/>
            <w:tcBorders>
              <w:top w:val="single" w:sz="4" w:space="0" w:color="000000"/>
            </w:tcBorders>
            <w:shd w:fill="auto" w:val="clear"/>
          </w:tcPr>
          <w:p>
            <w:pPr>
              <w:pStyle w:val="Normal"/>
              <w:snapToGrid w:val="false"/>
              <w:rPr>
                <w:sz w:val="20"/>
                <w:szCs w:val="20"/>
              </w:rPr>
            </w:pPr>
            <w:r>
              <w:rPr>
                <w:sz w:val="20"/>
                <w:szCs w:val="20"/>
              </w:rPr>
            </w:r>
          </w:p>
        </w:tc>
        <w:tc>
          <w:tcPr>
            <w:tcW w:w="1481" w:type="dxa"/>
            <w:gridSpan w:val="2"/>
            <w:tcBorders>
              <w:top w:val="single" w:sz="4" w:space="0" w:color="000000"/>
            </w:tcBorders>
            <w:shd w:fill="auto" w:val="clear"/>
          </w:tcPr>
          <w:p>
            <w:pPr>
              <w:pStyle w:val="Normal"/>
              <w:snapToGrid w:val="false"/>
              <w:rPr>
                <w:sz w:val="20"/>
                <w:szCs w:val="20"/>
              </w:rPr>
            </w:pPr>
            <w:r>
              <w:rPr>
                <w:sz w:val="20"/>
                <w:szCs w:val="20"/>
              </w:rPr>
            </w:r>
          </w:p>
        </w:tc>
        <w:tc>
          <w:tcPr>
            <w:tcW w:w="1249" w:type="dxa"/>
            <w:tcBorders>
              <w:top w:val="single" w:sz="4" w:space="0" w:color="000000"/>
            </w:tcBorders>
            <w:shd w:fill="auto" w:val="clear"/>
          </w:tcPr>
          <w:p>
            <w:pPr>
              <w:pStyle w:val="Normal"/>
              <w:snapToGrid w:val="false"/>
              <w:rPr>
                <w:sz w:val="20"/>
                <w:szCs w:val="20"/>
              </w:rPr>
            </w:pPr>
            <w:r>
              <w:rPr>
                <w:sz w:val="20"/>
                <w:szCs w:val="20"/>
              </w:rPr>
            </w:r>
          </w:p>
        </w:tc>
        <w:tc>
          <w:tcPr>
            <w:tcW w:w="1422" w:type="dxa"/>
            <w:tcBorders>
              <w:top w:val="single" w:sz="4" w:space="0" w:color="000000"/>
            </w:tcBorders>
            <w:shd w:fill="auto" w:val="clear"/>
          </w:tcPr>
          <w:p>
            <w:pPr>
              <w:pStyle w:val="Normal"/>
              <w:snapToGrid w:val="false"/>
              <w:rPr>
                <w:sz w:val="20"/>
                <w:szCs w:val="20"/>
              </w:rPr>
            </w:pPr>
            <w:r>
              <w:rPr>
                <w:sz w:val="20"/>
                <w:szCs w:val="20"/>
              </w:rPr>
            </w:r>
          </w:p>
        </w:tc>
      </w:tr>
      <w:tr>
        <w:trPr/>
        <w:tc>
          <w:tcPr>
            <w:tcW w:w="1417" w:type="dxa"/>
            <w:tcBorders/>
            <w:shd w:fill="auto" w:val="clear"/>
          </w:tcPr>
          <w:p>
            <w:pPr>
              <w:pStyle w:val="Normal"/>
              <w:ind w:left="180" w:hanging="0"/>
              <w:rPr>
                <w:sz w:val="20"/>
                <w:szCs w:val="20"/>
              </w:rPr>
            </w:pPr>
            <w:r>
              <w:rPr>
                <w:sz w:val="20"/>
                <w:szCs w:val="20"/>
              </w:rPr>
              <w:t>&lt;32</w:t>
            </w:r>
          </w:p>
        </w:tc>
        <w:tc>
          <w:tcPr>
            <w:tcW w:w="1211" w:type="dxa"/>
            <w:tcBorders/>
            <w:shd w:fill="auto" w:val="clear"/>
            <w:vAlign w:val="bottom"/>
          </w:tcPr>
          <w:p>
            <w:pPr>
              <w:pStyle w:val="Normal"/>
              <w:jc w:val="center"/>
              <w:rPr>
                <w:sz w:val="20"/>
                <w:szCs w:val="20"/>
              </w:rPr>
            </w:pPr>
            <w:r>
              <w:rPr>
                <w:sz w:val="20"/>
                <w:szCs w:val="20"/>
              </w:rPr>
              <w:t>0</w:t>
            </w:r>
          </w:p>
        </w:tc>
        <w:tc>
          <w:tcPr>
            <w:tcW w:w="1260" w:type="dxa"/>
            <w:gridSpan w:val="2"/>
            <w:tcBorders/>
            <w:shd w:fill="auto" w:val="clear"/>
            <w:vAlign w:val="bottom"/>
          </w:tcPr>
          <w:p>
            <w:pPr>
              <w:pStyle w:val="Normal"/>
              <w:jc w:val="center"/>
              <w:rPr>
                <w:sz w:val="20"/>
                <w:szCs w:val="20"/>
              </w:rPr>
            </w:pPr>
            <w:r>
              <w:rPr>
                <w:sz w:val="20"/>
                <w:szCs w:val="20"/>
              </w:rPr>
              <w:t>10</w:t>
            </w:r>
          </w:p>
        </w:tc>
        <w:tc>
          <w:tcPr>
            <w:tcW w:w="1440" w:type="dxa"/>
            <w:gridSpan w:val="2"/>
            <w:tcBorders/>
            <w:shd w:fill="auto" w:val="clear"/>
            <w:vAlign w:val="bottom"/>
          </w:tcPr>
          <w:p>
            <w:pPr>
              <w:pStyle w:val="Normal"/>
              <w:jc w:val="center"/>
              <w:rPr>
                <w:sz w:val="20"/>
                <w:szCs w:val="20"/>
              </w:rPr>
            </w:pPr>
            <w:r>
              <w:rPr>
                <w:sz w:val="20"/>
                <w:szCs w:val="20"/>
              </w:rPr>
              <w:t>30</w:t>
            </w:r>
          </w:p>
        </w:tc>
        <w:tc>
          <w:tcPr>
            <w:tcW w:w="1481" w:type="dxa"/>
            <w:gridSpan w:val="2"/>
            <w:tcBorders/>
            <w:shd w:fill="auto" w:val="clear"/>
            <w:vAlign w:val="bottom"/>
          </w:tcPr>
          <w:p>
            <w:pPr>
              <w:pStyle w:val="Normal"/>
              <w:jc w:val="center"/>
              <w:rPr>
                <w:sz w:val="20"/>
                <w:szCs w:val="20"/>
              </w:rPr>
            </w:pPr>
            <w:r>
              <w:rPr>
                <w:sz w:val="20"/>
                <w:szCs w:val="20"/>
              </w:rPr>
              <w:t>25</w:t>
            </w:r>
          </w:p>
        </w:tc>
        <w:tc>
          <w:tcPr>
            <w:tcW w:w="1249" w:type="dxa"/>
            <w:tcBorders/>
            <w:shd w:fill="auto" w:val="clear"/>
            <w:vAlign w:val="bottom"/>
          </w:tcPr>
          <w:p>
            <w:pPr>
              <w:pStyle w:val="Normal"/>
              <w:jc w:val="center"/>
              <w:rPr>
                <w:sz w:val="20"/>
                <w:szCs w:val="20"/>
              </w:rPr>
            </w:pPr>
            <w:r>
              <w:rPr>
                <w:sz w:val="20"/>
                <w:szCs w:val="20"/>
              </w:rPr>
              <w:t>33</w:t>
            </w:r>
          </w:p>
        </w:tc>
        <w:tc>
          <w:tcPr>
            <w:tcW w:w="1422" w:type="dxa"/>
            <w:tcBorders/>
            <w:shd w:fill="auto" w:val="clear"/>
            <w:vAlign w:val="bottom"/>
          </w:tcPr>
          <w:p>
            <w:pPr>
              <w:pStyle w:val="Normal"/>
              <w:jc w:val="center"/>
              <w:rPr>
                <w:sz w:val="20"/>
                <w:szCs w:val="20"/>
              </w:rPr>
            </w:pPr>
            <w:r>
              <w:rPr>
                <w:sz w:val="20"/>
                <w:szCs w:val="20"/>
              </w:rPr>
              <w:t>48</w:t>
            </w:r>
          </w:p>
        </w:tc>
      </w:tr>
      <w:tr>
        <w:trPr/>
        <w:tc>
          <w:tcPr>
            <w:tcW w:w="1417" w:type="dxa"/>
            <w:tcBorders/>
            <w:shd w:fill="auto" w:val="clear"/>
          </w:tcPr>
          <w:p>
            <w:pPr>
              <w:pStyle w:val="Normal"/>
              <w:ind w:left="180" w:hanging="0"/>
              <w:rPr>
                <w:sz w:val="20"/>
                <w:szCs w:val="20"/>
              </w:rPr>
            </w:pPr>
            <w:r>
              <w:rPr>
                <w:sz w:val="20"/>
                <w:szCs w:val="20"/>
              </w:rPr>
              <w:t>32-40</w:t>
            </w:r>
          </w:p>
        </w:tc>
        <w:tc>
          <w:tcPr>
            <w:tcW w:w="1211" w:type="dxa"/>
            <w:tcBorders/>
            <w:shd w:fill="auto" w:val="clear"/>
            <w:vAlign w:val="bottom"/>
          </w:tcPr>
          <w:p>
            <w:pPr>
              <w:pStyle w:val="Normal"/>
              <w:jc w:val="center"/>
              <w:rPr>
                <w:sz w:val="20"/>
                <w:szCs w:val="20"/>
              </w:rPr>
            </w:pPr>
            <w:r>
              <w:rPr>
                <w:sz w:val="20"/>
                <w:szCs w:val="20"/>
              </w:rPr>
              <w:t>2</w:t>
            </w:r>
          </w:p>
        </w:tc>
        <w:tc>
          <w:tcPr>
            <w:tcW w:w="1260" w:type="dxa"/>
            <w:gridSpan w:val="2"/>
            <w:tcBorders/>
            <w:shd w:fill="auto" w:val="clear"/>
            <w:vAlign w:val="bottom"/>
          </w:tcPr>
          <w:p>
            <w:pPr>
              <w:pStyle w:val="Normal"/>
              <w:jc w:val="center"/>
              <w:rPr>
                <w:sz w:val="20"/>
                <w:szCs w:val="20"/>
              </w:rPr>
            </w:pPr>
            <w:r>
              <w:rPr>
                <w:sz w:val="20"/>
                <w:szCs w:val="20"/>
              </w:rPr>
              <w:t>12</w:t>
            </w:r>
          </w:p>
        </w:tc>
        <w:tc>
          <w:tcPr>
            <w:tcW w:w="1440" w:type="dxa"/>
            <w:gridSpan w:val="2"/>
            <w:tcBorders/>
            <w:shd w:fill="auto" w:val="clear"/>
            <w:vAlign w:val="bottom"/>
          </w:tcPr>
          <w:p>
            <w:pPr>
              <w:pStyle w:val="Normal"/>
              <w:jc w:val="center"/>
              <w:rPr>
                <w:sz w:val="20"/>
                <w:szCs w:val="20"/>
              </w:rPr>
            </w:pPr>
            <w:r>
              <w:rPr>
                <w:sz w:val="20"/>
                <w:szCs w:val="20"/>
              </w:rPr>
              <w:t>31</w:t>
            </w:r>
          </w:p>
        </w:tc>
        <w:tc>
          <w:tcPr>
            <w:tcW w:w="1481" w:type="dxa"/>
            <w:gridSpan w:val="2"/>
            <w:tcBorders/>
            <w:shd w:fill="auto" w:val="clear"/>
            <w:vAlign w:val="bottom"/>
          </w:tcPr>
          <w:p>
            <w:pPr>
              <w:pStyle w:val="Normal"/>
              <w:jc w:val="center"/>
              <w:rPr>
                <w:sz w:val="20"/>
                <w:szCs w:val="20"/>
              </w:rPr>
            </w:pPr>
            <w:r>
              <w:rPr>
                <w:sz w:val="20"/>
                <w:szCs w:val="20"/>
              </w:rPr>
              <w:t>26</w:t>
            </w:r>
          </w:p>
        </w:tc>
        <w:tc>
          <w:tcPr>
            <w:tcW w:w="1249" w:type="dxa"/>
            <w:tcBorders/>
            <w:shd w:fill="auto" w:val="clear"/>
            <w:vAlign w:val="bottom"/>
          </w:tcPr>
          <w:p>
            <w:pPr>
              <w:pStyle w:val="Normal"/>
              <w:jc w:val="center"/>
              <w:rPr>
                <w:sz w:val="20"/>
                <w:szCs w:val="20"/>
              </w:rPr>
            </w:pPr>
            <w:r>
              <w:rPr>
                <w:sz w:val="20"/>
                <w:szCs w:val="20"/>
              </w:rPr>
              <w:t>34</w:t>
            </w:r>
          </w:p>
        </w:tc>
        <w:tc>
          <w:tcPr>
            <w:tcW w:w="1422" w:type="dxa"/>
            <w:tcBorders/>
            <w:shd w:fill="auto" w:val="clear"/>
            <w:vAlign w:val="bottom"/>
          </w:tcPr>
          <w:p>
            <w:pPr>
              <w:pStyle w:val="Normal"/>
              <w:jc w:val="center"/>
              <w:rPr>
                <w:sz w:val="20"/>
                <w:szCs w:val="20"/>
              </w:rPr>
            </w:pPr>
            <w:r>
              <w:rPr>
                <w:sz w:val="20"/>
                <w:szCs w:val="20"/>
              </w:rPr>
              <w:t>48</w:t>
            </w:r>
          </w:p>
        </w:tc>
      </w:tr>
      <w:tr>
        <w:trPr/>
        <w:tc>
          <w:tcPr>
            <w:tcW w:w="1417" w:type="dxa"/>
            <w:tcBorders/>
            <w:shd w:fill="auto" w:val="clear"/>
          </w:tcPr>
          <w:p>
            <w:pPr>
              <w:pStyle w:val="Normal"/>
              <w:ind w:left="180" w:hanging="0"/>
              <w:rPr>
                <w:sz w:val="20"/>
                <w:szCs w:val="20"/>
              </w:rPr>
            </w:pPr>
            <w:r>
              <w:rPr>
                <w:sz w:val="20"/>
                <w:szCs w:val="20"/>
              </w:rPr>
              <w:t>41-46</w:t>
            </w:r>
          </w:p>
        </w:tc>
        <w:tc>
          <w:tcPr>
            <w:tcW w:w="1211" w:type="dxa"/>
            <w:tcBorders/>
            <w:shd w:fill="auto" w:val="clear"/>
            <w:vAlign w:val="bottom"/>
          </w:tcPr>
          <w:p>
            <w:pPr>
              <w:pStyle w:val="Normal"/>
              <w:jc w:val="center"/>
              <w:rPr>
                <w:sz w:val="20"/>
                <w:szCs w:val="20"/>
              </w:rPr>
            </w:pPr>
            <w:r>
              <w:rPr>
                <w:sz w:val="20"/>
                <w:szCs w:val="20"/>
              </w:rPr>
              <w:t>5</w:t>
            </w:r>
          </w:p>
        </w:tc>
        <w:tc>
          <w:tcPr>
            <w:tcW w:w="1260" w:type="dxa"/>
            <w:gridSpan w:val="2"/>
            <w:tcBorders/>
            <w:shd w:fill="auto" w:val="clear"/>
            <w:vAlign w:val="bottom"/>
          </w:tcPr>
          <w:p>
            <w:pPr>
              <w:pStyle w:val="Normal"/>
              <w:jc w:val="center"/>
              <w:rPr>
                <w:sz w:val="20"/>
                <w:szCs w:val="20"/>
              </w:rPr>
            </w:pPr>
            <w:r>
              <w:rPr>
                <w:sz w:val="20"/>
                <w:szCs w:val="20"/>
              </w:rPr>
              <w:t>15</w:t>
            </w:r>
          </w:p>
        </w:tc>
        <w:tc>
          <w:tcPr>
            <w:tcW w:w="1440" w:type="dxa"/>
            <w:gridSpan w:val="2"/>
            <w:tcBorders/>
            <w:shd w:fill="auto" w:val="clear"/>
            <w:vAlign w:val="bottom"/>
          </w:tcPr>
          <w:p>
            <w:pPr>
              <w:pStyle w:val="Normal"/>
              <w:jc w:val="center"/>
              <w:rPr>
                <w:sz w:val="20"/>
                <w:szCs w:val="20"/>
              </w:rPr>
            </w:pPr>
            <w:r>
              <w:rPr>
                <w:sz w:val="20"/>
                <w:szCs w:val="20"/>
              </w:rPr>
              <w:t>34</w:t>
            </w:r>
          </w:p>
        </w:tc>
        <w:tc>
          <w:tcPr>
            <w:tcW w:w="1481" w:type="dxa"/>
            <w:gridSpan w:val="2"/>
            <w:tcBorders/>
            <w:shd w:fill="auto" w:val="clear"/>
            <w:vAlign w:val="bottom"/>
          </w:tcPr>
          <w:p>
            <w:pPr>
              <w:pStyle w:val="Normal"/>
              <w:jc w:val="center"/>
              <w:rPr>
                <w:sz w:val="20"/>
                <w:szCs w:val="20"/>
              </w:rPr>
            </w:pPr>
            <w:r>
              <w:rPr>
                <w:sz w:val="20"/>
                <w:szCs w:val="20"/>
              </w:rPr>
              <w:t>27</w:t>
            </w:r>
          </w:p>
        </w:tc>
        <w:tc>
          <w:tcPr>
            <w:tcW w:w="1249" w:type="dxa"/>
            <w:tcBorders/>
            <w:shd w:fill="auto" w:val="clear"/>
            <w:vAlign w:val="bottom"/>
          </w:tcPr>
          <w:p>
            <w:pPr>
              <w:pStyle w:val="Normal"/>
              <w:jc w:val="center"/>
              <w:rPr>
                <w:sz w:val="20"/>
                <w:szCs w:val="20"/>
              </w:rPr>
            </w:pPr>
            <w:r>
              <w:rPr>
                <w:sz w:val="20"/>
                <w:szCs w:val="20"/>
              </w:rPr>
              <w:t>35</w:t>
            </w:r>
          </w:p>
        </w:tc>
        <w:tc>
          <w:tcPr>
            <w:tcW w:w="1422" w:type="dxa"/>
            <w:tcBorders/>
            <w:shd w:fill="auto" w:val="clear"/>
            <w:vAlign w:val="bottom"/>
          </w:tcPr>
          <w:p>
            <w:pPr>
              <w:pStyle w:val="Normal"/>
              <w:jc w:val="center"/>
              <w:rPr>
                <w:sz w:val="20"/>
                <w:szCs w:val="20"/>
              </w:rPr>
            </w:pPr>
            <w:r>
              <w:rPr>
                <w:sz w:val="20"/>
                <w:szCs w:val="20"/>
              </w:rPr>
              <w:t>49</w:t>
            </w:r>
          </w:p>
        </w:tc>
      </w:tr>
      <w:tr>
        <w:trPr/>
        <w:tc>
          <w:tcPr>
            <w:tcW w:w="1417" w:type="dxa"/>
            <w:tcBorders/>
            <w:shd w:fill="auto" w:val="clear"/>
          </w:tcPr>
          <w:p>
            <w:pPr>
              <w:pStyle w:val="Normal"/>
              <w:ind w:left="180" w:hanging="0"/>
              <w:rPr>
                <w:sz w:val="20"/>
                <w:szCs w:val="20"/>
              </w:rPr>
            </w:pPr>
            <w:r>
              <w:rPr>
                <w:sz w:val="20"/>
                <w:szCs w:val="20"/>
              </w:rPr>
              <w:t>47-52</w:t>
            </w:r>
          </w:p>
        </w:tc>
        <w:tc>
          <w:tcPr>
            <w:tcW w:w="1211" w:type="dxa"/>
            <w:tcBorders/>
            <w:shd w:fill="auto" w:val="clear"/>
            <w:vAlign w:val="bottom"/>
          </w:tcPr>
          <w:p>
            <w:pPr>
              <w:pStyle w:val="Normal"/>
              <w:jc w:val="center"/>
              <w:rPr>
                <w:sz w:val="20"/>
                <w:szCs w:val="20"/>
              </w:rPr>
            </w:pPr>
            <w:r>
              <w:rPr>
                <w:sz w:val="20"/>
                <w:szCs w:val="20"/>
              </w:rPr>
              <w:t>7</w:t>
            </w:r>
          </w:p>
        </w:tc>
        <w:tc>
          <w:tcPr>
            <w:tcW w:w="1260" w:type="dxa"/>
            <w:gridSpan w:val="2"/>
            <w:tcBorders/>
            <w:shd w:fill="auto" w:val="clear"/>
            <w:vAlign w:val="bottom"/>
          </w:tcPr>
          <w:p>
            <w:pPr>
              <w:pStyle w:val="Normal"/>
              <w:jc w:val="center"/>
              <w:rPr>
                <w:sz w:val="20"/>
                <w:szCs w:val="20"/>
              </w:rPr>
            </w:pPr>
            <w:r>
              <w:rPr>
                <w:sz w:val="20"/>
                <w:szCs w:val="20"/>
              </w:rPr>
              <w:t>16</w:t>
            </w:r>
          </w:p>
        </w:tc>
        <w:tc>
          <w:tcPr>
            <w:tcW w:w="1440" w:type="dxa"/>
            <w:gridSpan w:val="2"/>
            <w:tcBorders/>
            <w:shd w:fill="auto" w:val="clear"/>
            <w:vAlign w:val="bottom"/>
          </w:tcPr>
          <w:p>
            <w:pPr>
              <w:pStyle w:val="Normal"/>
              <w:jc w:val="center"/>
              <w:rPr>
                <w:sz w:val="20"/>
                <w:szCs w:val="20"/>
              </w:rPr>
            </w:pPr>
            <w:r>
              <w:rPr>
                <w:sz w:val="20"/>
                <w:szCs w:val="20"/>
              </w:rPr>
              <w:t>34</w:t>
            </w:r>
          </w:p>
        </w:tc>
        <w:tc>
          <w:tcPr>
            <w:tcW w:w="1481" w:type="dxa"/>
            <w:gridSpan w:val="2"/>
            <w:tcBorders/>
            <w:shd w:fill="auto" w:val="clear"/>
            <w:vAlign w:val="bottom"/>
          </w:tcPr>
          <w:p>
            <w:pPr>
              <w:pStyle w:val="Normal"/>
              <w:jc w:val="center"/>
              <w:rPr>
                <w:sz w:val="20"/>
                <w:szCs w:val="20"/>
              </w:rPr>
            </w:pPr>
            <w:r>
              <w:rPr>
                <w:sz w:val="20"/>
                <w:szCs w:val="20"/>
              </w:rPr>
              <w:t>28</w:t>
            </w:r>
          </w:p>
        </w:tc>
        <w:tc>
          <w:tcPr>
            <w:tcW w:w="1249" w:type="dxa"/>
            <w:tcBorders/>
            <w:shd w:fill="auto" w:val="clear"/>
            <w:vAlign w:val="bottom"/>
          </w:tcPr>
          <w:p>
            <w:pPr>
              <w:pStyle w:val="Normal"/>
              <w:jc w:val="center"/>
              <w:rPr>
                <w:sz w:val="20"/>
                <w:szCs w:val="20"/>
              </w:rPr>
            </w:pPr>
            <w:r>
              <w:rPr>
                <w:sz w:val="20"/>
                <w:szCs w:val="20"/>
              </w:rPr>
              <w:t>35</w:t>
            </w:r>
          </w:p>
        </w:tc>
        <w:tc>
          <w:tcPr>
            <w:tcW w:w="1422" w:type="dxa"/>
            <w:tcBorders/>
            <w:shd w:fill="auto" w:val="clear"/>
            <w:vAlign w:val="bottom"/>
          </w:tcPr>
          <w:p>
            <w:pPr>
              <w:pStyle w:val="Normal"/>
              <w:jc w:val="center"/>
              <w:rPr>
                <w:sz w:val="20"/>
                <w:szCs w:val="20"/>
              </w:rPr>
            </w:pPr>
            <w:r>
              <w:rPr>
                <w:sz w:val="20"/>
                <w:szCs w:val="20"/>
              </w:rPr>
              <w:t>48</w:t>
            </w:r>
          </w:p>
        </w:tc>
      </w:tr>
      <w:tr>
        <w:trPr/>
        <w:tc>
          <w:tcPr>
            <w:tcW w:w="1417" w:type="dxa"/>
            <w:tcBorders/>
            <w:shd w:fill="auto" w:val="clear"/>
          </w:tcPr>
          <w:p>
            <w:pPr>
              <w:pStyle w:val="Normal"/>
              <w:ind w:left="180" w:hanging="0"/>
              <w:rPr>
                <w:sz w:val="20"/>
                <w:szCs w:val="20"/>
              </w:rPr>
            </w:pPr>
            <w:r>
              <w:rPr>
                <w:sz w:val="20"/>
                <w:szCs w:val="20"/>
              </w:rPr>
              <w:t>53-58</w:t>
            </w:r>
          </w:p>
        </w:tc>
        <w:tc>
          <w:tcPr>
            <w:tcW w:w="1211" w:type="dxa"/>
            <w:tcBorders/>
            <w:shd w:fill="auto" w:val="clear"/>
            <w:vAlign w:val="bottom"/>
          </w:tcPr>
          <w:p>
            <w:pPr>
              <w:pStyle w:val="Normal"/>
              <w:jc w:val="center"/>
              <w:rPr>
                <w:sz w:val="20"/>
                <w:szCs w:val="20"/>
              </w:rPr>
            </w:pPr>
            <w:r>
              <w:rPr>
                <w:sz w:val="20"/>
                <w:szCs w:val="20"/>
              </w:rPr>
              <w:t>9</w:t>
            </w:r>
          </w:p>
        </w:tc>
        <w:tc>
          <w:tcPr>
            <w:tcW w:w="1260" w:type="dxa"/>
            <w:gridSpan w:val="2"/>
            <w:tcBorders/>
            <w:shd w:fill="auto" w:val="clear"/>
            <w:vAlign w:val="bottom"/>
          </w:tcPr>
          <w:p>
            <w:pPr>
              <w:pStyle w:val="Normal"/>
              <w:jc w:val="center"/>
              <w:rPr>
                <w:sz w:val="20"/>
                <w:szCs w:val="20"/>
              </w:rPr>
            </w:pPr>
            <w:r>
              <w:rPr>
                <w:sz w:val="20"/>
                <w:szCs w:val="20"/>
              </w:rPr>
              <w:t>17</w:t>
            </w:r>
          </w:p>
        </w:tc>
        <w:tc>
          <w:tcPr>
            <w:tcW w:w="1440" w:type="dxa"/>
            <w:gridSpan w:val="2"/>
            <w:tcBorders/>
            <w:shd w:fill="auto" w:val="clear"/>
            <w:vAlign w:val="bottom"/>
          </w:tcPr>
          <w:p>
            <w:pPr>
              <w:pStyle w:val="Normal"/>
              <w:jc w:val="center"/>
              <w:rPr>
                <w:sz w:val="20"/>
                <w:szCs w:val="20"/>
              </w:rPr>
            </w:pPr>
            <w:r>
              <w:rPr>
                <w:sz w:val="20"/>
                <w:szCs w:val="20"/>
              </w:rPr>
              <w:t>35</w:t>
            </w:r>
          </w:p>
        </w:tc>
        <w:tc>
          <w:tcPr>
            <w:tcW w:w="1481" w:type="dxa"/>
            <w:gridSpan w:val="2"/>
            <w:tcBorders/>
            <w:shd w:fill="auto" w:val="clear"/>
            <w:vAlign w:val="bottom"/>
          </w:tcPr>
          <w:p>
            <w:pPr>
              <w:pStyle w:val="Normal"/>
              <w:jc w:val="center"/>
              <w:rPr>
                <w:sz w:val="20"/>
                <w:szCs w:val="20"/>
              </w:rPr>
            </w:pPr>
            <w:r>
              <w:rPr>
                <w:sz w:val="20"/>
                <w:szCs w:val="20"/>
              </w:rPr>
              <w:t>29</w:t>
            </w:r>
          </w:p>
        </w:tc>
        <w:tc>
          <w:tcPr>
            <w:tcW w:w="1249" w:type="dxa"/>
            <w:tcBorders/>
            <w:shd w:fill="auto" w:val="clear"/>
            <w:vAlign w:val="bottom"/>
          </w:tcPr>
          <w:p>
            <w:pPr>
              <w:pStyle w:val="Normal"/>
              <w:jc w:val="center"/>
              <w:rPr>
                <w:sz w:val="20"/>
                <w:szCs w:val="20"/>
              </w:rPr>
            </w:pPr>
            <w:r>
              <w:rPr>
                <w:sz w:val="20"/>
                <w:szCs w:val="20"/>
              </w:rPr>
              <w:t>35</w:t>
            </w:r>
          </w:p>
        </w:tc>
        <w:tc>
          <w:tcPr>
            <w:tcW w:w="1422" w:type="dxa"/>
            <w:tcBorders/>
            <w:shd w:fill="auto" w:val="clear"/>
            <w:vAlign w:val="bottom"/>
          </w:tcPr>
          <w:p>
            <w:pPr>
              <w:pStyle w:val="Normal"/>
              <w:jc w:val="center"/>
              <w:rPr>
                <w:sz w:val="20"/>
                <w:szCs w:val="20"/>
              </w:rPr>
            </w:pPr>
            <w:r>
              <w:rPr>
                <w:sz w:val="20"/>
                <w:szCs w:val="20"/>
              </w:rPr>
              <w:t>48</w:t>
            </w:r>
          </w:p>
        </w:tc>
      </w:tr>
      <w:tr>
        <w:trPr/>
        <w:tc>
          <w:tcPr>
            <w:tcW w:w="1417" w:type="dxa"/>
            <w:tcBorders/>
            <w:shd w:fill="auto" w:val="clear"/>
          </w:tcPr>
          <w:p>
            <w:pPr>
              <w:pStyle w:val="Normal"/>
              <w:ind w:left="180" w:hanging="0"/>
              <w:rPr>
                <w:sz w:val="20"/>
                <w:szCs w:val="20"/>
              </w:rPr>
            </w:pPr>
            <w:r>
              <w:rPr>
                <w:sz w:val="20"/>
                <w:szCs w:val="20"/>
              </w:rPr>
              <w:t>59-64</w:t>
            </w:r>
          </w:p>
        </w:tc>
        <w:tc>
          <w:tcPr>
            <w:tcW w:w="1211" w:type="dxa"/>
            <w:tcBorders/>
            <w:shd w:fill="auto" w:val="clear"/>
            <w:vAlign w:val="bottom"/>
          </w:tcPr>
          <w:p>
            <w:pPr>
              <w:pStyle w:val="Normal"/>
              <w:jc w:val="center"/>
              <w:rPr>
                <w:sz w:val="20"/>
                <w:szCs w:val="20"/>
              </w:rPr>
            </w:pPr>
            <w:r>
              <w:rPr>
                <w:sz w:val="20"/>
                <w:szCs w:val="20"/>
              </w:rPr>
              <w:t>12</w:t>
            </w:r>
          </w:p>
        </w:tc>
        <w:tc>
          <w:tcPr>
            <w:tcW w:w="1260" w:type="dxa"/>
            <w:gridSpan w:val="2"/>
            <w:tcBorders/>
            <w:shd w:fill="auto" w:val="clear"/>
            <w:vAlign w:val="bottom"/>
          </w:tcPr>
          <w:p>
            <w:pPr>
              <w:pStyle w:val="Normal"/>
              <w:jc w:val="center"/>
              <w:rPr>
                <w:sz w:val="20"/>
                <w:szCs w:val="20"/>
              </w:rPr>
            </w:pPr>
            <w:r>
              <w:rPr>
                <w:sz w:val="20"/>
                <w:szCs w:val="20"/>
              </w:rPr>
              <w:t>20</w:t>
            </w:r>
          </w:p>
        </w:tc>
        <w:tc>
          <w:tcPr>
            <w:tcW w:w="1440" w:type="dxa"/>
            <w:gridSpan w:val="2"/>
            <w:tcBorders/>
            <w:shd w:fill="auto" w:val="clear"/>
            <w:vAlign w:val="bottom"/>
          </w:tcPr>
          <w:p>
            <w:pPr>
              <w:pStyle w:val="Normal"/>
              <w:jc w:val="center"/>
              <w:rPr>
                <w:sz w:val="20"/>
                <w:szCs w:val="20"/>
              </w:rPr>
            </w:pPr>
            <w:r>
              <w:rPr>
                <w:sz w:val="20"/>
                <w:szCs w:val="20"/>
              </w:rPr>
              <w:t>38</w:t>
            </w:r>
          </w:p>
        </w:tc>
        <w:tc>
          <w:tcPr>
            <w:tcW w:w="1481" w:type="dxa"/>
            <w:gridSpan w:val="2"/>
            <w:tcBorders/>
            <w:shd w:fill="auto" w:val="clear"/>
            <w:vAlign w:val="bottom"/>
          </w:tcPr>
          <w:p>
            <w:pPr>
              <w:pStyle w:val="Normal"/>
              <w:jc w:val="center"/>
              <w:rPr>
                <w:sz w:val="20"/>
                <w:szCs w:val="20"/>
              </w:rPr>
            </w:pPr>
            <w:r>
              <w:rPr>
                <w:sz w:val="20"/>
                <w:szCs w:val="20"/>
              </w:rPr>
              <w:t>30</w:t>
            </w:r>
          </w:p>
        </w:tc>
        <w:tc>
          <w:tcPr>
            <w:tcW w:w="1249" w:type="dxa"/>
            <w:tcBorders/>
            <w:shd w:fill="auto" w:val="clear"/>
            <w:vAlign w:val="bottom"/>
          </w:tcPr>
          <w:p>
            <w:pPr>
              <w:pStyle w:val="Normal"/>
              <w:jc w:val="center"/>
              <w:rPr>
                <w:sz w:val="20"/>
                <w:szCs w:val="20"/>
              </w:rPr>
            </w:pPr>
            <w:r>
              <w:rPr>
                <w:sz w:val="20"/>
                <w:szCs w:val="20"/>
              </w:rPr>
              <w:t>36</w:t>
            </w:r>
          </w:p>
        </w:tc>
        <w:tc>
          <w:tcPr>
            <w:tcW w:w="1422" w:type="dxa"/>
            <w:tcBorders/>
            <w:shd w:fill="auto" w:val="clear"/>
            <w:vAlign w:val="bottom"/>
          </w:tcPr>
          <w:p>
            <w:pPr>
              <w:pStyle w:val="Normal"/>
              <w:jc w:val="center"/>
              <w:rPr>
                <w:sz w:val="20"/>
                <w:szCs w:val="20"/>
              </w:rPr>
            </w:pPr>
            <w:r>
              <w:rPr>
                <w:sz w:val="20"/>
                <w:szCs w:val="20"/>
              </w:rPr>
              <w:t>49</w:t>
            </w:r>
          </w:p>
        </w:tc>
      </w:tr>
      <w:tr>
        <w:trPr/>
        <w:tc>
          <w:tcPr>
            <w:tcW w:w="1417" w:type="dxa"/>
            <w:tcBorders/>
            <w:shd w:fill="auto" w:val="clear"/>
          </w:tcPr>
          <w:p>
            <w:pPr>
              <w:pStyle w:val="Normal"/>
              <w:ind w:left="180" w:hanging="0"/>
              <w:rPr>
                <w:sz w:val="20"/>
                <w:szCs w:val="20"/>
              </w:rPr>
            </w:pPr>
            <w:r>
              <w:rPr>
                <w:sz w:val="20"/>
                <w:szCs w:val="20"/>
              </w:rPr>
              <w:t>65-69</w:t>
            </w:r>
          </w:p>
        </w:tc>
        <w:tc>
          <w:tcPr>
            <w:tcW w:w="1211" w:type="dxa"/>
            <w:tcBorders/>
            <w:shd w:fill="auto" w:val="clear"/>
            <w:vAlign w:val="bottom"/>
          </w:tcPr>
          <w:p>
            <w:pPr>
              <w:pStyle w:val="Normal"/>
              <w:jc w:val="center"/>
              <w:rPr>
                <w:sz w:val="20"/>
                <w:szCs w:val="20"/>
              </w:rPr>
            </w:pPr>
            <w:r>
              <w:rPr>
                <w:sz w:val="20"/>
                <w:szCs w:val="20"/>
              </w:rPr>
              <w:t>15</w:t>
            </w:r>
          </w:p>
        </w:tc>
        <w:tc>
          <w:tcPr>
            <w:tcW w:w="1260" w:type="dxa"/>
            <w:gridSpan w:val="2"/>
            <w:tcBorders/>
            <w:shd w:fill="auto" w:val="clear"/>
            <w:vAlign w:val="bottom"/>
          </w:tcPr>
          <w:p>
            <w:pPr>
              <w:pStyle w:val="Normal"/>
              <w:jc w:val="center"/>
              <w:rPr>
                <w:sz w:val="20"/>
                <w:szCs w:val="20"/>
              </w:rPr>
            </w:pPr>
            <w:r>
              <w:rPr>
                <w:sz w:val="20"/>
                <w:szCs w:val="20"/>
              </w:rPr>
              <w:t>23</w:t>
            </w:r>
          </w:p>
        </w:tc>
        <w:tc>
          <w:tcPr>
            <w:tcW w:w="1440" w:type="dxa"/>
            <w:gridSpan w:val="2"/>
            <w:tcBorders/>
            <w:shd w:fill="auto" w:val="clear"/>
            <w:vAlign w:val="bottom"/>
          </w:tcPr>
          <w:p>
            <w:pPr>
              <w:pStyle w:val="Normal"/>
              <w:jc w:val="center"/>
              <w:rPr>
                <w:sz w:val="20"/>
                <w:szCs w:val="20"/>
              </w:rPr>
            </w:pPr>
            <w:r>
              <w:rPr>
                <w:sz w:val="20"/>
                <w:szCs w:val="20"/>
              </w:rPr>
              <w:t>40</w:t>
            </w:r>
          </w:p>
        </w:tc>
        <w:tc>
          <w:tcPr>
            <w:tcW w:w="1481" w:type="dxa"/>
            <w:gridSpan w:val="2"/>
            <w:tcBorders/>
            <w:shd w:fill="auto" w:val="clear"/>
            <w:vAlign w:val="bottom"/>
          </w:tcPr>
          <w:p>
            <w:pPr>
              <w:pStyle w:val="Normal"/>
              <w:jc w:val="center"/>
              <w:rPr>
                <w:sz w:val="20"/>
                <w:szCs w:val="20"/>
              </w:rPr>
            </w:pPr>
            <w:r>
              <w:rPr>
                <w:sz w:val="20"/>
                <w:szCs w:val="20"/>
              </w:rPr>
              <w:t>32</w:t>
            </w:r>
          </w:p>
        </w:tc>
        <w:tc>
          <w:tcPr>
            <w:tcW w:w="1249" w:type="dxa"/>
            <w:tcBorders/>
            <w:shd w:fill="auto" w:val="clear"/>
            <w:vAlign w:val="bottom"/>
          </w:tcPr>
          <w:p>
            <w:pPr>
              <w:pStyle w:val="Normal"/>
              <w:jc w:val="center"/>
              <w:rPr>
                <w:sz w:val="20"/>
                <w:szCs w:val="20"/>
              </w:rPr>
            </w:pPr>
            <w:r>
              <w:rPr>
                <w:sz w:val="20"/>
                <w:szCs w:val="20"/>
              </w:rPr>
              <w:t>38</w:t>
            </w:r>
          </w:p>
        </w:tc>
        <w:tc>
          <w:tcPr>
            <w:tcW w:w="1422" w:type="dxa"/>
            <w:tcBorders/>
            <w:shd w:fill="auto" w:val="clear"/>
            <w:vAlign w:val="bottom"/>
          </w:tcPr>
          <w:p>
            <w:pPr>
              <w:pStyle w:val="Normal"/>
              <w:jc w:val="center"/>
              <w:rPr>
                <w:sz w:val="20"/>
                <w:szCs w:val="20"/>
              </w:rPr>
            </w:pPr>
            <w:r>
              <w:rPr>
                <w:sz w:val="20"/>
                <w:szCs w:val="20"/>
              </w:rPr>
              <w:t>50</w:t>
            </w:r>
          </w:p>
        </w:tc>
      </w:tr>
      <w:tr>
        <w:trPr/>
        <w:tc>
          <w:tcPr>
            <w:tcW w:w="1417" w:type="dxa"/>
            <w:tcBorders/>
            <w:shd w:fill="auto" w:val="clear"/>
          </w:tcPr>
          <w:p>
            <w:pPr>
              <w:pStyle w:val="Normal"/>
              <w:ind w:left="180" w:hanging="0"/>
              <w:rPr>
                <w:sz w:val="20"/>
                <w:szCs w:val="20"/>
              </w:rPr>
            </w:pPr>
            <w:r>
              <w:rPr>
                <w:sz w:val="20"/>
                <w:szCs w:val="20"/>
              </w:rPr>
              <w:t>70-75</w:t>
            </w:r>
          </w:p>
        </w:tc>
        <w:tc>
          <w:tcPr>
            <w:tcW w:w="1211" w:type="dxa"/>
            <w:tcBorders/>
            <w:shd w:fill="auto" w:val="clear"/>
            <w:vAlign w:val="bottom"/>
          </w:tcPr>
          <w:p>
            <w:pPr>
              <w:pStyle w:val="Normal"/>
              <w:jc w:val="center"/>
              <w:rPr>
                <w:sz w:val="20"/>
                <w:szCs w:val="20"/>
              </w:rPr>
            </w:pPr>
            <w:r>
              <w:rPr>
                <w:sz w:val="20"/>
                <w:szCs w:val="20"/>
              </w:rPr>
              <w:t>18</w:t>
            </w:r>
          </w:p>
        </w:tc>
        <w:tc>
          <w:tcPr>
            <w:tcW w:w="1260" w:type="dxa"/>
            <w:gridSpan w:val="2"/>
            <w:tcBorders/>
            <w:shd w:fill="auto" w:val="clear"/>
            <w:vAlign w:val="bottom"/>
          </w:tcPr>
          <w:p>
            <w:pPr>
              <w:pStyle w:val="Normal"/>
              <w:jc w:val="center"/>
              <w:rPr>
                <w:sz w:val="20"/>
                <w:szCs w:val="20"/>
              </w:rPr>
            </w:pPr>
            <w:r>
              <w:rPr>
                <w:sz w:val="20"/>
                <w:szCs w:val="20"/>
              </w:rPr>
              <w:t>26</w:t>
            </w:r>
          </w:p>
        </w:tc>
        <w:tc>
          <w:tcPr>
            <w:tcW w:w="1440" w:type="dxa"/>
            <w:gridSpan w:val="2"/>
            <w:tcBorders/>
            <w:shd w:fill="auto" w:val="clear"/>
            <w:vAlign w:val="bottom"/>
          </w:tcPr>
          <w:p>
            <w:pPr>
              <w:pStyle w:val="Normal"/>
              <w:jc w:val="center"/>
              <w:rPr>
                <w:sz w:val="20"/>
                <w:szCs w:val="20"/>
              </w:rPr>
            </w:pPr>
            <w:r>
              <w:rPr>
                <w:sz w:val="20"/>
                <w:szCs w:val="20"/>
              </w:rPr>
              <w:t>42</w:t>
            </w:r>
          </w:p>
        </w:tc>
        <w:tc>
          <w:tcPr>
            <w:tcW w:w="1481" w:type="dxa"/>
            <w:gridSpan w:val="2"/>
            <w:tcBorders/>
            <w:shd w:fill="auto" w:val="clear"/>
            <w:vAlign w:val="bottom"/>
          </w:tcPr>
          <w:p>
            <w:pPr>
              <w:pStyle w:val="Normal"/>
              <w:jc w:val="center"/>
              <w:rPr>
                <w:sz w:val="20"/>
                <w:szCs w:val="20"/>
              </w:rPr>
            </w:pPr>
            <w:r>
              <w:rPr>
                <w:sz w:val="20"/>
                <w:szCs w:val="20"/>
              </w:rPr>
              <w:t>33</w:t>
            </w:r>
          </w:p>
        </w:tc>
        <w:tc>
          <w:tcPr>
            <w:tcW w:w="1249" w:type="dxa"/>
            <w:tcBorders/>
            <w:shd w:fill="auto" w:val="clear"/>
            <w:vAlign w:val="bottom"/>
          </w:tcPr>
          <w:p>
            <w:pPr>
              <w:pStyle w:val="Normal"/>
              <w:jc w:val="center"/>
              <w:rPr>
                <w:sz w:val="20"/>
                <w:szCs w:val="20"/>
              </w:rPr>
            </w:pPr>
            <w:r>
              <w:rPr>
                <w:sz w:val="20"/>
                <w:szCs w:val="20"/>
              </w:rPr>
              <w:t>39</w:t>
            </w:r>
          </w:p>
        </w:tc>
        <w:tc>
          <w:tcPr>
            <w:tcW w:w="1422" w:type="dxa"/>
            <w:tcBorders/>
            <w:shd w:fill="auto" w:val="clear"/>
            <w:vAlign w:val="bottom"/>
          </w:tcPr>
          <w:p>
            <w:pPr>
              <w:pStyle w:val="Normal"/>
              <w:jc w:val="center"/>
              <w:rPr>
                <w:sz w:val="20"/>
                <w:szCs w:val="20"/>
              </w:rPr>
            </w:pPr>
            <w:r>
              <w:rPr>
                <w:sz w:val="20"/>
                <w:szCs w:val="20"/>
              </w:rPr>
              <w:t>50</w:t>
            </w:r>
          </w:p>
        </w:tc>
      </w:tr>
      <w:tr>
        <w:trPr/>
        <w:tc>
          <w:tcPr>
            <w:tcW w:w="1417" w:type="dxa"/>
            <w:tcBorders/>
            <w:shd w:fill="auto" w:val="clear"/>
          </w:tcPr>
          <w:p>
            <w:pPr>
              <w:pStyle w:val="Normal"/>
              <w:ind w:left="180" w:hanging="0"/>
              <w:rPr>
                <w:sz w:val="20"/>
                <w:szCs w:val="20"/>
              </w:rPr>
            </w:pPr>
            <w:r>
              <w:rPr>
                <w:sz w:val="20"/>
                <w:szCs w:val="20"/>
              </w:rPr>
              <w:t>76-80</w:t>
            </w:r>
          </w:p>
        </w:tc>
        <w:tc>
          <w:tcPr>
            <w:tcW w:w="1211" w:type="dxa"/>
            <w:tcBorders/>
            <w:shd w:fill="auto" w:val="clear"/>
            <w:vAlign w:val="bottom"/>
          </w:tcPr>
          <w:p>
            <w:pPr>
              <w:pStyle w:val="Normal"/>
              <w:jc w:val="center"/>
              <w:rPr>
                <w:sz w:val="20"/>
                <w:szCs w:val="20"/>
              </w:rPr>
            </w:pPr>
            <w:r>
              <w:rPr>
                <w:sz w:val="20"/>
                <w:szCs w:val="20"/>
              </w:rPr>
              <w:t>20</w:t>
            </w:r>
          </w:p>
        </w:tc>
        <w:tc>
          <w:tcPr>
            <w:tcW w:w="1260" w:type="dxa"/>
            <w:gridSpan w:val="2"/>
            <w:tcBorders/>
            <w:shd w:fill="auto" w:val="clear"/>
            <w:vAlign w:val="bottom"/>
          </w:tcPr>
          <w:p>
            <w:pPr>
              <w:pStyle w:val="Normal"/>
              <w:jc w:val="center"/>
              <w:rPr>
                <w:sz w:val="20"/>
                <w:szCs w:val="20"/>
              </w:rPr>
            </w:pPr>
            <w:r>
              <w:rPr>
                <w:sz w:val="20"/>
                <w:szCs w:val="20"/>
              </w:rPr>
              <w:t>27</w:t>
            </w:r>
          </w:p>
        </w:tc>
        <w:tc>
          <w:tcPr>
            <w:tcW w:w="1440" w:type="dxa"/>
            <w:gridSpan w:val="2"/>
            <w:tcBorders/>
            <w:shd w:fill="auto" w:val="clear"/>
            <w:vAlign w:val="bottom"/>
          </w:tcPr>
          <w:p>
            <w:pPr>
              <w:pStyle w:val="Normal"/>
              <w:jc w:val="center"/>
              <w:rPr>
                <w:sz w:val="20"/>
                <w:szCs w:val="20"/>
              </w:rPr>
            </w:pPr>
            <w:r>
              <w:rPr>
                <w:sz w:val="20"/>
                <w:szCs w:val="20"/>
              </w:rPr>
              <w:t>42</w:t>
            </w:r>
          </w:p>
        </w:tc>
        <w:tc>
          <w:tcPr>
            <w:tcW w:w="1481" w:type="dxa"/>
            <w:gridSpan w:val="2"/>
            <w:tcBorders/>
            <w:shd w:fill="auto" w:val="clear"/>
            <w:vAlign w:val="bottom"/>
          </w:tcPr>
          <w:p>
            <w:pPr>
              <w:pStyle w:val="Normal"/>
              <w:jc w:val="center"/>
              <w:rPr>
                <w:sz w:val="20"/>
                <w:szCs w:val="20"/>
              </w:rPr>
            </w:pPr>
            <w:r>
              <w:rPr>
                <w:sz w:val="20"/>
                <w:szCs w:val="20"/>
              </w:rPr>
              <w:t>35</w:t>
            </w:r>
          </w:p>
        </w:tc>
        <w:tc>
          <w:tcPr>
            <w:tcW w:w="1249" w:type="dxa"/>
            <w:tcBorders/>
            <w:shd w:fill="auto" w:val="clear"/>
            <w:vAlign w:val="bottom"/>
          </w:tcPr>
          <w:p>
            <w:pPr>
              <w:pStyle w:val="Normal"/>
              <w:jc w:val="center"/>
              <w:rPr>
                <w:sz w:val="20"/>
                <w:szCs w:val="20"/>
              </w:rPr>
            </w:pPr>
            <w:r>
              <w:rPr>
                <w:sz w:val="20"/>
                <w:szCs w:val="20"/>
              </w:rPr>
              <w:t>40</w:t>
            </w:r>
          </w:p>
        </w:tc>
        <w:tc>
          <w:tcPr>
            <w:tcW w:w="1422" w:type="dxa"/>
            <w:tcBorders/>
            <w:shd w:fill="auto" w:val="clear"/>
            <w:vAlign w:val="bottom"/>
          </w:tcPr>
          <w:p>
            <w:pPr>
              <w:pStyle w:val="Normal"/>
              <w:jc w:val="center"/>
              <w:rPr>
                <w:sz w:val="20"/>
                <w:szCs w:val="20"/>
              </w:rPr>
            </w:pPr>
            <w:r>
              <w:rPr>
                <w:sz w:val="20"/>
                <w:szCs w:val="20"/>
              </w:rPr>
              <w:t>50</w:t>
            </w:r>
          </w:p>
        </w:tc>
      </w:tr>
      <w:tr>
        <w:trPr/>
        <w:tc>
          <w:tcPr>
            <w:tcW w:w="1417" w:type="dxa"/>
            <w:tcBorders>
              <w:bottom w:val="single" w:sz="4" w:space="0" w:color="000000"/>
              <w:insideH w:val="single" w:sz="4" w:space="0" w:color="000000"/>
            </w:tcBorders>
            <w:shd w:fill="auto" w:val="clear"/>
          </w:tcPr>
          <w:p>
            <w:pPr>
              <w:pStyle w:val="Normal"/>
              <w:ind w:left="180" w:hanging="0"/>
              <w:rPr>
                <w:sz w:val="20"/>
                <w:szCs w:val="20"/>
              </w:rPr>
            </w:pPr>
            <w:r>
              <w:rPr>
                <w:sz w:val="20"/>
                <w:szCs w:val="20"/>
              </w:rPr>
              <w:t>&gt;80</w:t>
            </w:r>
          </w:p>
        </w:tc>
        <w:tc>
          <w:tcPr>
            <w:tcW w:w="1211" w:type="dxa"/>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27</w:t>
            </w:r>
          </w:p>
        </w:tc>
        <w:tc>
          <w:tcPr>
            <w:tcW w:w="1260" w:type="dxa"/>
            <w:gridSpan w:val="2"/>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33</w:t>
            </w:r>
          </w:p>
        </w:tc>
        <w:tc>
          <w:tcPr>
            <w:tcW w:w="1440" w:type="dxa"/>
            <w:gridSpan w:val="2"/>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47</w:t>
            </w:r>
          </w:p>
        </w:tc>
        <w:tc>
          <w:tcPr>
            <w:tcW w:w="1481" w:type="dxa"/>
            <w:gridSpan w:val="2"/>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38</w:t>
            </w:r>
          </w:p>
        </w:tc>
        <w:tc>
          <w:tcPr>
            <w:tcW w:w="1249" w:type="dxa"/>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42</w:t>
            </w:r>
          </w:p>
        </w:tc>
        <w:tc>
          <w:tcPr>
            <w:tcW w:w="1422" w:type="dxa"/>
            <w:tcBorders>
              <w:bottom w:val="single" w:sz="4" w:space="0" w:color="000000"/>
              <w:insideH w:val="single" w:sz="4" w:space="0" w:color="000000"/>
            </w:tcBorders>
            <w:shd w:fill="auto" w:val="clear"/>
            <w:vAlign w:val="bottom"/>
          </w:tcPr>
          <w:p>
            <w:pPr>
              <w:pStyle w:val="Normal"/>
              <w:jc w:val="center"/>
              <w:rPr>
                <w:sz w:val="20"/>
                <w:szCs w:val="20"/>
              </w:rPr>
            </w:pPr>
            <w:r>
              <w:rPr>
                <w:sz w:val="20"/>
                <w:szCs w:val="20"/>
              </w:rPr>
              <w:t>51</w:t>
            </w:r>
          </w:p>
        </w:tc>
      </w:tr>
    </w:tbl>
    <w:p>
      <w:pPr>
        <w:pStyle w:val="Normal"/>
        <w:rPr/>
      </w:pPr>
      <w:r>
        <w:rPr/>
      </w:r>
    </w:p>
    <w:p>
      <w:pPr>
        <w:pStyle w:val="Normal"/>
        <w:rPr/>
      </w:pPr>
      <w:r>
        <w:rPr/>
        <w:t xml:space="preserve">*non-teaching hospital with ≥100 beds </w:t>
      </w:r>
      <w:r>
        <w:br w:type="page"/>
      </w:r>
    </w:p>
    <w:p>
      <w:pPr>
        <w:pStyle w:val="Normal"/>
        <w:rPr/>
      </w:pPr>
      <w:r>
        <w:rPr>
          <w:b/>
        </w:rPr>
        <w:t xml:space="preserve">Table 4. </w:t>
      </w:r>
      <w:r>
        <w:rPr/>
        <w:t>Expected and observed probability of 30-day death or urgent readmission in the validation population by 10-point strata of the LACE</w:t>
      </w:r>
      <w:r>
        <w:rPr>
          <w:vertAlign w:val="superscript"/>
        </w:rPr>
        <w:t>+</w:t>
      </w:r>
      <w:r>
        <w:rPr/>
        <w:t xml:space="preserve"> index</w:t>
      </w:r>
    </w:p>
    <w:p>
      <w:pPr>
        <w:pStyle w:val="Normal"/>
        <w:rPr/>
      </w:pPr>
      <w:r>
        <w:rPr/>
      </w:r>
    </w:p>
    <w:tbl>
      <w:tblPr>
        <w:tblW w:w="9123"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1008"/>
        <w:gridCol w:w="900"/>
        <w:gridCol w:w="3420"/>
        <w:gridCol w:w="3795"/>
      </w:tblGrid>
      <w:tr>
        <w:trPr>
          <w:cantSplit w:val="true"/>
        </w:trPr>
        <w:tc>
          <w:tcPr>
            <w:tcW w:w="1008" w:type="dxa"/>
            <w:vMerge w:val="restart"/>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pPr>
            <w:r>
              <w:rPr>
                <w:b/>
                <w:sz w:val="20"/>
                <w:szCs w:val="20"/>
              </w:rPr>
              <w:t>LACE</w:t>
            </w:r>
            <w:r>
              <w:rPr>
                <w:b/>
                <w:sz w:val="20"/>
                <w:szCs w:val="20"/>
                <w:vertAlign w:val="superscript"/>
              </w:rPr>
              <w:t>+</w:t>
            </w:r>
            <w:r>
              <w:rPr>
                <w:b/>
                <w:sz w:val="20"/>
                <w:szCs w:val="20"/>
              </w:rPr>
              <w:t xml:space="preserve"> SCORE</w:t>
            </w:r>
          </w:p>
        </w:tc>
        <w:tc>
          <w:tcPr>
            <w:tcW w:w="900" w:type="dxa"/>
            <w:vMerge w:val="restart"/>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N</w:t>
            </w:r>
          </w:p>
        </w:tc>
        <w:tc>
          <w:tcPr>
            <w:tcW w:w="7215" w:type="dxa"/>
            <w:gridSpan w:val="2"/>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pPr>
            <w:r>
              <w:rPr>
                <w:b/>
                <w:sz w:val="20"/>
                <w:szCs w:val="20"/>
              </w:rPr>
              <w:t xml:space="preserve">PROBABILITY OF DEATH OR URGENT READMISSION WITHIN 30 DAYS </w:t>
            </w:r>
          </w:p>
        </w:tc>
      </w:tr>
      <w:tr>
        <w:trPr>
          <w:cantSplit w:val="true"/>
        </w:trPr>
        <w:tc>
          <w:tcPr>
            <w:tcW w:w="100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jc w:val="center"/>
              <w:rPr>
                <w:b/>
                <w:b/>
                <w:i/>
                <w:i/>
                <w:sz w:val="20"/>
                <w:szCs w:val="20"/>
              </w:rPr>
            </w:pPr>
            <w:r>
              <w:rPr>
                <w:b/>
                <w:i/>
                <w:sz w:val="20"/>
                <w:szCs w:val="20"/>
              </w:rPr>
            </w:r>
          </w:p>
        </w:tc>
        <w:tc>
          <w:tcPr>
            <w:tcW w:w="900" w:type="dxa"/>
            <w:vMerge w:val="continue"/>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b/>
                <w:b/>
                <w:i/>
                <w:i/>
                <w:sz w:val="20"/>
                <w:szCs w:val="20"/>
              </w:rPr>
            </w:pPr>
            <w:r>
              <w:rPr>
                <w:b/>
                <w:i/>
                <w:sz w:val="20"/>
                <w:szCs w:val="20"/>
              </w:rPr>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EXPECTED, %</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pPr>
            <w:r>
              <w:rPr>
                <w:b/>
                <w:sz w:val="20"/>
                <w:szCs w:val="20"/>
              </w:rPr>
              <w:t>OBSERVED, % (95% CI)</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&lt;-10</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264</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0.60</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0.76 (0.09-2.71)</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-10 - -1</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4160</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0.88</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1.27 (0.96-1.66)</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0-9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26458</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1.28</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1.25 (1.12-1.39)</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10-19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36409</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1.93</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1.63 (1.50-1.76)</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20-29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47889</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2.93</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2.93 (2.78-3.08)</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30-39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39210</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4.42</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4.41 (4.21-4.62)</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40-49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31193</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6.69</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6.64 (6.37-6.92)</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50-59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24824</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9.93</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10.46 (10.08-10.84)</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60-69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18784</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14.54</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14.93 (14.43-15.45)</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70-79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11538</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20.70</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20.77 (20.03-21.52)</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80-89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5553</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28.70</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29.98 (28.78-31.21)</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90-99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2641</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38.22</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34.38 (32.57-36.23)</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100-109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1057</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47.62</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41.82 (38.82-44.86)</w:t>
            </w:r>
          </w:p>
        </w:tc>
      </w:tr>
      <w:tr>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jc w:val="center"/>
              <w:rPr>
                <w:sz w:val="20"/>
                <w:szCs w:val="20"/>
              </w:rPr>
            </w:pPr>
            <w:r>
              <w:rPr>
                <w:sz w:val="20"/>
                <w:szCs w:val="20"/>
              </w:rPr>
              <w:t>&gt;109</w:t>
            </w:r>
          </w:p>
        </w:tc>
        <w:tc>
          <w:tcPr>
            <w:tcW w:w="90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20</w:t>
            </w:r>
          </w:p>
        </w:tc>
        <w:tc>
          <w:tcPr>
            <w:tcW w:w="34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szCs w:val="20"/>
              </w:rPr>
            </w:pPr>
            <w:r>
              <w:rPr>
                <w:sz w:val="20"/>
                <w:szCs w:val="20"/>
              </w:rPr>
              <w:t>56.35</w:t>
            </w:r>
          </w:p>
        </w:tc>
        <w:tc>
          <w:tcPr>
            <w:tcW w:w="37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szCs w:val="20"/>
              </w:rPr>
            </w:pPr>
            <w:r>
              <w:rPr>
                <w:sz w:val="20"/>
                <w:szCs w:val="20"/>
              </w:rPr>
              <w:t>60.00 (36.05-80.88)</w:t>
            </w:r>
          </w:p>
        </w:tc>
      </w:tr>
      <w:tr>
        <w:trPr/>
        <w:tc>
          <w:tcPr>
            <w:tcW w:w="1008" w:type="dxa"/>
            <w:tcBorders>
              <w:top w:val="single" w:sz="6" w:space="0" w:color="000000"/>
              <w:left w:val="double" w:sz="6" w:space="0" w:color="000000"/>
              <w:bottom w:val="double" w:sz="6" w:space="0" w:color="000000"/>
              <w:insideH w:val="double" w:sz="6" w:space="0" w:color="000000"/>
            </w:tcBorders>
            <w:shd w:fill="auto" w:val="clear"/>
            <w:tcMar>
              <w:left w:w="85" w:type="dxa"/>
            </w:tcMar>
            <w:vAlign w:val="bottom"/>
          </w:tcPr>
          <w:p>
            <w:pPr>
              <w:pStyle w:val="Normal"/>
              <w:jc w:val="center"/>
              <w:rPr>
                <w:b/>
                <w:b/>
                <w:sz w:val="20"/>
                <w:szCs w:val="20"/>
              </w:rPr>
            </w:pPr>
            <w:r>
              <w:rPr>
                <w:b/>
                <w:sz w:val="20"/>
                <w:szCs w:val="20"/>
              </w:rPr>
              <w:t>TOTAL</w:t>
            </w:r>
          </w:p>
        </w:tc>
        <w:tc>
          <w:tcPr>
            <w:tcW w:w="900" w:type="dxa"/>
            <w:tcBorders>
              <w:top w:val="single" w:sz="6" w:space="0" w:color="000000"/>
              <w:left w:val="single" w:sz="6" w:space="0" w:color="000000"/>
              <w:bottom w:val="double" w:sz="6" w:space="0" w:color="000000"/>
              <w:insideH w:val="double" w:sz="6" w:space="0" w:color="000000"/>
            </w:tcBorders>
            <w:shd w:fill="auto" w:val="clear"/>
            <w:tcMar>
              <w:left w:w="100" w:type="dxa"/>
            </w:tcMar>
            <w:vAlign w:val="bottom"/>
          </w:tcPr>
          <w:p>
            <w:pPr>
              <w:pStyle w:val="Normal"/>
              <w:jc w:val="center"/>
              <w:rPr>
                <w:b/>
                <w:b/>
                <w:sz w:val="20"/>
                <w:szCs w:val="20"/>
              </w:rPr>
            </w:pPr>
            <w:r>
              <w:rPr>
                <w:b/>
                <w:sz w:val="20"/>
                <w:szCs w:val="20"/>
              </w:rPr>
              <w:t>250000</w:t>
            </w:r>
          </w:p>
        </w:tc>
        <w:tc>
          <w:tcPr>
            <w:tcW w:w="3420" w:type="dxa"/>
            <w:tcBorders>
              <w:top w:val="single" w:sz="6" w:space="0" w:color="000000"/>
              <w:left w:val="single" w:sz="6" w:space="0" w:color="000000"/>
              <w:bottom w:val="double" w:sz="6" w:space="0" w:color="000000"/>
              <w:insideH w:val="double" w:sz="6" w:space="0" w:color="000000"/>
            </w:tcBorders>
            <w:shd w:fill="auto" w:val="clear"/>
            <w:tcMar>
              <w:left w:w="100" w:type="dxa"/>
            </w:tcMar>
            <w:vAlign w:val="bottom"/>
          </w:tcPr>
          <w:p>
            <w:pPr>
              <w:pStyle w:val="Normal"/>
              <w:jc w:val="center"/>
              <w:rPr>
                <w:b/>
                <w:b/>
                <w:sz w:val="20"/>
                <w:szCs w:val="20"/>
              </w:rPr>
            </w:pPr>
            <w:r>
              <w:rPr>
                <w:b/>
                <w:sz w:val="20"/>
                <w:szCs w:val="20"/>
              </w:rPr>
              <w:t>6.80</w:t>
            </w:r>
          </w:p>
        </w:tc>
        <w:tc>
          <w:tcPr>
            <w:tcW w:w="37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vAlign w:val="bottom"/>
          </w:tcPr>
          <w:p>
            <w:pPr>
              <w:pStyle w:val="Normal"/>
              <w:jc w:val="center"/>
              <w:rPr>
                <w:b/>
                <w:b/>
                <w:sz w:val="20"/>
                <w:szCs w:val="20"/>
              </w:rPr>
            </w:pPr>
            <w:r>
              <w:rPr>
                <w:b/>
                <w:sz w:val="20"/>
                <w:szCs w:val="20"/>
              </w:rPr>
              <w:t>6.80 (6.70-6.90)</w:t>
            </w:r>
          </w:p>
        </w:tc>
      </w:tr>
    </w:tbl>
    <w:p>
      <w:pPr>
        <w:pStyle w:val="Normal"/>
        <w:rPr/>
      </w:pPr>
      <w:r>
        <w:rPr/>
        <w:t>CI = confidence interval, N = number of patients</w:t>
      </w:r>
    </w:p>
    <w:p>
      <w:pPr>
        <w:pStyle w:val="Normal"/>
        <w:rPr/>
      </w:pPr>
      <w:r>
        <w:rPr/>
      </w:r>
    </w:p>
    <w:p>
      <w:pPr>
        <w:pStyle w:val="Normal"/>
        <w:rPr/>
      </w:pPr>
      <w:r>
        <w:rPr/>
        <w:t>The expected probability was calculated as the predicted risk of 30-day death or urgent readmission from the LACE</w:t>
      </w:r>
      <w:r>
        <w:rPr>
          <w:vertAlign w:val="superscript"/>
        </w:rPr>
        <w:t>+</w:t>
      </w:r>
      <w:r>
        <w:rPr/>
        <w:t xml:space="preserve"> score summed across all patients within each stratum and divided by the number of patients in the stratum.  The observed probability was calculated as the number of patients within each stratum who had the outcome divided by the number of patients in the stratum.  The 95% confidence intervals around the observed probability were calculated using exact methods [11]. </w:t>
      </w:r>
    </w:p>
    <w:p>
      <w:pPr>
        <w:pStyle w:val="Normal"/>
        <w:rPr/>
      </w:pPr>
      <w:r>
        <w:rPr/>
      </w:r>
    </w:p>
    <w:sectPr>
      <w:footerReference w:type="default" r:id="rId7"/>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rebuchet MS">
    <w:charset w:val="00"/>
    <w:family w:val="swiss"/>
    <w:pitch w:val="variable"/>
  </w:font>
  <w:font w:name="Times New Roman Bold">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8">
              <wp:simplePos x="0" y="0"/>
              <wp:positionH relativeFrom="margin">
                <wp:align>right</wp:align>
              </wp:positionH>
              <wp:positionV relativeFrom="paragraph">
                <wp:posOffset>635</wp:posOffset>
              </wp:positionV>
              <wp:extent cx="1530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15</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15</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53035" cy="175260"/>
              <wp:effectExtent l="0" t="0" r="0" b="0"/>
              <wp:wrapSquare wrapText="largest"/>
              <wp:docPr id="4"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16</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Footer"/>
                      <w:rPr/>
                    </w:pPr>
                    <w:r>
                      <w:rPr>
                        <w:rStyle w:val="PageNumber"/>
                      </w:rPr>
                      <w:fldChar w:fldCharType="begin"/>
                    </w:r>
                    <w:r>
                      <w:instrText> PAGE </w:instrText>
                    </w:r>
                    <w:r>
                      <w:fldChar w:fldCharType="separate"/>
                    </w:r>
                    <w:r>
                      <w:t>16</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53035" cy="175260"/>
              <wp:effectExtent l="0" t="0" r="0" b="0"/>
              <wp:wrapSquare wrapText="largest"/>
              <wp:docPr id="6" name="Frame3"/>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21</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Footer"/>
                      <w:rPr/>
                    </w:pPr>
                    <w:r>
                      <w:rPr>
                        <w:rStyle w:val="PageNumber"/>
                      </w:rPr>
                      <w:fldChar w:fldCharType="begin"/>
                    </w:r>
                    <w:r>
                      <w:instrText> PAGE </w:instrText>
                    </w:r>
                    <w:r>
                      <w:fldChar w:fldCharType="separate"/>
                    </w:r>
                    <w:r>
                      <w:t>21</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jc w:val="center"/>
    </w:pPr>
    <w:rPr>
      <w:rFonts w:ascii="Arial" w:hAnsi="Arial" w:cs="Arial"/>
      <w:b/>
      <w:bCs/>
      <w:sz w:val="28"/>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Default">
    <w:name w:val="Default"/>
    <w:qFormat/>
    <w:pPr>
      <w:widowControl/>
      <w:suppressAutoHyphens w:val="true"/>
      <w:autoSpaceDE w:val="false"/>
    </w:pPr>
    <w:rPr>
      <w:rFonts w:ascii="Trebuchet MS" w:hAnsi="Trebuchet MS" w:eastAsia="Times New Roman" w:cs="Trebuchet MS"/>
      <w:color w:val="000000"/>
      <w:sz w:val="24"/>
      <w:szCs w:val="24"/>
      <w:lang w:val="en-US" w:bidi="ar-SA" w:eastAsia="zh-CN"/>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lv@ohri.ca"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2011-08-16T10:00:00Z</dcterms:created>
  <dc:creator>Jenna Wong</dc:creator>
  <dc:language>en-CA</dc:language>
  <cp:lastModifiedBy>Jenna Wong</cp:lastModifiedBy>
  <dcterms:modified xsi:type="dcterms:W3CDTF">2011-08-16T11:21:00Z</dcterms:modified>
  <cp:revision>13</cp:revision>
  <dc:title>The LACE+: an extension of a validated index to predict early death or unplanned readmission following hospital discharge to the community using administrative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ies>
</file>