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rPr>
        <w:t xml:space="preserve">Derivation and validation of a Case-Mix Group based diagnostic score to predict 30-day death or urgent hospital readmission.  </w:t>
      </w:r>
    </w:p>
    <w:p>
      <w:pPr>
        <w:pStyle w:val="Normal"/>
        <w:spacing w:lineRule="auto" w:line="360"/>
        <w:rPr>
          <w:b/>
          <w:b/>
        </w:rPr>
      </w:pPr>
      <w:r>
        <w:rPr>
          <w:b/>
        </w:rPr>
      </w:r>
    </w:p>
    <w:p>
      <w:pPr>
        <w:pStyle w:val="Normal"/>
        <w:spacing w:lineRule="auto" w:line="360"/>
        <w:rPr/>
      </w:pPr>
      <w:r>
        <w:rPr/>
      </w:r>
    </w:p>
    <w:p>
      <w:pPr>
        <w:pStyle w:val="Normal"/>
        <w:spacing w:lineRule="auto" w:line="360"/>
        <w:rPr/>
      </w:pPr>
      <w:r>
        <w:rPr/>
      </w:r>
    </w:p>
    <w:p>
      <w:pPr>
        <w:pStyle w:val="Normal"/>
        <w:spacing w:lineRule="auto" w:line="360"/>
        <w:rPr>
          <w:rFonts w:cs="Trebuchet MS"/>
          <w:color w:val="000000"/>
        </w:rPr>
      </w:pPr>
      <w:r>
        <w:rPr>
          <w:rFonts w:cs="Trebuchet MS"/>
          <w:b/>
          <w:bCs/>
          <w:color w:val="000000"/>
        </w:rPr>
        <w:t>Carl van Walraven</w:t>
      </w:r>
      <w:r>
        <w:rPr>
          <w:rFonts w:cs="Trebuchet MS"/>
          <w:bCs/>
          <w:color w:val="000000"/>
          <w:vertAlign w:val="superscript"/>
        </w:rPr>
        <w:t>1,2</w:t>
      </w:r>
      <w:r>
        <w:rPr>
          <w:rFonts w:cs="Trebuchet MS"/>
          <w:b/>
          <w:bCs/>
          <w:color w:val="000000"/>
        </w:rPr>
        <w:t xml:space="preserve">, </w:t>
      </w:r>
      <w:r>
        <w:rPr>
          <w:rFonts w:cs="Trebuchet MS"/>
          <w:color w:val="000000"/>
        </w:rPr>
        <w:t>MD, MSc is a senior scientist in Clinical Epidemiology at the Ottawa Hospital Research Institute (OHRI), adjunct scientist at the Institute for Clinical Evaluative Sciences (ICES), and associate professor of Medicine at the University of Ottawa. Email: carlv@ohri.ca</w:t>
      </w:r>
    </w:p>
    <w:p>
      <w:pPr>
        <w:pStyle w:val="Normal"/>
        <w:spacing w:lineRule="auto" w:line="360"/>
        <w:rPr/>
      </w:pPr>
      <w:r>
        <w:rPr>
          <w:b/>
        </w:rPr>
        <w:t>Jenna Wong</w:t>
      </w:r>
      <w:r>
        <w:rPr/>
        <w:t>, MSc is a methodologist in Clinical Epidemiology at OHRI and an analyst at ICES. Email: jewong@ohri.ca</w:t>
      </w:r>
    </w:p>
    <w:p>
      <w:pPr>
        <w:pStyle w:val="Normal"/>
        <w:spacing w:lineRule="auto" w:line="360"/>
        <w:rPr/>
      </w:pPr>
      <w:r>
        <w:rPr>
          <w:b/>
        </w:rPr>
        <w:t>Alan J. Forster</w:t>
      </w:r>
      <w:r>
        <w:rPr>
          <w:vertAlign w:val="superscript"/>
        </w:rPr>
        <w:t>1,2</w:t>
      </w:r>
      <w:r>
        <w:rPr>
          <w:b/>
        </w:rPr>
        <w:t xml:space="preserve">, </w:t>
      </w:r>
      <w:r>
        <w:rPr/>
        <w:t xml:space="preserve">MD, MSc is a </w:t>
      </w:r>
      <w:r>
        <w:rPr>
          <w:rFonts w:cs="Trebuchet MS"/>
          <w:color w:val="000000"/>
        </w:rPr>
        <w:t>senior scientist in Clinical Epidemiology at OHRI, adjunct scientist at ICES, and associate professor of Medicine at the University of Ottawa. Email: aforster@ohri.ca</w:t>
      </w:r>
    </w:p>
    <w:p>
      <w:pPr>
        <w:pStyle w:val="Normal"/>
        <w:spacing w:lineRule="auto" w:line="360"/>
        <w:rPr/>
      </w:pPr>
      <w:r>
        <w:rPr/>
      </w:r>
    </w:p>
    <w:p>
      <w:pPr>
        <w:pStyle w:val="Normal"/>
        <w:numPr>
          <w:ilvl w:val="0"/>
          <w:numId w:val="1"/>
        </w:numPr>
        <w:spacing w:lineRule="auto" w:line="360"/>
        <w:rPr>
          <w:sz w:val="20"/>
          <w:szCs w:val="20"/>
        </w:rPr>
      </w:pPr>
      <w:r>
        <w:rPr>
          <w:sz w:val="20"/>
          <w:szCs w:val="20"/>
        </w:rPr>
        <w:t>Ottawa Hospital Research Institute and Institute for Clinical Evaluative Sciences, 1053 Carling Avenue, Ottawa, K1Y 4E9, Canada</w:t>
      </w:r>
    </w:p>
    <w:p>
      <w:pPr>
        <w:pStyle w:val="Normal"/>
        <w:numPr>
          <w:ilvl w:val="0"/>
          <w:numId w:val="1"/>
        </w:numPr>
        <w:spacing w:lineRule="auto" w:line="360"/>
        <w:rPr>
          <w:sz w:val="20"/>
          <w:szCs w:val="20"/>
        </w:rPr>
      </w:pPr>
      <w:r>
        <w:rPr>
          <w:sz w:val="20"/>
          <w:szCs w:val="20"/>
        </w:rPr>
        <w:t>Department of Medicine, University of Ottawa, 1053 Carling Avenue, Ottawa, K1Y 4E9, Canada</w:t>
      </w:r>
    </w:p>
    <w:p>
      <w:pPr>
        <w:pStyle w:val="Normal"/>
        <w:spacing w:lineRule="auto" w:line="360"/>
        <w:rPr>
          <w:sz w:val="20"/>
          <w:szCs w:val="20"/>
        </w:rPr>
      </w:pPr>
      <w:r>
        <w:rPr>
          <w:sz w:val="20"/>
          <w:szCs w:val="20"/>
        </w:rPr>
      </w:r>
    </w:p>
    <w:p>
      <w:pPr>
        <w:pStyle w:val="Normal"/>
        <w:spacing w:lineRule="auto" w:line="360"/>
        <w:rPr/>
      </w:pPr>
      <w:r>
        <w:rPr>
          <w:sz w:val="20"/>
          <w:szCs w:val="20"/>
        </w:rPr>
        <w:t xml:space="preserve">Corresponding author: Carl van Walraven; 1053 Carling Avenue, Administrative Services Building, 1st floor, Room 1003; Ottawa ON; K1Y 4E9; Phone: 613-761-4903; Fax: 613-761-5355; email: </w:t>
      </w:r>
      <w:hyperlink r:id="rId2">
        <w:r>
          <w:rPr>
            <w:rStyle w:val="InternetLink"/>
            <w:sz w:val="20"/>
            <w:szCs w:val="20"/>
          </w:rPr>
          <w:t>carlv@ohri.ca</w:t>
        </w:r>
      </w:hyperlink>
      <w:r>
        <w:rPr>
          <w:sz w:val="20"/>
          <w:szCs w:val="20"/>
        </w:rPr>
        <w:t xml:space="preserve"> (e-mail address to be published)</w:t>
      </w:r>
    </w:p>
    <w:p>
      <w:pPr>
        <w:pStyle w:val="Normal"/>
        <w:spacing w:lineRule="auto" w:line="360"/>
        <w:rPr>
          <w:sz w:val="20"/>
          <w:szCs w:val="20"/>
        </w:rPr>
      </w:pPr>
      <w:r>
        <w:rPr>
          <w:sz w:val="20"/>
          <w:szCs w:val="20"/>
        </w:rPr>
      </w:r>
    </w:p>
    <w:p>
      <w:pPr>
        <w:pStyle w:val="Normal"/>
        <w:spacing w:lineRule="auto" w:line="360"/>
        <w:rPr/>
      </w:pPr>
      <w:r>
        <w:rPr/>
        <w:t>Abstract count: 272</w:t>
      </w:r>
    </w:p>
    <w:p>
      <w:pPr>
        <w:pStyle w:val="Normal"/>
        <w:spacing w:lineRule="auto" w:line="360"/>
        <w:rPr/>
      </w:pPr>
      <w:r>
        <w:rPr/>
        <w:t>Text count: 2809</w:t>
      </w:r>
    </w:p>
    <w:p>
      <w:pPr>
        <w:pStyle w:val="Normal"/>
        <w:spacing w:lineRule="auto" w:line="360"/>
        <w:rPr/>
      </w:pPr>
      <w:r>
        <w:rPr/>
        <w:t>Tables: 4</w:t>
      </w:r>
    </w:p>
    <w:p>
      <w:pPr>
        <w:pStyle w:val="Normal"/>
        <w:spacing w:lineRule="auto" w:line="360"/>
        <w:rPr/>
      </w:pPr>
      <w:r>
        <w:rPr/>
        <w:t>Figures: 4</w:t>
      </w:r>
    </w:p>
    <w:p>
      <w:pPr>
        <w:pStyle w:val="Normal"/>
        <w:spacing w:lineRule="auto" w:line="360"/>
        <w:rPr/>
      </w:pPr>
      <w:r>
        <w:rPr/>
      </w:r>
    </w:p>
    <w:p>
      <w:pPr>
        <w:pStyle w:val="Normal"/>
        <w:spacing w:lineRule="auto" w:line="360"/>
        <w:rPr/>
      </w:pPr>
      <w:r>
        <w:rPr/>
      </w:r>
      <w:r>
        <w:br w:type="page"/>
      </w:r>
    </w:p>
    <w:p>
      <w:pPr>
        <w:pStyle w:val="Normal"/>
        <w:spacing w:lineRule="auto" w:line="360"/>
        <w:rPr>
          <w:rFonts w:ascii="Times New Roman Bold" w:hAnsi="Times New Roman Bold" w:cs="Times New Roman Bold"/>
          <w:caps/>
        </w:rPr>
      </w:pPr>
      <w:r>
        <w:rPr>
          <w:rFonts w:cs="Times New Roman Bold" w:ascii="Times New Roman Bold" w:hAnsi="Times New Roman Bold"/>
          <w:b/>
          <w:caps/>
        </w:rPr>
        <w:t>Abstract:</w:t>
      </w:r>
    </w:p>
    <w:p>
      <w:pPr>
        <w:pStyle w:val="Normal"/>
        <w:spacing w:lineRule="auto" w:line="360"/>
        <w:rPr/>
      </w:pPr>
      <w:r>
        <w:rPr>
          <w:b/>
        </w:rPr>
        <w:t>Background</w:t>
      </w:r>
      <w:r>
        <w:rPr/>
        <w:t>:  Between 5 and 10% of patients die or are urgently readmitted within 30 days of discharge from hospital.  Readmission risk indexes have either excluded acute diagnoses or modeled them as multiple distinct variables.  In this study, we derived and validated a score that summarized the influence of acute hospital diagnoses and procedures on 30-day death or urgent readmission.</w:t>
      </w:r>
    </w:p>
    <w:p>
      <w:pPr>
        <w:pStyle w:val="Normal"/>
        <w:spacing w:lineRule="auto" w:line="360"/>
        <w:rPr/>
      </w:pPr>
      <w:r>
        <w:rPr>
          <w:b/>
        </w:rPr>
        <w:t>Methods:</w:t>
      </w:r>
      <w:r>
        <w:rPr/>
        <w:t xml:space="preserve">  From population-based hospital abstracts in Ontario, we randomly sampled 200 000 live-discharges between April 2003 and March 2009 and determined who were readmitted urgently and or died within 30 days of discharge.  We used generalized estimating equation modeling in 100 000 patients to measure the adjusted association of each case-mix group (CMG) with 30-day death or urgent readmission.  This was transformed to a score that was validated in the remaining 100 000 patients.</w:t>
      </w:r>
    </w:p>
    <w:p>
      <w:pPr>
        <w:pStyle w:val="Normal"/>
        <w:spacing w:lineRule="auto" w:line="360"/>
        <w:rPr/>
      </w:pPr>
      <w:r>
        <w:rPr>
          <w:b/>
        </w:rPr>
        <w:t xml:space="preserve">Results:  </w:t>
      </w:r>
      <w:r>
        <w:rPr/>
        <w:t xml:space="preserve">Patients in the derivation set had one of 506 different CMGs and a 6.8% risk of 30-day death or urgent readmission.  47 CMG codes (more than half of which were directly related to chronic diseases) were independently associated with this outcome, creating a CMG score that ranged from -6 to 7 points.  The CMG score was significantly associated with 30-day death or urgent readmission (unadjusted odds ratio for a 1 point increase in CMG score of 1.52 [95% CI 1.49-1.56]).  Alone, the CMG score was only moderately discriminative (c-statistic 0.650 [0.644-0.656]); when added to a validated risk index for death or readmission, the c-statistic increased to 0.759 (0.753-0.765).  The CMG score was well calibrated for 30-day death or readmission.  </w:t>
      </w:r>
    </w:p>
    <w:p>
      <w:pPr>
        <w:pStyle w:val="Normal"/>
        <w:spacing w:lineRule="auto" w:line="360"/>
        <w:rPr>
          <w:b/>
          <w:b/>
        </w:rPr>
      </w:pPr>
      <w:r>
        <w:rPr>
          <w:b/>
        </w:rPr>
        <w:t xml:space="preserve">Conclusions:  </w:t>
      </w:r>
      <w:r>
        <w:rPr/>
        <w:t xml:space="preserve">The influence of particular acute diagnoses and procedures on post-discharge outcomes can be quantified in the CMG score.  </w:t>
      </w:r>
      <w:r>
        <w:br w:type="page"/>
      </w:r>
    </w:p>
    <w:p>
      <w:pPr>
        <w:pStyle w:val="Normal"/>
        <w:spacing w:lineRule="auto" w:line="360"/>
        <w:rPr>
          <w:rFonts w:ascii="Times New Roman Bold" w:hAnsi="Times New Roman Bold" w:cs="Times New Roman Bold"/>
          <w:b/>
          <w:b/>
          <w:caps/>
        </w:rPr>
      </w:pPr>
      <w:r>
        <w:rPr>
          <w:rFonts w:cs="Times New Roman Bold" w:ascii="Times New Roman Bold" w:hAnsi="Times New Roman Bold"/>
          <w:b/>
          <w:caps/>
        </w:rPr>
        <w:t>Introduction:</w:t>
      </w:r>
    </w:p>
    <w:p>
      <w:pPr>
        <w:pStyle w:val="Normal"/>
        <w:spacing w:lineRule="auto" w:line="360"/>
        <w:rPr/>
      </w:pPr>
      <w:r>
        <w:rPr/>
        <w:tab/>
        <w:t xml:space="preserve">Early death or urgent readmission is common after patients are discharged from hospital.  These events are undeniably important to patients and are expensive for the healthcare system.  Being able to accurately predict who will die or get readmitted to hospital can help: direct extra care to those at greatest risk; risk-adjust analyses for which death or readmission is an outcome; and potentially identify mechanisms for early death or readmission.  </w:t>
      </w:r>
    </w:p>
    <w:p>
      <w:pPr>
        <w:pStyle w:val="Normal"/>
        <w:spacing w:lineRule="auto" w:line="360"/>
        <w:rPr/>
      </w:pPr>
      <w:r>
        <w:rPr/>
        <w:tab/>
        <w:t xml:space="preserve">We recently published a simple, externally validated scoring system to predict the risk that patients discharged from medical or surgical services die or are urgently readmitted within 30 days of discharge (1).  The LACE index used values of a patient’s hospital length of stay (L), acuity of admission (A), comorbidity (C), and emergency room utilization prior to admission (E) to determine the expected risk of 30-day death or urgent readmission. It is relatively simple to calculate, works with both primary and administrative data, and was very well calibrated.  However, it had only moderate discrimination (c-statistic of 69.4%).  </w:t>
      </w:r>
    </w:p>
    <w:p>
      <w:pPr>
        <w:pStyle w:val="Normal"/>
        <w:spacing w:lineRule="auto" w:line="360"/>
        <w:ind w:firstLine="720"/>
        <w:rPr/>
      </w:pPr>
      <w:r>
        <w:rPr/>
        <w:t xml:space="preserve">Clinically, hospital diagnoses and procedures importantly influence post-discharge outcomes.  Oddly enough, however, none of the twenty most common diagnoses or eleven most common procedures that we considered in our study was independently associated with death or urgent readmission independent of the other LACE index covariates.  Two previously published validated risk prediction models for hospital readmission (with significantly larger sample sizes) found specific diagnoses that significantly predicted readmission (2;3).  In these models, diagnoses were expressed as a categorical variable having as many as 71 categories.  </w:t>
      </w:r>
    </w:p>
    <w:p>
      <w:pPr>
        <w:pStyle w:val="Normal"/>
        <w:spacing w:lineRule="auto" w:line="360"/>
        <w:ind w:firstLine="720"/>
        <w:rPr>
          <w:i/>
          <w:i/>
        </w:rPr>
      </w:pPr>
      <w:r>
        <w:rPr/>
        <w:t xml:space="preserve">Summarizing the influence of the reason for admission to hospital on post-discharge outcomes as a score has several advantages.  First, such a score facilitates the comparing or ranking of various diagnoses on such outcomes.  Second, entering </w:t>
      </w:r>
      <w:r>
        <w:rPr>
          <w:i/>
        </w:rPr>
        <w:t>n</w:t>
      </w:r>
      <w:r>
        <w:rPr/>
        <w:t xml:space="preserve"> diagnoses in a statistical model requires at least </w:t>
      </w:r>
      <w:r>
        <w:rPr>
          <w:i/>
        </w:rPr>
        <w:t>n-1</w:t>
      </w:r>
      <w:r>
        <w:rPr/>
        <w:t xml:space="preserve"> binary variables. This significantly increases the number of terms in the model (which could be problematic with limited sample sizes).  A score lets analysts model the effect of admission diagnosis in as few as one term.  Third, detecting interactions between admission diagnoses and other terms in the regression model is cumbersome when the former is expressed as multiple, distinct covariates.  A score that summarizes the influence of admission diagnosis on post-discharge outcomes would greatly facilitate the analysis of such interactions.  </w:t>
      </w:r>
    </w:p>
    <w:p>
      <w:pPr>
        <w:pStyle w:val="Normal"/>
        <w:spacing w:lineRule="auto" w:line="360"/>
        <w:ind w:firstLine="720"/>
        <w:rPr/>
      </w:pPr>
      <w:r>
        <w:rPr/>
        <w:t xml:space="preserve">In this study, we derived and validated a scoring system (or index) that summarized the influence of acute hospital diagnoses and procedures on 30-day death or urgent readmission.  </w:t>
      </w:r>
    </w:p>
    <w:p>
      <w:pPr>
        <w:pStyle w:val="Normal"/>
        <w:spacing w:lineRule="auto" w:line="360"/>
        <w:ind w:firstLine="720"/>
        <w:rPr/>
      </w:pPr>
      <w:r>
        <w:rPr/>
      </w:r>
    </w:p>
    <w:p>
      <w:pPr>
        <w:pStyle w:val="Normal"/>
        <w:spacing w:lineRule="auto" w:line="360"/>
        <w:rPr>
          <w:rFonts w:ascii="Times New Roman Bold" w:hAnsi="Times New Roman Bold" w:cs="Times New Roman Bold"/>
          <w:caps/>
        </w:rPr>
      </w:pPr>
      <w:r>
        <w:rPr>
          <w:rFonts w:cs="Times New Roman Bold" w:ascii="Times New Roman Bold" w:hAnsi="Times New Roman Bold"/>
          <w:b/>
          <w:caps/>
        </w:rPr>
        <w:t>Methods:</w:t>
      </w:r>
    </w:p>
    <w:p>
      <w:pPr>
        <w:pStyle w:val="Normal"/>
        <w:spacing w:lineRule="auto" w:line="360"/>
        <w:rPr/>
      </w:pPr>
      <w:r>
        <w:rPr/>
        <w:tab/>
        <w:t xml:space="preserve">Our study methods are outlined in Figure 1.  Our study was approved by The Ottawa Hospital Research Ethics Board.  </w:t>
      </w:r>
    </w:p>
    <w:p>
      <w:pPr>
        <w:pStyle w:val="Normal"/>
        <w:spacing w:lineRule="auto" w:line="360"/>
        <w:rPr/>
      </w:pPr>
      <w:r>
        <w:rPr/>
      </w:r>
    </w:p>
    <w:p>
      <w:pPr>
        <w:pStyle w:val="Normal"/>
        <w:spacing w:lineRule="auto" w:line="360"/>
        <w:rPr>
          <w:b/>
          <w:b/>
          <w:i/>
          <w:i/>
        </w:rPr>
      </w:pPr>
      <w:r>
        <w:rPr>
          <w:b/>
          <w:i/>
        </w:rPr>
        <w:t>Datasets Used in the Study:</w:t>
      </w:r>
    </w:p>
    <w:p>
      <w:pPr>
        <w:pStyle w:val="Normal"/>
        <w:spacing w:lineRule="auto" w:line="360"/>
        <w:ind w:firstLine="720"/>
        <w:rPr/>
      </w:pPr>
      <w:r>
        <w:rPr/>
        <w:t xml:space="preserve">This study used four population-based administrative databases that captured data on all Ontarians.  The Discharge Abstract Database (DAD) records all non-psychiatric hospitalizations.  The Ontario Mental Health Reporting System (OMHRS) captures all inpatient mental health encounters after 2006 (prior to which these hospitalizations were captured in DAD).  The National Ambulatory Care Reporting System (NACRS) records all emergency room visits.  The Registered Patient Database (RPDB) records all death dates.    </w:t>
      </w:r>
    </w:p>
    <w:p>
      <w:pPr>
        <w:pStyle w:val="Normal"/>
        <w:spacing w:lineRule="auto" w:line="360"/>
        <w:rPr>
          <w:b/>
          <w:b/>
          <w:i/>
          <w:i/>
        </w:rPr>
      </w:pPr>
      <w:r>
        <w:rPr>
          <w:b/>
          <w:i/>
        </w:rPr>
      </w:r>
    </w:p>
    <w:p>
      <w:pPr>
        <w:pStyle w:val="Normal"/>
        <w:spacing w:lineRule="auto" w:line="360"/>
        <w:rPr>
          <w:b/>
          <w:b/>
          <w:i/>
          <w:i/>
        </w:rPr>
      </w:pPr>
      <w:r>
        <w:rPr>
          <w:b/>
          <w:i/>
        </w:rPr>
        <w:t>Study Cohort</w:t>
      </w:r>
    </w:p>
    <w:p>
      <w:pPr>
        <w:pStyle w:val="Normal"/>
        <w:spacing w:lineRule="auto" w:line="360"/>
        <w:ind w:firstLine="720"/>
        <w:rPr/>
      </w:pPr>
      <w:r>
        <w:rPr/>
        <w:t xml:space="preserve">We used the DAD to create the study cohort.  We first identified all adult medical or surgical patients discharged alive to the community between 1 April 2003 and 31 March 2009.  We excluded psychiatric and obstetrical patients since the LACE score – the primary covariate in our models – did not apply to these patients.  Our study period was chosen to ensure that we had NACRS data for at least 6 months prior to each admission (required to calculate the LACE score required for our analysis) and 30-day urgent readmission data in DAD and OMHRS for all patients.  If a patient had more than one live hospital discharge during the study period, we randomly selected one.  From this sample, we randomly selected 200 000 patients (100 000 for model derivation; 100 000 for model validation).   </w:t>
      </w:r>
    </w:p>
    <w:p>
      <w:pPr>
        <w:pStyle w:val="Normal"/>
        <w:spacing w:lineRule="auto" w:line="360"/>
        <w:rPr/>
      </w:pPr>
      <w:r>
        <w:rPr/>
      </w:r>
    </w:p>
    <w:p>
      <w:pPr>
        <w:pStyle w:val="Normal"/>
        <w:spacing w:lineRule="auto" w:line="360"/>
        <w:rPr>
          <w:b/>
          <w:b/>
          <w:i/>
          <w:i/>
        </w:rPr>
      </w:pPr>
      <w:r>
        <w:rPr>
          <w:b/>
          <w:i/>
        </w:rPr>
        <w:t>LACE Index</w:t>
      </w:r>
    </w:p>
    <w:p>
      <w:pPr>
        <w:pStyle w:val="Normal"/>
        <w:spacing w:lineRule="auto" w:line="360"/>
        <w:ind w:firstLine="720"/>
        <w:rPr/>
      </w:pPr>
      <w:r>
        <w:rPr/>
        <w:t xml:space="preserve">The LACE index estimates the risk of 30-day death or urgent readmission based on the values of 4 covariates from the index hospitalization: </w:t>
      </w:r>
      <w:r>
        <w:rPr>
          <w:b/>
        </w:rPr>
        <w:t>L</w:t>
      </w:r>
      <w:r>
        <w:rPr/>
        <w:t xml:space="preserve">ength of stay (in days); </w:t>
      </w:r>
      <w:r>
        <w:rPr>
          <w:b/>
        </w:rPr>
        <w:t>A</w:t>
      </w:r>
      <w:r>
        <w:rPr/>
        <w:t xml:space="preserve">cuity of the admission (categorized as urgent or planned); </w:t>
      </w:r>
      <w:r>
        <w:rPr>
          <w:b/>
        </w:rPr>
        <w:t>C</w:t>
      </w:r>
      <w:r>
        <w:rPr/>
        <w:t xml:space="preserve">omorbidity of the patient (measured using the Charlson score); and </w:t>
      </w:r>
      <w:r>
        <w:rPr>
          <w:b/>
        </w:rPr>
        <w:t>E</w:t>
      </w:r>
      <w:r>
        <w:rPr/>
        <w:t xml:space="preserve">mergency room utilization (measured as the number of visits to the emergency room in the 6 months prior to the index admission).  A specific number of points are assigned to each covariate value and these points are summed to determine the total LACE score.  The total LACE score indicates the expected risk of 30-day death or urgent readmission.  The LACE score was moderately discriminative (69.4%) and well calibrated with 30-day death or urgent readmission.   </w:t>
      </w:r>
    </w:p>
    <w:p>
      <w:pPr>
        <w:pStyle w:val="Normal"/>
        <w:spacing w:lineRule="auto" w:line="360"/>
        <w:ind w:firstLine="720"/>
        <w:rPr/>
      </w:pPr>
      <w:r>
        <w:rPr/>
        <w:t xml:space="preserve">As in our previous study, we measured the LACE score for all people in our study.  The length of stay and urgency of each index hospitalization were noted from the DAD.  We calculated each person’s Charlson score using the international classification of disease (ICD) codes cited by Quan et. al (4).  Finally, we linked to NACRS to measure the number of visits to an emergency department in the 6 months prior to the index hospitalization.  </w:t>
      </w:r>
    </w:p>
    <w:p>
      <w:pPr>
        <w:pStyle w:val="Normal"/>
        <w:spacing w:lineRule="auto" w:line="360"/>
        <w:rPr/>
      </w:pPr>
      <w:r>
        <w:rPr/>
      </w:r>
    </w:p>
    <w:p>
      <w:pPr>
        <w:pStyle w:val="Normal"/>
        <w:spacing w:lineRule="auto" w:line="360"/>
        <w:rPr>
          <w:b/>
          <w:b/>
          <w:i/>
          <w:i/>
        </w:rPr>
      </w:pPr>
      <w:r>
        <w:rPr>
          <w:b/>
          <w:i/>
        </w:rPr>
        <w:t>Case Mix Group (CMG)</w:t>
      </w:r>
    </w:p>
    <w:p>
      <w:pPr>
        <w:pStyle w:val="Normal"/>
        <w:spacing w:lineRule="auto" w:line="360"/>
        <w:ind w:firstLine="720"/>
        <w:rPr/>
      </w:pPr>
      <w:r>
        <w:rPr/>
        <w:t xml:space="preserve">The Canadian Institute for Health Information (CIHI) has developed methods to categorize acute care inpatients with similar clinical and resource-utilization characteristics.  These categories are called “Case Mix Groups” (CMG) and are </w:t>
      </w:r>
      <w:r>
        <w:rPr>
          <w:szCs w:val="18"/>
        </w:rPr>
        <w:t>based on that admission’s codes for the most responsible diagnosis and the primary procedure.  In 2007, CIHI updated the CMG algorithm (known as ‘CMG</w:t>
      </w:r>
      <w:r>
        <w:rPr>
          <w:szCs w:val="18"/>
          <w:vertAlign w:val="superscript"/>
        </w:rPr>
        <w:t>+</w:t>
      </w:r>
      <w:r>
        <w:rPr>
          <w:szCs w:val="18"/>
        </w:rPr>
        <w:t xml:space="preserve">’) to group patients based on primary diagnoses using the ICD-10-CA system and primary procedures using Canadian Classification of Intervention codes.  Minor revisions are made to this algorithm yearly (that is, patients with the same diagnostic and procedural codes may be assigned to different CMGs in different years).  There are more than 500 distinct codes (Appendix A).  For the primary analysis in this study, we used the 2008 CMG algorithm that was applied to all hospitalizations back to 2003.  To represent each patient’s 2008 CMG value, we created a series of binomial (with values of 0 or 1) covariates for each 2008 CMG value in the derivation set.    </w:t>
      </w:r>
    </w:p>
    <w:p>
      <w:pPr>
        <w:pStyle w:val="Normal"/>
        <w:spacing w:lineRule="auto" w:line="360"/>
        <w:ind w:firstLine="720"/>
        <w:rPr>
          <w:szCs w:val="18"/>
        </w:rPr>
      </w:pPr>
      <w:r>
        <w:rPr>
          <w:szCs w:val="18"/>
        </w:rPr>
      </w:r>
    </w:p>
    <w:p>
      <w:pPr>
        <w:pStyle w:val="Normal"/>
        <w:spacing w:lineRule="auto" w:line="360"/>
        <w:rPr>
          <w:i/>
          <w:i/>
        </w:rPr>
      </w:pPr>
      <w:r>
        <w:rPr>
          <w:b/>
          <w:i/>
        </w:rPr>
        <w:t>Outcome:</w:t>
      </w:r>
    </w:p>
    <w:p>
      <w:pPr>
        <w:pStyle w:val="Normal"/>
        <w:spacing w:lineRule="auto" w:line="360"/>
        <w:ind w:firstLine="720"/>
        <w:rPr/>
      </w:pPr>
      <w:r>
        <w:rPr/>
        <w:t xml:space="preserve">The primary outcome was death or urgent readmission within 30 days of hospital discharge.  Death status was determined by linking to RPDB.  Urgent readmission status was determined by linking to DAD and OMHRS.  Readmissions were included regardless of their diagnosis as long as they were categorized as ‘urgent’ (i.e. ‘unplanned’) and were not preceded by an earlier ‘non-urgent’ (i.e. ‘planned’) readmission.   </w:t>
      </w:r>
    </w:p>
    <w:p>
      <w:pPr>
        <w:pStyle w:val="Normal"/>
        <w:spacing w:lineRule="auto" w:line="360"/>
        <w:rPr>
          <w:b/>
          <w:b/>
          <w:i/>
          <w:i/>
        </w:rPr>
      </w:pPr>
      <w:r>
        <w:rPr>
          <w:b/>
          <w:i/>
        </w:rPr>
        <w:t>Analysis:</w:t>
      </w:r>
    </w:p>
    <w:p>
      <w:pPr>
        <w:pStyle w:val="Normal"/>
        <w:spacing w:lineRule="auto" w:line="360"/>
        <w:rPr/>
      </w:pPr>
      <w:r>
        <w:rPr/>
        <w:tab/>
        <w:t xml:space="preserve">100 000 patients were used to derive the CMG score model.  We used generalized estimating equations (GEE) methods to determine the association of each CMG category with the risk of 30-day death or urgent readmission independent of each person’s LACE score.  The GEE model clustered patients within hospitals and accounted for possible non-independence of such patients when calculating standard errors for the model’s parameter estimates.  </w:t>
      </w:r>
    </w:p>
    <w:p>
      <w:pPr>
        <w:pStyle w:val="Normal"/>
        <w:spacing w:lineRule="auto" w:line="360"/>
        <w:ind w:firstLine="720"/>
        <w:rPr/>
      </w:pPr>
      <w:r>
        <w:rPr/>
        <w:t xml:space="preserve">For variable selection, we first excluded all CMGs whose association with the primary outcome (independent of the LACE score) had a p-value exceeding 0.05.  Since the model could not generate a parameter estimate for CMGs having no events, we excluded 79 CMGs with no events and less than 50 admissions (i.e. &lt; 0.05% of all admissions).  Eleven CMGs having no events but more than 50 admissions were combined another clinically similar CMG (Appendix A).  We then used forward variable selection (with an inclusion p-value of ≤0.001) to identify the CMGs significantly associated with 30-day death or urgent readmission independent of the LACE score and other CMGs.    </w:t>
      </w:r>
    </w:p>
    <w:p>
      <w:pPr>
        <w:pStyle w:val="Normal"/>
        <w:spacing w:lineRule="auto" w:line="360"/>
        <w:ind w:firstLine="720"/>
        <w:rPr/>
      </w:pPr>
      <w:r>
        <w:rPr/>
        <w:t>We used the methods described by Sullivan et. al. (5)</w:t>
      </w:r>
      <w:r>
        <w:rPr>
          <w:vertAlign w:val="superscript"/>
        </w:rPr>
        <w:t xml:space="preserve"> </w:t>
      </w:r>
      <w:r>
        <w:rPr/>
        <w:t xml:space="preserve">to modify parameter estimates for the CMG categories in the final model into a risk score.  The number of points assigned to each statistically significant CMG covariate equaled its regression coefficient divided by the CMG parameter estimate having the smallest absolute value rounded to the nearest whole number.  Each patient’s final “CMG Score” was the number of points assigned to their CMG.  If a patient’s CMG was not included in the model, they received a CMG score of ‘0’.  </w:t>
      </w:r>
    </w:p>
    <w:p>
      <w:pPr>
        <w:pStyle w:val="Normal"/>
        <w:spacing w:lineRule="auto" w:line="360"/>
        <w:rPr>
          <w:b/>
          <w:b/>
        </w:rPr>
      </w:pPr>
      <w:r>
        <w:rPr/>
        <w:tab/>
        <w:t xml:space="preserve">We validated this CMG Score in the remaining 100 000 patients in a GEE logistic regression model with 30-day death or urgent readmission as the outcome and the CMG score as the independent variable.  We repeated this model after adding the LACE index as a covariate.  </w:t>
      </w:r>
    </w:p>
    <w:p>
      <w:pPr>
        <w:pStyle w:val="Normal"/>
        <w:spacing w:lineRule="auto" w:line="360"/>
        <w:ind w:firstLine="720"/>
        <w:rPr/>
      </w:pPr>
      <w:r>
        <w:rPr/>
        <w:t xml:space="preserve">We measured each model’s discrimination using the c-statistic with 95% confidence intervals (6).  We measured calibration by comparing the expected to observed event risk within each CMG score.  The expected outcome risk for each patient was calculated as the inverse of 1 + </w:t>
      </w:r>
      <w:r>
        <w:rPr>
          <w:i/>
        </w:rPr>
        <w:t>e</w:t>
      </w:r>
      <w:r>
        <w:rPr>
          <w:vertAlign w:val="superscript"/>
        </w:rPr>
        <w:t>-(intercept + β(LACE)*Lace Score + β(CMG Score)*CMG score)</w:t>
      </w:r>
      <w:r>
        <w:rPr/>
        <w:t xml:space="preserve"> (where β was the coefficient of each covariate in the regression model).  This was summed across all patients with the same CMG score to calculate the expected number of 30-day deaths or urgent readmissions in patients with each CMG score.  The expected and observed rates were considered similar if the expected rate was within the exact 95% CI (7) around the observed rate.  We summarized each model’s overall calibration using the Hosmer-Lemeshow statistic [7].  Finally, we assessed CMG score discrimination and calibration after stratifying by LACE score quartile.  </w:t>
      </w:r>
    </w:p>
    <w:p>
      <w:pPr>
        <w:pStyle w:val="Normal"/>
        <w:spacing w:lineRule="auto" w:line="360"/>
        <w:ind w:firstLine="720"/>
        <w:rPr/>
      </w:pPr>
      <w:r>
        <w:rPr/>
        <w:t xml:space="preserve">As a secondary analysis, we refit these same models but used 30-day death and 30-day urgent readmission separately as separate outcomes.  For a sensitivity analysis, we measured the ability of the CMG score to predict 30-day death or urgent readmission when the score was determined using the CMG code based on the discharge year algorithm (rather than the 2008 algorithm).  We assessed discrimination and calibration separately in patients discharged between 2003 and 2006 (when the previous CMG grouping methodology was being used), in 2007, and in 2008.  </w:t>
      </w:r>
    </w:p>
    <w:p>
      <w:pPr>
        <w:pStyle w:val="Normal"/>
        <w:spacing w:lineRule="auto" w:line="360"/>
        <w:ind w:firstLine="720"/>
        <w:rPr>
          <w:b/>
          <w:b/>
        </w:rPr>
      </w:pPr>
      <w:r>
        <w:rPr/>
        <w:t xml:space="preserve">  </w:t>
      </w:r>
    </w:p>
    <w:p>
      <w:pPr>
        <w:pStyle w:val="Normal"/>
        <w:spacing w:lineRule="auto" w:line="360"/>
        <w:rPr>
          <w:b/>
          <w:b/>
        </w:rPr>
      </w:pPr>
      <w:r>
        <w:rPr>
          <w:b/>
        </w:rPr>
      </w:r>
    </w:p>
    <w:p>
      <w:pPr>
        <w:pStyle w:val="Normal"/>
        <w:spacing w:lineRule="auto" w:line="360"/>
        <w:rPr>
          <w:b/>
          <w:b/>
        </w:rPr>
      </w:pPr>
      <w:r>
        <w:rPr>
          <w:b/>
        </w:rPr>
        <w:t>RESULTS:</w:t>
      </w:r>
    </w:p>
    <w:p>
      <w:pPr>
        <w:pStyle w:val="Normal"/>
        <w:spacing w:lineRule="auto" w:line="360"/>
        <w:rPr/>
      </w:pPr>
      <w:r>
        <w:rPr/>
        <w:tab/>
        <w:t xml:space="preserve">Figure 2 outlines the creation of the study cohort.  Of approximately 6.5 million hospitalizations in Ontario during the study period, almost 3.3 million hospitalizations were eligible for the study.  This sample included more than 1.8 million individuals, from which 200 000 were randomly selected for the study.  These patients were discharged from one of 183 hospitals with each hospital contributing a median of 320 patients to the study (IQR 116-1827 patients).  </w:t>
      </w:r>
    </w:p>
    <w:p>
      <w:pPr>
        <w:pStyle w:val="Normal"/>
        <w:spacing w:lineRule="auto" w:line="360"/>
        <w:rPr>
          <w:b/>
          <w:b/>
        </w:rPr>
      </w:pPr>
      <w:r>
        <w:rPr>
          <w:b/>
        </w:rPr>
      </w:r>
    </w:p>
    <w:p>
      <w:pPr>
        <w:pStyle w:val="Normal"/>
        <w:spacing w:lineRule="auto" w:line="360"/>
        <w:rPr>
          <w:b/>
          <w:b/>
          <w:i/>
          <w:i/>
        </w:rPr>
      </w:pPr>
      <w:r>
        <w:rPr>
          <w:b/>
          <w:i/>
        </w:rPr>
        <w:t>Study Cohort:</w:t>
      </w:r>
    </w:p>
    <w:p>
      <w:pPr>
        <w:pStyle w:val="Normal"/>
        <w:spacing w:lineRule="auto" w:line="360"/>
        <w:rPr/>
      </w:pPr>
      <w:r>
        <w:rPr/>
        <w:tab/>
        <w:t xml:space="preserve">The study cohort is described in Table 1.  Patients were middle aged and one third had visited the emergency department in the previous six months.  Most hospitalizations were less than a half a week in duration and had a median LACE score of 5 (which is associated with a predicted risk of 30-day death or urgent readmission of 5.1%).  The derivation and validation group were essentially identical.  </w:t>
      </w:r>
    </w:p>
    <w:p>
      <w:pPr>
        <w:pStyle w:val="Normal"/>
        <w:spacing w:lineRule="auto" w:line="360"/>
        <w:rPr/>
      </w:pPr>
      <w:r>
        <w:rPr/>
        <w:tab/>
        <w:t xml:space="preserve">Patients in the derivation set were assigned one of 506 different CMGs (Appendix A) with the most common being hysterectomy without malignancy (CMG 502), unilateral knee replacement (CMG 321), and stable angina or chest pain without cardiac catheterization (CMG 208) (Table 1). </w:t>
      </w:r>
    </w:p>
    <w:p>
      <w:pPr>
        <w:pStyle w:val="Normal"/>
        <w:spacing w:lineRule="auto" w:line="360"/>
        <w:ind w:firstLine="720"/>
        <w:rPr/>
      </w:pPr>
      <w:r>
        <w:rPr/>
        <w:t>The overall risk of 30-day death or urgent readmission was 6.8% (Table 1).  Most of these patients had an urgent readmission; only 0.7% of patients dying in the month post-discharge without a prior urgent readmission.  The event rate was nearly identical in the derivation (6.8%) and the validation (6.7%) group.</w:t>
      </w:r>
    </w:p>
    <w:p>
      <w:pPr>
        <w:pStyle w:val="Normal"/>
        <w:spacing w:lineRule="auto" w:line="360"/>
        <w:rPr/>
      </w:pPr>
      <w:r>
        <w:rPr/>
      </w:r>
    </w:p>
    <w:p>
      <w:pPr>
        <w:pStyle w:val="Normal"/>
        <w:spacing w:lineRule="auto" w:line="360"/>
        <w:rPr>
          <w:b/>
          <w:b/>
          <w:i/>
          <w:i/>
        </w:rPr>
      </w:pPr>
      <w:r>
        <w:rPr>
          <w:b/>
          <w:i/>
        </w:rPr>
        <w:t>CMG Score Derivation:</w:t>
      </w:r>
    </w:p>
    <w:p>
      <w:pPr>
        <w:pStyle w:val="Normal"/>
        <w:spacing w:lineRule="auto" w:line="360"/>
        <w:rPr/>
      </w:pPr>
      <w:r>
        <w:rPr/>
        <w:tab/>
        <w:t xml:space="preserve">Ninety-one CMG groups (comprising 96 CMG codes) were individually associated with 30-day death or urgent readmission (Appendix A).  When these variables were offered to the multivariable model, 47 CMG groups (comprising 50 individual CMG codes) remained in the final model (Table 2).  Many of the CMGs associated with an increased risk of 30-day death or readmission were related to neoplasia, important chronic comorbidities, or diagnoses indicative of poor overall functional status.  More than half of the categories dealt directly with chronic diseases (Table 2).  All CMGs having a </w:t>
      </w:r>
      <w:r>
        <w:rPr>
          <w:i/>
        </w:rPr>
        <w:t>decreased</w:t>
      </w:r>
      <w:r>
        <w:rPr/>
        <w:t xml:space="preserve"> risk of outcomes were therapeutic procedures.  This model was modified into the CMG score that ranged from -6 to 7 (Table 2), with negative scores indicating CMGs that were protective for 30-day death or urgent readmission.  </w:t>
      </w:r>
    </w:p>
    <w:p>
      <w:pPr>
        <w:pStyle w:val="Normal"/>
        <w:spacing w:lineRule="auto" w:line="360"/>
        <w:rPr>
          <w:b/>
          <w:b/>
          <w:i/>
          <w:i/>
        </w:rPr>
      </w:pPr>
      <w:r>
        <w:rPr>
          <w:b/>
          <w:i/>
        </w:rPr>
      </w:r>
    </w:p>
    <w:p>
      <w:pPr>
        <w:pStyle w:val="Normal"/>
        <w:spacing w:lineRule="auto" w:line="360"/>
        <w:rPr>
          <w:b/>
          <w:b/>
        </w:rPr>
      </w:pPr>
      <w:r>
        <w:rPr>
          <w:b/>
          <w:i/>
        </w:rPr>
        <w:t>CMG Score Validation:</w:t>
      </w:r>
    </w:p>
    <w:p>
      <w:pPr>
        <w:pStyle w:val="Normal"/>
        <w:spacing w:lineRule="auto" w:line="360"/>
        <w:ind w:firstLine="720"/>
        <w:rPr/>
      </w:pPr>
      <w:r>
        <w:rPr/>
        <w:t xml:space="preserve">In the validation set, the CMG score had a modal distribution with 0 being the most common value (Figure 1).  The CMG score was significantly associated with 30-day death or urgent readmission with an unadjusted odds ratio (OR) of 1.52 (95% CI 1.49-1.56) for a 1 point increase in the CMG score.  This association persisted when the LACE score was added to the model (adjusted OR 1.34, 95% CI 1.31-1.36).  The CMG score was also significantly associated with each outcome separately but the association was stronger with 30-day death (adjusted OR 1.55 [1.50-1.59]) than with urgent readmission (OR 1.28 [1.26-1.31]).     </w:t>
      </w:r>
    </w:p>
    <w:p>
      <w:pPr>
        <w:pStyle w:val="Normal"/>
        <w:spacing w:lineRule="auto" w:line="360"/>
        <w:ind w:firstLine="720"/>
        <w:rPr/>
      </w:pPr>
      <w:r>
        <w:rPr/>
        <w:t>By itself, the CMG score was only moderately discriminative for predicting 30-day death or urgent readmission (c-statistic 0.650, 95% CI 0.644-0.656) (Table 3).  However, adding the CMG score significantly improved the performance of the LACE index, significantly increasing the c-statistic from 0.735 (0.729-0.741) to 0.759 (0.753-0.765).  The CMG score was well calibrated since the expected event rate within the confidence intervals of the observed rate in 11 of the 14 CMG scores (78.5%) (Figure 3).  Model calibration improved when stratified by quartiles of the LACE score with the expected event rate falling within the confidence intervals of the observed rates in 50 of 56 (89.3%) strata.</w:t>
      </w:r>
    </w:p>
    <w:p>
      <w:pPr>
        <w:pStyle w:val="Normal"/>
        <w:spacing w:lineRule="auto" w:line="360"/>
        <w:ind w:firstLine="720"/>
        <w:rPr/>
      </w:pPr>
      <w:r>
        <w:rPr/>
        <w:t xml:space="preserve">The CMG score alone was also only moderately discriminative for 30-day urgent readmission, but was very discriminative for 30-day death (Table 3).  The discrimination of the CMG score for each outcome separately improved with the addition of the LACE index and was significantly better than that of the LACE alone (as observed with the primary outcome). </w:t>
      </w:r>
    </w:p>
    <w:p>
      <w:pPr>
        <w:pStyle w:val="Normal"/>
        <w:spacing w:lineRule="auto" w:line="360"/>
        <w:ind w:firstLine="720"/>
        <w:rPr/>
      </w:pPr>
      <w:r>
        <w:rPr/>
      </w:r>
    </w:p>
    <w:p>
      <w:pPr>
        <w:pStyle w:val="Normal"/>
        <w:spacing w:lineRule="auto" w:line="360"/>
        <w:rPr>
          <w:b/>
          <w:b/>
          <w:i/>
          <w:i/>
        </w:rPr>
      </w:pPr>
      <w:r>
        <w:rPr>
          <w:b/>
          <w:i/>
        </w:rPr>
        <w:t>Sensitivity Analysis:</w:t>
      </w:r>
    </w:p>
    <w:p>
      <w:pPr>
        <w:pStyle w:val="Normal"/>
        <w:spacing w:lineRule="auto" w:line="360"/>
        <w:rPr/>
      </w:pPr>
      <w:r>
        <w:rPr/>
        <w:tab/>
        <w:t xml:space="preserve">When the CMG code was assigned based on the algorithm of the discharge year (rather than the 2008 algorithm), the discrimination of the CMG score (both alone and combined with the LACE index) for predicting 30-day death or urgent readmission was similar for discharges occurring in 2007 and 2008 (Table 4).  However, for discharges occurring before 2007, the discrimination was notably lower for the CMG score alone and slightly (but still significantly) lower when the LACE index was added to the model (Table 4).  </w:t>
      </w:r>
    </w:p>
    <w:p>
      <w:pPr>
        <w:pStyle w:val="Normal"/>
        <w:spacing w:lineRule="auto" w:line="360"/>
        <w:rPr/>
      </w:pPr>
      <w:r>
        <w:rPr/>
      </w:r>
      <w:r>
        <w:br w:type="page"/>
      </w:r>
    </w:p>
    <w:p>
      <w:pPr>
        <w:pStyle w:val="Normal"/>
        <w:spacing w:lineRule="auto" w:line="360"/>
        <w:rPr>
          <w:b/>
          <w:b/>
        </w:rPr>
      </w:pPr>
      <w:r>
        <w:rPr>
          <w:b/>
        </w:rPr>
        <w:t>DISCUSSION:</w:t>
      </w:r>
    </w:p>
    <w:p>
      <w:pPr>
        <w:pStyle w:val="Normal"/>
        <w:spacing w:lineRule="auto" w:line="360"/>
        <w:ind w:firstLine="720"/>
        <w:rPr/>
      </w:pPr>
      <w:r>
        <w:rPr/>
        <w:t xml:space="preserve">In this study of patients discharged from medical or surgical hospital services, we identified the Case Mix Groups (CMGs) that were associated with risk of 30-day death or urgent readmission independent of a validated risk index.  Those CMGs that increased the risk of these outcomes indicated neoplastic processes, other important chronic diseases, and poor overall function; only procedure-related CMGs were protective.  When expressed as a single index, the CMG score was significantly associated with 30-day death or readmission independent of the LACE index.  When added, the CMG significantly improved the LACE’s ability to predict the risk of early post-discharge death or urgent readmission.  </w:t>
      </w:r>
    </w:p>
    <w:p>
      <w:pPr>
        <w:pStyle w:val="Normal"/>
        <w:spacing w:lineRule="auto" w:line="360"/>
        <w:ind w:firstLine="720"/>
        <w:rPr/>
      </w:pPr>
      <w:r>
        <w:rPr/>
        <w:t xml:space="preserve">The CMG score efficiently summarized the effect of a large number of diagnostic and procedural groups on post-discharge outcomes.  We identified those CMGs whose association with 30-day death or urgent readmission was beyond that from factors known to influence this outcome (including length of stay, hospitalization acuity, patient comorbidity, and pre-admission emergency room utilization).  We also quantified this association with a score.  </w:t>
      </w:r>
    </w:p>
    <w:p>
      <w:pPr>
        <w:pStyle w:val="Normal"/>
        <w:spacing w:lineRule="auto" w:line="360"/>
        <w:ind w:firstLine="720"/>
        <w:rPr/>
      </w:pPr>
      <w:r>
        <w:rPr/>
        <w:t xml:space="preserve">The CMG score has several advantages for researchers.  It reduces the independent influence of acute hospitalization conditions on post-discharge outcomes to a single number.  This simplifies regression modeling by decreasing the number of parameters required to capture important confounders.  This is especially important when study sample size is limited and model over-fitting is a concern.  Reducing the influence of multiple conditions to a single number also simplifies the search for interactions between acute conditions and other model covariates.  The CMG score can be used to adjust for potential confounding whenever Canadian administrative data are used to examine early death or unplanned hospital readmission. </w:t>
      </w:r>
    </w:p>
    <w:p>
      <w:pPr>
        <w:pStyle w:val="Normal"/>
        <w:spacing w:lineRule="auto" w:line="360"/>
        <w:ind w:firstLine="720"/>
        <w:rPr/>
      </w:pPr>
      <w:r>
        <w:rPr/>
        <w:t xml:space="preserve">Our study has several advantages and limitations.  Since we used a population-based, random sample to derive our model, it will be applicable to other medical and surgical patients hospitalized in Ontario.  We believe that the results should be applicable to other provinces but this should be established before the CMG score is widely applied to data from other Canadian provinces.  Second, because our study used CMG codes to cluster acute diagnoses and procedures, our index can only be used with abstract data that have been grouped using CIHI’s CMG classifier.  This means that researchers from other countries will need to derive their own acute diagnosis score.  Third, we derived the CMG score using the 2008 CMG algorithm.  Our sensitivity analysis showed that the CMG score worked as well when applied with the score using the 2007 algorithm.  However, the CMG score was not as discriminative when applied using CMG algorithms prior to 2007.  This is likely due to CIHI using a substantially different CMG algorithm prior to this year that was based on ICD-9-CM codes translated to ICD-10-CA.  These results show that our algorithm will likely apply to future CMG algorithms as long as it contains no large methodological shifts.  Annual testing of the CMG score with new CMG algorithms will be required to ensure its applicability.    </w:t>
      </w:r>
    </w:p>
    <w:p>
      <w:pPr>
        <w:pStyle w:val="Normal"/>
        <w:spacing w:lineRule="auto" w:line="360"/>
        <w:ind w:firstLine="720"/>
        <w:rPr/>
      </w:pPr>
      <w:r>
        <w:rPr/>
        <w:t xml:space="preserve">This study derived and validated an index that quantifies the influence of particular acute diagnoses and procedures on post-discharge outcomes.    </w:t>
      </w:r>
    </w:p>
    <w:p>
      <w:pPr>
        <w:pStyle w:val="Normal"/>
        <w:rPr>
          <w:lang w:val="de-DE"/>
        </w:rPr>
      </w:pPr>
      <w:r>
        <w:rPr>
          <w:lang w:val="de-DE"/>
        </w:rPr>
      </w:r>
    </w:p>
    <w:p>
      <w:pPr>
        <w:pStyle w:val="Normal"/>
        <w:spacing w:lineRule="auto" w:line="360"/>
        <w:rPr>
          <w:b/>
          <w:b/>
        </w:rPr>
      </w:pPr>
      <w:r>
        <w:rPr>
          <w:b/>
        </w:rPr>
        <w:t>Author Contributions</w:t>
      </w:r>
    </w:p>
    <w:p>
      <w:pPr>
        <w:pStyle w:val="Normal"/>
        <w:spacing w:lineRule="auto" w:line="360"/>
        <w:rPr/>
      </w:pPr>
      <w:r>
        <w:rPr/>
        <w:t xml:space="preserve">Carl van Walraven conceived the project idea, wrote the study protocol, directed the study analysis, wrote the first draft of the paper, and is the guarantor for the study.  Jenna Wong conducted the statistical analysis, produced the tables and figures, and contributed to the writing and editing of the manuscript.  Alan Forster helped guide the analysis and interpretation of the study results, and also critically reviewed the paper for intellectual content.  All authors have read and approved the final version of the manuscript.  </w:t>
      </w:r>
    </w:p>
    <w:p>
      <w:pPr>
        <w:pStyle w:val="Normal"/>
        <w:spacing w:lineRule="auto" w:line="360"/>
        <w:rPr>
          <w:b/>
          <w:b/>
        </w:rPr>
      </w:pPr>
      <w:r>
        <w:rPr>
          <w:b/>
        </w:rPr>
      </w:r>
    </w:p>
    <w:p>
      <w:pPr>
        <w:pStyle w:val="Normal"/>
        <w:spacing w:lineRule="auto" w:line="360"/>
        <w:rPr>
          <w:b/>
          <w:b/>
        </w:rPr>
      </w:pPr>
      <w:r>
        <w:rPr>
          <w:b/>
        </w:rPr>
        <w:t>Competing Interests</w:t>
      </w:r>
    </w:p>
    <w:p>
      <w:pPr>
        <w:pStyle w:val="Normal"/>
        <w:rPr/>
      </w:pPr>
      <w:r>
        <w:rPr/>
        <w:t xml:space="preserve">All authors declare no competing interests. </w:t>
      </w:r>
    </w:p>
    <w:p>
      <w:pPr>
        <w:pStyle w:val="Normal"/>
        <w:rPr/>
      </w:pPr>
      <w:r>
        <w:rPr/>
      </w:r>
    </w:p>
    <w:p>
      <w:pPr>
        <w:pStyle w:val="Normal"/>
        <w:spacing w:lineRule="auto" w:line="360"/>
        <w:rPr>
          <w:b/>
          <w:b/>
        </w:rPr>
      </w:pPr>
      <w:r>
        <w:rPr>
          <w:b/>
        </w:rPr>
        <w:t>Acknowledgements</w:t>
      </w:r>
    </w:p>
    <w:p>
      <w:pPr>
        <w:pStyle w:val="Normal"/>
        <w:spacing w:lineRule="auto" w:line="360"/>
        <w:rPr>
          <w:lang w:val="de-DE"/>
        </w:rPr>
      </w:pPr>
      <w:r>
        <w:rPr/>
        <w:t xml:space="preserve"> </w:t>
      </w:r>
      <w:r>
        <w:rPr/>
        <w:t>This study was funded by the Department of Medicine, University of Ottawa.</w:t>
      </w:r>
      <w:r>
        <w:br w:type="page"/>
      </w:r>
    </w:p>
    <w:p>
      <w:pPr>
        <w:pStyle w:val="Normal"/>
        <w:spacing w:lineRule="auto" w:line="360"/>
        <w:rPr>
          <w:b/>
          <w:b/>
          <w:lang w:val="de-DE"/>
        </w:rPr>
      </w:pPr>
      <w:r>
        <w:rPr>
          <w:b/>
          <w:lang w:val="de-DE"/>
        </w:rPr>
        <w:t>References</w:t>
      </w:r>
    </w:p>
    <w:p>
      <w:pPr>
        <w:pStyle w:val="Normal"/>
        <w:spacing w:lineRule="auto" w:line="360"/>
        <w:jc w:val="center"/>
        <w:rPr>
          <w:b/>
          <w:b/>
          <w:lang w:val="de-DE"/>
        </w:rPr>
      </w:pPr>
      <w:r>
        <w:rPr>
          <w:b/>
          <w:lang w:val="de-DE"/>
        </w:rPr>
      </w:r>
    </w:p>
    <w:p>
      <w:pPr>
        <w:pStyle w:val="Normal"/>
        <w:tabs>
          <w:tab w:val="right" w:pos="360" w:leader="none"/>
          <w:tab w:val="left" w:pos="540" w:leader="none"/>
        </w:tabs>
        <w:spacing w:lineRule="auto" w:line="360" w:before="0" w:after="240"/>
        <w:ind w:left="540" w:hanging="540"/>
        <w:rPr/>
      </w:pPr>
      <w:r>
        <w:rPr>
          <w:lang w:val="de-DE"/>
        </w:rPr>
        <w:tab/>
        <w:t xml:space="preserve">(1) </w:t>
        <w:tab/>
        <w:t xml:space="preserve">van Walraven C, Dhalla IA, Bell CM, Etchells E, Stiell IG, Zarnke K et al. </w:t>
      </w:r>
      <w:r>
        <w:rPr/>
        <w:t>Derivation and validation of an index to predict early death or unplanned readmission after discharge from hospital to the community. CMAJ 2010; 182(6):551-557.</w:t>
      </w:r>
    </w:p>
    <w:p>
      <w:pPr>
        <w:pStyle w:val="Normal"/>
        <w:tabs>
          <w:tab w:val="right" w:pos="360" w:leader="none"/>
          <w:tab w:val="left" w:pos="540" w:leader="none"/>
        </w:tabs>
        <w:spacing w:lineRule="auto" w:line="360" w:before="0" w:after="240"/>
        <w:ind w:left="540" w:hanging="540"/>
        <w:rPr/>
      </w:pPr>
      <w:r>
        <w:rPr/>
        <w:tab/>
        <w:t xml:space="preserve">(2) </w:t>
        <w:tab/>
        <w:t>Bottle A, Aylin P, Majeed A. Identifying patients at high risk of emergency hospital admissions: a logistic regression analysis. J R Soc Med 2006; 99(8):406-414.</w:t>
      </w:r>
    </w:p>
    <w:p>
      <w:pPr>
        <w:pStyle w:val="Normal"/>
        <w:tabs>
          <w:tab w:val="right" w:pos="360" w:leader="none"/>
          <w:tab w:val="left" w:pos="540" w:leader="none"/>
        </w:tabs>
        <w:spacing w:lineRule="auto" w:line="360" w:before="0" w:after="240"/>
        <w:ind w:left="540" w:hanging="540"/>
        <w:rPr/>
      </w:pPr>
      <w:r>
        <w:rPr/>
        <w:tab/>
        <w:t xml:space="preserve">(3) </w:t>
        <w:tab/>
        <w:t>Billings J, Dixon J, Mijanovich T, Wennberg D. Case finding for patients at risk of readmission to hospital: development of algorithm to identify high risk patients. Br Med J 2006; 333(7563):327.</w:t>
      </w:r>
    </w:p>
    <w:p>
      <w:pPr>
        <w:pStyle w:val="Normal"/>
        <w:tabs>
          <w:tab w:val="right" w:pos="360" w:leader="none"/>
          <w:tab w:val="left" w:pos="540" w:leader="none"/>
        </w:tabs>
        <w:spacing w:lineRule="auto" w:line="360" w:before="0" w:after="240"/>
        <w:ind w:left="540" w:hanging="540"/>
        <w:rPr/>
      </w:pPr>
      <w:r>
        <w:rPr/>
        <w:tab/>
        <w:t xml:space="preserve">(4) </w:t>
        <w:tab/>
        <w:t>Quan H, Sundararajan V, Halfon P, Fong A, Burnand B, Luthi JC et al. Coding algorithms for defining comorbidities in ICD-9-CM and ICD-10 administrative data. Med Care 2005; 43(11):1130-1139.</w:t>
      </w:r>
    </w:p>
    <w:p>
      <w:pPr>
        <w:pStyle w:val="Normal"/>
        <w:tabs>
          <w:tab w:val="right" w:pos="360" w:leader="none"/>
          <w:tab w:val="left" w:pos="540" w:leader="none"/>
        </w:tabs>
        <w:spacing w:lineRule="auto" w:line="360" w:before="0" w:after="240"/>
        <w:ind w:left="540" w:hanging="540"/>
        <w:rPr/>
      </w:pPr>
      <w:r>
        <w:rPr/>
        <w:tab/>
        <w:t xml:space="preserve">(5) </w:t>
        <w:tab/>
        <w:t>Sullivan LM, Massaro JM, D'Agostino RB, Sr. Presentation of multivariate data for clinical use: The Framingham Study risk score functions. Stat Med 2004; 23(10):1631-1660.</w:t>
      </w:r>
    </w:p>
    <w:p>
      <w:pPr>
        <w:pStyle w:val="Normal"/>
        <w:tabs>
          <w:tab w:val="right" w:pos="360" w:leader="none"/>
          <w:tab w:val="left" w:pos="540" w:leader="none"/>
        </w:tabs>
        <w:spacing w:lineRule="auto" w:line="360" w:before="0" w:after="240"/>
        <w:ind w:left="540" w:hanging="540"/>
        <w:rPr/>
      </w:pPr>
      <w:r>
        <w:rPr/>
        <w:tab/>
        <w:t xml:space="preserve">(6) </w:t>
        <w:tab/>
        <w:t>Gonen M. Single Continuous Predictor. Analyzing receiver operating characteristic curves with SAS. Cary, N.C.: SAS Institute Inc., 2007: 15-36.</w:t>
      </w:r>
    </w:p>
    <w:p>
      <w:pPr>
        <w:pStyle w:val="Normal"/>
        <w:tabs>
          <w:tab w:val="right" w:pos="360" w:leader="none"/>
          <w:tab w:val="left" w:pos="540" w:leader="none"/>
        </w:tabs>
        <w:spacing w:lineRule="auto" w:line="360" w:before="0" w:after="240"/>
        <w:ind w:left="540" w:hanging="540"/>
        <w:rPr/>
      </w:pPr>
      <w:r>
        <w:rPr/>
        <w:tab/>
        <w:t xml:space="preserve">(7) </w:t>
        <w:tab/>
        <w:t>Daly L. Simple SAS macros for the calculation of exact binomial and Poisson confidence limits. Comput Biol Med 1992; 22(5):351-361.</w:t>
      </w:r>
    </w:p>
    <w:p>
      <w:pPr>
        <w:pStyle w:val="Normal"/>
        <w:tabs>
          <w:tab w:val="right" w:pos="360" w:leader="none"/>
          <w:tab w:val="left" w:pos="540" w:leader="none"/>
        </w:tabs>
        <w:spacing w:lineRule="auto" w:line="360"/>
        <w:ind w:left="540" w:hanging="540"/>
        <w:rPr/>
      </w:pPr>
      <w:r>
        <w:rPr/>
      </w:r>
      <w:r>
        <w:br w:type="page"/>
      </w:r>
    </w:p>
    <w:p>
      <w:pPr>
        <w:pStyle w:val="Normal"/>
        <w:tabs>
          <w:tab w:val="right" w:pos="360" w:leader="none"/>
          <w:tab w:val="left" w:pos="540" w:leader="none"/>
        </w:tabs>
        <w:rPr/>
      </w:pPr>
      <w:r>
        <w:rPr>
          <w:b/>
        </w:rPr>
        <w:t>Figure 1:</w:t>
      </w:r>
      <w:r>
        <w:rPr/>
        <w:t xml:space="preserve">  Outline of study methods.</w:t>
      </w:r>
    </w:p>
    <w:p>
      <w:pPr>
        <w:pStyle w:val="Normal"/>
        <w:rPr/>
      </w:pPr>
      <w:r>
        <w:rPr/>
      </w:r>
    </w:p>
    <w:p>
      <w:pPr>
        <w:pStyle w:val="Normal"/>
        <w:rPr>
          <w:lang w:val="en-CA" w:eastAsia="en-CA"/>
        </w:rPr>
      </w:pPr>
      <w:r>
        <w:rPr>
          <w:lang w:val="en-CA" w:eastAsia="en-CA"/>
        </w:rPr>
        <mc:AlternateContent>
          <mc:Choice Requires="wpg">
            <w:drawing>
              <wp:inline distT="0" distB="0" distL="0" distR="0">
                <wp:extent cx="5485765" cy="5828665"/>
                <wp:effectExtent l="0" t="0" r="0" b="0"/>
                <wp:docPr id="1" name=""/>
                <a:graphic xmlns:a="http://schemas.openxmlformats.org/drawingml/2006/main">
                  <a:graphicData uri="http://schemas.microsoft.com/office/word/2010/wordprocessingGroup">
                    <wpg:wgp>
                      <wpg:cNvGrpSpPr/>
                      <wpg:grpSpPr>
                        <a:xfrm>
                          <a:off x="0" y="0"/>
                          <a:ext cx="5484960" cy="5828040"/>
                        </a:xfrm>
                      </wpg:grpSpPr>
                      <wps:wsp>
                        <wps:cNvSpPr/>
                        <wps:nvSpPr>
                          <wps:cNvPr id="0" name="Rectangle 1"/>
                          <wps:cNvSpPr/>
                        </wps:nvSpPr>
                        <wps:spPr>
                          <a:xfrm>
                            <a:off x="0" y="0"/>
                            <a:ext cx="5484960" cy="5828040"/>
                          </a:xfrm>
                          <a:prstGeom prst="rect">
                            <a:avLst/>
                          </a:prstGeom>
                          <a:noFill/>
                          <a:ln>
                            <a:noFill/>
                          </a:ln>
                        </wps:spPr>
                        <wps:bodyPr/>
                      </wps:wsp>
                      <wps:cxnSp>
                        <wps:nvCxnSpPr>
                          <wps:cNvPr id="1" name="Line 2"/>
                          <wps:cNvCxnSpPr/>
                          <wps:nvPr/>
                        </wps:nvCxnSpPr>
                        <wps:spPr>
                          <a:xfrm flipH="1" flipV="1">
                            <a:off x="1644120" y="4237920"/>
                            <a:ext cx="549000" cy="1060200"/>
                          </a:xfrm>
                          <a:prstGeom prst="bentConnector3">
                            <a:avLst/>
                          </a:prstGeom>
                          <a:ln w="28440">
                            <a:solidFill>
                              <a:srgbClr val="000000"/>
                            </a:solidFill>
                            <a:miter/>
                          </a:ln>
                        </wps:spPr>
                        <wps:bodyPr/>
                      </wps:cxnSp>
                      <wps:cxnSp>
                        <wps:nvCxnSpPr>
                          <wps:cNvPr id="2" name="Line 3"/>
                          <wps:cNvCxnSpPr/>
                          <wps:nvPr/>
                        </wps:nvCxnSpPr>
                        <wps:spPr>
                          <a:xfrm flipV="1">
                            <a:off x="1645200" y="2649240"/>
                            <a:ext cx="2520" cy="529920"/>
                          </a:xfrm>
                          <a:prstGeom prst="bentConnector3">
                            <a:avLst/>
                          </a:prstGeom>
                          <a:ln w="28440">
                            <a:solidFill>
                              <a:srgbClr val="000000"/>
                            </a:solidFill>
                            <a:miter/>
                          </a:ln>
                        </wps:spPr>
                        <wps:bodyPr/>
                      </wps:cxnSp>
                      <wps:cxnSp>
                        <wps:nvCxnSpPr>
                          <wps:cNvPr id="3" name="Line 4"/>
                          <wps:cNvCxnSpPr/>
                          <wps:nvPr/>
                        </wps:nvCxnSpPr>
                        <wps:spPr>
                          <a:xfrm flipV="1">
                            <a:off x="1645200" y="1059120"/>
                            <a:ext cx="2520" cy="529920"/>
                          </a:xfrm>
                          <a:prstGeom prst="bentConnector3">
                            <a:avLst/>
                          </a:prstGeom>
                          <a:ln w="28440">
                            <a:solidFill>
                              <a:srgbClr val="000000"/>
                            </a:solidFill>
                            <a:miter/>
                          </a:ln>
                        </wps:spPr>
                        <wps:bodyPr/>
                      </wps:cxnSp>
                      <wps:wsp>
                        <wps:cNvSpPr/>
                        <wps:spPr>
                          <a:xfrm>
                            <a:off x="0" y="0"/>
                            <a:ext cx="3291120" cy="105912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8"/>
                                  <w:szCs w:val="24"/>
                                  <w:rFonts w:ascii="Times New Roman" w:hAnsi="Times New Roman" w:eastAsia="Times New Roman" w:cs="Times New Roman"/>
                                  <w:color w:val="auto"/>
                                  <w:lang w:val="en-US" w:bidi="ar-SA"/>
                                </w:rPr>
                                <w:t xml:space="preserve">A. Randomly selected 200 000 distinct adults discharged live from hospital to community from a medical or surgical service.  </w:t>
                              </w:r>
                            </w:p>
                          </w:txbxContent>
                        </wps:txbx>
                        <wps:bodyPr lIns="0" rIns="0" tIns="0" bIns="0" anchor="ctr">
                          <a:noAutofit/>
                        </wps:bodyPr>
                      </wps:wsp>
                      <wps:wsp>
                        <wps:cNvSpPr/>
                        <wps:spPr>
                          <a:xfrm>
                            <a:off x="0" y="1589400"/>
                            <a:ext cx="3291120" cy="105912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8"/>
                                  <w:szCs w:val="24"/>
                                  <w:rFonts w:ascii="Times New Roman" w:hAnsi="Times New Roman" w:eastAsia="Times New Roman" w:cs="Times New Roman"/>
                                  <w:color w:val="auto"/>
                                  <w:lang w:val="en-US" w:bidi="ar-SA"/>
                                </w:rPr>
                                <w:t>B. Determined covariate values (LACE score and CMG) and outcome status (30-day death or urgent readmission) for each patient.</w:t>
                              </w:r>
                            </w:p>
                          </w:txbxContent>
                        </wps:txbx>
                        <wps:bodyPr lIns="0" rIns="0" tIns="0" bIns="0" anchor="ctr">
                          <a:noAutofit/>
                        </wps:bodyPr>
                      </wps:wsp>
                      <wps:wsp>
                        <wps:cNvSpPr/>
                        <wps:spPr>
                          <a:xfrm>
                            <a:off x="0" y="3178800"/>
                            <a:ext cx="3291120" cy="105912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8"/>
                                  <w:szCs w:val="24"/>
                                  <w:rFonts w:ascii="Times New Roman" w:hAnsi="Times New Roman" w:eastAsia="Times New Roman" w:cs="Times New Roman"/>
                                  <w:color w:val="auto"/>
                                  <w:lang w:val="en-US" w:bidi="ar-SA"/>
                                </w:rPr>
                                <w:t xml:space="preserve">C. Used GEE modeling to identify CMGs that are significantly associated with outcome independent of LACE score, clustered by index hospital. </w:t>
                              </w:r>
                            </w:p>
                          </w:txbxContent>
                        </wps:txbx>
                        <wps:bodyPr lIns="0" rIns="0" tIns="0" bIns="0" anchor="ctr">
                          <a:noAutofit/>
                        </wps:bodyPr>
                      </wps:wsp>
                      <wps:wsp>
                        <wps:cNvSpPr/>
                        <wps:spPr>
                          <a:xfrm>
                            <a:off x="2193840" y="4768200"/>
                            <a:ext cx="3291120" cy="1059120"/>
                          </a:xfrm>
                          <a:prstGeom prst="roundRect">
                            <a:avLst>
                              <a:gd name="adj" fmla="val 3600"/>
                            </a:avLst>
                          </a:prstGeom>
                          <a:solidFill>
                            <a:srgbClr val="bbe0e3"/>
                          </a:solidFill>
                          <a:ln w="9360">
                            <a:solidFill>
                              <a:srgbClr val="000000"/>
                            </a:solidFill>
                            <a:miter/>
                          </a:ln>
                        </wps:spPr>
                        <wps:style>
                          <a:lnRef idx="0"/>
                          <a:fillRef idx="0"/>
                          <a:effectRef idx="0"/>
                          <a:fontRef idx="minor"/>
                        </wps:style>
                        <wps:txbx>
                          <w:txbxContent>
                            <w:p>
                              <w:pPr>
                                <w:bidi w:val="0"/>
                                <w:jc w:val="center"/>
                                <w:rPr/>
                              </w:pPr>
                              <w:r>
                                <w:rPr>
                                  <w:sz w:val="28"/>
                                  <w:szCs w:val="24"/>
                                  <w:rFonts w:ascii="Times New Roman" w:hAnsi="Times New Roman" w:eastAsia="Times New Roman" w:cs="Times New Roman"/>
                                  <w:color w:val="auto"/>
                                  <w:lang w:val="en-US" w:bidi="ar-SA"/>
                                </w:rPr>
                                <w:t xml:space="preserve">D. Modified model from C into Point system.  Measured discrimination and calibration of CMG score in validation group.  </w:t>
                              </w:r>
                            </w:p>
                          </w:txbxContent>
                        </wps:txbx>
                        <wps:bodyPr lIns="0" rIns="0" tIns="0" bIns="0" anchor="ctr">
                          <a:noAutofit/>
                        </wps:bodyPr>
                      </wps:wsp>
                    </wpg:wgp>
                  </a:graphicData>
                </a:graphic>
              </wp:inline>
            </w:drawing>
          </mc:Choice>
          <mc:Fallback>
            <w:pict>
              <v:group id="shape_0" style="position:absolute;margin-left:0pt;margin-top:0pt;width:431.9pt;height:458.9pt" coordorigin="0,0" coordsize="8638,9178">
                <v:rect id="shape_0" stroked="f" style="position:absolute;left:0;top:0;width:8637;height:9177;mso-position-horizontal-relative:char">
                  <w10:wrap type="none"/>
                  <v:fill on="false" o:detectmouseclick="t"/>
                  <v:stroke color="#3465a4" joinstyle="round" endcap="flat"/>
                </v:rect>
                <v:shapetype id="shapetype_33" coordsize="21600,21600" o:spt="33" path="m,l21600,l21600,21600nfe">
                  <v:stroke joinstyle="miter"/>
                  <v:path gradientshapeok="t" o:connecttype="rect" textboxrect="0,0,21600,21600"/>
                </v:shapetype>
                <v:shape id="shape_0" ID="_s1028" stroked="t" style="position:absolute;left:2589;top:6674;width:864;height:1669;rotation:180;mso-position-horizontal-relative:char" type="shapetype_33">
                  <v:stroke color="black" weight="28440" joinstyle="miter" endcap="square"/>
                  <v:fill on="false" o:detectmouseclick="t"/>
                </v:shape>
                <v:shape id="shape_0" ID="_s1029" stroked="t" style="position:absolute;left:2591;top:4172;width:3;height:834;flip:y;mso-position-horizontal-relative:char" type="shapetype_33">
                  <v:stroke color="black" weight="28440" joinstyle="miter" endcap="square"/>
                  <v:fill on="false" o:detectmouseclick="t"/>
                </v:shape>
                <v:shape id="shape_0" ID="_s1030" stroked="t" style="position:absolute;left:2591;top:1668;width:3;height:834;flip:y;mso-position-horizontal-relative:char" type="shapetype_33">
                  <v:stroke color="black" weight="28440" joinstyle="miter" endcap="square"/>
                  <v:fill on="false" o:detectmouseclick="t"/>
                </v:shape>
                <v:roundrect id="shape_0" ID="_s1031" fillcolor="#bbe0e3" stroked="t" style="position:absolute;left:0;top:0;width:5182;height:1667;mso-position-horizontal-relative:char">
                  <v:textbox>
                    <w:txbxContent>
                      <w:p>
                        <w:pPr>
                          <w:bidi w:val="0"/>
                          <w:jc w:val="center"/>
                          <w:rPr/>
                        </w:pPr>
                        <w:r>
                          <w:rPr>
                            <w:sz w:val="28"/>
                            <w:szCs w:val="24"/>
                            <w:rFonts w:ascii="Times New Roman" w:hAnsi="Times New Roman" w:eastAsia="Times New Roman" w:cs="Times New Roman"/>
                            <w:color w:val="auto"/>
                            <w:lang w:val="en-US" w:bidi="ar-SA"/>
                          </w:rPr>
                          <w:t xml:space="preserve">A. Randomly selected 200 000 distinct adults discharged live from hospital to community from a medical or surgical service.  </w:t>
                        </w:r>
                      </w:p>
                    </w:txbxContent>
                  </v:textbox>
                  <w10:wrap type="square"/>
                  <v:fill type="solid" color2="#441f1c" o:detectmouseclick="t"/>
                  <v:stroke color="black" weight="9360" joinstyle="miter" endcap="square"/>
                </v:roundrect>
                <v:roundrect id="shape_0" ID="_s1032" fillcolor="#bbe0e3" stroked="t" style="position:absolute;left:0;top:2503;width:5182;height:1667;mso-position-horizontal-relative:char">
                  <v:textbox>
                    <w:txbxContent>
                      <w:p>
                        <w:pPr>
                          <w:bidi w:val="0"/>
                          <w:jc w:val="center"/>
                          <w:rPr/>
                        </w:pPr>
                        <w:r>
                          <w:rPr>
                            <w:sz w:val="28"/>
                            <w:szCs w:val="24"/>
                            <w:rFonts w:ascii="Times New Roman" w:hAnsi="Times New Roman" w:eastAsia="Times New Roman" w:cs="Times New Roman"/>
                            <w:color w:val="auto"/>
                            <w:lang w:val="en-US" w:bidi="ar-SA"/>
                          </w:rPr>
                          <w:t>B. Determined covariate values (LACE score and CMG) and outcome status (30-day death or urgent readmission) for each patient.</w:t>
                        </w:r>
                      </w:p>
                    </w:txbxContent>
                  </v:textbox>
                  <w10:wrap type="square"/>
                  <v:fill type="solid" color2="#441f1c" o:detectmouseclick="t"/>
                  <v:stroke color="black" weight="9360" joinstyle="miter" endcap="square"/>
                </v:roundrect>
                <v:roundrect id="shape_0" ID="_s1033" fillcolor="#bbe0e3" stroked="t" style="position:absolute;left:0;top:5006;width:5182;height:1667;mso-position-horizontal-relative:char">
                  <v:textbox>
                    <w:txbxContent>
                      <w:p>
                        <w:pPr>
                          <w:bidi w:val="0"/>
                          <w:jc w:val="center"/>
                          <w:rPr/>
                        </w:pPr>
                        <w:r>
                          <w:rPr>
                            <w:sz w:val="28"/>
                            <w:szCs w:val="24"/>
                            <w:rFonts w:ascii="Times New Roman" w:hAnsi="Times New Roman" w:eastAsia="Times New Roman" w:cs="Times New Roman"/>
                            <w:color w:val="auto"/>
                            <w:lang w:val="en-US" w:bidi="ar-SA"/>
                          </w:rPr>
                          <w:t xml:space="preserve">C. Used GEE modeling to identify CMGs that are significantly associated with outcome independent of LACE score, clustered by index hospital. </w:t>
                        </w:r>
                      </w:p>
                    </w:txbxContent>
                  </v:textbox>
                  <w10:wrap type="square"/>
                  <v:fill type="solid" color2="#441f1c" o:detectmouseclick="t"/>
                  <v:stroke color="black" weight="9360" joinstyle="miter" endcap="square"/>
                </v:roundrect>
                <v:roundrect id="shape_0" ID="_s1034" fillcolor="#bbe0e3" stroked="t" style="position:absolute;left:3455;top:7509;width:5182;height:1667;mso-position-horizontal-relative:char">
                  <v:textbox>
                    <w:txbxContent>
                      <w:p>
                        <w:pPr>
                          <w:bidi w:val="0"/>
                          <w:jc w:val="center"/>
                          <w:rPr/>
                        </w:pPr>
                        <w:r>
                          <w:rPr>
                            <w:sz w:val="28"/>
                            <w:szCs w:val="24"/>
                            <w:rFonts w:ascii="Times New Roman" w:hAnsi="Times New Roman" w:eastAsia="Times New Roman" w:cs="Times New Roman"/>
                            <w:color w:val="auto"/>
                            <w:lang w:val="en-US" w:bidi="ar-SA"/>
                          </w:rPr>
                          <w:t xml:space="preserve">D. Modified model from C into Point system.  Measured discrimination and calibration of CMG score in validation group.  </w:t>
                        </w:r>
                      </w:p>
                    </w:txbxContent>
                  </v:textbox>
                  <w10:wrap type="square"/>
                  <v:fill type="solid" color2="#441f1c" o:detectmouseclick="t"/>
                  <v:stroke color="black" weight="9360" joinstyle="miter" endcap="square"/>
                </v:roundrect>
              </v:group>
            </w:pict>
          </mc:Fallback>
        </mc:AlternateContent>
      </w:r>
      <w:r>
        <w:br w:type="page"/>
      </w:r>
    </w:p>
    <w:p>
      <w:pPr>
        <w:pStyle w:val="Normal"/>
        <w:rPr/>
      </w:pPr>
      <w:r>
        <w:rPr>
          <w:b/>
        </w:rPr>
        <w:t>Figure 2</w:t>
      </w:r>
      <w:r>
        <w:rPr/>
        <w:t>: Outline for creation of study cohort</w:t>
      </w:r>
    </w:p>
    <w:p>
      <w:pPr>
        <w:pStyle w:val="Normal"/>
        <w:rPr/>
      </w:pPr>
      <w:r>
        <w:rPr/>
      </w:r>
    </w:p>
    <w:p>
      <w:pPr>
        <w:pStyle w:val="Normal"/>
        <w:rPr>
          <w:lang w:val="en-CA" w:eastAsia="en-CA"/>
        </w:rPr>
      </w:pPr>
      <w:r>
        <w:rPr>
          <w:lang w:val="en-CA" w:eastAsia="en-CA"/>
        </w:rPr>
        <mc:AlternateContent>
          <mc:Choice Requires="wpg">
            <w:drawing>
              <wp:anchor behindDoc="0" distT="0" distB="0" distL="114935" distR="114935" simplePos="0" locked="0" layoutInCell="1" allowOverlap="1" relativeHeight="5">
                <wp:simplePos x="0" y="0"/>
                <wp:positionH relativeFrom="column">
                  <wp:posOffset>1219200</wp:posOffset>
                </wp:positionH>
                <wp:positionV relativeFrom="paragraph">
                  <wp:posOffset>7620</wp:posOffset>
                </wp:positionV>
                <wp:extent cx="4427855" cy="6654800"/>
                <wp:effectExtent l="0" t="0" r="0" b="0"/>
                <wp:wrapNone/>
                <wp:docPr id="2" name=""/>
                <a:graphic xmlns:a="http://schemas.openxmlformats.org/drawingml/2006/main">
                  <a:graphicData uri="http://schemas.microsoft.com/office/word/2010/wordprocessingGroup">
                    <wpg:wgp>
                      <wpg:cNvGrpSpPr/>
                      <wpg:grpSpPr>
                        <a:xfrm>
                          <a:off x="0" y="0"/>
                          <a:ext cx="4427280" cy="6654240"/>
                        </a:xfrm>
                      </wpg:grpSpPr>
                      <wps:wsp>
                        <wps:cNvSpPr txBox="1"/>
                        <wps:spPr>
                          <a:xfrm>
                            <a:off x="0" y="0"/>
                            <a:ext cx="2629080" cy="80028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All discharges from acute care hospitals in Ontario between 1 April 2003 and 31 March 2009</w:t>
                              </w:r>
                            </w:p>
                            <w:p>
                              <w:pPr>
                                <w:bidi w:val="0"/>
                                <w:jc w:val="center"/>
                                <w:rPr/>
                              </w:pPr>
                              <w:r>
                                <w:rPr>
                                  <w:sz w:val="24"/>
                                  <w:szCs w:val="24"/>
                                  <w:rFonts w:ascii="Times New Roman" w:hAnsi="Times New Roman" w:eastAsia="Times New Roman" w:cs="Times New Roman"/>
                                  <w:color w:val="auto"/>
                                  <w:lang w:val="en-US" w:bidi="ar-SA"/>
                                </w:rPr>
                                <w:t>(6 516 313)</w:t>
                              </w:r>
                            </w:p>
                          </w:txbxContent>
                        </wps:txbx>
                        <wps:bodyPr wrap="square">
                          <a:noAutofit/>
                        </wps:bodyPr>
                      </wps:wsp>
                      <wps:wsp>
                        <wps:cNvSpPr txBox="1"/>
                        <wps:spPr>
                          <a:xfrm>
                            <a:off x="1638360" y="1323360"/>
                            <a:ext cx="2788920" cy="27612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died in hospital (261 336)</w:t>
                              </w:r>
                            </w:p>
                          </w:txbxContent>
                        </wps:txbx>
                        <wps:bodyPr wrap="square">
                          <a:noAutofit/>
                        </wps:bodyPr>
                      </wps:wsp>
                      <wps:wsp>
                        <wps:cNvSpPr txBox="1"/>
                        <wps:spPr>
                          <a:xfrm>
                            <a:off x="1638360" y="1739160"/>
                            <a:ext cx="2788920" cy="27612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&lt; 18 years of age (1 296 820)</w:t>
                              </w:r>
                            </w:p>
                          </w:txbxContent>
                        </wps:txbx>
                        <wps:bodyPr wrap="square">
                          <a:noAutofit/>
                        </wps:bodyPr>
                      </wps:wsp>
                      <wps:wsp>
                        <wps:cNvSpPr txBox="1"/>
                        <wps:spPr>
                          <a:xfrm>
                            <a:off x="1638360" y="2155320"/>
                            <a:ext cx="2788920" cy="457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Psychiatric and obstetrical admissions</w:t>
                              </w:r>
                            </w:p>
                            <w:p>
                              <w:pPr>
                                <w:bidi w:val="0"/>
                                <w:rPr/>
                              </w:pPr>
                              <w:r>
                                <w:rPr>
                                  <w:sz w:val="24"/>
                                  <w:szCs w:val="24"/>
                                  <w:rFonts w:ascii="Times New Roman" w:hAnsi="Times New Roman" w:eastAsia="Times New Roman" w:cs="Times New Roman"/>
                                  <w:color w:val="auto"/>
                                  <w:lang w:val="en-US" w:bidi="ar-SA"/>
                                </w:rPr>
                                <w:t>(1 021 732)</w:t>
                              </w:r>
                            </w:p>
                          </w:txbxContent>
                        </wps:txbx>
                        <wps:bodyPr wrap="square">
                          <a:noAutofit/>
                        </wps:bodyPr>
                      </wps:wsp>
                      <wps:wsp>
                        <wps:cNvSpPr txBox="1"/>
                        <wps:spPr>
                          <a:xfrm>
                            <a:off x="1638360" y="2743200"/>
                            <a:ext cx="2788920" cy="457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discharged to long-term care, rehabilitation, or other hospital (656 011)</w:t>
                              </w:r>
                            </w:p>
                          </w:txbxContent>
                        </wps:txbx>
                        <wps:bodyPr wrap="square">
                          <a:noAutofit/>
                        </wps:bodyPr>
                      </wps:wsp>
                      <wps:wsp>
                        <wps:cNvSpPr txBox="1"/>
                        <wps:spPr>
                          <a:xfrm>
                            <a:off x="1638360" y="3380760"/>
                            <a:ext cx="2788920" cy="619200"/>
                          </a:xfrm>
                          <a:prstGeom prst="rect">
                            <a:avLst/>
                          </a:prstGeom>
                          <a:solidFill>
                            <a:srgbClr val="ffffff"/>
                          </a:solidFill>
                          <a:ln w="9360">
                            <a:solidFill>
                              <a:srgbClr val="000000"/>
                            </a:solidFill>
                            <a:miter/>
                          </a:ln>
                        </wps:spPr>
                        <wps:txbx>
                          <w:txbxContent>
                            <w:p>
                              <w:pPr>
                                <w:bidi w:val="0"/>
                                <w:rPr/>
                              </w:pPr>
                              <w:r>
                                <w:rPr>
                                  <w:sz w:val="24"/>
                                  <w:szCs w:val="24"/>
                                  <w:rFonts w:ascii="Times New Roman" w:hAnsi="Times New Roman" w:eastAsia="Times New Roman" w:cs="Times New Roman"/>
                                  <w:color w:val="auto"/>
                                  <w:lang w:val="en-US" w:bidi="ar-SA"/>
                                </w:rPr>
                                <w:t>Patient ineligible for OHIP coverage at discharge or during 30-day period following discharge (3 381)</w:t>
                              </w:r>
                            </w:p>
                          </w:txbxContent>
                        </wps:txbx>
                        <wps:bodyPr wrap="square">
                          <a:noAutofit/>
                        </wps:bodyPr>
                      </wps:wsp>
                      <wps:wsp>
                        <wps:cNvSpPr txBox="1"/>
                        <wps:spPr>
                          <a:xfrm>
                            <a:off x="38160" y="4234680"/>
                            <a:ext cx="2514600" cy="45720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Eligible hospitalizations</w:t>
                              </w:r>
                            </w:p>
                            <w:p>
                              <w:pPr>
                                <w:bidi w:val="0"/>
                                <w:jc w:val="center"/>
                                <w:rPr/>
                              </w:pPr>
                              <w:r>
                                <w:rPr>
                                  <w:sz w:val="24"/>
                                  <w:szCs w:val="24"/>
                                  <w:rFonts w:ascii="Times New Roman" w:hAnsi="Times New Roman" w:eastAsia="Times New Roman" w:cs="Times New Roman"/>
                                  <w:color w:val="auto"/>
                                  <w:lang w:val="en-US" w:bidi="ar-SA"/>
                                </w:rPr>
                                <w:t>(3 277 033)</w:t>
                              </w:r>
                            </w:p>
                          </w:txbxContent>
                        </wps:txbx>
                        <wps:bodyPr wrap="square">
                          <a:noAutofit/>
                        </wps:bodyPr>
                      </wps:wsp>
                      <wps:wsp>
                        <wps:cNvSpPr/>
                        <wps:spPr>
                          <a:xfrm>
                            <a:off x="1299240" y="4690080"/>
                            <a:ext cx="0" cy="343080"/>
                          </a:xfrm>
                          <a:prstGeom prst="line">
                            <a:avLst/>
                          </a:prstGeom>
                          <a:ln w="9360">
                            <a:solidFill>
                              <a:srgbClr val="000000"/>
                            </a:solidFill>
                            <a:miter/>
                            <a:tailEnd len="med" type="triangle" w="med"/>
                          </a:ln>
                        </wps:spPr>
                        <wps:bodyPr/>
                      </wps:wsp>
                      <wps:wsp>
                        <wps:cNvSpPr txBox="1"/>
                        <wps:spPr>
                          <a:xfrm>
                            <a:off x="38160" y="5044320"/>
                            <a:ext cx="2514600" cy="68580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Randomly selected 1 admission per person</w:t>
                              </w:r>
                            </w:p>
                            <w:p>
                              <w:pPr>
                                <w:bidi w:val="0"/>
                                <w:jc w:val="center"/>
                                <w:rPr/>
                              </w:pPr>
                              <w:r>
                                <w:rPr>
                                  <w:sz w:val="24"/>
                                  <w:szCs w:val="24"/>
                                  <w:rFonts w:ascii="Times New Roman" w:hAnsi="Times New Roman" w:eastAsia="Times New Roman" w:cs="Times New Roman"/>
                                  <w:color w:val="auto"/>
                                  <w:lang w:val="en-US" w:bidi="ar-SA"/>
                                </w:rPr>
                                <w:t>(n=1 851 930)</w:t>
                              </w:r>
                            </w:p>
                          </w:txbxContent>
                        </wps:txbx>
                        <wps:bodyPr wrap="square">
                          <a:noAutofit/>
                        </wps:bodyPr>
                      </wps:wsp>
                      <wps:wsp>
                        <wps:cNvSpPr/>
                        <wps:spPr>
                          <a:xfrm>
                            <a:off x="1296720" y="5728320"/>
                            <a:ext cx="0" cy="343080"/>
                          </a:xfrm>
                          <a:prstGeom prst="line">
                            <a:avLst/>
                          </a:prstGeom>
                          <a:ln w="9360">
                            <a:solidFill>
                              <a:srgbClr val="000000"/>
                            </a:solidFill>
                            <a:miter/>
                            <a:tailEnd len="med" type="triangle" w="med"/>
                          </a:ln>
                        </wps:spPr>
                        <wps:bodyPr/>
                      </wps:wsp>
                      <wps:wsp>
                        <wps:cNvSpPr txBox="1"/>
                        <wps:spPr>
                          <a:xfrm>
                            <a:off x="38160" y="6082560"/>
                            <a:ext cx="2514600" cy="571680"/>
                          </a:xfrm>
                          <a:prstGeom prst="rect">
                            <a:avLst/>
                          </a:prstGeom>
                          <a:solidFill>
                            <a:srgbClr val="ffffff"/>
                          </a:solidFill>
                          <a:ln w="9360">
                            <a:solidFill>
                              <a:srgbClr val="000000"/>
                            </a:solidFill>
                            <a:miter/>
                          </a:ln>
                        </wps:spPr>
                        <wps:txbx>
                          <w:txbxContent>
                            <w:p>
                              <w:pPr>
                                <w:bidi w:val="0"/>
                                <w:jc w:val="center"/>
                                <w:rPr/>
                              </w:pPr>
                              <w:r>
                                <w:rPr>
                                  <w:sz w:val="24"/>
                                  <w:szCs w:val="24"/>
                                  <w:rFonts w:ascii="Times New Roman" w:hAnsi="Times New Roman" w:eastAsia="Times New Roman" w:cs="Times New Roman"/>
                                  <w:color w:val="auto"/>
                                  <w:lang w:val="en-US" w:bidi="ar-SA"/>
                                </w:rPr>
                                <w:t>Randomly select 200 000 admissions:</w:t>
                              </w:r>
                            </w:p>
                            <w:p>
                              <w:pPr>
                                <w:bidi w:val="0"/>
                                <w:jc w:val="center"/>
                                <w:rPr/>
                              </w:pPr>
                              <w:r>
                                <w:rPr>
                                  <w:sz w:val="24"/>
                                  <w:szCs w:val="24"/>
                                  <w:rFonts w:ascii="Times New Roman" w:hAnsi="Times New Roman" w:eastAsia="Times New Roman" w:cs="Times New Roman"/>
                                  <w:color w:val="auto"/>
                                  <w:lang w:val="en-US" w:bidi="ar-SA"/>
                                </w:rPr>
                                <w:t xml:space="preserve"> </w:t>
                              </w:r>
                              <w:r>
                                <w:rPr>
                                  <w:sz w:val="24"/>
                                  <w:szCs w:val="24"/>
                                  <w:b/>
                                  <w:rFonts w:ascii="Times New Roman" w:hAnsi="Times New Roman" w:eastAsia="Times New Roman" w:cs="Times New Roman"/>
                                  <w:color w:val="auto"/>
                                  <w:lang w:val="en-US" w:bidi="ar-SA"/>
                                </w:rPr>
                                <w:t>FINAL COHORT</w:t>
                              </w:r>
                            </w:p>
                          </w:txbxContent>
                        </wps:txbx>
                        <wps:bodyPr wrap="square">
                          <a:noAutofit/>
                        </wps:bodyPr>
                      </wps:wsp>
                      <wps:wsp>
                        <wps:cNvSpPr/>
                        <wps:spPr>
                          <a:xfrm>
                            <a:off x="1295280" y="1457280"/>
                            <a:ext cx="343080" cy="0"/>
                          </a:xfrm>
                          <a:prstGeom prst="line">
                            <a:avLst/>
                          </a:prstGeom>
                          <a:ln w="9360">
                            <a:solidFill>
                              <a:srgbClr val="000000"/>
                            </a:solidFill>
                            <a:miter/>
                            <a:tailEnd len="med" type="triangle" w="med"/>
                          </a:ln>
                        </wps:spPr>
                        <wps:bodyPr/>
                      </wps:wsp>
                      <wps:wsp>
                        <wps:cNvSpPr/>
                        <wps:spPr>
                          <a:xfrm>
                            <a:off x="1295280" y="1876320"/>
                            <a:ext cx="343080" cy="0"/>
                          </a:xfrm>
                          <a:prstGeom prst="line">
                            <a:avLst/>
                          </a:prstGeom>
                          <a:ln w="9360">
                            <a:solidFill>
                              <a:srgbClr val="000000"/>
                            </a:solidFill>
                            <a:miter/>
                            <a:tailEnd len="med" type="triangle" w="med"/>
                          </a:ln>
                        </wps:spPr>
                        <wps:bodyPr/>
                      </wps:wsp>
                      <wps:wsp>
                        <wps:cNvSpPr/>
                        <wps:spPr>
                          <a:xfrm>
                            <a:off x="1295280" y="2362320"/>
                            <a:ext cx="343080" cy="0"/>
                          </a:xfrm>
                          <a:prstGeom prst="line">
                            <a:avLst/>
                          </a:prstGeom>
                          <a:ln w="9360">
                            <a:solidFill>
                              <a:srgbClr val="000000"/>
                            </a:solidFill>
                            <a:miter/>
                            <a:tailEnd len="med" type="triangle" w="med"/>
                          </a:ln>
                        </wps:spPr>
                        <wps:bodyPr/>
                      </wps:wsp>
                      <wps:wsp>
                        <wps:cNvSpPr/>
                        <wps:spPr>
                          <a:xfrm>
                            <a:off x="1295280" y="2943360"/>
                            <a:ext cx="343080" cy="0"/>
                          </a:xfrm>
                          <a:prstGeom prst="line">
                            <a:avLst/>
                          </a:prstGeom>
                          <a:ln w="9360">
                            <a:solidFill>
                              <a:srgbClr val="000000"/>
                            </a:solidFill>
                            <a:miter/>
                            <a:tailEnd len="med" type="triangle" w="med"/>
                          </a:ln>
                        </wps:spPr>
                        <wps:bodyPr/>
                      </wps:wsp>
                      <wps:wsp>
                        <wps:cNvSpPr/>
                        <wps:spPr>
                          <a:xfrm>
                            <a:off x="1295280" y="3669120"/>
                            <a:ext cx="343080" cy="0"/>
                          </a:xfrm>
                          <a:prstGeom prst="line">
                            <a:avLst/>
                          </a:prstGeom>
                          <a:ln w="9360">
                            <a:solidFill>
                              <a:srgbClr val="000000"/>
                            </a:solidFill>
                            <a:miter/>
                            <a:tailEnd len="med" type="triangle" w="med"/>
                          </a:ln>
                        </wps:spPr>
                        <wps:bodyPr/>
                      </wps:wsp>
                      <wps:wsp>
                        <wps:cNvSpPr txBox="1"/>
                        <wps:spPr>
                          <a:xfrm>
                            <a:off x="2390040" y="961920"/>
                            <a:ext cx="1228680" cy="266760"/>
                          </a:xfrm>
                          <a:prstGeom prst="rect">
                            <a:avLst/>
                          </a:prstGeom>
                          <a:solidFill>
                            <a:srgbClr val="ffffff"/>
                          </a:solidFill>
                          <a:ln>
                            <a:noFill/>
                          </a:ln>
                        </wps:spPr>
                        <wps:txbx>
                          <w:txbxContent>
                            <w:p>
                              <w:pPr>
                                <w:bidi w:val="0"/>
                                <w:jc w:val="center"/>
                                <w:rPr/>
                              </w:pPr>
                              <w:r>
                                <w:rPr>
                                  <w:sz w:val="24"/>
                                  <w:b/>
                                  <w:u w:val="single"/>
                                  <w:szCs w:val="24"/>
                                  <w:rFonts w:ascii="Times New Roman" w:hAnsi="Times New Roman" w:eastAsia="Times New Roman" w:cs="Times New Roman"/>
                                  <w:color w:val="auto"/>
                                  <w:lang w:val="en-US" w:bidi="ar-SA"/>
                                </w:rPr>
                                <w:t>EXCLUSIONS</w:t>
                              </w:r>
                            </w:p>
                          </w:txbxContent>
                        </wps:txbx>
                        <wps:bodyPr wrap="square">
                          <a:noAutofit/>
                        </wps:bodyPr>
                      </wps:wsp>
                      <wps:wsp>
                        <wps:cNvSpPr/>
                        <wps:spPr>
                          <a:xfrm>
                            <a:off x="1295280" y="794520"/>
                            <a:ext cx="0" cy="3429000"/>
                          </a:xfrm>
                          <a:prstGeom prst="line">
                            <a:avLst/>
                          </a:prstGeom>
                          <a:ln w="9360">
                            <a:solidFill>
                              <a:srgbClr val="000000"/>
                            </a:solidFill>
                            <a:miter/>
                            <a:tailEnd len="med" type="triangle" w="med"/>
                          </a:ln>
                        </wps:spPr>
                        <wps:bodyPr/>
                      </wps:wsp>
                    </wpg:wgp>
                  </a:graphicData>
                </a:graphic>
              </wp:anchor>
            </w:drawing>
          </mc:Choice>
          <mc:Fallback>
            <w:pict>
              <v:group id="shape_0" style="position:absolute;margin-left:96pt;margin-top:0.6pt;width:348.6pt;height:523.95pt" coordorigin="1920,12" coordsize="6972,10479">
                <v:shapetype id="shapetype_202" coordsize="21600,21600" o:spt="202" path="m,l,21600l21600,21600l21600,xe">
                  <v:stroke joinstyle="miter"/>
                  <v:path gradientshapeok="t" o:connecttype="rect"/>
                </v:shapetype>
                <v:shape id="shape_0" fillcolor="white" stroked="t" style="position:absolute;left:1920;top:12;width:4139;height:1259" type="shapetype_202">
                  <v:textbox>
                    <w:txbxContent>
                      <w:p>
                        <w:pPr>
                          <w:bidi w:val="0"/>
                          <w:jc w:val="center"/>
                          <w:rPr/>
                        </w:pPr>
                        <w:r>
                          <w:rPr>
                            <w:sz w:val="24"/>
                            <w:szCs w:val="24"/>
                            <w:rFonts w:ascii="Times New Roman" w:hAnsi="Times New Roman" w:eastAsia="Times New Roman" w:cs="Times New Roman"/>
                            <w:color w:val="auto"/>
                            <w:lang w:val="en-US" w:bidi="ar-SA"/>
                          </w:rPr>
                          <w:t>All discharges from acute care hospitals in Ontario between 1 April 2003 and 31 March 2009</w:t>
                        </w:r>
                      </w:p>
                      <w:p>
                        <w:pPr>
                          <w:bidi w:val="0"/>
                          <w:jc w:val="center"/>
                          <w:rPr/>
                        </w:pPr>
                        <w:r>
                          <w:rPr>
                            <w:sz w:val="24"/>
                            <w:szCs w:val="24"/>
                            <w:rFonts w:ascii="Times New Roman" w:hAnsi="Times New Roman" w:eastAsia="Times New Roman" w:cs="Times New Roman"/>
                            <w:color w:val="auto"/>
                            <w:lang w:val="en-US" w:bidi="ar-SA"/>
                          </w:rPr>
                          <w:t>(6 516 313)</w:t>
                        </w:r>
                      </w:p>
                    </w:txbxContent>
                  </v:textbox>
                  <w10:wrap type="square"/>
                  <v:fill type="solid" color2="black" o:detectmouseclick="t"/>
                  <v:stroke color="black" weight="9360" joinstyle="miter" endcap="square"/>
                </v:shape>
                <v:shape id="shape_0" fillcolor="white" stroked="t" style="position:absolute;left:4500;top:2096;width:4391;height:434" type="shapetype_202">
                  <v:textbox>
                    <w:txbxContent>
                      <w:p>
                        <w:pPr>
                          <w:bidi w:val="0"/>
                          <w:rPr/>
                        </w:pPr>
                        <w:r>
                          <w:rPr>
                            <w:sz w:val="24"/>
                            <w:szCs w:val="24"/>
                            <w:rFonts w:ascii="Times New Roman" w:hAnsi="Times New Roman" w:eastAsia="Times New Roman" w:cs="Times New Roman"/>
                            <w:color w:val="auto"/>
                            <w:lang w:val="en-US" w:bidi="ar-SA"/>
                          </w:rPr>
                          <w:t>Patient died in hospital (261 336)</w:t>
                        </w:r>
                      </w:p>
                    </w:txbxContent>
                  </v:textbox>
                  <w10:wrap type="square"/>
                  <v:fill type="solid" color2="black" o:detectmouseclick="t"/>
                  <v:stroke color="black" weight="9360" joinstyle="miter" endcap="square"/>
                </v:shape>
                <v:shape id="shape_0" fillcolor="white" stroked="t" style="position:absolute;left:4500;top:2751;width:4391;height:434" type="shapetype_202">
                  <v:textbox>
                    <w:txbxContent>
                      <w:p>
                        <w:pPr>
                          <w:bidi w:val="0"/>
                          <w:rPr/>
                        </w:pPr>
                        <w:r>
                          <w:rPr>
                            <w:sz w:val="24"/>
                            <w:szCs w:val="24"/>
                            <w:rFonts w:ascii="Times New Roman" w:hAnsi="Times New Roman" w:eastAsia="Times New Roman" w:cs="Times New Roman"/>
                            <w:color w:val="auto"/>
                            <w:lang w:val="en-US" w:bidi="ar-SA"/>
                          </w:rPr>
                          <w:t>Patient &lt; 18 years of age (1 296 820)</w:t>
                        </w:r>
                      </w:p>
                    </w:txbxContent>
                  </v:textbox>
                  <w10:wrap type="square"/>
                  <v:fill type="solid" color2="black" o:detectmouseclick="t"/>
                  <v:stroke color="black" weight="9360" joinstyle="miter" endcap="square"/>
                </v:shape>
                <v:shape id="shape_0" fillcolor="white" stroked="t" style="position:absolute;left:4500;top:3406;width:4391;height:719" type="shapetype_202">
                  <v:textbox>
                    <w:txbxContent>
                      <w:p>
                        <w:pPr>
                          <w:bidi w:val="0"/>
                          <w:rPr/>
                        </w:pPr>
                        <w:r>
                          <w:rPr>
                            <w:sz w:val="24"/>
                            <w:szCs w:val="24"/>
                            <w:rFonts w:ascii="Times New Roman" w:hAnsi="Times New Roman" w:eastAsia="Times New Roman" w:cs="Times New Roman"/>
                            <w:color w:val="auto"/>
                            <w:lang w:val="en-US" w:bidi="ar-SA"/>
                          </w:rPr>
                          <w:t>Psychiatric and obstetrical admissions</w:t>
                        </w:r>
                      </w:p>
                      <w:p>
                        <w:pPr>
                          <w:bidi w:val="0"/>
                          <w:rPr/>
                        </w:pPr>
                        <w:r>
                          <w:rPr>
                            <w:sz w:val="24"/>
                            <w:szCs w:val="24"/>
                            <w:rFonts w:ascii="Times New Roman" w:hAnsi="Times New Roman" w:eastAsia="Times New Roman" w:cs="Times New Roman"/>
                            <w:color w:val="auto"/>
                            <w:lang w:val="en-US" w:bidi="ar-SA"/>
                          </w:rPr>
                          <w:t>(1 021 732)</w:t>
                        </w:r>
                      </w:p>
                    </w:txbxContent>
                  </v:textbox>
                  <w10:wrap type="square"/>
                  <v:fill type="solid" color2="black" o:detectmouseclick="t"/>
                  <v:stroke color="black" weight="9360" joinstyle="miter" endcap="square"/>
                </v:shape>
                <v:shape id="shape_0" fillcolor="white" stroked="t" style="position:absolute;left:4500;top:4332;width:4391;height:719" type="shapetype_202">
                  <v:textbox>
                    <w:txbxContent>
                      <w:p>
                        <w:pPr>
                          <w:bidi w:val="0"/>
                          <w:rPr/>
                        </w:pPr>
                        <w:r>
                          <w:rPr>
                            <w:sz w:val="24"/>
                            <w:szCs w:val="24"/>
                            <w:rFonts w:ascii="Times New Roman" w:hAnsi="Times New Roman" w:eastAsia="Times New Roman" w:cs="Times New Roman"/>
                            <w:color w:val="auto"/>
                            <w:lang w:val="en-US" w:bidi="ar-SA"/>
                          </w:rPr>
                          <w:t>Patient discharged to long-term care, rehabilitation, or other hospital (656 011)</w:t>
                        </w:r>
                      </w:p>
                    </w:txbxContent>
                  </v:textbox>
                  <w10:wrap type="square"/>
                  <v:fill type="solid" color2="black" o:detectmouseclick="t"/>
                  <v:stroke color="black" weight="9360" joinstyle="miter" endcap="square"/>
                </v:shape>
                <v:shape id="shape_0" fillcolor="white" stroked="t" style="position:absolute;left:4500;top:5336;width:4391;height:974" type="shapetype_202">
                  <v:textbox>
                    <w:txbxContent>
                      <w:p>
                        <w:pPr>
                          <w:bidi w:val="0"/>
                          <w:rPr/>
                        </w:pPr>
                        <w:r>
                          <w:rPr>
                            <w:sz w:val="24"/>
                            <w:szCs w:val="24"/>
                            <w:rFonts w:ascii="Times New Roman" w:hAnsi="Times New Roman" w:eastAsia="Times New Roman" w:cs="Times New Roman"/>
                            <w:color w:val="auto"/>
                            <w:lang w:val="en-US" w:bidi="ar-SA"/>
                          </w:rPr>
                          <w:t>Patient ineligible for OHIP coverage at discharge or during 30-day period following discharge (3 381)</w:t>
                        </w:r>
                      </w:p>
                    </w:txbxContent>
                  </v:textbox>
                  <w10:wrap type="square"/>
                  <v:fill type="solid" color2="black" o:detectmouseclick="t"/>
                  <v:stroke color="black" weight="9360" joinstyle="miter" endcap="square"/>
                </v:shape>
                <v:shape id="shape_0" fillcolor="white" stroked="t" style="position:absolute;left:1980;top:6681;width:3959;height:719" type="shapetype_202">
                  <v:textbox>
                    <w:txbxContent>
                      <w:p>
                        <w:pPr>
                          <w:bidi w:val="0"/>
                          <w:jc w:val="center"/>
                          <w:rPr/>
                        </w:pPr>
                        <w:r>
                          <w:rPr>
                            <w:sz w:val="24"/>
                            <w:szCs w:val="24"/>
                            <w:rFonts w:ascii="Times New Roman" w:hAnsi="Times New Roman" w:eastAsia="Times New Roman" w:cs="Times New Roman"/>
                            <w:color w:val="auto"/>
                            <w:lang w:val="en-US" w:bidi="ar-SA"/>
                          </w:rPr>
                          <w:t>Eligible hospitalizations</w:t>
                        </w:r>
                      </w:p>
                      <w:p>
                        <w:pPr>
                          <w:bidi w:val="0"/>
                          <w:jc w:val="center"/>
                          <w:rPr/>
                        </w:pPr>
                        <w:r>
                          <w:rPr>
                            <w:sz w:val="24"/>
                            <w:szCs w:val="24"/>
                            <w:rFonts w:ascii="Times New Roman" w:hAnsi="Times New Roman" w:eastAsia="Times New Roman" w:cs="Times New Roman"/>
                            <w:color w:val="auto"/>
                            <w:lang w:val="en-US" w:bidi="ar-SA"/>
                          </w:rPr>
                          <w:t>(3 277 033)</w:t>
                        </w:r>
                      </w:p>
                    </w:txbxContent>
                  </v:textbox>
                  <w10:wrap type="square"/>
                  <v:fill type="solid" color2="black" o:detectmouseclick="t"/>
                  <v:stroke color="black" weight="9360" joinstyle="miter" endcap="square"/>
                </v:shape>
                <v:line id="shape_0" from="3966,7398" to="3966,7937" stroked="t" style="position:absolute">
                  <v:stroke color="black" weight="9360" endarrow="block" endarrowwidth="medium" endarrowlength="medium" joinstyle="miter" endcap="square"/>
                  <v:fill on="false" o:detectmouseclick="t"/>
                </v:line>
                <v:shape id="shape_0" fillcolor="white" stroked="t" style="position:absolute;left:1980;top:7956;width:3959;height:1079" type="shapetype_202">
                  <v:textbox>
                    <w:txbxContent>
                      <w:p>
                        <w:pPr>
                          <w:bidi w:val="0"/>
                          <w:jc w:val="center"/>
                          <w:rPr/>
                        </w:pPr>
                        <w:r>
                          <w:rPr>
                            <w:sz w:val="24"/>
                            <w:szCs w:val="24"/>
                            <w:rFonts w:ascii="Times New Roman" w:hAnsi="Times New Roman" w:eastAsia="Times New Roman" w:cs="Times New Roman"/>
                            <w:color w:val="auto"/>
                            <w:lang w:val="en-US" w:bidi="ar-SA"/>
                          </w:rPr>
                          <w:t>Randomly selected 1 admission per person</w:t>
                        </w:r>
                      </w:p>
                      <w:p>
                        <w:pPr>
                          <w:bidi w:val="0"/>
                          <w:jc w:val="center"/>
                          <w:rPr/>
                        </w:pPr>
                        <w:r>
                          <w:rPr>
                            <w:sz w:val="24"/>
                            <w:szCs w:val="24"/>
                            <w:rFonts w:ascii="Times New Roman" w:hAnsi="Times New Roman" w:eastAsia="Times New Roman" w:cs="Times New Roman"/>
                            <w:color w:val="auto"/>
                            <w:lang w:val="en-US" w:bidi="ar-SA"/>
                          </w:rPr>
                          <w:t>(n=1 851 930)</w:t>
                        </w:r>
                      </w:p>
                    </w:txbxContent>
                  </v:textbox>
                  <w10:wrap type="square"/>
                  <v:fill type="solid" color2="black" o:detectmouseclick="t"/>
                  <v:stroke color="black" weight="9360" joinstyle="miter" endcap="square"/>
                </v:shape>
                <v:line id="shape_0" from="3962,9033" to="3962,9572" stroked="t" style="position:absolute">
                  <v:stroke color="black" weight="9360" endarrow="block" endarrowwidth="medium" endarrowlength="medium" joinstyle="miter" endcap="square"/>
                  <v:fill on="false" o:detectmouseclick="t"/>
                </v:line>
                <v:shape id="shape_0" fillcolor="white" stroked="t" style="position:absolute;left:1980;top:9591;width:3959;height:899" type="shapetype_202">
                  <v:textbox>
                    <w:txbxContent>
                      <w:p>
                        <w:pPr>
                          <w:bidi w:val="0"/>
                          <w:jc w:val="center"/>
                          <w:rPr/>
                        </w:pPr>
                        <w:r>
                          <w:rPr>
                            <w:sz w:val="24"/>
                            <w:szCs w:val="24"/>
                            <w:rFonts w:ascii="Times New Roman" w:hAnsi="Times New Roman" w:eastAsia="Times New Roman" w:cs="Times New Roman"/>
                            <w:color w:val="auto"/>
                            <w:lang w:val="en-US" w:bidi="ar-SA"/>
                          </w:rPr>
                          <w:t>Randomly select 200 000 admissions:</w:t>
                        </w:r>
                      </w:p>
                      <w:p>
                        <w:pPr>
                          <w:bidi w:val="0"/>
                          <w:jc w:val="center"/>
                          <w:rPr/>
                        </w:pPr>
                        <w:r>
                          <w:rPr>
                            <w:sz w:val="24"/>
                            <w:szCs w:val="24"/>
                            <w:rFonts w:ascii="Times New Roman" w:hAnsi="Times New Roman" w:eastAsia="Times New Roman" w:cs="Times New Roman"/>
                            <w:color w:val="auto"/>
                            <w:lang w:val="en-US" w:bidi="ar-SA"/>
                          </w:rPr>
                          <w:t xml:space="preserve"> </w:t>
                        </w:r>
                        <w:r>
                          <w:rPr>
                            <w:sz w:val="24"/>
                            <w:szCs w:val="24"/>
                            <w:b/>
                            <w:rFonts w:ascii="Times New Roman" w:hAnsi="Times New Roman" w:eastAsia="Times New Roman" w:cs="Times New Roman"/>
                            <w:color w:val="auto"/>
                            <w:lang w:val="en-US" w:bidi="ar-SA"/>
                          </w:rPr>
                          <w:t>FINAL COHORT</w:t>
                        </w:r>
                      </w:p>
                    </w:txbxContent>
                  </v:textbox>
                  <w10:wrap type="square"/>
                  <v:fill type="solid" color2="black" o:detectmouseclick="t"/>
                  <v:stroke color="black" weight="9360" joinstyle="miter" endcap="square"/>
                </v:shape>
                <v:line id="shape_0" from="3960,2307" to="4499,2307" stroked="t" style="position:absolute">
                  <v:stroke color="black" weight="9360" endarrow="block" endarrowwidth="medium" endarrowlength="medium" joinstyle="miter" endcap="square"/>
                  <v:fill on="false" o:detectmouseclick="t"/>
                </v:line>
                <v:line id="shape_0" from="3960,2967" to="4499,2967" stroked="t" style="position:absolute">
                  <v:stroke color="black" weight="9360" endarrow="block" endarrowwidth="medium" endarrowlength="medium" joinstyle="miter" endcap="square"/>
                  <v:fill on="false" o:detectmouseclick="t"/>
                </v:line>
                <v:line id="shape_0" from="3960,3732" to="4499,3732" stroked="t" style="position:absolute">
                  <v:stroke color="black" weight="9360" endarrow="block" endarrowwidth="medium" endarrowlength="medium" joinstyle="miter" endcap="square"/>
                  <v:fill on="false" o:detectmouseclick="t"/>
                </v:line>
                <v:line id="shape_0" from="3960,4647" to="4499,4647" stroked="t" style="position:absolute">
                  <v:stroke color="black" weight="9360" endarrow="block" endarrowwidth="medium" endarrowlength="medium" joinstyle="miter" endcap="square"/>
                  <v:fill on="false" o:detectmouseclick="t"/>
                </v:line>
                <v:line id="shape_0" from="3960,5790" to="4499,5790" stroked="t" style="position:absolute">
                  <v:stroke color="black" weight="9360" endarrow="block" endarrowwidth="medium" endarrowlength="medium" joinstyle="miter" endcap="square"/>
                  <v:fill on="false" o:detectmouseclick="t"/>
                </v:line>
                <v:shape id="shape_0" fillcolor="white" stroked="f" style="position:absolute;left:5684;top:1527;width:1934;height:419" type="shapetype_202">
                  <v:textbox>
                    <w:txbxContent>
                      <w:p>
                        <w:pPr>
                          <w:bidi w:val="0"/>
                          <w:jc w:val="center"/>
                          <w:rPr/>
                        </w:pPr>
                        <w:r>
                          <w:rPr>
                            <w:sz w:val="24"/>
                            <w:b/>
                            <w:u w:val="single"/>
                            <w:szCs w:val="24"/>
                            <w:rFonts w:ascii="Times New Roman" w:hAnsi="Times New Roman" w:eastAsia="Times New Roman" w:cs="Times New Roman"/>
                            <w:color w:val="auto"/>
                            <w:lang w:val="en-US" w:bidi="ar-SA"/>
                          </w:rPr>
                          <w:t>EXCLUSIONS</w:t>
                        </w:r>
                      </w:p>
                    </w:txbxContent>
                  </v:textbox>
                  <w10:wrap type="square"/>
                  <v:fill type="solid" color2="black" o:detectmouseclick="t"/>
                  <v:stroke color="#3465a4" joinstyle="round" endcap="flat"/>
                </v:shape>
                <v:line id="shape_0" from="3960,1263" to="3960,6662" stroked="t" style="position:absolute">
                  <v:stroke color="black" weight="9360" endarrow="block" endarrowwidth="medium" endarrowlength="medium" joinstyle="miter" endcap="square"/>
                  <v:fill on="false" o:detectmouseclick="t"/>
                </v:lin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b/>
        </w:rPr>
        <w:t>Figure 3:</w:t>
      </w:r>
      <w:r>
        <w:rPr/>
        <w:t xml:space="preserve">  CMG score distribution and its association with 30-day death or urgent readmission in the validation cohort.</w:t>
      </w:r>
    </w:p>
    <w:p>
      <w:pPr>
        <w:pStyle w:val="Normal"/>
        <w:rPr/>
      </w:pPr>
      <w:r>
        <w:rPr/>
      </w:r>
    </w:p>
    <w:p>
      <w:pPr>
        <w:pStyle w:val="Normal"/>
        <w:rPr/>
      </w:pPr>
      <w:r>
        <w:rPr/>
        <w:drawing>
          <wp:inline distT="0" distB="0" distL="0" distR="0">
            <wp:extent cx="5485765" cy="51327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485765" cy="5132705"/>
                    </a:xfrm>
                    <a:prstGeom prst="rect">
                      <a:avLst/>
                    </a:prstGeom>
                    <a:noFill/>
                    <a:ln w="9525">
                      <a:noFill/>
                      <a:miter lim="800000"/>
                      <a:headEnd/>
                      <a:tailEnd/>
                    </a:ln>
                  </pic:spPr>
                </pic:pic>
              </a:graphicData>
            </a:graphic>
          </wp:inline>
        </w:drawing>
      </w:r>
    </w:p>
    <w:p>
      <w:pPr>
        <w:pStyle w:val="Normal"/>
        <w:rPr/>
      </w:pPr>
      <w:r>
        <w:rPr/>
        <w:t xml:space="preserve">The bars present the number of people in the validation cohort (left vertical axis) with each CMG score (horizontal axis).  The grey line presents the expected risk of 30-day death or urgent readmission (right vertical axis).  The black line presents the observed event rate (right vertical axis) with 95% confidence intervals calculated using exact methods (7).  “x” indicates CMG strata where the expected rate excludes the 95% confidence interval of the observed rate.    </w:t>
      </w:r>
    </w:p>
    <w:p>
      <w:pPr>
        <w:pStyle w:val="Normal"/>
        <w:rPr/>
      </w:pPr>
      <w:r>
        <w:rPr/>
      </w:r>
      <w:r>
        <w:br w:type="page"/>
      </w:r>
    </w:p>
    <w:p>
      <w:pPr>
        <w:pStyle w:val="Normal"/>
        <w:rPr/>
      </w:pPr>
      <w:r>
        <w:rPr>
          <w:b/>
        </w:rPr>
        <w:t xml:space="preserve">Figure 4. </w:t>
      </w:r>
      <w:r>
        <w:rPr/>
        <w:t>Calibration of CMG score for 30-day death or urgent readmission by LACE index strata.</w:t>
      </w:r>
    </w:p>
    <w:p>
      <w:pPr>
        <w:pStyle w:val="Normal"/>
        <w:ind w:left="-180" w:hanging="0"/>
        <w:rPr/>
      </w:pPr>
      <w:r>
        <w:rPr/>
        <w:drawing>
          <wp:inline distT="0" distB="0" distL="0" distR="0">
            <wp:extent cx="6397625" cy="552513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6397625" cy="5525135"/>
                    </a:xfrm>
                    <a:prstGeom prst="rect">
                      <a:avLst/>
                    </a:prstGeom>
                    <a:noFill/>
                    <a:ln w="9525">
                      <a:noFill/>
                      <a:miter lim="800000"/>
                      <a:headEnd/>
                      <a:tailEnd/>
                    </a:ln>
                  </pic:spPr>
                </pic:pic>
              </a:graphicData>
            </a:graphic>
          </wp:inline>
        </w:drawing>
      </w:r>
    </w:p>
    <w:p>
      <w:pPr>
        <w:pStyle w:val="Normal"/>
        <w:rPr/>
      </w:pPr>
      <w:r>
        <w:rPr/>
        <w:t xml:space="preserve">These plots present the observed (black line) and expected (grey line) risk of 30-day death or urgent readmission (vertical axis) by CMG score (horizontal axis) for quartiles of LACE score in the validation set (top title of each plot).  The observed rates are presented with 95% confidence intervals calculated using exact methods (7).  The stars indicate strata where the 95% confidence interval around the observed rate excludes the expected rate.  The c-statistic of the model within each LACE quartile is presented in the top left corner.   </w:t>
      </w:r>
      <w:r>
        <w:br w:type="page"/>
      </w:r>
    </w:p>
    <w:p>
      <w:pPr>
        <w:pStyle w:val="Normal"/>
        <w:rPr/>
      </w:pPr>
      <w:r>
        <w:rPr>
          <w:b/>
        </w:rPr>
        <w:t>Table 1</w:t>
      </w:r>
      <w:r>
        <w:rPr/>
        <w:t>: Description of study cohort.</w:t>
      </w:r>
    </w:p>
    <w:p>
      <w:pPr>
        <w:pStyle w:val="Normal"/>
        <w:rPr/>
      </w:pPr>
      <w:r>
        <w:rPr/>
      </w:r>
    </w:p>
    <w:tbl>
      <w:tblPr>
        <w:tblW w:w="8871"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4068"/>
        <w:gridCol w:w="1620"/>
        <w:gridCol w:w="1620"/>
        <w:gridCol w:w="1563"/>
      </w:tblGrid>
      <w:tr>
        <w:trPr/>
        <w:tc>
          <w:tcPr>
            <w:tcW w:w="406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rPr>
                <w:b/>
                <w:b/>
              </w:rPr>
            </w:pPr>
            <w:r>
              <w:rPr>
                <w:b/>
              </w:rPr>
              <w:t>Factor</w:t>
            </w:r>
            <w:r>
              <w:rPr>
                <w:b/>
                <w:vertAlign w:val="superscript"/>
              </w:rPr>
              <w:t>*</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ascii="Times New Roman Bold" w:hAnsi="Times New Roman Bold" w:cs="Times New Roman Bold"/>
                <w:b/>
                <w:b/>
                <w:sz w:val="20"/>
              </w:rPr>
            </w:pPr>
            <w:r>
              <w:rPr>
                <w:rFonts w:cs="Times New Roman Bold" w:ascii="Times New Roman Bold" w:hAnsi="Times New Roman Bold"/>
                <w:b/>
                <w:sz w:val="20"/>
              </w:rPr>
              <w:t xml:space="preserve">Overall </w:t>
            </w:r>
          </w:p>
          <w:p>
            <w:pPr>
              <w:pStyle w:val="Normal"/>
              <w:jc w:val="center"/>
              <w:rPr>
                <w:rFonts w:ascii="Times New Roman Bold" w:hAnsi="Times New Roman Bold" w:cs="Times New Roman Bold"/>
                <w:b/>
                <w:b/>
                <w:sz w:val="20"/>
                <w:szCs w:val="20"/>
              </w:rPr>
            </w:pPr>
            <w:r>
              <w:rPr>
                <w:rFonts w:cs="Times New Roman Bold" w:ascii="Times New Roman Bold" w:hAnsi="Times New Roman Bold"/>
                <w:b/>
                <w:sz w:val="20"/>
                <w:szCs w:val="20"/>
              </w:rPr>
              <w:t>(n= 200,000)</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ascii="Times New Roman Bold" w:hAnsi="Times New Roman Bold" w:cs="Times New Roman Bold"/>
                <w:b/>
                <w:b/>
                <w:sz w:val="20"/>
              </w:rPr>
            </w:pPr>
            <w:r>
              <w:rPr>
                <w:rFonts w:cs="Times New Roman Bold" w:ascii="Times New Roman Bold" w:hAnsi="Times New Roman Bold"/>
                <w:b/>
                <w:sz w:val="20"/>
              </w:rPr>
              <w:t xml:space="preserve">Derivation </w:t>
            </w:r>
            <w:r>
              <w:rPr>
                <w:rFonts w:cs="Times New Roman Bold" w:ascii="Times New Roman Bold" w:hAnsi="Times New Roman Bold"/>
                <w:b/>
                <w:sz w:val="20"/>
                <w:szCs w:val="20"/>
              </w:rPr>
              <w:t>(n=100,000)</w:t>
            </w:r>
          </w:p>
        </w:tc>
        <w:tc>
          <w:tcPr>
            <w:tcW w:w="1563"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ascii="Times New Roman Bold" w:hAnsi="Times New Roman Bold" w:cs="Times New Roman Bold"/>
                <w:b/>
                <w:b/>
                <w:sz w:val="20"/>
              </w:rPr>
            </w:pPr>
            <w:r>
              <w:rPr>
                <w:rFonts w:cs="Times New Roman Bold" w:ascii="Times New Roman Bold" w:hAnsi="Times New Roman Bold"/>
                <w:b/>
                <w:sz w:val="20"/>
              </w:rPr>
              <w:t xml:space="preserve">Validation </w:t>
            </w:r>
            <w:r>
              <w:rPr>
                <w:rFonts w:cs="Times New Roman Bold" w:ascii="Times New Roman Bold" w:hAnsi="Times New Roman Bold"/>
                <w:b/>
                <w:sz w:val="20"/>
                <w:szCs w:val="20"/>
              </w:rPr>
              <w:t>(n=100,000)</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Mean Age (SD)</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57.9 (18.4)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58.0 (18.5)</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57.9 (18.4)</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Female</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103 709 (51.9)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52 087 (52.1)</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51 622 (51.6)</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rPr>
            </w:pPr>
            <w:r>
              <w:rPr>
                <w:b/>
                <w:sz w:val="20"/>
              </w:rPr>
              <w:t>Lace Index:</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snapToGrid w:val="false"/>
              <w:jc w:val="center"/>
              <w:rPr>
                <w:b/>
                <w:b/>
                <w:sz w:val="20"/>
              </w:rPr>
            </w:pPr>
            <w:r>
              <w:rPr>
                <w:b/>
                <w:sz w:val="20"/>
              </w:rPr>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snapToGrid w:val="false"/>
              <w:jc w:val="center"/>
              <w:rPr>
                <w:sz w:val="20"/>
              </w:rPr>
            </w:pPr>
            <w:r>
              <w:rPr>
                <w:sz w:val="20"/>
              </w:rPr>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snapToGrid w:val="false"/>
              <w:jc w:val="center"/>
              <w:rPr>
                <w:sz w:val="20"/>
              </w:rPr>
            </w:pPr>
            <w:r>
              <w:rPr>
                <w:sz w:val="20"/>
              </w:rPr>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Median Length of Stay (IQR)</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(1-5)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(1-5)</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3 (1-5)</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Emergent hospitalization</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128 777 (64.4)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64 407 (64.4)</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64 370 (64.4)</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Charlson Index &gt; 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49 611 (24.8)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24 816 (24.8)</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24 795 (24.8)</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At least 1 ED visit in previous 6 months</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75 148 (37.6)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37 835 (37.8)</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37 313 (37.3)</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Median LACE score (IQR)</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5 (4-8)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5 (4-8)</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5 (4-8)</w:t>
            </w:r>
          </w:p>
        </w:tc>
      </w:tr>
      <w:tr>
        <w:trPr/>
        <w:tc>
          <w:tcPr>
            <w:tcW w:w="5688" w:type="dxa"/>
            <w:gridSpan w:val="2"/>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rPr>
            </w:pPr>
            <w:r>
              <w:rPr>
                <w:b/>
                <w:sz w:val="20"/>
              </w:rPr>
              <w:t>Ten most common CMGs (CMG number)</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snapToGrid w:val="false"/>
              <w:jc w:val="center"/>
              <w:rPr>
                <w:b/>
                <w:b/>
                <w:sz w:val="20"/>
              </w:rPr>
            </w:pPr>
            <w:r>
              <w:rPr>
                <w:b/>
                <w:sz w:val="20"/>
              </w:rPr>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snapToGrid w:val="false"/>
              <w:jc w:val="center"/>
              <w:rPr>
                <w:sz w:val="20"/>
              </w:rPr>
            </w:pPr>
            <w:r>
              <w:rPr>
                <w:sz w:val="20"/>
              </w:rPr>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Hysterectomy without malignancy (502)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8 423 (4.2)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4 249 (4.2)</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4 174 (4.2)</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Unilateral knee replacement (321)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4631 (2.3)</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2 303 (2.3)</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2 328 (2.3)</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pPr>
            <w:r>
              <w:rPr>
                <w:sz w:val="20"/>
              </w:rPr>
              <w:t>- Stable angina/chest pain without  cath. (208)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4 423 (2.2)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2 189 (2.2)</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2 234 (2.2)</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Chronic obstructive pulmonary disease (139)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4 093 (2.0)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2 067 (2.1)</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2 026 (2.0)</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pPr>
            <w:r>
              <w:rPr>
                <w:sz w:val="20"/>
              </w:rPr>
              <w:t>- Arrhythmia without cardiac cath. (202)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3 481 (1.7)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1 689 (1.7)</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1 792 (1.8)</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Viral/unspecified pneumonia (138)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3 396 (1.7)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1 710 (1.7)</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1 686 (1.7)</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Symptom/sign of digestive system (257)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3 372 (1.7)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1 692 (1.7)</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1 680 (1.7)</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Non-severe enteritis (249)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3 168 (1.6)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1 564 (1.6)</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1 604 (1.6)</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pPr>
            <w:r>
              <w:rPr>
                <w:sz w:val="20"/>
              </w:rPr>
              <w:t>- Heart failure without cardiac cath. (196)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3 087 (1.5)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1 564 (1.6)</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1 523 (1.5)</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ind w:left="180" w:hanging="180"/>
              <w:rPr>
                <w:sz w:val="20"/>
              </w:rPr>
            </w:pPr>
            <w:r>
              <w:rPr>
                <w:sz w:val="20"/>
              </w:rPr>
              <w:t>- Simple appendectomy (234)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3 033 (1.5)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1 539 (1.5)</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1 494 (1.5)</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rPr>
            </w:pPr>
            <w:r>
              <w:rPr>
                <w:b/>
                <w:sz w:val="20"/>
              </w:rPr>
              <w:t>Outcomes:</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snapToGrid w:val="false"/>
              <w:jc w:val="center"/>
              <w:rPr>
                <w:b/>
                <w:b/>
                <w:sz w:val="20"/>
              </w:rPr>
            </w:pPr>
            <w:r>
              <w:rPr>
                <w:b/>
                <w:sz w:val="20"/>
              </w:rPr>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snapToGrid w:val="false"/>
              <w:jc w:val="center"/>
              <w:rPr>
                <w:sz w:val="20"/>
              </w:rPr>
            </w:pPr>
            <w:r>
              <w:rPr>
                <w:sz w:val="20"/>
              </w:rPr>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snapToGrid w:val="false"/>
              <w:jc w:val="center"/>
              <w:rPr>
                <w:sz w:val="20"/>
              </w:rPr>
            </w:pPr>
            <w:r>
              <w:rPr>
                <w:sz w:val="20"/>
              </w:rPr>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xml:space="preserve">- 30-day death or urgent readmission </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13 553 (6.8)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6 822 (6.8)</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6 731 (6.7)</w:t>
            </w:r>
          </w:p>
        </w:tc>
      </w:tr>
      <w:tr>
        <w:trPr/>
        <w:tc>
          <w:tcPr>
            <w:tcW w:w="406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rPr>
            </w:pPr>
            <w:r>
              <w:rPr>
                <w:sz w:val="20"/>
              </w:rPr>
              <w:t>- Urgent readmission in 30 days</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12 126 (6.1)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vAlign w:val="bottom"/>
          </w:tcPr>
          <w:p>
            <w:pPr>
              <w:pStyle w:val="Normal"/>
              <w:jc w:val="center"/>
              <w:rPr>
                <w:sz w:val="20"/>
              </w:rPr>
            </w:pPr>
            <w:r>
              <w:rPr>
                <w:sz w:val="20"/>
              </w:rPr>
              <w:t>6 113 (6.1)</w:t>
            </w:r>
          </w:p>
        </w:tc>
        <w:tc>
          <w:tcPr>
            <w:tcW w:w="1563"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vAlign w:val="bottom"/>
          </w:tcPr>
          <w:p>
            <w:pPr>
              <w:pStyle w:val="Normal"/>
              <w:jc w:val="center"/>
              <w:rPr>
                <w:sz w:val="20"/>
              </w:rPr>
            </w:pPr>
            <w:r>
              <w:rPr>
                <w:sz w:val="20"/>
              </w:rPr>
              <w:t>6 013 (6.0)</w:t>
            </w:r>
          </w:p>
        </w:tc>
      </w:tr>
      <w:tr>
        <w:trPr/>
        <w:tc>
          <w:tcPr>
            <w:tcW w:w="4068" w:type="dxa"/>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rPr>
                <w:sz w:val="20"/>
              </w:rPr>
            </w:pPr>
            <w:r>
              <w:rPr>
                <w:sz w:val="20"/>
              </w:rPr>
              <w:t>- Death in 30 days</w:t>
            </w:r>
            <w:r>
              <w:rPr>
                <w:sz w:val="20"/>
                <w:vertAlign w:val="superscript"/>
              </w:rPr>
              <w:t xml:space="preserve">† </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vAlign w:val="bottom"/>
          </w:tcPr>
          <w:p>
            <w:pPr>
              <w:pStyle w:val="Normal"/>
              <w:jc w:val="center"/>
              <w:rPr>
                <w:sz w:val="20"/>
              </w:rPr>
            </w:pPr>
            <w:r>
              <w:rPr>
                <w:sz w:val="20"/>
              </w:rPr>
              <w:t>1427 (0.7)</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vAlign w:val="bottom"/>
          </w:tcPr>
          <w:p>
            <w:pPr>
              <w:pStyle w:val="Normal"/>
              <w:jc w:val="center"/>
              <w:rPr>
                <w:sz w:val="20"/>
              </w:rPr>
            </w:pPr>
            <w:r>
              <w:rPr>
                <w:sz w:val="20"/>
              </w:rPr>
              <w:t>709 (0.7)</w:t>
            </w:r>
          </w:p>
        </w:tc>
        <w:tc>
          <w:tcPr>
            <w:tcW w:w="1563"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vAlign w:val="bottom"/>
          </w:tcPr>
          <w:p>
            <w:pPr>
              <w:pStyle w:val="Normal"/>
              <w:jc w:val="center"/>
              <w:rPr>
                <w:sz w:val="20"/>
              </w:rPr>
            </w:pPr>
            <w:r>
              <w:rPr>
                <w:sz w:val="20"/>
              </w:rPr>
              <w:t>718 (0.7)</w:t>
            </w:r>
          </w:p>
        </w:tc>
      </w:tr>
    </w:tbl>
    <w:p>
      <w:pPr>
        <w:pStyle w:val="Normal"/>
        <w:rPr/>
      </w:pPr>
      <w:r>
        <w:rPr/>
      </w:r>
    </w:p>
    <w:p>
      <w:pPr>
        <w:pStyle w:val="Normal"/>
        <w:rPr/>
      </w:pPr>
      <w:r>
        <w:rPr/>
        <w:t>cath. = catheterization</w:t>
      </w:r>
    </w:p>
    <w:p>
      <w:pPr>
        <w:pStyle w:val="Normal"/>
        <w:rPr/>
      </w:pPr>
      <w:r>
        <w:rPr/>
        <w:t xml:space="preserve">* unless otherwise indicated, the number (proportion, %) is provided. </w:t>
      </w:r>
    </w:p>
    <w:p>
      <w:pPr>
        <w:sectPr>
          <w:headerReference w:type="default" r:id="rId5"/>
          <w:type w:val="nextPage"/>
          <w:pgSz w:w="12240" w:h="15840"/>
          <w:pgMar w:left="1800" w:right="1800" w:header="720" w:top="1440" w:footer="0" w:bottom="1440" w:gutter="0"/>
          <w:pgNumType w:fmt="decimal"/>
          <w:formProt w:val="false"/>
          <w:textDirection w:val="lrTb"/>
          <w:docGrid w:type="default" w:linePitch="360" w:charSpace="0"/>
        </w:sectPr>
        <w:pStyle w:val="Normal"/>
        <w:rPr/>
      </w:pPr>
      <w:r>
        <w:rPr/>
        <w:t xml:space="preserve">† </w:t>
      </w:r>
      <w:r>
        <w:rPr/>
        <w:t>not preceded by an urgent readmission post-discharge</w:t>
      </w:r>
    </w:p>
    <w:p>
      <w:pPr>
        <w:pStyle w:val="Normal"/>
        <w:rPr/>
      </w:pPr>
      <w:r>
        <w:rPr>
          <w:b/>
        </w:rPr>
        <w:t>Table 2:</w:t>
      </w:r>
      <w:r>
        <w:rPr/>
        <w:t xml:space="preserve">  CMG Risk Score model </w:t>
      </w:r>
    </w:p>
    <w:tbl>
      <w:tblPr>
        <w:tblW w:w="8763"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4428"/>
        <w:gridCol w:w="1620"/>
        <w:gridCol w:w="1620"/>
        <w:gridCol w:w="1095"/>
      </w:tblGrid>
      <w:tr>
        <w:trPr/>
        <w:tc>
          <w:tcPr>
            <w:tcW w:w="442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szCs w:val="20"/>
              </w:rPr>
            </w:pPr>
            <w:r>
              <w:rPr>
                <w:b/>
                <w:sz w:val="20"/>
                <w:szCs w:val="20"/>
              </w:rPr>
              <w:t>Factor</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Parameter Estimate</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 xml:space="preserve">Adjusted Odds Ratio </w:t>
            </w:r>
          </w:p>
          <w:p>
            <w:pPr>
              <w:pStyle w:val="Normal"/>
              <w:jc w:val="center"/>
              <w:rPr>
                <w:b/>
                <w:b/>
                <w:sz w:val="20"/>
                <w:szCs w:val="20"/>
              </w:rPr>
            </w:pPr>
            <w:r>
              <w:rPr>
                <w:b/>
                <w:sz w:val="20"/>
                <w:szCs w:val="20"/>
              </w:rPr>
              <w:t>(95% CI)</w:t>
            </w:r>
          </w:p>
        </w:tc>
        <w:tc>
          <w:tcPr>
            <w:tcW w:w="1095"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b/>
                <w:b/>
                <w:sz w:val="20"/>
                <w:szCs w:val="20"/>
              </w:rPr>
            </w:pPr>
            <w:r>
              <w:rPr>
                <w:b/>
                <w:sz w:val="20"/>
                <w:szCs w:val="20"/>
              </w:rPr>
              <w:t>Points</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szCs w:val="20"/>
              </w:rPr>
            </w:pPr>
            <w:r>
              <w:rPr>
                <w:b/>
                <w:sz w:val="20"/>
                <w:szCs w:val="20"/>
              </w:rPr>
              <w:t>LACE score</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0.21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pPr>
            <w:r>
              <w:rPr>
                <w:sz w:val="20"/>
                <w:szCs w:val="20"/>
              </w:rPr>
              <w:t>1.23 (1.22-1.24)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pPr>
            <w:r>
              <w:rPr>
                <w:b/>
                <w:sz w:val="20"/>
                <w:szCs w:val="20"/>
              </w:rPr>
              <w:t>CMG group (CMG number):</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b/>
                <w:b/>
                <w:sz w:val="20"/>
                <w:szCs w:val="20"/>
              </w:rPr>
            </w:pPr>
            <w:r>
              <w:rPr>
                <w:b/>
                <w:sz w:val="20"/>
                <w:szCs w:val="20"/>
              </w:rPr>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sz w:val="20"/>
                <w:szCs w:val="20"/>
              </w:rPr>
            </w:pPr>
            <w:r>
              <w:rPr>
                <w:sz w:val="20"/>
                <w:szCs w:val="20"/>
              </w:rPr>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sz w:val="20"/>
                <w:szCs w:val="20"/>
              </w:rPr>
            </w:pPr>
            <w:r>
              <w:rPr>
                <w:sz w:val="20"/>
                <w:szCs w:val="20"/>
              </w:rPr>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bookmarkStart w:id="0" w:name="_Hlk300217577"/>
            <w:bookmarkStart w:id="1" w:name="OLE_LINK4"/>
            <w:bookmarkStart w:id="2" w:name="OLE_LINK3"/>
            <w:bookmarkEnd w:id="0"/>
            <w:bookmarkEnd w:id="1"/>
            <w:bookmarkEnd w:id="2"/>
            <w:r>
              <w:rPr>
                <w:sz w:val="20"/>
                <w:szCs w:val="20"/>
              </w:rPr>
              <w:t xml:space="preserve"> </w:t>
            </w:r>
            <w:r>
              <w:rPr>
                <w:sz w:val="20"/>
                <w:szCs w:val="20"/>
              </w:rPr>
              <w:t>Ectopic Pregnancy treated Medically (547)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2.261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9.59 (4.26-21.6)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7</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Malignant Neoplasm of Other Site (630)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2.162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8.69 (5.25-14.4)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7</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Management of Nervous System Device/Other Minor Intervention (011)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2.048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7.76 (4.27-14.1)</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7</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Acute Myeloid Leukemia (624)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2.018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7.52 (3.96-14.3)</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6</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Hepatobiliary/Pancreatic Malignancy (284)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1.959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7.09 (5.40-9.30)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6</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b</w:t>
            </w:r>
            <w:r>
              <w:rPr>
                <w:i/>
                <w:sz w:val="20"/>
                <w:szCs w:val="20"/>
              </w:rPr>
              <w:t>Palliative Care (810)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1.635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5.13 (3.25-8.10)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Lymphoma (628)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1.523</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4.59 (3.07-6.86)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Digestive Malignancy (250)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1.521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4.58 (3.45-6.08)</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b</w:t>
            </w:r>
            <w:r>
              <w:rPr>
                <w:sz w:val="20"/>
                <w:szCs w:val="20"/>
              </w:rPr>
              <w:t>Dehydration (438)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1.456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4.29 (3.12-5.90)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d</w:t>
            </w:r>
            <w:r>
              <w:rPr>
                <w:i/>
                <w:sz w:val="20"/>
                <w:szCs w:val="20"/>
              </w:rPr>
              <w:t>Organ Transplant with Trauma/Complication of Treatment (725)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1.435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4.20 (4.04-4.37)</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Other Leukemia (626)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1.397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4.04 (2.33-7.02)</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Neoplasm of Central Nervous System (038)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1.397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4.04 (2.58-6.32)</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i/>
                <w:sz w:val="20"/>
                <w:szCs w:val="20"/>
                <w:vertAlign w:val="superscript"/>
              </w:rPr>
              <w:t>a</w:t>
            </w:r>
            <w:r>
              <w:rPr>
                <w:i/>
                <w:sz w:val="20"/>
                <w:szCs w:val="20"/>
              </w:rPr>
              <w:t>Malignant Neoplasm of Respiratory System</w:t>
            </w:r>
            <w:r>
              <w:rPr>
                <w:sz w:val="20"/>
                <w:szCs w:val="20"/>
              </w:rPr>
              <w:t xml:space="preserve"> </w:t>
            </w:r>
            <w:r>
              <w:rPr>
                <w:i/>
                <w:sz w:val="20"/>
                <w:szCs w:val="20"/>
              </w:rPr>
              <w:t>(132)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1.357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3.88 (3.14-4.80)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Musculoskeletal Malignant Neoplasm (357)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1.328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3.77 (2.61-5.47)</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Malignant Neoplasm of Urinary System (478)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1.279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3.59 (1.94-6.64)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Cancelled Intervention (815)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1.218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3.38 (2.07-5.51)</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c</w:t>
            </w:r>
            <w:r>
              <w:rPr>
                <w:i/>
                <w:sz w:val="20"/>
                <w:szCs w:val="20"/>
              </w:rPr>
              <w:t>Cirrhosis/Alcoholic Hepatitis (285)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1.090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2.98 (2.24-3.95)</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a</w:t>
            </w:r>
            <w:r>
              <w:rPr>
                <w:i/>
                <w:sz w:val="20"/>
                <w:szCs w:val="20"/>
              </w:rPr>
              <w:t>Chemotherapy/Radiotherapy Session for Neoplasm (638)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1.072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2.92 (1.79-4.77)</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i/>
                <w:i/>
                <w:sz w:val="20"/>
                <w:szCs w:val="20"/>
              </w:rPr>
            </w:pPr>
            <w:r>
              <w:rPr>
                <w:i/>
                <w:sz w:val="20"/>
                <w:szCs w:val="20"/>
              </w:rPr>
              <w:t xml:space="preserve"> </w:t>
            </w:r>
            <w:r>
              <w:rPr>
                <w:i/>
                <w:sz w:val="20"/>
                <w:szCs w:val="20"/>
              </w:rPr>
              <w:t>Other Anemia (635)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0.942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2.57 (1.97-3.34)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c</w:t>
            </w:r>
            <w:r>
              <w:rPr>
                <w:i/>
                <w:sz w:val="20"/>
                <w:szCs w:val="20"/>
              </w:rPr>
              <w:t>Other Lung Disease (142)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0.887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2.43 (1.70-3.46)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Pituitary/Pineal Gland Intervention (420)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0.870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2.39 (1.47-3.88)</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Deep Vein Thrombophlebitis (211)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0.859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2.36 (1.46-3.81)</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b</w:t>
            </w:r>
            <w:r>
              <w:rPr>
                <w:sz w:val="20"/>
                <w:szCs w:val="20"/>
              </w:rPr>
              <w:t>Aspiration Pneumonia (135)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0.858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2.36 (1.48-3.76)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Minor Upper Gastrointestinal Intervention (231)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0.834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2.30 (1.55-3.41)</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c</w:t>
            </w:r>
            <w:r>
              <w:rPr>
                <w:i/>
                <w:sz w:val="20"/>
                <w:szCs w:val="20"/>
              </w:rPr>
              <w:t>Heart Failure without Cardiac Catheter (196)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0.790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2.20 (1.94-2.50)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b</w:t>
            </w:r>
            <w:r>
              <w:rPr>
                <w:sz w:val="20"/>
                <w:szCs w:val="20"/>
              </w:rPr>
              <w:t>Other Factor Causing Hospitalization (812)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0.771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2.16 (1.41-3.33)</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Symptom/Sign of Digestive System (257)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0.684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1.98 (1.67-2.35)</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Other Gastrointestinal Disorder (258)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0.656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1.93 (1.48-2.50)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i/>
                <w:i/>
                <w:sz w:val="20"/>
                <w:szCs w:val="20"/>
              </w:rPr>
            </w:pPr>
            <w:r>
              <w:rPr>
                <w:i/>
                <w:sz w:val="20"/>
                <w:szCs w:val="20"/>
              </w:rPr>
              <w:t xml:space="preserve"> </w:t>
            </w:r>
            <w:r>
              <w:rPr>
                <w:i/>
                <w:sz w:val="20"/>
                <w:szCs w:val="20"/>
              </w:rPr>
              <w:t>Myocardial Infarction/Shock/Arrest without Cardiac Catheter (194)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0.644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1.90 (1.54-2.35)</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General Symptom/Sign (811)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0.634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1.89 (1.46-2.44)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Gastrointestinal Obstruction (255)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0.626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1.87 (1.52-2.30)</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d</w:t>
            </w:r>
            <w:r>
              <w:rPr>
                <w:i/>
                <w:sz w:val="20"/>
                <w:szCs w:val="20"/>
              </w:rPr>
              <w:t>Coronary Artery Bypass Graft with Cardiac Catheter without MI/Shock/Arrest without Pump (169)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0.607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1.83 (1.51-2.23)</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Disorder of Biliary Tract (288)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0.605</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1.83 (1.42-2.36)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c</w:t>
            </w:r>
            <w:r>
              <w:rPr>
                <w:i/>
                <w:sz w:val="20"/>
                <w:szCs w:val="20"/>
              </w:rPr>
              <w:t>Renal Failure (477)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0.579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1.78 (1.41-2.25)</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double" w:sz="6" w:space="0" w:color="000000"/>
              <w:insideH w:val="double" w:sz="6" w:space="0" w:color="000000"/>
            </w:tcBorders>
            <w:shd w:fill="auto" w:val="clear"/>
            <w:tcMar>
              <w:left w:w="85" w:type="dxa"/>
            </w:tcMar>
            <w:vAlign w:val="bottom"/>
          </w:tcPr>
          <w:p>
            <w:pPr>
              <w:pStyle w:val="Normal"/>
              <w:ind w:left="360" w:hanging="180"/>
              <w:rPr/>
            </w:pPr>
            <w:r>
              <w:rPr>
                <w:i/>
                <w:sz w:val="20"/>
                <w:szCs w:val="20"/>
                <w:vertAlign w:val="superscript"/>
              </w:rPr>
              <w:t>c</w:t>
            </w:r>
            <w:r>
              <w:rPr>
                <w:i/>
                <w:sz w:val="20"/>
                <w:szCs w:val="20"/>
              </w:rPr>
              <w:t>Chronic Obstructive Pulmonary Disease (139)</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0"/>
                <w:szCs w:val="20"/>
              </w:rPr>
            </w:pPr>
            <w:r>
              <w:rPr>
                <w:sz w:val="20"/>
                <w:szCs w:val="20"/>
              </w:rPr>
              <w:t>0.562</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0"/>
                <w:szCs w:val="20"/>
              </w:rPr>
            </w:pPr>
            <w:r>
              <w:rPr>
                <w:sz w:val="20"/>
                <w:szCs w:val="20"/>
              </w:rPr>
              <w:t>1.75 (1.54-2.00)</w:t>
            </w:r>
          </w:p>
        </w:tc>
        <w:tc>
          <w:tcPr>
            <w:tcW w:w="10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bl>
    <w:p>
      <w:pPr>
        <w:pStyle w:val="Normal"/>
        <w:rPr/>
      </w:pPr>
      <w:r>
        <w:rPr>
          <w:sz w:val="18"/>
          <w:szCs w:val="18"/>
          <w:vertAlign w:val="superscript"/>
        </w:rPr>
        <w:t>a</w:t>
      </w:r>
      <w:r>
        <w:rPr>
          <w:sz w:val="18"/>
          <w:szCs w:val="18"/>
        </w:rPr>
        <w:t>Neoplasia-related hospitalization</w:t>
      </w:r>
    </w:p>
    <w:p>
      <w:pPr>
        <w:pStyle w:val="Normal"/>
        <w:rPr/>
      </w:pPr>
      <w:r>
        <w:rPr>
          <w:sz w:val="18"/>
          <w:szCs w:val="18"/>
          <w:vertAlign w:val="superscript"/>
        </w:rPr>
        <w:t>b</w:t>
      </w:r>
      <w:r>
        <w:rPr>
          <w:sz w:val="18"/>
          <w:szCs w:val="18"/>
        </w:rPr>
        <w:t>Hospitalization potentially indicative of overall poor functional status</w:t>
      </w:r>
    </w:p>
    <w:p>
      <w:pPr>
        <w:pStyle w:val="Normal"/>
        <w:rPr/>
      </w:pPr>
      <w:r>
        <w:rPr>
          <w:sz w:val="18"/>
          <w:szCs w:val="18"/>
          <w:vertAlign w:val="superscript"/>
        </w:rPr>
        <w:t>c</w:t>
      </w:r>
      <w:r>
        <w:rPr>
          <w:sz w:val="18"/>
          <w:szCs w:val="18"/>
        </w:rPr>
        <w:t>Hospitalization related to important chronic comorbidity</w:t>
      </w:r>
    </w:p>
    <w:p>
      <w:pPr>
        <w:pStyle w:val="Normal"/>
        <w:rPr>
          <w:sz w:val="18"/>
          <w:szCs w:val="18"/>
        </w:rPr>
      </w:pPr>
      <w:r>
        <w:rPr>
          <w:sz w:val="18"/>
          <w:szCs w:val="18"/>
          <w:vertAlign w:val="superscript"/>
        </w:rPr>
        <w:t>d</w:t>
      </w:r>
      <w:r>
        <w:rPr>
          <w:sz w:val="18"/>
          <w:szCs w:val="18"/>
        </w:rPr>
        <w:t>Procedure-related hospitalization</w:t>
      </w:r>
      <w:r>
        <w:br w:type="page"/>
      </w:r>
    </w:p>
    <w:p>
      <w:pPr>
        <w:pStyle w:val="Normal"/>
        <w:rPr/>
      </w:pPr>
      <w:r>
        <w:rPr/>
        <w:t>(Table 2 cont’d)</w:t>
      </w:r>
    </w:p>
    <w:tbl>
      <w:tblPr>
        <w:tblW w:w="8763"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4428"/>
        <w:gridCol w:w="1620"/>
        <w:gridCol w:w="1620"/>
        <w:gridCol w:w="1095"/>
      </w:tblGrid>
      <w:tr>
        <w:trPr/>
        <w:tc>
          <w:tcPr>
            <w:tcW w:w="442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0"/>
                <w:szCs w:val="20"/>
              </w:rPr>
            </w:pPr>
            <w:r>
              <w:rPr>
                <w:b/>
                <w:sz w:val="20"/>
                <w:szCs w:val="20"/>
              </w:rPr>
              <w:t>Factor</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Parameter Estimate</w:t>
            </w:r>
          </w:p>
        </w:tc>
        <w:tc>
          <w:tcPr>
            <w:tcW w:w="162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0"/>
                <w:szCs w:val="20"/>
              </w:rPr>
            </w:pPr>
            <w:r>
              <w:rPr>
                <w:b/>
                <w:sz w:val="20"/>
                <w:szCs w:val="20"/>
              </w:rPr>
              <w:t xml:space="preserve">Adjusted Odds Ratio </w:t>
            </w:r>
          </w:p>
          <w:p>
            <w:pPr>
              <w:pStyle w:val="Normal"/>
              <w:jc w:val="center"/>
              <w:rPr>
                <w:b/>
                <w:b/>
                <w:sz w:val="20"/>
                <w:szCs w:val="20"/>
              </w:rPr>
            </w:pPr>
            <w:r>
              <w:rPr>
                <w:b/>
                <w:sz w:val="20"/>
                <w:szCs w:val="20"/>
              </w:rPr>
              <w:t>(95% CI)</w:t>
            </w:r>
          </w:p>
        </w:tc>
        <w:tc>
          <w:tcPr>
            <w:tcW w:w="1095"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b/>
                <w:b/>
                <w:sz w:val="20"/>
                <w:szCs w:val="20"/>
              </w:rPr>
            </w:pPr>
            <w:r>
              <w:rPr>
                <w:b/>
                <w:sz w:val="20"/>
                <w:szCs w:val="20"/>
              </w:rPr>
              <w:t>Points</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sz w:val="20"/>
                <w:szCs w:val="20"/>
              </w:rPr>
            </w:pPr>
            <w:r>
              <w:rPr>
                <w:sz w:val="20"/>
                <w:szCs w:val="20"/>
              </w:rPr>
              <w:t xml:space="preserve"> </w:t>
            </w:r>
            <w:r>
              <w:rPr>
                <w:sz w:val="20"/>
                <w:szCs w:val="20"/>
              </w:rPr>
              <w:t>Arrhythmia without Cardiac Catheter (202)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0.373</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1.45 (1.22-1.73)</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1</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d</w:t>
            </w:r>
            <w:r>
              <w:rPr>
                <w:i/>
                <w:sz w:val="20"/>
                <w:szCs w:val="20"/>
              </w:rPr>
              <w:t>Coronary Artery Bypass Graft without Cardiac Catheter without MI/Shock/Arrest with/without Pump (172)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-0.314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0.73 (0.62-0.87)</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-1</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i/>
                <w:sz w:val="20"/>
                <w:szCs w:val="20"/>
                <w:vertAlign w:val="superscript"/>
              </w:rPr>
              <w:t>d</w:t>
            </w:r>
            <w:r>
              <w:rPr>
                <w:i/>
                <w:sz w:val="20"/>
                <w:szCs w:val="20"/>
              </w:rPr>
              <w:t>Unilateral Knee Replacement (321)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-0.647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0.52 (0.38-0.73)</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Hysterectomy with Non Malignant Diagnosis (502)</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-0.656</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0.52 (0.40-0.67)</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-2</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Reduction/Fixation/Repair of Ankle/Foot (747)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-1.057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0.35 (0.22-0.54)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-3</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Complicated Appendectomy (233)</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-1.197</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0.30 (0.16-0.56)</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Simple Appendectomy (234)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-1.220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0.30 (0.18-0.48)</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Reduction/Fixation/Repair Upper Body/Limb except Fixation/Repair of Shoulder (739)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-1.411</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0.24 (0.11-0.54)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-4</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Replacement/Fixation/Repair of Tibia/Fibula/Knee (729)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-1.589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0.20 (0.11-0.39)</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-5</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Thyroid/Parathyroid/Thymus Gland Intervention (424)</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-1.728</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0.18 (0.08-0.41)</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-6</w:t>
            </w:r>
          </w:p>
        </w:tc>
      </w:tr>
      <w:tr>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vAlign w:val="bottom"/>
          </w:tcPr>
          <w:p>
            <w:pPr>
              <w:pStyle w:val="Normal"/>
              <w:ind w:left="360" w:hanging="180"/>
              <w:rPr/>
            </w:pPr>
            <w:r>
              <w:rPr>
                <w:sz w:val="20"/>
                <w:szCs w:val="20"/>
                <w:vertAlign w:val="superscript"/>
              </w:rPr>
              <w:t>d</w:t>
            </w:r>
            <w:r>
              <w:rPr>
                <w:sz w:val="20"/>
                <w:szCs w:val="20"/>
              </w:rPr>
              <w:t>Other Intervention on Bone of Upper Body with Trauma/Complication of Treatment (743); Muscle/Tendon/Minor Joint Intervention with Trauma/Complication of Treatment, Lower Limb (744); Nerve Intervention with Trauma (745); Muscle/Tendon/Minor Joint Intervention with Trauma/Complication of Treatment, Upper Limb (750)</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-1.819</w:t>
            </w:r>
          </w:p>
        </w:tc>
        <w:tc>
          <w:tcPr>
            <w:tcW w:w="162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0"/>
                <w:szCs w:val="20"/>
              </w:rPr>
            </w:pPr>
            <w:r>
              <w:rPr>
                <w:sz w:val="20"/>
                <w:szCs w:val="20"/>
              </w:rPr>
              <w:t>0.16 (0.06-0.44)</w:t>
            </w:r>
          </w:p>
        </w:tc>
        <w:tc>
          <w:tcPr>
            <w:tcW w:w="10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0"/>
                <w:szCs w:val="20"/>
              </w:rPr>
            </w:pPr>
            <w:r>
              <w:rPr>
                <w:sz w:val="20"/>
                <w:szCs w:val="20"/>
              </w:rPr>
              <w:t>-6</w:t>
            </w:r>
          </w:p>
        </w:tc>
      </w:tr>
      <w:tr>
        <w:trPr/>
        <w:tc>
          <w:tcPr>
            <w:tcW w:w="4428" w:type="dxa"/>
            <w:tcBorders>
              <w:top w:val="single" w:sz="6" w:space="0" w:color="000000"/>
              <w:left w:val="double" w:sz="6" w:space="0" w:color="000000"/>
              <w:bottom w:val="double" w:sz="6" w:space="0" w:color="000000"/>
              <w:insideH w:val="double" w:sz="6" w:space="0" w:color="000000"/>
            </w:tcBorders>
            <w:shd w:fill="auto" w:val="clear"/>
            <w:tcMar>
              <w:left w:w="85" w:type="dxa"/>
            </w:tcMar>
            <w:vAlign w:val="bottom"/>
          </w:tcPr>
          <w:p>
            <w:pPr>
              <w:pStyle w:val="Normal"/>
              <w:ind w:left="360" w:hanging="180"/>
              <w:rPr/>
            </w:pPr>
            <w:r>
              <w:rPr>
                <w:i/>
                <w:sz w:val="20"/>
                <w:szCs w:val="20"/>
                <w:vertAlign w:val="superscript"/>
              </w:rPr>
              <w:t>d</w:t>
            </w:r>
            <w:r>
              <w:rPr>
                <w:i/>
                <w:sz w:val="20"/>
                <w:szCs w:val="20"/>
              </w:rPr>
              <w:t>Angina (except Unstable)/Chest Pain with Cardiac Catheter (207)</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0"/>
                <w:szCs w:val="20"/>
              </w:rPr>
            </w:pPr>
            <w:r>
              <w:rPr>
                <w:sz w:val="20"/>
                <w:szCs w:val="20"/>
              </w:rPr>
              <w:t>-2.004</w:t>
            </w:r>
          </w:p>
        </w:tc>
        <w:tc>
          <w:tcPr>
            <w:tcW w:w="162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0"/>
                <w:szCs w:val="20"/>
              </w:rPr>
            </w:pPr>
            <w:r>
              <w:rPr>
                <w:sz w:val="20"/>
                <w:szCs w:val="20"/>
              </w:rPr>
              <w:t>0.13 (0.06-0.33)</w:t>
            </w:r>
          </w:p>
        </w:tc>
        <w:tc>
          <w:tcPr>
            <w:tcW w:w="10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sz w:val="20"/>
                <w:szCs w:val="20"/>
              </w:rPr>
            </w:pPr>
            <w:r>
              <w:rPr>
                <w:sz w:val="20"/>
                <w:szCs w:val="20"/>
              </w:rPr>
              <w:t>-6</w:t>
            </w:r>
          </w:p>
        </w:tc>
      </w:tr>
    </w:tbl>
    <w:p>
      <w:pPr>
        <w:pStyle w:val="Normal"/>
        <w:rPr>
          <w:szCs w:val="18"/>
        </w:rPr>
      </w:pPr>
      <w:r>
        <w:rPr>
          <w:szCs w:val="18"/>
        </w:rPr>
        <w:t xml:space="preserve">CMG categories that are directly related to chronic diseases have been italicized.  </w:t>
      </w:r>
    </w:p>
    <w:p>
      <w:pPr>
        <w:pStyle w:val="Normal"/>
        <w:rPr>
          <w:sz w:val="18"/>
          <w:szCs w:val="18"/>
          <w:vertAlign w:val="superscript"/>
        </w:rPr>
      </w:pPr>
      <w:r>
        <w:rPr>
          <w:sz w:val="18"/>
          <w:szCs w:val="18"/>
          <w:vertAlign w:val="superscript"/>
        </w:rPr>
      </w:r>
    </w:p>
    <w:p>
      <w:pPr>
        <w:pStyle w:val="Normal"/>
        <w:rPr/>
      </w:pPr>
      <w:r>
        <w:rPr>
          <w:sz w:val="18"/>
          <w:szCs w:val="18"/>
          <w:vertAlign w:val="superscript"/>
        </w:rPr>
        <w:t>a</w:t>
      </w:r>
      <w:r>
        <w:rPr>
          <w:sz w:val="18"/>
          <w:szCs w:val="18"/>
        </w:rPr>
        <w:t>Neoplasia-related hospitalization</w:t>
      </w:r>
    </w:p>
    <w:p>
      <w:pPr>
        <w:pStyle w:val="Normal"/>
        <w:rPr/>
      </w:pPr>
      <w:r>
        <w:rPr>
          <w:sz w:val="18"/>
          <w:szCs w:val="18"/>
          <w:vertAlign w:val="superscript"/>
        </w:rPr>
        <w:t>b</w:t>
      </w:r>
      <w:r>
        <w:rPr>
          <w:sz w:val="18"/>
          <w:szCs w:val="18"/>
        </w:rPr>
        <w:t>Hospitalization potentially indicative of overall poor functional status</w:t>
      </w:r>
    </w:p>
    <w:p>
      <w:pPr>
        <w:pStyle w:val="Normal"/>
        <w:rPr/>
      </w:pPr>
      <w:r>
        <w:rPr>
          <w:sz w:val="18"/>
          <w:szCs w:val="18"/>
          <w:vertAlign w:val="superscript"/>
        </w:rPr>
        <w:t>c</w:t>
      </w:r>
      <w:r>
        <w:rPr>
          <w:sz w:val="18"/>
          <w:szCs w:val="18"/>
        </w:rPr>
        <w:t>Hospitalization related to important chronic comorbidity</w:t>
      </w:r>
    </w:p>
    <w:p>
      <w:pPr>
        <w:pStyle w:val="Normal"/>
        <w:rPr>
          <w:sz w:val="18"/>
          <w:szCs w:val="18"/>
        </w:rPr>
      </w:pPr>
      <w:r>
        <w:rPr>
          <w:sz w:val="18"/>
          <w:szCs w:val="18"/>
          <w:vertAlign w:val="superscript"/>
        </w:rPr>
        <w:t>d</w:t>
      </w:r>
      <w:r>
        <w:rPr>
          <w:sz w:val="18"/>
          <w:szCs w:val="18"/>
        </w:rPr>
        <w:t>Procedure-related hospitalization</w:t>
      </w:r>
    </w:p>
    <w:p>
      <w:pPr>
        <w:pStyle w:val="Normal"/>
        <w:rPr>
          <w:sz w:val="18"/>
          <w:szCs w:val="18"/>
        </w:rPr>
      </w:pPr>
      <w:r>
        <w:rPr>
          <w:sz w:val="18"/>
          <w:szCs w:val="18"/>
        </w:rPr>
      </w:r>
    </w:p>
    <w:p>
      <w:pPr>
        <w:pStyle w:val="Normal"/>
        <w:rPr/>
      </w:pPr>
      <w:r>
        <w:rPr/>
      </w:r>
      <w:r>
        <w:br w:type="page"/>
      </w:r>
    </w:p>
    <w:p>
      <w:pPr>
        <w:pStyle w:val="Normal"/>
        <w:rPr/>
      </w:pPr>
      <w:r>
        <w:rPr>
          <w:b/>
        </w:rPr>
        <w:t xml:space="preserve">Table 3: </w:t>
      </w:r>
      <w:r>
        <w:rPr/>
        <w:t>Predictive performance of the LACE index and the CMG score</w:t>
      </w:r>
      <w:r>
        <w:rPr>
          <w:vertAlign w:val="superscript"/>
        </w:rPr>
        <w:t>*</w:t>
      </w:r>
    </w:p>
    <w:p>
      <w:pPr>
        <w:pStyle w:val="Normal"/>
        <w:rPr>
          <w:vertAlign w:val="superscript"/>
        </w:rPr>
      </w:pPr>
      <w:r>
        <w:rPr>
          <w:vertAlign w:val="superscript"/>
        </w:rPr>
      </w:r>
    </w:p>
    <w:tbl>
      <w:tblPr>
        <w:tblW w:w="8871"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1728"/>
        <w:gridCol w:w="2700"/>
        <w:gridCol w:w="2214"/>
        <w:gridCol w:w="2229"/>
      </w:tblGrid>
      <w:tr>
        <w:trPr/>
        <w:tc>
          <w:tcPr>
            <w:tcW w:w="172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b/>
                <w:b/>
                <w:sz w:val="22"/>
                <w:szCs w:val="22"/>
              </w:rPr>
            </w:pPr>
            <w:r>
              <w:rPr>
                <w:b/>
                <w:sz w:val="22"/>
                <w:szCs w:val="22"/>
              </w:rPr>
              <w:t>OUTCOME</w:t>
            </w:r>
          </w:p>
        </w:tc>
        <w:tc>
          <w:tcPr>
            <w:tcW w:w="270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2"/>
                <w:szCs w:val="22"/>
              </w:rPr>
            </w:pPr>
            <w:r>
              <w:rPr>
                <w:b/>
                <w:sz w:val="22"/>
                <w:szCs w:val="22"/>
              </w:rPr>
              <w:t>PREDICTOR(S)</w:t>
            </w:r>
          </w:p>
        </w:tc>
        <w:tc>
          <w:tcPr>
            <w:tcW w:w="2214"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pPr>
            <w:r>
              <w:rPr>
                <w:b/>
                <w:sz w:val="22"/>
                <w:szCs w:val="22"/>
              </w:rPr>
              <w:t>DISCRIMINATION C-STATISTIC</w:t>
            </w:r>
          </w:p>
          <w:p>
            <w:pPr>
              <w:pStyle w:val="Normal"/>
              <w:jc w:val="center"/>
              <w:rPr>
                <w:b/>
                <w:b/>
                <w:sz w:val="22"/>
                <w:szCs w:val="22"/>
              </w:rPr>
            </w:pPr>
            <w:r>
              <w:rPr>
                <w:b/>
                <w:sz w:val="22"/>
                <w:szCs w:val="22"/>
              </w:rPr>
              <w:t>(95% CI)</w:t>
            </w:r>
          </w:p>
        </w:tc>
        <w:tc>
          <w:tcPr>
            <w:tcW w:w="2229"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b/>
                <w:b/>
                <w:sz w:val="22"/>
                <w:szCs w:val="22"/>
              </w:rPr>
            </w:pPr>
            <w:r>
              <w:rPr>
                <w:b/>
                <w:sz w:val="22"/>
                <w:szCs w:val="22"/>
              </w:rPr>
              <w:t xml:space="preserve">CALIBRATION </w:t>
            </w:r>
          </w:p>
          <w:p>
            <w:pPr>
              <w:pStyle w:val="Normal"/>
              <w:jc w:val="center"/>
              <w:rPr/>
            </w:pPr>
            <w:r>
              <w:rPr>
                <w:b/>
                <w:sz w:val="22"/>
                <w:szCs w:val="22"/>
              </w:rPr>
              <w:t>H-L STATISTIC</w:t>
            </w:r>
          </w:p>
          <w:p>
            <w:pPr>
              <w:pStyle w:val="Normal"/>
              <w:jc w:val="center"/>
              <w:rPr/>
            </w:pPr>
            <w:r>
              <w:rPr>
                <w:b/>
                <w:sz w:val="22"/>
                <w:szCs w:val="22"/>
              </w:rPr>
              <w:t>(</w:t>
            </w:r>
            <w:r>
              <w:rPr>
                <w:b/>
                <w:i/>
                <w:sz w:val="22"/>
                <w:szCs w:val="22"/>
              </w:rPr>
              <w:t>p</w:t>
            </w:r>
            <w:r>
              <w:rPr>
                <w:b/>
                <w:sz w:val="22"/>
                <w:szCs w:val="22"/>
              </w:rPr>
              <w:t>-value)</w:t>
            </w:r>
          </w:p>
        </w:tc>
      </w:tr>
      <w:tr>
        <w:trPr>
          <w:cantSplit w:val="true"/>
        </w:trPr>
        <w:tc>
          <w:tcPr>
            <w:tcW w:w="1728"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30-day death or urgent readmission</w:t>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vertAlign w:val="superscript"/>
              </w:rPr>
            </w:pPr>
            <w:r>
              <w:rPr>
                <w:sz w:val="22"/>
                <w:szCs w:val="22"/>
              </w:rPr>
              <w:t>CMG score</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0.650 (0.644-0.656)</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15.11 (0.0569)</w:t>
            </w:r>
          </w:p>
        </w:tc>
      </w:tr>
      <w:tr>
        <w:trPr>
          <w:cantSplit w:val="true"/>
        </w:trPr>
        <w:tc>
          <w:tcPr>
            <w:tcW w:w="172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LACE index</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0.735 (0.729-0.741)</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21.19 (0.0067)</w:t>
            </w:r>
          </w:p>
        </w:tc>
      </w:tr>
      <w:tr>
        <w:trPr>
          <w:cantSplit w:val="true"/>
        </w:trPr>
        <w:tc>
          <w:tcPr>
            <w:tcW w:w="172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sz w:val="22"/>
                <w:szCs w:val="22"/>
              </w:rPr>
              <w:t xml:space="preserve">CMG score + LACE index </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0.759 (0.753-0.765)</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40.14 (&lt;.0001)</w:t>
            </w:r>
          </w:p>
        </w:tc>
      </w:tr>
      <w:tr>
        <w:trPr>
          <w:cantSplit w:val="true"/>
        </w:trPr>
        <w:tc>
          <w:tcPr>
            <w:tcW w:w="1728"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30-day death</w:t>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CMG score</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0.739 (0.727-0.750)</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17.88 (0.0222)</w:t>
            </w:r>
          </w:p>
        </w:tc>
      </w:tr>
      <w:tr>
        <w:trPr>
          <w:cantSplit w:val="true"/>
        </w:trPr>
        <w:tc>
          <w:tcPr>
            <w:tcW w:w="172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LACE index</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0.818 (0.808-0.828)</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13.31 (0.1017)</w:t>
            </w:r>
          </w:p>
        </w:tc>
      </w:tr>
      <w:tr>
        <w:trPr>
          <w:cantSplit w:val="true"/>
        </w:trPr>
        <w:tc>
          <w:tcPr>
            <w:tcW w:w="172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pPr>
            <w:r>
              <w:rPr>
                <w:sz w:val="22"/>
                <w:szCs w:val="22"/>
              </w:rPr>
              <w:t>CMG score + LACE index</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0.858 (0.849-0.867)</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27.92 (0.0005)</w:t>
            </w:r>
          </w:p>
        </w:tc>
      </w:tr>
      <w:tr>
        <w:trPr>
          <w:cantSplit w:val="true"/>
        </w:trPr>
        <w:tc>
          <w:tcPr>
            <w:tcW w:w="1728"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30-day urgent readmission</w:t>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CMG score</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0.637 (0.631-0.643)</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20.72 (0.0079)</w:t>
            </w:r>
          </w:p>
        </w:tc>
      </w:tr>
      <w:tr>
        <w:trPr>
          <w:cantSplit w:val="true"/>
        </w:trPr>
        <w:tc>
          <w:tcPr>
            <w:tcW w:w="1728"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LACE index</w:t>
            </w:r>
          </w:p>
        </w:tc>
        <w:tc>
          <w:tcPr>
            <w:tcW w:w="2214"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0.720 (0.713-0.726)</w:t>
            </w:r>
          </w:p>
        </w:tc>
        <w:tc>
          <w:tcPr>
            <w:tcW w:w="2229"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34.73 (&lt;.0001)</w:t>
            </w:r>
          </w:p>
        </w:tc>
      </w:tr>
      <w:tr>
        <w:trPr>
          <w:cantSplit w:val="true"/>
        </w:trPr>
        <w:tc>
          <w:tcPr>
            <w:tcW w:w="1728" w:type="dxa"/>
            <w:vMerge w:val="continue"/>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snapToGrid w:val="false"/>
              <w:rPr>
                <w:sz w:val="22"/>
                <w:szCs w:val="22"/>
              </w:rPr>
            </w:pPr>
            <w:r>
              <w:rPr>
                <w:sz w:val="22"/>
                <w:szCs w:val="22"/>
              </w:rPr>
            </w:r>
          </w:p>
        </w:tc>
        <w:tc>
          <w:tcPr>
            <w:tcW w:w="270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rPr/>
            </w:pPr>
            <w:r>
              <w:rPr>
                <w:sz w:val="22"/>
                <w:szCs w:val="22"/>
              </w:rPr>
              <w:t>CMG score + LACE index</w:t>
            </w:r>
          </w:p>
        </w:tc>
        <w:tc>
          <w:tcPr>
            <w:tcW w:w="2214"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2"/>
                <w:szCs w:val="22"/>
              </w:rPr>
            </w:pPr>
            <w:r>
              <w:rPr>
                <w:sz w:val="22"/>
                <w:szCs w:val="22"/>
              </w:rPr>
              <w:t>0.743 (0.736-0.749)</w:t>
            </w:r>
          </w:p>
        </w:tc>
        <w:tc>
          <w:tcPr>
            <w:tcW w:w="2229"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sz w:val="22"/>
                <w:szCs w:val="22"/>
              </w:rPr>
            </w:pPr>
            <w:r>
              <w:rPr>
                <w:sz w:val="22"/>
                <w:szCs w:val="22"/>
              </w:rPr>
              <w:t>57.18 (&lt;.0001)</w:t>
            </w:r>
          </w:p>
        </w:tc>
      </w:tr>
    </w:tbl>
    <w:p>
      <w:pPr>
        <w:pStyle w:val="Normal"/>
        <w:rPr/>
      </w:pPr>
      <w:r>
        <w:rPr/>
      </w:r>
    </w:p>
    <w:p>
      <w:pPr>
        <w:pStyle w:val="Normal"/>
        <w:rPr/>
      </w:pPr>
      <w:r>
        <w:rPr/>
        <w:t>CI = confidence interval; H-L = Hosmer-Lemeshow</w:t>
      </w:r>
    </w:p>
    <w:p>
      <w:pPr>
        <w:pStyle w:val="Normal"/>
        <w:rPr/>
      </w:pPr>
      <w:r>
        <w:rPr>
          <w:vertAlign w:val="superscript"/>
        </w:rPr>
        <w:t>*</w:t>
      </w:r>
      <w:r>
        <w:rPr/>
        <w:t>In all models, the CMG score was assigned using the CMG code based on the 2008 algorithm</w:t>
      </w:r>
    </w:p>
    <w:p>
      <w:pPr>
        <w:pStyle w:val="Normal"/>
        <w:rPr/>
      </w:pPr>
      <w:r>
        <w:rPr/>
      </w:r>
      <w:r>
        <w:br w:type="page"/>
      </w:r>
    </w:p>
    <w:p>
      <w:pPr>
        <w:pStyle w:val="Normal"/>
        <w:rPr/>
      </w:pPr>
      <w:r>
        <w:rPr>
          <w:b/>
        </w:rPr>
        <w:t xml:space="preserve">Table 4. </w:t>
      </w:r>
      <w:r>
        <w:rPr/>
        <w:t>Predictive performance of the CMG score for 30-day death or urgent readmission using the CMG code assigned in the discharge year</w:t>
      </w:r>
      <w:r>
        <w:rPr>
          <w:vertAlign w:val="superscript"/>
        </w:rPr>
        <w:t>*</w:t>
      </w:r>
      <w:r>
        <w:rPr/>
        <w:t xml:space="preserve">   </w:t>
      </w:r>
    </w:p>
    <w:p>
      <w:pPr>
        <w:pStyle w:val="Normal"/>
        <w:rPr/>
      </w:pPr>
      <w:r>
        <w:rPr/>
      </w:r>
    </w:p>
    <w:tbl>
      <w:tblPr>
        <w:tblW w:w="8403"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1549"/>
        <w:gridCol w:w="2699"/>
        <w:gridCol w:w="2160"/>
        <w:gridCol w:w="1995"/>
      </w:tblGrid>
      <w:tr>
        <w:trPr/>
        <w:tc>
          <w:tcPr>
            <w:tcW w:w="1549"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rPr>
                <w:b/>
                <w:b/>
                <w:sz w:val="22"/>
                <w:szCs w:val="22"/>
              </w:rPr>
            </w:pPr>
            <w:r>
              <w:rPr>
                <w:b/>
                <w:sz w:val="22"/>
                <w:szCs w:val="22"/>
              </w:rPr>
              <w:t>DISCHARGE YEAR</w:t>
            </w:r>
          </w:p>
        </w:tc>
        <w:tc>
          <w:tcPr>
            <w:tcW w:w="2699"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2"/>
                <w:szCs w:val="22"/>
              </w:rPr>
            </w:pPr>
            <w:r>
              <w:rPr>
                <w:b/>
                <w:sz w:val="22"/>
                <w:szCs w:val="22"/>
              </w:rPr>
              <w:t>PREDICTOR(S)</w:t>
            </w:r>
          </w:p>
        </w:tc>
        <w:tc>
          <w:tcPr>
            <w:tcW w:w="216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b/>
                <w:b/>
                <w:sz w:val="22"/>
                <w:szCs w:val="22"/>
              </w:rPr>
            </w:pPr>
            <w:r>
              <w:rPr>
                <w:b/>
                <w:sz w:val="22"/>
                <w:szCs w:val="22"/>
              </w:rPr>
              <w:t>DISCRIMINATION C-STATISTIC</w:t>
            </w:r>
          </w:p>
          <w:p>
            <w:pPr>
              <w:pStyle w:val="Normal"/>
              <w:jc w:val="center"/>
              <w:rPr>
                <w:b/>
                <w:b/>
                <w:sz w:val="22"/>
                <w:szCs w:val="22"/>
              </w:rPr>
            </w:pPr>
            <w:r>
              <w:rPr>
                <w:b/>
                <w:sz w:val="22"/>
                <w:szCs w:val="22"/>
              </w:rPr>
              <w:t>(95% CI)</w:t>
            </w:r>
          </w:p>
        </w:tc>
        <w:tc>
          <w:tcPr>
            <w:tcW w:w="1995"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b/>
                <w:b/>
                <w:sz w:val="22"/>
                <w:szCs w:val="22"/>
              </w:rPr>
            </w:pPr>
            <w:r>
              <w:rPr>
                <w:b/>
                <w:sz w:val="22"/>
                <w:szCs w:val="22"/>
              </w:rPr>
              <w:t xml:space="preserve">CALIBRATION </w:t>
            </w:r>
          </w:p>
          <w:p>
            <w:pPr>
              <w:pStyle w:val="Normal"/>
              <w:jc w:val="center"/>
              <w:rPr>
                <w:b/>
                <w:b/>
                <w:sz w:val="22"/>
                <w:szCs w:val="22"/>
              </w:rPr>
            </w:pPr>
            <w:r>
              <w:rPr>
                <w:b/>
                <w:sz w:val="22"/>
                <w:szCs w:val="22"/>
              </w:rPr>
              <w:t>H-L STATISTIC</w:t>
            </w:r>
          </w:p>
          <w:p>
            <w:pPr>
              <w:pStyle w:val="Normal"/>
              <w:jc w:val="center"/>
              <w:rPr/>
            </w:pPr>
            <w:r>
              <w:rPr>
                <w:b/>
                <w:sz w:val="22"/>
                <w:szCs w:val="22"/>
              </w:rPr>
              <w:t>(</w:t>
            </w:r>
            <w:r>
              <w:rPr>
                <w:b/>
                <w:i/>
                <w:sz w:val="22"/>
                <w:szCs w:val="22"/>
              </w:rPr>
              <w:t>p</w:t>
            </w:r>
            <w:r>
              <w:rPr>
                <w:b/>
                <w:sz w:val="22"/>
                <w:szCs w:val="22"/>
              </w:rPr>
              <w:t>-value)</w:t>
            </w:r>
          </w:p>
        </w:tc>
      </w:tr>
      <w:tr>
        <w:trPr>
          <w:cantSplit w:val="true"/>
        </w:trPr>
        <w:tc>
          <w:tcPr>
            <w:tcW w:w="1549"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2008</w:t>
            </w:r>
          </w:p>
        </w:tc>
        <w:tc>
          <w:tcPr>
            <w:tcW w:w="269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CMG score</w:t>
            </w:r>
          </w:p>
        </w:tc>
        <w:tc>
          <w:tcPr>
            <w:tcW w:w="21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0.650 (0.636-0.665)</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10.30 (0.2448)</w:t>
            </w:r>
          </w:p>
        </w:tc>
      </w:tr>
      <w:tr>
        <w:trPr>
          <w:cantSplit w:val="true"/>
        </w:trPr>
        <w:tc>
          <w:tcPr>
            <w:tcW w:w="1549"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69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LACE index + CMG score</w:t>
            </w:r>
          </w:p>
        </w:tc>
        <w:tc>
          <w:tcPr>
            <w:tcW w:w="21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0.757 (0.743-0.772)</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13.79 (0.0875)</w:t>
            </w:r>
          </w:p>
        </w:tc>
      </w:tr>
      <w:tr>
        <w:trPr>
          <w:cantSplit w:val="true"/>
        </w:trPr>
        <w:tc>
          <w:tcPr>
            <w:tcW w:w="1549"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2007</w:t>
            </w:r>
          </w:p>
        </w:tc>
        <w:tc>
          <w:tcPr>
            <w:tcW w:w="269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CMG score</w:t>
            </w:r>
          </w:p>
        </w:tc>
        <w:tc>
          <w:tcPr>
            <w:tcW w:w="21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0.655 (0.640-0.670)</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9.49 (0.3030)</w:t>
            </w:r>
          </w:p>
        </w:tc>
      </w:tr>
      <w:tr>
        <w:trPr>
          <w:cantSplit w:val="true"/>
        </w:trPr>
        <w:tc>
          <w:tcPr>
            <w:tcW w:w="1549" w:type="dxa"/>
            <w:vMerge w:val="continue"/>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sz w:val="22"/>
                <w:szCs w:val="22"/>
              </w:rPr>
            </w:pPr>
            <w:r>
              <w:rPr>
                <w:sz w:val="22"/>
                <w:szCs w:val="22"/>
              </w:rPr>
            </w:r>
          </w:p>
        </w:tc>
        <w:tc>
          <w:tcPr>
            <w:tcW w:w="269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LACE index + CMG score</w:t>
            </w:r>
          </w:p>
        </w:tc>
        <w:tc>
          <w:tcPr>
            <w:tcW w:w="21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0.762 (0.747-0.777)</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5.21 (0.7351)</w:t>
            </w:r>
          </w:p>
        </w:tc>
      </w:tr>
      <w:tr>
        <w:trPr>
          <w:cantSplit w:val="true"/>
        </w:trPr>
        <w:tc>
          <w:tcPr>
            <w:tcW w:w="1549" w:type="dxa"/>
            <w:vMerge w:val="restart"/>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2"/>
                <w:szCs w:val="22"/>
              </w:rPr>
            </w:pPr>
            <w:r>
              <w:rPr>
                <w:sz w:val="22"/>
                <w:szCs w:val="22"/>
              </w:rPr>
              <w:t>2003-2006</w:t>
            </w:r>
          </w:p>
        </w:tc>
        <w:tc>
          <w:tcPr>
            <w:tcW w:w="2699"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rPr>
                <w:sz w:val="22"/>
                <w:szCs w:val="22"/>
              </w:rPr>
            </w:pPr>
            <w:r>
              <w:rPr>
                <w:sz w:val="22"/>
                <w:szCs w:val="22"/>
              </w:rPr>
              <w:t>CMG score</w:t>
            </w:r>
          </w:p>
        </w:tc>
        <w:tc>
          <w:tcPr>
            <w:tcW w:w="216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sz w:val="22"/>
                <w:szCs w:val="22"/>
              </w:rPr>
            </w:pPr>
            <w:r>
              <w:rPr>
                <w:sz w:val="22"/>
                <w:szCs w:val="22"/>
              </w:rPr>
              <w:t>0.507 (0.504-0.510)</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sz w:val="22"/>
                <w:szCs w:val="22"/>
              </w:rPr>
            </w:pPr>
            <w:r>
              <w:rPr>
                <w:sz w:val="22"/>
                <w:szCs w:val="22"/>
              </w:rPr>
              <w:t>4.01 (0.8566)</w:t>
            </w:r>
          </w:p>
        </w:tc>
      </w:tr>
      <w:tr>
        <w:trPr>
          <w:cantSplit w:val="true"/>
        </w:trPr>
        <w:tc>
          <w:tcPr>
            <w:tcW w:w="1549" w:type="dxa"/>
            <w:vMerge w:val="continue"/>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snapToGrid w:val="false"/>
              <w:rPr>
                <w:sz w:val="22"/>
                <w:szCs w:val="22"/>
              </w:rPr>
            </w:pPr>
            <w:r>
              <w:rPr>
                <w:sz w:val="22"/>
                <w:szCs w:val="22"/>
              </w:rPr>
            </w:r>
          </w:p>
        </w:tc>
        <w:tc>
          <w:tcPr>
            <w:tcW w:w="2699"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rPr>
                <w:sz w:val="22"/>
                <w:szCs w:val="22"/>
              </w:rPr>
            </w:pPr>
            <w:r>
              <w:rPr>
                <w:sz w:val="22"/>
                <w:szCs w:val="22"/>
              </w:rPr>
              <w:t>LACE index + CMG score</w:t>
            </w:r>
          </w:p>
        </w:tc>
        <w:tc>
          <w:tcPr>
            <w:tcW w:w="216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sz w:val="22"/>
                <w:szCs w:val="22"/>
              </w:rPr>
            </w:pPr>
            <w:r>
              <w:rPr>
                <w:sz w:val="22"/>
                <w:szCs w:val="22"/>
              </w:rPr>
              <w:t>0.735 (0.728-0.742)</w:t>
            </w:r>
          </w:p>
        </w:tc>
        <w:tc>
          <w:tcPr>
            <w:tcW w:w="19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sz w:val="22"/>
                <w:szCs w:val="22"/>
              </w:rPr>
            </w:pPr>
            <w:r>
              <w:rPr>
                <w:sz w:val="22"/>
                <w:szCs w:val="22"/>
              </w:rPr>
              <w:t>19.34 (0.0131)</w:t>
            </w:r>
          </w:p>
        </w:tc>
      </w:tr>
    </w:tbl>
    <w:p>
      <w:pPr>
        <w:pStyle w:val="Normal"/>
        <w:rPr/>
      </w:pPr>
      <w:r>
        <w:rPr/>
      </w:r>
    </w:p>
    <w:p>
      <w:pPr>
        <w:pStyle w:val="Normal"/>
        <w:rPr/>
      </w:pPr>
      <w:r>
        <w:rPr/>
        <w:t>CI = confidence interval; H-L = Hosmer-Lemeshow</w:t>
      </w:r>
    </w:p>
    <w:p>
      <w:pPr>
        <w:pStyle w:val="Normal"/>
        <w:rPr/>
      </w:pPr>
      <w:r>
        <w:rPr>
          <w:b/>
          <w:vertAlign w:val="superscript"/>
        </w:rPr>
        <w:t>*</w:t>
      </w:r>
      <w:r>
        <w:rPr/>
        <w:t>Prior to 2007, CMG codes were assigned using the CMG/Plx methodology.  In 2007, a new methodology (CMG</w:t>
      </w:r>
      <w:r>
        <w:rPr>
          <w:vertAlign w:val="superscript"/>
        </w:rPr>
        <w:t>+</w:t>
      </w:r>
      <w:r>
        <w:rPr/>
        <w:t>) was implemented to assign CMG codes.  Minor revisions are made to the CMG</w:t>
      </w:r>
      <w:r>
        <w:rPr>
          <w:vertAlign w:val="superscript"/>
        </w:rPr>
        <w:t>+</w:t>
      </w:r>
      <w:r>
        <w:rPr/>
        <w:t xml:space="preserve"> methodology yearly.  </w:t>
      </w:r>
      <w:r>
        <w:br w:type="page"/>
      </w:r>
    </w:p>
    <w:p>
      <w:pPr>
        <w:pStyle w:val="Normal"/>
        <w:rPr/>
      </w:pPr>
      <w:r>
        <w:rPr>
          <w:b/>
        </w:rPr>
        <w:t xml:space="preserve">APPENDIX A. Univariate association (independent of the LACE index) of each Case Mix Group (CMG) with 30-day death or urgent readmission </w:t>
      </w:r>
    </w:p>
    <w:p>
      <w:pPr>
        <w:pStyle w:val="Normal"/>
        <w:rPr>
          <w:b/>
          <w:b/>
        </w:rPr>
      </w:pPr>
      <w:r>
        <w:rPr>
          <w:b/>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bookmarkStart w:id="3" w:name="OLE_LINK2"/>
            <w:bookmarkStart w:id="4" w:name="OLE_LINK1"/>
            <w:bookmarkEnd w:id="3"/>
            <w:bookmarkEnd w:id="4"/>
            <w:r>
              <w:rPr>
                <w:sz w:val="18"/>
                <w:szCs w:val="18"/>
              </w:rPr>
              <w:t>001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Intracranial Vessel Intervention except Extraction, Open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Intracranial Vessel Intervention except Extraction, Percutaneous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0.23 (0.03-1.68)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Vascular Intervention with Nervous System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1.83 (0.75-4.49)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0.1855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Craniotomy for Drainage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(0.05-7.57)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0.7156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Insertion of Shunt/Brain Monitor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0.70 (0.33-1.50)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0.3584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Cranium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1.08 (0.36-3.23)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0.8863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Thoracic/Major Intervention on Spine/Spinal Canal/Vertebra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0.45 (0.12-1.62)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0.2194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Site/Non-Major Intervention on Spine/Spinal Canal/Vertebra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0.46 (0.11-1.89)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0.2846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Excision/Repair of Brain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1.09 (0.78-1.53)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0.6035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Drainage/Release of Brain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1.27 (0.43-3.73)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0.6606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Management of Nervous System Device/Other Minor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6.76 (3.61-12.65)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Carotid Endarterectomy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(0.49-2.26)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0.8886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Nerve Intervention or Intervention on other Site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Intervention on Nerve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Parkinson's Disease/Other Parkinsonian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1.09 (0.50-2.36)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0.8347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Degenerative Disease of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2.17 (1.00-4.71)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Hemorrhagic Event of Central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0.92 (0.46-1.83)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0.8144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Ischemic Event of Central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0.87 (0.60-1.24)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0.4327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Cerebrovascular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 (0.53-2.45)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0.7292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Unspecified Stroke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(0.50-1.07)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0.1065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Transient Ischemic Attack</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0.67 (0.43-1.05)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0.0819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030</w:t>
            </w:r>
            <w:r>
              <w:rPr>
                <w:sz w:val="18"/>
                <w:szCs w:val="18"/>
                <w:vertAlign w:val="superscript"/>
              </w:rPr>
              <w:t>†</w:t>
            </w:r>
            <w:r>
              <w:rPr>
                <w:sz w:val="18"/>
                <w:szCs w:val="18"/>
              </w:rPr>
              <w:t>, 031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Viral Meningitis (030); Meningitis except Viral (031)</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0.47 (0.20-1.13)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0.0932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Infection/Inflammation of Central Nervous System except Meningitis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0.58 (0.21-1.60)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0.2942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Neuropathy/Polyneuropathy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1.17 (0.44-3.07)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0.7532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Disorder of Nerve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 (0.44-2.41)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0.9541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Neuromuscular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(0.19-2.83)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0.6453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Multiple Sclerosis/Demyelinating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(0.20-1.62)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0.2918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Dysfunction of Central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0.91 (0.50-1.64)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0.7514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Neoplasm of Central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3.09 (1.91-4.99)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Status Epilepticus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1.18 (0.27-5.09)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0.8269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Seizure Disorder, except Status Epilepticus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1.25 (0.88-1.78)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Migraine/Other Headache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1.08 (0.63-1.84)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0.7734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Disorder of Central Nervous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 (0.47-2.29)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Orbit/Eyeball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1.28 (0.30-5.45)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0.7380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Lens Extraction/Insertion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Vitrectomy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(0.31-1.56)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0.3754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Extraocular Intervention except Lacrimal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1.86 (0.24-14.15)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0.5505</w:t>
            </w:r>
          </w:p>
        </w:tc>
      </w:tr>
    </w:tbl>
    <w:p>
      <w:pPr>
        <w:pStyle w:val="Normal"/>
        <w:rPr/>
      </w:pPr>
      <w:r>
        <w:rPr>
          <w:sz w:val="16"/>
          <w:szCs w:val="16"/>
        </w:rPr>
        <w:t xml:space="preserve">*Adjusted for the LACE index. Adjusted odds ratios not presented for CMGs with no events and fewer than 50 admissions (these CMGs were excluded from consideration in the final multivariable model).  </w:t>
      </w:r>
    </w:p>
    <w:p>
      <w:pPr>
        <w:pStyle w:val="Normal"/>
        <w:rPr/>
      </w:pPr>
      <w:r>
        <w:rPr>
          <w:sz w:val="16"/>
          <w:szCs w:val="16"/>
        </w:rPr>
        <w:t>**CI = confidence interval</w:t>
      </w:r>
    </w:p>
    <w:p>
      <w:pPr>
        <w:pStyle w:val="Normal"/>
        <w:rPr>
          <w:sz w:val="16"/>
          <w:szCs w:val="16"/>
        </w:rPr>
      </w:pPr>
      <w:r>
        <w:rPr>
          <w:sz w:val="16"/>
          <w:szCs w:val="16"/>
        </w:rPr>
        <w:t>†</w:t>
      </w:r>
      <w:r>
        <w:rPr>
          <w:sz w:val="16"/>
          <w:szCs w:val="16"/>
        </w:rPr>
        <w:t>CMG with no events and 50 or more admissions that was combined with another clinically similar CMG</w:t>
      </w:r>
    </w:p>
    <w:p>
      <w:pPr>
        <w:pStyle w:val="Normal"/>
        <w:rPr>
          <w:sz w:val="16"/>
          <w:szCs w:val="16"/>
        </w:rPr>
      </w:pPr>
      <w:r>
        <w:rPr>
          <w:sz w:val="16"/>
          <w:szCs w:val="16"/>
        </w:rPr>
        <w:t>‡</w:t>
      </w:r>
      <w:r>
        <w:rPr>
          <w:sz w:val="16"/>
          <w:szCs w:val="16"/>
        </w:rPr>
        <w:t>CMG with 1 admission and 1 event that was combined with another clinically similar CMG</w:t>
      </w:r>
      <w:r>
        <w:br w:type="page"/>
      </w:r>
    </w:p>
    <w:p>
      <w:pPr>
        <w:pStyle w:val="Normal"/>
        <w:rPr>
          <w:sz w:val="16"/>
          <w:szCs w:val="16"/>
        </w:rPr>
      </w:pPr>
      <w:r>
        <w:rPr>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Sclera/Choroid/Retina Intervention without Vitrectomy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0.64 (0.20-2.07)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0.4614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Lacrimal System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Ophthalmic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0.82 (0.15-4.47)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0.8138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Inflammation of Orbit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Ophthalmology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1.58 (0.50-5.05)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Ophthalmology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(0.15-2.08)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Cochlear Implant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Radical Excision of Head and Neck</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(0.18-1.78)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0.3320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Temporomandibular Joint Implant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Oropharynx Excision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Lymphatic Intervention with Ear/Nose/Throat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0.24 (0.04-1.45)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0.1203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Larynx/Trachea Intervention with Ear/Nose/Throat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Artery Occlusion for Epistaxis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Partial Excision Musculoskeletal Tissue of Head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Musculoskeletal Intervention on Head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0.27 (0.07-1.09)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0.0656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External Ear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080</w:t>
            </w:r>
            <w:r>
              <w:rPr>
                <w:sz w:val="18"/>
                <w:szCs w:val="18"/>
                <w:vertAlign w:val="superscript"/>
              </w:rPr>
              <w:t>†</w:t>
            </w:r>
            <w:r>
              <w:rPr>
                <w:sz w:val="18"/>
                <w:szCs w:val="18"/>
              </w:rPr>
              <w:t>, 082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Ear Intervention (080); Mastoid Intervention (082)</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0.35 (0.05-2.70)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0.3140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Hard/Soft Palate/Gingiva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Ear/Nose/Throat Gland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0.99 (0.33-2.92)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0.9809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Sinus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1.63 (0.57-4.66)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0.3640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Glottis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Oral Cavity/Pharynx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0.75 (0.37-1.54)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0.4352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Nose/Nasal Cartilage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1.63 (0.73-3.63)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Skin Intervention with Ear/Nose/Throat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Ear/Nose/Throat 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2.14 (1.10-4.16)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Sleep Apnea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 (0.05-3.06)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0.3787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Epiglottitis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0.43 (0.05-3.35)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0.4187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Influenza/Acute Upper Respiratory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1.47 (0.72-2.99)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0.2937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Dysequilibrium/Hearing Loss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0.59 (0.39-0.90)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Epistaxis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(0.32-1.51)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0.3523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Sinusitis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Disease of Oral Cavity/Salivary Gland/Jaw</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0.34 (0.08-1.44)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Otitis Media with/without Ventilation Tube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Tonsillitis/Pharyngitis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0.23 (0.08-0.72)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0.0112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Croup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sz w:val="18"/>
                <w:szCs w:val="18"/>
              </w:rPr>
            </w:pPr>
            <w:r>
              <w:rPr>
                <w:sz w:val="18"/>
                <w:szCs w:val="18"/>
              </w:rPr>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Miscellaneous Ear/Nose/Throat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0.83 (0.29-2.37)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0.7247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Lung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Intrapericardial Lung Resection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2.73 (0.41-18.08)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0.2990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Thoracic Lung Resection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 (0.50-1.22)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0.2870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Pleurectomy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0.43 (0.12-1.52)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0.1912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Endoscopic Lung Resection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0.54 (0.18-1.65)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0.2793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Respiratory Biopsy/Inspection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2.00 (1.12-3.56)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0.0192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Pleurodesis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0.93 (0.11-7.93)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0.9465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Respiratory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1.73 (0.85-3.50)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0.1288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Bone Intervention with Respiratory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Lymph Node Excision/Biopsy with Respiratory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1.18 (0.38-3.61)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0.7734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with Respiratory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4.84 (1.53-15.32)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0.0074</w:t>
            </w:r>
          </w:p>
        </w:tc>
      </w:tr>
    </w:tbl>
    <w:p>
      <w:pPr>
        <w:pStyle w:val="Normal"/>
        <w:rPr>
          <w:sz w:val="16"/>
          <w:szCs w:val="16"/>
        </w:rPr>
      </w:pPr>
      <w:r>
        <w:rPr>
          <w:sz w:val="16"/>
          <w:szCs w:val="16"/>
        </w:rPr>
      </w:r>
      <w:r>
        <w:br w:type="page"/>
      </w:r>
    </w:p>
    <w:p>
      <w:pPr>
        <w:pStyle w:val="Normal"/>
        <w:rPr>
          <w:sz w:val="16"/>
          <w:szCs w:val="16"/>
        </w:rPr>
      </w:pPr>
      <w:r>
        <w:rPr>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Respiratory Failure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1.39 (0.87-2.21)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0.1648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Failure/Rejection Lung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Respiratory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2.89 (2.32-3.59)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Infectious/Parasitic Disease of Respiratory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Respiratory Tuberculosis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Aspiration Pneumonia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1.83 (1.14-2.96)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0.0126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Bacterial Pneumonia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 (0.55-1.84)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0.9859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Bacterial Disease of Respiratory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 (0.06-4.14)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0.5177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Viral/Unspecified Pneumonia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 (0.85-1.17)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0.9717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Chronic Obstructive Pulmonary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2067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1.42 (1.24-1.62)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Bronchiectasis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(0.17-3.16)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0.6779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Upper/Lower Respiratory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0.58 (0.24-1.40)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0.2270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Lung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1.88 (1.30-2.72)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Disease of Pleura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1.43 (0.90-2.27)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Pneumothorax</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0.93 (0.43-1.99)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0.8421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Postprocedural Respiratory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(0.21-1.75)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0.3539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Asthma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 (0.30-0.81)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Respiratory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1.29 (0.71-2.36)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Symptom/Sign of Respiratory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1.21 (0.82-1.80)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0.3394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Heart or Lung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2.83 (0.15-55.12)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0.4925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Implantation of Cardioverter/Defibrillator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(0.27-1.20)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0.1381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Cardiac Valve Replacement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 (0.91-1.39)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0.2621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Cardiothoracic Intervention with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0.58 (0.07-4.85)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0.6172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Cardiothoracic Intervention without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0.71 (0.24-2.11)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0.5409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Cardiac Valve Repair except Percutaneous Transluminal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(0.34-1.07)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0.0864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 Cardiac Catheter with MI/Shock/Arrest with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0.60 (0.31-1.19)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0.1433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 Cardiac Catheter with MI/Shock/Arrest without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0.65 (0.24-1.76)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0.3923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 Cardiac Catheter without MI/Shock/Arrest with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0.64 (0.35-1.16)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 Cardiac Catheter without MI/Shock/Arrest without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1.45 (1.16-1.83)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without Cardiac Catheter with MI/Shock/Arrest with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0.64 (0.31-1.31)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0.2169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without Cardiac Catheter with MI/Shock/Arrest without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 (0.11-1.31)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0.1245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Coronary Artery Bypass Graft without Cardiac Catheter without MI/Shock/Arrest with/without Pump</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963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0.59 (0.50-0.70)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Cardiothoracic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1.29 (0.30-5.42)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0.7321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Pacemaker Implantion/Removal Except Cardioverter/Defibrillator Implant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0.59 (0.42-0.84)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Percutaneous Coronary Intervention with MI/Shock/Arrest/Heart Failure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0.68 (0.55-0.83)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Percutaneous Coronary Intervention without MI/Shock/Arrest/Heart Failure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1390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 (0.58-1.07)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0.1330</w:t>
            </w:r>
          </w:p>
        </w:tc>
      </w:tr>
    </w:tbl>
    <w:p>
      <w:pPr>
        <w:pStyle w:val="Normal"/>
        <w:rPr>
          <w:sz w:val="16"/>
          <w:szCs w:val="16"/>
        </w:rPr>
      </w:pPr>
      <w:r>
        <w:rPr>
          <w:sz w:val="16"/>
          <w:szCs w:val="16"/>
        </w:rPr>
      </w:r>
      <w:r>
        <w:br w:type="page"/>
      </w:r>
    </w:p>
    <w:p>
      <w:pPr>
        <w:pStyle w:val="Normal"/>
        <w:rPr>
          <w:sz w:val="16"/>
          <w:szCs w:val="16"/>
        </w:rPr>
      </w:pPr>
      <w:r>
        <w:rPr>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Management of Pacemaker/Epicardial Lead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Percutaneous Transluminal Cardiothoracic Intervention except Percutaneous Coronary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 (0.53-1.99)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Cardiac Conduction System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(0.26-1.52)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0.2988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Amputation of Limb except Hand/Foot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 (0.38-3.38)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0.8256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Abdominal Aorta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0.75 (0.42-1.33)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0.3249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Bypass/Extraction of Vein/Artery of Limb</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 (0.93-2.11)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0.1117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Amputation of Hand/Foot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1.39 (0.31-6.12)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0.6655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Vein Ligation/Stripping</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Other/Miscellaneous Vascular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 (0.70-2.84)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0.3435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Myocardial Infarction/Shock/Arrest with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0.77 (0.57-1.03)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Myocardial Infarction/Shock/Arrest without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1100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1.53 (1.23-1.90)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Heart Failure with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 (0.32-1.90)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0.5864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Heart Failure without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1.74 (1.52-1.99)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Hypertensive Disease except Benign Hypertension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0.99 (0.40-2.43)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0.9772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Congenital Cardiac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Cardiac Valve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(0.54-2.07)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0.8620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Pulmonary Embolism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 (0.76-1.39)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0.8544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Arrhythmia with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0.43 (0.14-1.33)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Arrhythmia without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1.24 (1.04-1.48)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0.0191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Unstable Angina/Atherosclerotic Heart Disease with Cardiac Cath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 (0.52-1.17)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0.2297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Unstable Angina/Atherosclerotic Heart Disease without Cardiac Cath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1.10 (0.87-1.40)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0.4197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Syncope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861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 (0.57-1.10)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0.1565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Benign Hypertension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1.12 (0.70-1.79)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0.6273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Angina (except Unstable)/Chest Pain with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0.11 (0.05-0.28)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Angina (except Unstable)/Chest Pain without Cardiac Catheter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0.74 (0.57-0.96)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Other/Miscellaneous Cardiac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1.20 (0.91-1.57)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0.2013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Embolism/Thrombosis except Deep Vein Thrombophlebitis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 (0.51-2.54)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0.7584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Deep Vein Thrombophlebitis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1.89 (1.16-3.09)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0.0104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Peripheral Vascular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 (0.11-2.44)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Other/Miscellaneous Vascular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1.09 (0.63-1.89)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0.7482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Upper Gastrointestinal Reconstruction/Excision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1.04 (0.49-2.22)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0.9183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Colostomy/Enterostomy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 (0.72-1.41)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0.9756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Large Intestine/Rectum Resection without Colostomy, Unplanned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0.47 (0.30-0.73)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Large Intestine/Rectum Resection without Colostomy, 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0.67 (0.49-0.92)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0.0140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Intervention on Esophagus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0.39 (0.09-1.72)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Excision/Repair of Upper Gastrointestinal Tract, Unplanned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0.83 (0.55-1.23)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0.3435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Excision/Repair of Upper Gastrointestinal Tract, 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0.82 (0.53-1.28)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0.3912</w:t>
            </w:r>
          </w:p>
        </w:tc>
      </w:tr>
    </w:tbl>
    <w:p>
      <w:pPr>
        <w:pStyle w:val="Normal"/>
        <w:rPr>
          <w:sz w:val="16"/>
          <w:szCs w:val="16"/>
        </w:rPr>
      </w:pPr>
      <w:r>
        <w:rPr>
          <w:sz w:val="16"/>
          <w:szCs w:val="16"/>
        </w:rPr>
      </w:r>
      <w:r>
        <w:br w:type="page"/>
      </w:r>
    </w:p>
    <w:p>
      <w:pPr>
        <w:pStyle w:val="Normal"/>
        <w:rPr>
          <w:sz w:val="16"/>
          <w:szCs w:val="16"/>
        </w:rPr>
      </w:pPr>
      <w:r>
        <w:rPr>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Endoscopic Large Intestine/Rectum Resection without Colostomy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0.59 (0.28-1.22)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0.1526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Complex Hernia Repair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1445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0.31 (0.12-0.81)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0.0162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Non-Complex Hernia Repair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0.26 (0.12-0.58)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Repair/Fixation &amp; Other Moderate Intervention on Lower Gastrointestinal Tract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 (0.40-6.14)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0.5218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Upper Gastrointestinal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1.86 (1.23-2.79)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0.0030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Lower Gastrointestinal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374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0.97 (0.64-1.48)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0.9049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Complicated Appendectomy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0.26 (0.14-0.49)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Simple Appendectomy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0.28 (0.17-0.45)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on Anus Excluding Reconstruction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0.82 (0.31-2.16)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0.6856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Simple Removal of Upper Gastrointestinal Foreign Body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 (0.23-4.38)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0.9957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with Gastrointestinal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(0.35-1.06)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0.0807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Severe Enteritis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1.29 (0.91-1.84)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0.1515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Non-severe Enteritis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0.82 (0.66-1.02)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Digestive 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3.50 (2.58-4.76)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Complicated Ulcer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 (0.39-3.26)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0.8149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Uncomplicated Ulcer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1.62 (0.91-2.89)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0.1024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Inflammatory Bowel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0.93 (0.65-1.34)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0.7083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Gastrointestinal Hemorrhage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1.15 (0.91-1.45)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0.2415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Gastrointestinal Obstruction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1.56 (1.26-1.92)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Esophagitis/Gastritis/Miscellaneous Digestive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1.10 (0.78-1.53)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0.5880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Symptom/Sign of Digestive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1692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1.72 (1.45-2.04)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Gastrointestinal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1.63 (1.25-2.12)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Liver/Pancreas/Duodenum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 (0.53-1.13)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0.1887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Excision Pancreas with Duodenum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(0.26-1.97)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0.5167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Drainage/Biopsy of Pancreas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2.12 (0.12-36.59)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0.6042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Bypass/Excision of Pancreas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2.28 (0.59-8.84)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0.2348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Hepatobiliary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1.19 (0.59-2.40)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0.6291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Hepatobiliary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1.82 (0.93-3.56)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0.0829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Cholecystectomy with Common Bile Duct Exploration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0.60 (0.07-5.08)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0.6391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Cholecystectomy without Common Bile Duct Exploration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(0.36-1.50)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0.3942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Laparoscopic Cholecystectomy with/without Common Bile Duct Exploration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0.49 (0.33-0.72)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Hepatobiliary Drainage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Dilation/Drainage of Common Bile Duct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1.87 (0.98-3.57)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0.0581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Extraction/Destruction of Calculus Common Bile Duct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0.65 (0.37-1.15)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0.1370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related to Hepatobiliary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1.49 (0.63-3.52)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0.3658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Hepatobiliary/Pancreatic 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5.40 (4.05-7.21)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Cirrhosis/Alcoholic Hepatitis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2.31 (1.73-3.08)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Liver Disease except Cirrhosis/Malignancy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1.11 (0.67-1.87)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0.6801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Pancreas except 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1.04 (0.77-1.41)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0.7893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Biliary Tract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1.58 (1.22-2.05)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Joint Replacement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(0.08-6.25)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0.7662</w:t>
            </w:r>
          </w:p>
        </w:tc>
      </w:tr>
    </w:tbl>
    <w:p>
      <w:pPr>
        <w:pStyle w:val="Normal"/>
        <w:rPr>
          <w:sz w:val="16"/>
          <w:szCs w:val="16"/>
        </w:rPr>
      </w:pPr>
      <w:r>
        <w:rPr>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Back/Neck Intervention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 (0.16-6.44)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0.9995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Lower Limb Intervention with Flap/Graft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2.05 (1.01-4.17)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0.0473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Fixation of Lower Limb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2.42 (0.31-18.64)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0.3971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Lower Limb Intervention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Craniofacial Bone Intervention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2.61 (0.87-7.81)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0.0870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Upper Limb Intervention with Flap/Graft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Upper Limb Intervention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2.65 (0.46-15.36)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0.2775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Musculoskeletal Intervention with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1.76 (0.16-19.30)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0.6425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C1/C2/Thoracic Spine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1.04 (0.37-2.98)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0.9366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Spinal Vertebrae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0.54 (0.35-0.83)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0.0050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on Back/Neck</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(0.33-1.47)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0.3410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Bilateral Hip/Knee Replacement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Revised Hip Replacement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Revised Hip Replacement without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(0.26-2.01)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0.5328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Revised Knee Replacement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(0.09-5.59)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0.7314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Revised Knee Replacement without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(0.16-2.07)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0.3941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Unilateral Hip Replacement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0.55 (0.39-0.79)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Unilateral Knee Replacement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2303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 (0.37-0.70)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Knee Intervention except Fixation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(0.06-6.11)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0.6748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Knee Intervention except Fixation without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0.62 (0.15-2.59)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0.5084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Closed Knee Intervention except Fixation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 (0.07-3.35)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0.4758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Closed Knee Intervention except Fixation without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0.32 (0.08-1.24)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326</w:t>
            </w:r>
            <w:r>
              <w:rPr>
                <w:sz w:val="18"/>
                <w:szCs w:val="18"/>
                <w:vertAlign w:val="superscript"/>
              </w:rPr>
              <w:t>†</w:t>
            </w:r>
            <w:r>
              <w:rPr>
                <w:sz w:val="18"/>
                <w:szCs w:val="18"/>
              </w:rPr>
              <w:t>, 327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Shoulder Replacement (326); Other Joint Replacement (327)</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(0.20-2.03)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0.4402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Resection/Amputation of Pelvis/Leg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Resection/Amputation of Pelvis/Leg without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0.41 (0.07-2.52)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0.3385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Fixation of Lower Limb except Ankle/Foot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0.56 (0.15-2.06)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0.3839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Osteotomy of Lower Limb except 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(0.14-2.59)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0.5041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Repair Bone of Leg except Ankle/Foot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Foot Intervention except Soft Tissue with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1.97 (0.62-6.30)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0.2506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vertAlign w:val="superscript"/>
              </w:rPr>
            </w:pPr>
            <w:r>
              <w:rPr>
                <w:sz w:val="18"/>
                <w:szCs w:val="18"/>
              </w:rPr>
              <w:t>334, 335</w:t>
            </w:r>
            <w:r>
              <w:rPr>
                <w:sz w:val="18"/>
                <w:szCs w:val="18"/>
                <w:vertAlign w:val="superscript"/>
              </w:rPr>
              <w:t>†</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Foot Intervention except Soft Tissue without Infection (334); Other Foot Intervention, except Soft Tissue (335)</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0.26 (0.07-0.98)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0.0468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Resection/Amputation/Fixation of Upper Limb except Shoulder/Hand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(0.16-3.44)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0.6925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Hand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0.62 (0.16-2.43)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0.4966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Osteotomy of Upper Limb except Hand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Upper Limb Intervention except Hand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Elbow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Shoulder/Rotator Cuff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0.39 (0.16-0.99)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0.0471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Biopsy/Invasive Inspection of Bone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bl>
    <w:p>
      <w:pPr>
        <w:pStyle w:val="Normal"/>
        <w:rPr>
          <w:b/>
          <w:b/>
          <w:sz w:val="16"/>
          <w:szCs w:val="16"/>
        </w:rPr>
      </w:pPr>
      <w:r>
        <w:rPr>
          <w:b/>
          <w:sz w:val="16"/>
          <w:szCs w:val="16"/>
        </w:rPr>
      </w:r>
    </w:p>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Musculoskeletal Intervention except Soft Tissue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2.34 (0.32-17.23)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Soft Tissue Intervention of Upper Limb</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Soft Tissue Intervention of Lower Limb</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(0.07-1.18)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0.0834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346, 349</w:t>
            </w:r>
            <w:r>
              <w:rPr>
                <w:sz w:val="18"/>
                <w:szCs w:val="18"/>
                <w:vertAlign w:val="superscript"/>
              </w:rPr>
              <w:t>†</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Musculoskeletal Soft Tissue Intervention (346); Nerve Intervention with Musculoskeletal Diagnosis (349)</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0.33 (0.05-2.21)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0.2522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Craniofacial Bone Intervention with Musculoskeletal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2.75 (1.48-5.09)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Skin Intervention with Musculoskeletal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Musculoskeletal Malignant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2.71 (1.84-4.01)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Pathological Fracture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1.36 (0.69-2.68)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0.3816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Osteomyelitis/Septic Arthritis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0.70 (0.26-1.91)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0.4868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Vertebral/Disc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 (0.71-1.84)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0.5853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Systemic Connective Tissue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1.81 (0.80-4.11)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0.1562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Arthritis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(0.42-1.28)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0.2672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Soft Tissue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(0.24-1.62)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Back Pain/Strain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 (0.92-2.13)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0.1203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Pain/Stiffness, except Back</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0.83 (0.39-1.77)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0.6230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Musculoskeletal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0.18 (0.03-1.20)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0.0768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Syndrome/Deformity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Orthopedic Aftercare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1.94 (0.85-4.46)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0.1173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Strain/Sprain/Joint/Tendon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0.98 (0.44-2.19)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0.9682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Bone/Joint Intervention with Skin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Bone/Joint Intervention with Skin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(0.42-2.65)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0.9080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Muscle/Tendon/Soft Tissue Intervention with Skin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(0.33-1.56)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0.4012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Non-Skin Intervention with Skin 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1.44 (0.19-11.14)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0.7283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Non-Skin Intervention without Skin 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1.57 (0.47-5.26)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0.4660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Repair/Reconstruction of Breast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0.68 (0.18-2.56)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0.5653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Bilateral Total/Radical Excision of Breast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 (0.11-5.99)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0.8232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Unilateral Total/Radical Excision of Breast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(0.12-0.70)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Partial Excision Breast with Malignant Breast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(0.31-1.26)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0.1936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Partial Excision Breast without Malignant Breast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0.80 (0.11-6.08)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0.8298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Breast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 (0.14-0.95)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Lymphatic System Intervention with Skin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Skin/Subcutaneous Tissue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0.51 (0.21-1.26)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0.1445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Decubitus Ulcer/Ulcer of Lower Limb NEC</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0.71 (0.30-1.68)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Diabetes with Foot Ulcer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1.66 (0.77-3.60)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Skin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3.89 (0.68-22.20)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0.1264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Breast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 (0.55-3.54)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0.4789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Cellulitis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 (0.66-1.13)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0.2751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Abscess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0.45 (0.14-1.47)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0.1875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Disease/Disorder of Skin/Subcutaneous Tissue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0.89 (0.49-1.61)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0.7032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Trauma of Skin/Subcutaneous Tissue/Breast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0.67 (0.24-1.85)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Non-Malignant Breast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Pituitary/Pineal Gland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2.26 (1.37-3.72)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Adrenal Gland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0.65 (0.08-4.99)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0.6763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Reduction Gastroplasty/Stomach Bypass with Obesity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1.05 (0.45-2.42)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0.9105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Size Reduction of Skin/Soft Tissue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1.41 (0.46-4.33)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0.5489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Thyroid/Parathyroid/Thymus Gland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0.18 (0.08-0.41)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with Endocrine System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2.30 (0.28-18.98)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Cystic Fibrosis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2.04 (0.38-11.14)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related to Nutrition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1.42 (0.69-2.90)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0.3381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434</w:t>
            </w:r>
            <w:r>
              <w:rPr>
                <w:sz w:val="18"/>
                <w:szCs w:val="18"/>
                <w:vertAlign w:val="superscript"/>
              </w:rPr>
              <w:t>†</w:t>
            </w:r>
            <w:r>
              <w:rPr>
                <w:sz w:val="18"/>
                <w:szCs w:val="18"/>
              </w:rPr>
              <w:t>, 440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Disease/Disorder of Adrenal/Pituitary Gland (434); Disease/Disorder of Thyroid/Parathyroid Gland (440)</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 (0.17-0.94)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0.0360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Metabolism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1.66 (0.79-3.53)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0.1837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Fluid/Electrolyte Balance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1.35 (0.99-1.83)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0.0574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Diabetes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877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(0.56-0.92)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0.0083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Dehydration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3.52 (2.52-4.91)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Disease/Disorder of Pancreas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0.45 (0.06-3.37)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0.4370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Kidney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1.41 (0.58-3.43)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0.4508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Kidney Donor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(0.08-4.70)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0.6382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Radical Excision/Reconstruction of Bladder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1.12 (0.41-3.02)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0.8238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453</w:t>
            </w:r>
            <w:r>
              <w:rPr>
                <w:sz w:val="18"/>
                <w:szCs w:val="18"/>
                <w:vertAlign w:val="superscript"/>
              </w:rPr>
              <w:t>‡</w:t>
            </w:r>
            <w:r>
              <w:rPr>
                <w:sz w:val="18"/>
                <w:szCs w:val="18"/>
              </w:rPr>
              <w:t>, 454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Exteriorization of Upper Urinary Tract (453); Major Intervention on Upper Urinary Tract (454)</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0.77 (0.50-1.19)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0.2328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Intervention on Upper Urinary Tract, Percutaneous Endoscopic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 (0.55-1.96)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0.9209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Minor Intervention on Upper Urinary Tract, External/Per Orifice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0.75 (0.52-1.08)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Intervention on Lower Urinary Tract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0.44 (0.06-3.14)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0.4106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Intervention on Lower Urinary Tract, Unplanned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2.00 (1.05-3.80)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Intervention on Lower Urinary Tract, Planned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1.31 (0.84-2.03)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0.2367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Intervention on 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0.94 (0.31-2.83)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0.9102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Non-Major Intervention on 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0.74 (0.10-5.51)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0.7668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Radical Excision of Prostate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 (0.30-0.90)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Partial Excision of Prostate, Open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Partial Excision/Destruction of Prostate, Closed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1379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1.17 (0.88-1.56)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0.2844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related to Dialysis, Unplanned Admission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1.36 (0.21-8.91)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0.7495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related to Dialysis, Planned Admission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with Urinary System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 (0.05-3.29)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0.3943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Renal Failure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1.35 (1.06-1.72)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Urinary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2.73 (1.40-5.33)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0.0032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1.04 (0.46-2.34)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0.9285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Kidney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0.68 (0.38-1.24)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0.2107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Disorder of Urinary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1.43 (0.59-3.46)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Disorder of Kidney/Ureter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2.47 (0.90-6.81)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0.0807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Disease/Disorder of 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0.48 (0.15-1.47)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0.1964</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Symptom/Sign of Urinary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(0.68-1.67)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0.7852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Urinary Obstruction with Percutaneous Drainage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 (0.13-2.02)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0.3434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Urinary Obstruction without Percutaneous Drainage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0.79 (0.49-1.26)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0.3251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Lower Urinary Tract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(0.83-1.34)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0.6425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Upper Urinary Tract Infection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 (0.21-0.77)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0.0062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Radical Gynaecological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1.45 (0.53-3.94)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0.4653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Hysterectomy with Malignancy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 (0.73-1.57)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0.7347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Hysterectomy with Non Malignant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0.51 (0.40-0.66)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Fixation/Occlusion/Removal Intervention on Female Reproductive System except Tube/Ovary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0.36 (0.15-0.86)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0.0218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Ovarian/Fallopian Tube Intervention with Malignancy except Endoscopic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0.38 (0.04-3.16)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0.3672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Ovarian/Fallopian Tube Intervention with Non Malignant Diagnosis except Endoscopic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0.63 (0.35-1.13)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0.1197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Bladder Fixation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0.62 (0.22-1.77)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0.3738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Repair/Brachytherapy/Other Intervention on Female Reproductive System except Tube/Ovary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(0.32-1.51)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0.3581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with Female Reproductive System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1.55 (0.50-4.82)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0.4489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Therapeutic Intervention on Female Reproductive System, Laparoscopic Approach</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(0.11-0.77)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Diagnostic Laparoscopy with/without Biopsy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Vulva/Perineum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0.82 (0.21-3.19)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0.7779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Dilation &amp; Curettage/Other Minor Intervention on Uterus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(0.04-2.18)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0.2300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Female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1.86 (0.81-4.25)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Fibroid/Prolapse/Fistula/Other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0.64 (0.15-2.67)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0.5359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Inflammatory Disorder of Female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 (0.47-1.58)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0.6321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Fertility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2.39 (0.43-13.42)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0.3225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Menstruation/Endometriosis/Non-inflammatory Disorder of Female Reproductive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0.92 (0.46-1.81)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0.8000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Intervention not related to Obstetric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Repeat Caesarean Section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Primary Caesarean Section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Vaginal Birth After Caesarean without Instrumentation, No Other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Forceps/Vacuum Delivery, No Other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Vaginal Delivery, No Other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Ectopic Pregnancy Treated Surgically/Non-Major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0.36 (0.11-1.10)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0.0739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547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Ectopic Pregnancy treated Medically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9.35 (4.14-21.14)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sz w:val="18"/>
                <w:szCs w:val="18"/>
              </w:rPr>
              <w:t>550</w:t>
            </w:r>
            <w:r>
              <w:rPr>
                <w:sz w:val="18"/>
                <w:szCs w:val="18"/>
                <w:vertAlign w:val="superscript"/>
              </w:rPr>
              <w:t>†</w:t>
            </w:r>
            <w:r>
              <w:rPr>
                <w:sz w:val="18"/>
                <w:szCs w:val="18"/>
              </w:rPr>
              <w:t>, 551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Abortion Diagnosis Treated Surgically/Non-Major Intervention (550); Abortion Diagnosis Treated Medically (551)</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0.90 (0.22-3.61)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0.8783</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Postpartum Disorder Treated Surgically/Non-Major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Postpartum Disorder treated Medically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0.54 (0.08-3.66)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0.5249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 Abortion Disorder Treated Surgically/Non-Major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 Abortion Disorder treated Medically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1.01 (0.13-7.75)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0.9897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Antepartum Disorder Treated Surgically/Non-Major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Antepartum Disorder treated Medically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2.37 (0.92-6.08)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0.0736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Newborn/Neonate 1500+ gm with Major Gastrointestinal/Diaphragm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591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Newborn/Neonate 2500+ grams, Other Respiratory Problem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Newborn/Neonate 2500+ grams, Other Minor Problem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Bone Marrow/Stem Cell Transplant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 (0.18-4.03)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0.8430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Thymectomy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1.24 (0.23-6.86)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0.8016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Splenectomy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1.26 (0.28-5.72)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0.7662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with Leukemia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0.91 (0.07-11.44)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with Multiple Myeloma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with Lymphoma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1.06 (0.51-2.20)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0.8786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with Neoplasm of Other Site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0.95 (0.39-2.34)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0.9168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Intervention with Blood/Lymphatic System Diagnosis except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 (0.61-1.89)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0.8182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Acute Myeloid Leukemia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6.01 (3.05-11.84)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Acute Leukemia except Myeloid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5.86 (0.97-35.33)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0.0537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Leukemia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3.26 (1.84-5.78)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Multiple Myeloma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2.32 (1.11-4.85)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0.0253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Lymphoma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3.60 (2.35-5.51)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Aplastic Anemia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2.59 (1.01-6.62)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0.0471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Malignant Neoplasm of Other Site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6.48 (3.87-10.85)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Non-Malignant Neoplasm of Other Site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6.29 (0.76-52.07)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Coagulation Defect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0.39 (0.10-1.52)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0.1761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Agranulocytosis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1.28 (0.94-1.75)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0.1143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Hemoglobinopathy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0.94 (0.20-4.33)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0.9378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Anemia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465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2.13 (1.63-2.79)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Purpura/Other Hemorrhagic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1.46 (0.60-3.54)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Disease/Disorder of Blood/Lymphatic System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0.76 (0.25-2.30)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0.6312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Chemotherapy/Radiotherapy Session for Neoplasm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2.48 (1.53-4.02)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Chemotherapy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5.06 (0.94-27.21)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0.0590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Acute Lymphadenitis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Multisystemic/Unspecified Site Infection with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0.55 (0.24-1.28)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0.1660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Septicemia due to Staphylococcus Aureus/Pseudomonas/Enterococcus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 (0.45-2.54)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0.8807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Other/Unspecified Septicemia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272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 (0.74-1.40)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0.9105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HIV with Major Complication/Manifestation except Respiratory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 (0.12-5.25)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0.7984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HIV with General Symptom/Infection/GI/Hepatobiliary/Ophthalmic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2.20 (0.63-7.71)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0.2163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HIV with Major Respiratory Complication/Manifestation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2.52 (0.94-6.75)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0.0663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HIV with Other/Miscellaneous Diagnosis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0.89 (0.06-12.79)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0.9325</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Chickenpox/Herpes Zoster/Cytomegaloviral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0.41 (0.05-3.55)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660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Infectious/Parasitic Disease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0.26 (0.10-0.68)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0.0064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661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Other/Unspecified Viral Illness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 (0.40-1.83)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0.6914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662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Fever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0.98 (0.56-1.73)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0.9474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Dementia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0.90 (0.57-1.40)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0.6305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Organic Mental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(0.30-1.07)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0.0822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Miscellaneous Mental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1.02 (0.33-3.15)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0.9772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Eating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3.04 (0.31-29.77)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0.3388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Behavioural Syndrome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Schizophrenia without 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2.97 (0.68-12.96)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0.1473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Schizotypal/Delusional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4.28 (1.54-11.92)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0.0054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Schizoaffective Disorder without 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6.00 (0.53-67.50)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0.1467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Disorder of Adult Personality Behaviour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10.70 (2.23-51.41)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0.0031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Obsessive Compulsive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Somatoform/Dissociative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1.27 (0.42-3.82)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0.6724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Anxiety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0.92 (0.33-2.61)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0.8825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Stress Reaction/Adjustment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1.49 (0.45-4.96)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0.5133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689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Bipolar Disorder without 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1.87 (0.54-6.42)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0.3213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Bipolar Disorder, Severe Depression without 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7.99 (0.33-193.27)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0.2013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Depressive Episode without ECT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1.46 (0.95-2.23)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0.0825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Mental Retardation/Disorder of Development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Childhood/Adolescence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23.82 (1.50-378.46)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0.0246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Acute Intoxication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1.00 (0.35-2.83)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0.9998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Harmful Use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(0.10-4.54)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0.6967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Dependence Syndrome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2.59 (1.23-5.45)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0.0121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Withdrawal State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0.80 (0.38-1.67)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0.5504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Withdrawal/Delirium</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0.55 (0.15-1.97)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0.3589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Residual/Late-onset/Psychotic Disorder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Psychoactive Substance Use, Amnesic/Other/Unspecified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Extensive Burn with Skin 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Non-Extensive Burn with Skin 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Burn Intervention without Skin 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Extensive Burn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718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Non-Extensive Burn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 (0.07-1.90)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0.2320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Organ Transplant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3.49 (3.36-3.61)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Hip Replacement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0.76 (0.40-1.41)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0.3812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Fixation/Repair Hip/Femur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418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0.40 (0.24-0.65)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on Hip/Lower Limb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0.38 (0.09-1.65)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0.1945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729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Replacement/Fixation/Repair of Tibia/Fibula/Knee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0.18 (0.09-0.34)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Major Bone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 (0.12-1.09)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0.0722</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vertAlign w:val="superscript"/>
              </w:rPr>
            </w:pPr>
            <w:r>
              <w:rPr>
                <w:sz w:val="18"/>
                <w:szCs w:val="18"/>
              </w:rPr>
              <w:t>731, 732</w:t>
            </w:r>
            <w:r>
              <w:rPr>
                <w:sz w:val="18"/>
                <w:szCs w:val="18"/>
                <w:vertAlign w:val="superscript"/>
              </w:rPr>
              <w:t>†</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Spinal Intervention with Trauma/Complication of Treatment (731); Intracranial Intervention with Trauma/Complication of Treatment (732)</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(0.08-1.10)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0.0697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Major Thoraco-abdominal/Vascular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0.51 (0.26-0.99)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0.0472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Thoraco-abdominal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0.58 (0.28-1.22)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0.1493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Skull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Skin/Soft Tissue Intervention with Trauma with Flap/Graft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0.29 (0.04-2.22)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0.2345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Skin/Soft Tissue Intervention with Trauma without Flap/Graft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0.57 (0.30-1.11)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0.1010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Fixation/Repair of Shoulder Joint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0.60 (0.17-2.16)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0.4390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Reduction/Fixation/Repair Upper Body/Limb except Fixation/Repair of Shoulder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0.23 (0.10-0.50)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Internal Fixation of Facial Bone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0.23 (0.06-0.85)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0.0280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on Facial Bone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1.23 (0.15-9.91)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0.8441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Ear/Nose/Throat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0.97 (0.12-7.82)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0.9774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743, 744</w:t>
            </w:r>
            <w:r>
              <w:rPr>
                <w:sz w:val="18"/>
                <w:szCs w:val="18"/>
                <w:vertAlign w:val="superscript"/>
              </w:rPr>
              <w:t>†</w:t>
            </w:r>
            <w:r>
              <w:rPr>
                <w:sz w:val="18"/>
                <w:szCs w:val="18"/>
              </w:rPr>
              <w:t>, 745</w:t>
            </w:r>
            <w:r>
              <w:rPr>
                <w:sz w:val="18"/>
                <w:szCs w:val="18"/>
                <w:vertAlign w:val="superscript"/>
              </w:rPr>
              <w:t>†</w:t>
            </w:r>
            <w:r>
              <w:rPr>
                <w:sz w:val="18"/>
                <w:szCs w:val="18"/>
              </w:rPr>
              <w:t>, 750</w:t>
            </w:r>
            <w:r>
              <w:rPr>
                <w:sz w:val="18"/>
                <w:szCs w:val="18"/>
                <w:vertAlign w:val="superscript"/>
              </w:rPr>
              <w:t>†</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on Bone of Upper Body with Trauma/Complication of Treatment (743); Muscle/Tendon/Minor Joint Intervention with Trauma/Complication of Treatment, Lower Limb (744); Nerve Intervention with Trauma (745); Muscle/Tendon/Minor Joint Intervention with Trauma/Complication of Treatment, Upper Limb (750)</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0.15 (0.06-0.41)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Reduction Lower Limb except Ankle/Foot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Reduction/Fixation/Repair of Ankle/Foot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0.31 (0.20-0.49)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Intervention for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0.47 (0.12-1.85)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0.2810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Eye Intervention with Trauma/Complication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751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Removal Foreign Body Skin/Soft Tissue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Significant Injury/Exposure to Element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0.62 (0.07-5.73)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0.6765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Fracture/Dislocation/Rupture of Pelvis/Sacrum/Coccyx</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0.47 (0.24-0.94)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0.0325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Complication of Transplanted Organ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5.18 (0.96-27.83)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0.0552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Intracranial Injury with Injury to Other Organ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Multiple Intracranial Injury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(0.13-2.79)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0.5218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Single Intracranial Injury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0.96 (0.59-1.57)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0.8620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 of Femur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0.50 (0.15-1.67)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0.2587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Fracture Dislocation of Leg</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1.48 (0.77-2.86)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0.2419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 of Patella/Upper Tibia/Fibula</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1.14 (0.26-5.06)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0.8626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769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 of Shoulder/Upper Humerus</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0.85 (0.26-2.81)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0.7898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Fracture/Dislocation of Arm/Shoulder</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1.05 (0.46-2.38)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0.9082</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Spinal Injury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0.72 (0.43-1.22)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0.2243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Rib Fracture/Flail Chest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0.39 (0.15-1.03)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0.0564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Multiple Injuries to Internal Organ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0.37 (0.07-1.97)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0.2447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Single Injury to Internal Organ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181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0.67 (0.34-1.31)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0.2443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 of Skull/Facial Bone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0.61 (0.21-1.80)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0.3697</w:t>
            </w:r>
          </w:p>
        </w:tc>
      </w:tr>
    </w:tbl>
    <w:p>
      <w:pPr>
        <w:pStyle w:val="Normal"/>
        <w:rPr>
          <w:b/>
          <w:b/>
          <w:sz w:val="16"/>
          <w:szCs w:val="16"/>
        </w:rPr>
      </w:pPr>
      <w:r>
        <w:rPr>
          <w:b/>
          <w:sz w:val="16"/>
          <w:szCs w:val="16"/>
        </w:rPr>
      </w:r>
      <w:r>
        <w:br w:type="page"/>
      </w:r>
    </w:p>
    <w:p>
      <w:pPr>
        <w:pStyle w:val="Normal"/>
        <w:rPr>
          <w:b/>
          <w:b/>
          <w:sz w:val="16"/>
          <w:szCs w:val="16"/>
        </w:rPr>
      </w:pPr>
      <w:r>
        <w:rPr>
          <w:b/>
          <w:sz w:val="16"/>
          <w:szCs w:val="16"/>
        </w:rPr>
      </w:r>
    </w:p>
    <w:tbl>
      <w:tblPr>
        <w:tblW w:w="893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38"/>
        <w:gridCol w:w="3510"/>
        <w:gridCol w:w="1080"/>
        <w:gridCol w:w="900"/>
        <w:gridCol w:w="1800"/>
        <w:gridCol w:w="910"/>
      </w:tblGrid>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b/>
                <w:b/>
                <w:sz w:val="18"/>
                <w:szCs w:val="18"/>
              </w:rPr>
            </w:pPr>
            <w:r>
              <w:rPr>
                <w:b/>
                <w:sz w:val="18"/>
                <w:szCs w:val="18"/>
              </w:rPr>
              <w:t>CMG code</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b/>
                <w:b/>
                <w:sz w:val="18"/>
                <w:szCs w:val="18"/>
              </w:rPr>
            </w:pPr>
            <w:r>
              <w:rPr>
                <w:b/>
                <w:sz w:val="18"/>
                <w:szCs w:val="18"/>
              </w:rPr>
              <w:t>Description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Number of admissions</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b/>
                <w:b/>
                <w:sz w:val="18"/>
                <w:szCs w:val="18"/>
              </w:rPr>
            </w:pPr>
            <w:r>
              <w:rPr>
                <w:b/>
                <w:sz w:val="18"/>
                <w:szCs w:val="18"/>
              </w:rPr>
              <w:t>Number of events</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pPr>
            <w:r>
              <w:rPr>
                <w:b/>
                <w:sz w:val="18"/>
                <w:szCs w:val="18"/>
              </w:rPr>
              <w:t>Adjusted odds ratio</w:t>
            </w:r>
            <w:r>
              <w:rPr>
                <w:b/>
                <w:sz w:val="18"/>
                <w:szCs w:val="18"/>
                <w:vertAlign w:val="superscript"/>
              </w:rPr>
              <w:t>*</w:t>
            </w:r>
            <w:r>
              <w:rPr>
                <w:b/>
                <w:sz w:val="18"/>
                <w:szCs w:val="18"/>
              </w:rPr>
              <w:t xml:space="preserve"> </w:t>
            </w:r>
          </w:p>
          <w:p>
            <w:pPr>
              <w:pStyle w:val="Normal"/>
              <w:jc w:val="center"/>
              <w:rPr>
                <w:b/>
                <w:b/>
                <w:sz w:val="18"/>
                <w:szCs w:val="18"/>
              </w:rPr>
            </w:pPr>
            <w:r>
              <w:rPr>
                <w:b/>
                <w:sz w:val="18"/>
                <w:szCs w:val="18"/>
              </w:rPr>
              <w:t>(95% CI</w:t>
            </w:r>
            <w:r>
              <w:rPr>
                <w:b/>
                <w:sz w:val="18"/>
                <w:szCs w:val="18"/>
                <w:vertAlign w:val="superscript"/>
              </w:rPr>
              <w:t>**</w:t>
            </w:r>
            <w:r>
              <w:rPr>
                <w:b/>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b/>
                <w:b/>
                <w:sz w:val="18"/>
                <w:szCs w:val="18"/>
                <w:vertAlign w:val="superscript"/>
              </w:rPr>
            </w:pPr>
            <w:r>
              <w:rPr>
                <w:b/>
                <w:i/>
                <w:sz w:val="18"/>
                <w:szCs w:val="18"/>
              </w:rPr>
              <w:t>p-</w:t>
            </w:r>
            <w:r>
              <w:rPr>
                <w:b/>
                <w:sz w:val="18"/>
                <w:szCs w:val="18"/>
              </w:rPr>
              <w:t>value</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Open Wound/Other/Unspecified Minor Injury</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1.51 (1.02-2.25)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0.0413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Other/Unspecified Fracture/Dislocation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0.90 (0.22-3.74)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0.8858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Poisoning/Toxic Effect of Drug</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749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0.96 (0.69-1.33)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0.8067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779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Concussion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0.46 (0.12-1.78)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0.2617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Post-Operative Complication except Hemorrhage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(0.49-1.09)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0.1273</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Other/Unspecified Complication of Treatment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286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0.81 (0.46-1.42)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0.4649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Post-Operative Hemorrhage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0.89 (0.51-1.55)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0.6849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Fracture/Dislocation of Wrist/Hand/Ankle/Foot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0.55 (0.13-2.27)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0.4075</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800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Admission with 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0.25 (0.03-2.42)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0.2304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Admission with Non-Major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 (0.19-1.42)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0.2006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Rehabilitation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0.34 (0.18-0.62)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0.0004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Convalescence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977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0.69 (0.52-0.92)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0.0110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Awaiting Placement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56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0.86 (0.31-2.37)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0.7724</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Palliative Care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3.61 (2.25-5.80)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General Symptom/Sign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604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1.49 (1.14-1.95)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0.0039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Other Factor Causing Hospitalization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147</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1.62 (1.05-2.52)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0.0308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Follow-Up Treatment/Examination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921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0.81 (0.57-1.14)</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0.2300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Observation/Evaluation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0.71 (0.27-1.89)</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0.4950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815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Cancelled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420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26</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3.72 (2.30-6.01)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&lt;.0001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01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0.73 (0.21-2.50)</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0.6161</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02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03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1.59 (0.16-15.97)</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0.6956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904</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04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65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1.18 (0.67-2.05)</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0.5709</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905</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05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0.52 (0.25-1.08)</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0.0788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906</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06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78</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1.36 (0.73-2.53)</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0.3358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907</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07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44</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2.18 (1.08-4.42)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0.0300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08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33</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1.21 (0.43-3.36)</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0.7188</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909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09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0.78 (0.21-2.81)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0.6986</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910</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10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109</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0.58 (0.25-1.32)</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0.1927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911</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11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4</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0.84 (0.26-2.71)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0.7690</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912</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12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10</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2.31 (0.50-10.61)</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0.2817</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918</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MCC 18 Unrelated Intervention</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rHeight w:val="60" w:hRule="atLeast"/>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993</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Diagnosis Not Generally Hospitalized</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35</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r>
        <w:trPr/>
        <w:tc>
          <w:tcPr>
            <w:tcW w:w="73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999</w:t>
            </w:r>
          </w:p>
        </w:tc>
        <w:tc>
          <w:tcPr>
            <w:tcW w:w="351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18"/>
                <w:szCs w:val="18"/>
              </w:rPr>
            </w:pPr>
            <w:r>
              <w:rPr>
                <w:sz w:val="18"/>
                <w:szCs w:val="18"/>
              </w:rPr>
              <w:t>Ungroupable</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1</w:t>
            </w:r>
          </w:p>
        </w:tc>
        <w:tc>
          <w:tcPr>
            <w:tcW w:w="9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0</w:t>
            </w:r>
          </w:p>
        </w:tc>
        <w:tc>
          <w:tcPr>
            <w:tcW w:w="180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center"/>
              <w:rPr>
                <w:sz w:val="18"/>
                <w:szCs w:val="18"/>
              </w:rPr>
            </w:pPr>
            <w:r>
              <w:rPr>
                <w:sz w:val="18"/>
                <w:szCs w:val="18"/>
              </w:rPr>
              <w:t>-</w:t>
            </w:r>
          </w:p>
        </w:tc>
        <w:tc>
          <w:tcPr>
            <w:tcW w:w="9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18"/>
                <w:szCs w:val="18"/>
              </w:rPr>
            </w:pPr>
            <w:r>
              <w:rPr>
                <w:sz w:val="18"/>
                <w:szCs w:val="18"/>
              </w:rPr>
              <w:t>-</w:t>
            </w:r>
          </w:p>
        </w:tc>
      </w:tr>
    </w:tbl>
    <w:p>
      <w:pPr>
        <w:pStyle w:val="Normal"/>
        <w:rPr>
          <w:b/>
          <w:b/>
          <w:sz w:val="16"/>
          <w:szCs w:val="16"/>
        </w:rPr>
      </w:pPr>
      <w:r>
        <w:rPr>
          <w:b/>
          <w:sz w:val="16"/>
          <w:szCs w:val="16"/>
        </w:rPr>
      </w:r>
    </w:p>
    <w:p>
      <w:pPr>
        <w:pStyle w:val="Normal"/>
        <w:rPr>
          <w:b/>
          <w:b/>
          <w:sz w:val="16"/>
          <w:szCs w:val="16"/>
        </w:rPr>
      </w:pPr>
      <w:r>
        <w:rPr>
          <w:b/>
          <w:sz w:val="16"/>
          <w:szCs w:val="16"/>
        </w:rPr>
      </w:r>
    </w:p>
    <w:sectPr>
      <w:headerReference w:type="default" r:id="rId6"/>
      <w:type w:val="nextPage"/>
      <w:pgSz w:w="12240" w:h="15840"/>
      <w:pgMar w:left="1800" w:right="1800" w:header="720" w:top="1296" w:footer="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Times New Roman Bold">
    <w:charset w:val="00"/>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i/>
      </w:rPr>
      <w:t>CMG Score</w:t>
    </w:r>
    <w:r>
      <w:rPr/>
      <w:tab/>
      <w:tab/>
    </w:r>
    <w:r>
      <w:rPr>
        <w:rStyle w:val="PageNumber"/>
        <w:b/>
        <w:i/>
      </w:rPr>
      <w:fldChar w:fldCharType="begin"/>
    </w:r>
    <w:r>
      <w:instrText> PAGE </w:instrText>
    </w:r>
    <w:r>
      <w:fldChar w:fldCharType="separate"/>
    </w:r>
    <w:r>
      <w:t>17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i/>
      </w:rPr>
      <w:t>CMG Score</w:t>
    </w:r>
    <w:r>
      <w:rPr/>
      <w:tab/>
      <w:tab/>
    </w:r>
    <w:r>
      <w:rPr>
        <w:rStyle w:val="PageNumber"/>
        <w:b/>
        <w:i/>
      </w:rPr>
      <w:fldChar w:fldCharType="begin"/>
    </w:r>
    <w:r>
      <w:instrText> PAGE </w:instrText>
    </w:r>
    <w:r>
      <w:fldChar w:fldCharType="separate"/>
    </w:r>
    <w:r>
      <w:t>34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LineNumbering">
    <w:name w:val="Line Numbering"/>
    <w:basedOn w:val="DefaultParagraph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lv@ohri.ca"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2011-08-17T07:05:00Z</dcterms:created>
  <dc:creator>Jenna Wong</dc:creator>
  <dc:language>en-CA</dc:language>
  <cp:lastModifiedBy>Jenna Wong</cp:lastModifiedBy>
  <dcterms:modified xsi:type="dcterms:W3CDTF">2011-08-17T07:20:00Z</dcterms:modified>
  <cp:revision>4</cp:revision>
  <dc:title>Derivation and validation of a Case-Mix Group based diagnostic score to predict 30-day death or urgent hospital readmission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ies>
</file>