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lineRule="auto" w:line="480" w:before="0" w:after="0"/>
        <w:jc w:val="center"/>
        <w:rPr/>
      </w:pPr>
      <w:r>
        <w:rPr/>
        <w:t>Multispecialty Physician Networks in Ontario</w:t>
      </w:r>
    </w:p>
    <w:p>
      <w:pPr>
        <w:pStyle w:val="Heading1"/>
        <w:numPr>
          <w:ilvl w:val="0"/>
          <w:numId w:val="1"/>
        </w:numPr>
        <w:spacing w:lineRule="auto" w:line="480" w:before="0" w:after="0"/>
        <w:rPr/>
      </w:pPr>
      <w:r>
        <w:rPr/>
        <w:t>ABSTRACT</w:t>
      </w:r>
    </w:p>
    <w:p>
      <w:pPr>
        <w:pStyle w:val="Pa16"/>
        <w:spacing w:lineRule="auto" w:line="480" w:before="0" w:after="0"/>
        <w:rPr>
          <w:rFonts w:ascii="Times New Roman" w:hAnsi="Times New Roman" w:cs="Times New Roman"/>
          <w:b/>
          <w:b/>
        </w:rPr>
      </w:pPr>
      <w:r>
        <w:rPr>
          <w:rFonts w:cs="Times New Roman" w:ascii="Times New Roman" w:hAnsi="Times New Roman"/>
          <w:b/>
        </w:rPr>
        <w:t>Background</w:t>
      </w:r>
    </w:p>
    <w:p>
      <w:pPr>
        <w:pStyle w:val="Pa16"/>
        <w:spacing w:lineRule="auto" w:line="480" w:before="0" w:after="0"/>
        <w:rPr/>
      </w:pPr>
      <w:r>
        <w:rPr>
          <w:rFonts w:cs="Times New Roman" w:ascii="Times New Roman" w:hAnsi="Times New Roman"/>
        </w:rPr>
        <w:t xml:space="preserve">Large multispecialty physician group practices, with a central role for primary care, have been shown to achieve high quality, low cost care for chronic disease patients. </w:t>
      </w:r>
      <w:r>
        <w:rPr/>
        <w:t xml:space="preserve">We assessed the extent to which informal multispecialty physician networks in Ontario could be identified by exploiting natural linkages among patients, physicians, and hospitals based on existing patient flow using health administrative data. </w:t>
      </w:r>
    </w:p>
    <w:p>
      <w:pPr>
        <w:pStyle w:val="Normal"/>
        <w:tabs>
          <w:tab w:val="left" w:pos="2760" w:leader="none"/>
        </w:tabs>
        <w:spacing w:lineRule="auto" w:line="480"/>
        <w:rPr>
          <w:b/>
          <w:b/>
        </w:rPr>
      </w:pPr>
      <w:r>
        <w:rPr>
          <w:b/>
        </w:rPr>
        <w:t>Methods</w:t>
      </w:r>
    </w:p>
    <w:p>
      <w:pPr>
        <w:pStyle w:val="Normal"/>
        <w:spacing w:lineRule="auto" w:line="480"/>
        <w:rPr/>
      </w:pPr>
      <w:r>
        <w:rPr/>
        <w:t>We linked Ontario residents to their usual provider of primary care (UPC). We linked specialists to the hospital where they performed the most inpatient services. We linked primary care (PC) physicians to the hospital where most of their UPC patient panel was admitted for non-maternal medical care. Residents were linked to the same hospital as their UPC physician. Smaller clusters were aggregated to create networks based on a minimum population size, distance and loyalty. Networks were not constrained geographically. The network assignment period was 2008 to 2010.</w:t>
      </w:r>
    </w:p>
    <w:p>
      <w:pPr>
        <w:pStyle w:val="Normal"/>
        <w:spacing w:lineRule="auto" w:line="480"/>
        <w:rPr>
          <w:b/>
          <w:b/>
        </w:rPr>
      </w:pPr>
      <w:r>
        <w:rPr>
          <w:b/>
        </w:rPr>
        <w:t>Results</w:t>
      </w:r>
    </w:p>
    <w:p>
      <w:pPr>
        <w:pStyle w:val="Normal"/>
        <w:spacing w:lineRule="auto" w:line="480"/>
        <w:rPr/>
      </w:pPr>
      <w:r>
        <w:rPr/>
        <w:t xml:space="preserve">We identified 78 multispecialty physician networks, comprising 12,581 PC physicians, 14,516 specialists and 175 acute care hospitals serving 12,917,178 people. Median network size was 134,000 residents, 125 PC physicians and 141 specialists. Most residents (99%) were linked to a UPC and to a network. Most specialists (94%) and PC physicians (98%) were linked to a hospital. Median network physician loyalty was 68% for physician visits and 81% for PC visits. Median admission loyalty was 67%. Urban networks had lower loyalties and were less self-contained but had more healthcare resources. </w:t>
      </w:r>
    </w:p>
    <w:p>
      <w:pPr>
        <w:pStyle w:val="Normal"/>
        <w:spacing w:lineRule="auto" w:line="480"/>
        <w:rPr>
          <w:b/>
          <w:b/>
        </w:rPr>
      </w:pPr>
      <w:r>
        <w:rPr>
          <w:b/>
        </w:rPr>
        <w:t>Interpretation</w:t>
      </w:r>
    </w:p>
    <w:p>
      <w:pPr>
        <w:sectPr>
          <w:footerReference w:type="default" r:id="rId2"/>
          <w:footerReference w:type="first" r:id="rId3"/>
          <w:type w:val="nextPage"/>
          <w:pgSz w:w="12240" w:h="15840"/>
          <w:pgMar w:left="1080" w:right="1080" w:header="0" w:top="1080" w:footer="720" w:bottom="1440" w:gutter="0"/>
          <w:pgNumType w:start="1" w:fmt="decimal"/>
          <w:formProt w:val="false"/>
          <w:titlePg/>
          <w:textDirection w:val="lrTb"/>
          <w:docGrid w:type="default" w:linePitch="360" w:charSpace="0"/>
        </w:sectPr>
        <w:pStyle w:val="Normal"/>
        <w:spacing w:lineRule="auto" w:line="480"/>
        <w:rPr/>
      </w:pPr>
      <w:r>
        <w:rPr/>
        <w:t>We demonstrated the feasibility of identifying informal multispecialty physician networks in Ontario based on patterns of healthcare seeking behaviour. Networks were reasonably self-contained so that patients received most of their care from providers within the network. Formal constitution of networks could foster accountability for efficient, integrated care through care management tools and quality improvement, the idea behind ‘accountable care organizations’.</w:t>
      </w:r>
    </w:p>
    <w:p>
      <w:pPr>
        <w:pStyle w:val="Normal"/>
        <w:rPr>
          <w:b/>
          <w:b/>
        </w:rPr>
      </w:pPr>
      <w:r>
        <w:rPr>
          <w:b/>
        </w:rPr>
        <w:t>INTRODUCTION</w:t>
      </w:r>
    </w:p>
    <w:p>
      <w:pPr>
        <w:pStyle w:val="Pa16"/>
        <w:spacing w:lineRule="auto" w:line="480" w:before="0" w:after="0"/>
        <w:rPr>
          <w:rFonts w:ascii="Times New Roman" w:hAnsi="Times New Roman" w:cs="Times New Roman"/>
          <w:b/>
          <w:b/>
        </w:rPr>
      </w:pPr>
      <w:r>
        <w:rPr>
          <w:rFonts w:cs="Times New Roman" w:ascii="Times New Roman" w:hAnsi="Times New Roman"/>
          <w:b/>
        </w:rPr>
      </w:r>
    </w:p>
    <w:p>
      <w:pPr>
        <w:pStyle w:val="Pa16"/>
        <w:spacing w:lineRule="auto" w:line="480" w:before="0" w:after="0"/>
        <w:rPr>
          <w:rFonts w:ascii="Times New Roman" w:hAnsi="Times New Roman" w:cs="Times New Roman"/>
        </w:rPr>
      </w:pPr>
      <w:r>
        <w:rPr>
          <w:rFonts w:cs="Times New Roman" w:ascii="Times New Roman" w:hAnsi="Times New Roman"/>
        </w:rPr>
        <w:t>There is widespread evidence that quality of care for chronic disease patients is suboptimal,</w:t>
      </w:r>
      <w:r>
        <w:fldChar w:fldCharType="begin"/>
      </w:r>
      <w:r>
        <w:instrText> ADDIN REFMGR.CITE &lt;Refman&gt;&lt;Cite&gt;&lt;Author&gt;Institute of Medicine&lt;/Author&gt;&lt;Year&gt;2001&lt;/Year&gt;&lt;RecNum&gt;1111&lt;/RecNum&gt;&lt;IDText&gt;Crossing the Quality Chasm: A New Health System for the 21st Century&lt;/IDText&gt;&lt;MDL Ref_Type="Report"&gt;&lt;Ref_Type&gt;Report&lt;/Ref_Type&gt;&lt;Ref_ID&gt;1111&lt;/Ref_ID&gt;&lt;Title_Primary&gt;Crossing the Quality Chasm: A New Health System for the 21st Century&lt;/Title_Primary&gt;&lt;Authors_Primary&gt;Institute of Medicine&lt;/Authors_Primary&gt;&lt;Date_Primary&gt;2001&lt;/Date_Primary&gt;&lt;Keywords&gt;Health&lt;/Keywords&gt;&lt;Reprint&gt;Not in File&lt;/Reprint&gt;&lt;Pub_Place&gt;Washington, DC&lt;/Pub_Place&gt;&lt;Publisher&gt;National Academies Press&lt;/Publisher&gt;&lt;ZZ_WorkformID&gt;24&lt;/ZZ_WorkformID&gt;&lt;/MDL&gt;&lt;/Cite&gt;&lt;Cite&gt;&lt;Author&gt;McGlynn&lt;/Author&gt;&lt;Year&gt;2003&lt;/Year&gt;&lt;RecNum&gt;1113&lt;/RecNum&gt;&lt;IDText&gt;The quality of health care delivered to adults in the United States&lt;/IDText&gt;&lt;MDL Ref_Type="Journal"&gt;&lt;Ref_Type&gt;Journal&lt;/Ref_Type&gt;&lt;Ref_ID&gt;1113&lt;/Ref_ID&gt;&lt;Title_Primary&gt;The quality of health care delivered to adults in the United States&lt;/Title_Primary&gt;&lt;Authors_Primary&gt;McGlynn,E.A.&lt;/Authors_Primary&gt;&lt;Authors_Primary&gt;Asch,S.M.&lt;/Authors_Primary&gt;&lt;Authors_Primary&gt;Adams,J.&lt;/Authors_Primary&gt;&lt;Authors_Primary&gt;Keesey,J.&lt;/Authors_Primary&gt;&lt;Authors_Primary&gt;Hicks,J.&lt;/Authors_Primary&gt;&lt;Authors_Primary&gt;DeCristofaro,A.&lt;/Authors_Primary&gt;&lt;Authors_Primary&gt;Kerr,E.A.&lt;/Authors_Primary&gt;&lt;Date_Primary&gt;2003/6/26&lt;/Date_Primary&gt;&lt;Keywords&gt;Adult&lt;/Keywords&gt;&lt;Keywords&gt;Data Collection&lt;/Keywords&gt;&lt;Keywords&gt;Guideline Adherence&lt;/Keywords&gt;&lt;Keywords&gt;Health&lt;/Keywords&gt;&lt;Keywords&gt;Humans&lt;/Keywords&gt;&lt;Keywords&gt;medical&lt;/Keywords&gt;&lt;Keywords&gt;Medical Records&lt;/Keywords&gt;&lt;Keywords&gt;methods&lt;/Keywords&gt;&lt;Keywords&gt;Quality Indicators,Health Care&lt;/Keywords&gt;&lt;Keywords&gt;Quality of Health Care&lt;/Keywords&gt;&lt;Keywords&gt;research&lt;/Keywords&gt;&lt;Keywords&gt;results&lt;/Keywords&gt;&lt;Keywords&gt;standards&lt;/Keywords&gt;&lt;Keywords&gt;statistics &amp;amp; numerical data&lt;/Keywords&gt;&lt;Keywords&gt;Therapeutics&lt;/Keywords&gt;&lt;Keywords&gt;United States&lt;/Keywords&gt;&lt;Keywords&gt;utilization&lt;/Keywords&gt;&lt;Reprint&gt;Not in File&lt;/Reprint&gt;&lt;Start_Page&gt;2635&lt;/Start_Page&gt;&lt;End_Page&gt;2645&lt;/End_Page&gt;&lt;Periodical&gt;N Engl J Med&lt;/Periodical&gt;&lt;Volume&gt;348&lt;/Volume&gt;&lt;Issue&gt;26&lt;/Issue&gt;&lt;Address&gt;RAND, Santa Monica, Calif 90407, USA. beth_mcglynn@rand.org&lt;/Address&gt;&lt;Web_URL&gt;PM:12826639&lt;/Web_URL&gt;&lt;ZZ_JournalStdAbbrev&gt;&lt;f name="System"&gt;N Engl J Med&lt;/f&gt;&lt;/ZZ_JournalStdAbbrev&gt;&lt;ZZ_WorkformID&gt;1&lt;/ZZ_WorkformID&gt;&lt;/MDL&gt;&lt;/Cite&gt;&lt;Cite&gt;&lt;Author&gt;Ontario Health Quality Council&lt;/Author&gt;&lt;Year&gt;2008&lt;/Year&gt;&lt;RecNum&gt;1284&lt;/RecNum&gt;&lt;IDText&gt;2008 Report on Ontario&amp;apos;s Health System&lt;/IDText&gt;&lt;MDL Ref_Type="Report"&gt;&lt;Ref_Type&gt;Report&lt;/Ref_Type&gt;&lt;Ref_ID&gt;1284&lt;/Ref_ID&gt;&lt;Title_Primary&gt;2008 Report on Ontario&amp;apos;s Health System&lt;/Title_Primary&gt;&lt;Authors_Primary&gt;Ontario Health Quality Council&lt;/Authors_Primary&gt;&lt;Date_Primary&gt;2008&lt;/Date_Primary&gt;&lt;Keywords&gt;Ontario&lt;/Keywords&gt;&lt;Keywords&gt;Health&lt;/Keywords&gt;&lt;Reprint&gt;Not in File&lt;/Reprint&gt;&lt;Periodical&gt;http://www.ohqc.ca/pdfs/ohqc_2008_report_-_english.pdf&lt;/Periodical&gt;&lt;Pub_Place&gt;Toronto&lt;/Pub_Place&gt;&lt;Publisher&gt;The Council&lt;/Publisher&gt;&lt;Date_Secondary&gt;2008/4/6&lt;/Date_Secondary&gt;&lt;ZZ_JournalStdAbbrev&gt;&lt;f name="System"&gt;http://www.ohqc.ca/pdfs/ohqc_2008_report_-_english.pdf&lt;/f&gt;&lt;/ZZ_JournalStdAbbrev&gt;&lt;ZZ_WorkformID&gt;24&lt;/ZZ_WorkformID&gt;&lt;/MDL&gt;&lt;/Cite&gt;&lt;/Refman&gt;</w:instrText>
      </w:r>
      <w:r>
        <w:fldChar w:fldCharType="separate"/>
      </w:r>
      <w:bookmarkStart w:id="0" w:name="__Fieldmark__914_1322453857"/>
      <w:r>
        <w:rPr>
          <w:rFonts w:cs="Times New Roman" w:ascii="Times New Roman" w:hAnsi="Times New Roman"/>
          <w:vertAlign w:val="superscript"/>
        </w:rPr>
        <w:t>1-3</w:t>
      </w:r>
      <w:r>
        <w:rPr>
          <w:rFonts w:cs="Times New Roman" w:ascii="Times New Roman" w:hAnsi="Times New Roman"/>
          <w:vertAlign w:val="superscript"/>
        </w:rPr>
      </w:r>
      <w:r>
        <w:fldChar w:fldCharType="end"/>
      </w:r>
      <w:bookmarkEnd w:id="0"/>
      <w:r>
        <w:rPr>
          <w:rFonts w:cs="Times New Roman" w:ascii="Times New Roman" w:hAnsi="Times New Roman"/>
        </w:rPr>
        <w:t xml:space="preserve"> with large variations in the provision of evidence-based services.</w:t>
      </w:r>
      <w:r>
        <w:fldChar w:fldCharType="begin"/>
      </w:r>
      <w:r>
        <w:instrText> ADDIN REFMGR.CITE &lt;Refman&gt;&lt;Cite&gt;&lt;Author&gt;Ontario Health Quality Council&lt;/Author&gt;&lt;Year&gt;2008&lt;/Year&gt;&lt;RecNum&gt;1284&lt;/RecNum&gt;&lt;IDText&gt;2008 Report on Ontario&amp;apos;s Health System&lt;/IDText&gt;&lt;MDL Ref_Type="Report"&gt;&lt;Ref_Type&gt;Report&lt;/Ref_Type&gt;&lt;Ref_ID&gt;1284&lt;/Ref_ID&gt;&lt;Title_Primary&gt;2008 Report on Ontario&amp;apos;s Health System&lt;/Title_Primary&gt;&lt;Authors_Primary&gt;Ontario Health Quality Council&lt;/Authors_Primary&gt;&lt;Date_Primary&gt;2008&lt;/Date_Primary&gt;&lt;Keywords&gt;Ontario&lt;/Keywords&gt;&lt;Keywords&gt;Health&lt;/Keywords&gt;&lt;Reprint&gt;Not in File&lt;/Reprint&gt;&lt;Periodical&gt;http://www.ohqc.ca/pdfs/ohqc_2008_report_-_english.pdf&lt;/Periodical&gt;&lt;Pub_Place&gt;Toronto&lt;/Pub_Place&gt;&lt;Publisher&gt;The Council&lt;/Publisher&gt;&lt;Date_Secondary&gt;2008/4/6&lt;/Date_Secondary&gt;&lt;ZZ_JournalStdAbbrev&gt;&lt;f name="System"&gt;http://www.ohqc.ca/pdfs/ohqc_2008_report_-_english.pdf&lt;/f&gt;&lt;/ZZ_JournalStdAbbrev&gt;&lt;ZZ_WorkformID&gt;24&lt;/ZZ_WorkformID&gt;&lt;/MDL&gt;&lt;/Cite&gt;&lt;Cite&gt;&lt;Author&gt;Hux&lt;/Author&gt;&lt;Year&gt;2002&lt;/Year&gt;&lt;RecNum&gt;452&lt;/RecNum&gt;&lt;IDText&gt;Diabetes in Ontario: determination of prevalence and incidence using a validated administrative data algorithm&lt;/IDText&gt;&lt;MDL Ref_Type="Journal"&gt;&lt;Ref_Type&gt;Journal&lt;/Ref_Type&gt;&lt;Ref_ID&gt;452&lt;/Ref_ID&gt;&lt;Title_Primary&gt;Diabetes in Ontario: determination of prevalence and incidence using a validated administrative data algorithm&lt;/Title_Primary&gt;&lt;Authors_Primary&gt;Hux,J.E.&lt;/Authors_Primary&gt;&lt;Authors_Primary&gt;Ivis,F.&lt;/Authors_Primary&gt;&lt;Authors_Primary&gt;Flintoft,V.&lt;/Authors_Primary&gt;&lt;Authors_Primary&gt;Bica,A.&lt;/Authors_Primary&gt;&lt;Date_Primary&gt;2002/3&lt;/Date_Primary&gt;&lt;Keywords&gt;Adult&lt;/Keywords&gt;&lt;Keywords&gt;Algorithms&lt;/Keywords&gt;&lt;Keywords&gt;Canada&lt;/Keywords&gt;&lt;Keywords&gt;cohort&lt;/Keywords&gt;&lt;Keywords&gt;data&lt;/Keywords&gt;&lt;Keywords&gt;design&lt;/Keywords&gt;&lt;Keywords&gt;Diabetes Mellitus&lt;/Keywords&gt;&lt;Keywords&gt;diagnosis&lt;/Keywords&gt;&lt;Keywords&gt;distribution&lt;/Keywords&gt;&lt;Keywords&gt;epidemiology&lt;/Keywords&gt;&lt;Keywords&gt;Geography&lt;/Keywords&gt;&lt;Keywords&gt;Health&lt;/Keywords&gt;&lt;Keywords&gt;Human&lt;/Keywords&gt;&lt;Keywords&gt;Incidence&lt;/Keywords&gt;&lt;Keywords&gt;methods&lt;/Keywords&gt;&lt;Keywords&gt;Ontario&lt;/Keywords&gt;&lt;Keywords&gt;Physicians&lt;/Keywords&gt;&lt;Keywords&gt;population&lt;/Keywords&gt;&lt;Keywords&gt;Prevalence&lt;/Keywords&gt;&lt;Keywords&gt;Registries&lt;/Keywords&gt;&lt;Keywords&gt;Reproducibility of Results&lt;/Keywords&gt;&lt;Keywords&gt;research&lt;/Keywords&gt;&lt;Keywords&gt;Research Design&lt;/Keywords&gt;&lt;Keywords&gt;Retrospective Studies&lt;/Keywords&gt;&lt;Keywords&gt;Sensitivity and Specificity&lt;/Keywords&gt;&lt;Keywords&gt;Statistics&lt;/Keywords&gt;&lt;Keywords&gt;Support,Non-U.S.Gov&amp;apos;t&lt;/Keywords&gt;&lt;Keywords&gt;Time&lt;/Keywords&gt;&lt;Keywords&gt;Toronto&lt;/Keywords&gt;&lt;Keywords&gt;validation&lt;/Keywords&gt;&lt;Keywords&gt;Vital Statistics&lt;/Keywords&gt;&lt;Reprint&gt;Not in File&lt;/Reprint&gt;&lt;Start_Page&gt;512&lt;/Start_Page&gt;&lt;End_Page&gt;516&lt;/End_Page&gt;&lt;Periodical&gt;Diabetes Care&lt;/Periodical&gt;&lt;Volume&gt;25&lt;/Volume&gt;&lt;Issue&gt;3&lt;/Issue&gt;&lt;Address&gt;Institute for Clinical Evaluative Sciences, Toronto, Canada. jan@ices.on.ca&lt;/Address&gt;&lt;Web_URL&gt;PM:11874939&lt;/Web_URL&gt;&lt;ZZ_JournalStdAbbrev&gt;&lt;f name="System"&gt;Diabetes Care&lt;/f&gt;&lt;/ZZ_JournalStdAbbrev&gt;&lt;ZZ_WorkformID&gt;1&lt;/ZZ_WorkformID&gt;&lt;/MDL&gt;&lt;/Cite&gt;&lt;Cite&gt;&lt;Author&gt;Jaakkimainen&lt;/Author&gt;&lt;Year&gt;2006&lt;/Year&gt;&lt;RecNum&gt;1139&lt;/RecNum&gt;&lt;IDText&gt;Primary Care in Ontario: ICES Atlas&lt;/IDText&gt;&lt;MDL Ref_Type="Book, Whole"&gt;&lt;Ref_Type&gt;Book, Whole&lt;/Ref_Type&gt;&lt;Ref_ID&gt;1139&lt;/Ref_ID&gt;&lt;Title_Primary&gt;&lt;f name="Frutiger-Roman"&gt;Primary Care in Ontario: ICES Atlas&lt;/f&gt;&lt;/Title_Primary&gt;&lt;Date_Primary&gt;2006&lt;/Date_Primary&gt;&lt;Keywords&gt;Ontario&lt;/Keywords&gt;&lt;Reprint&gt;Not in File&lt;/Reprint&gt;&lt;Authors_Secondary&gt;Jaakkimainen,L.&lt;/Authors_Secondary&gt;&lt;Authors_Secondary&gt;Upshur,R.E.G.&lt;/Authors_Secondary&gt;&lt;Authors_Secondary&gt;Klein-Geltink,J.E.&lt;/Authors_Secondary&gt;&lt;Authors_Secondary&gt;Leong,A.&lt;/Authors_Secondary&gt;&lt;Authors_Secondary&gt;Maaten,S.&lt;/Authors_Secondary&gt;&lt;Authors_Secondary&gt;Schultz,S.E.&lt;/Authors_Secondary&gt;&lt;Authors_Secondary&gt;Wang,L.&lt;/Authors_Secondary&gt;&lt;Pub_Place&gt;Toronto&lt;/Pub_Place&gt;&lt;Publisher&gt;Institute for Clinical Evaluative Sciences&lt;/Publisher&gt;&lt;Web_URL&gt;&lt;u&gt;http://www.ices.on.ca/webpage.cfm?site_id=1&amp;amp;org_id=67&amp;amp;morg_id=0&amp;amp;gsec_id=0&amp;amp;item_id=3655&amp;amp;type=atlas&lt;/u&gt;&lt;/Web_URL&gt;&lt;ZZ_WorkformID&gt;2&lt;/ZZ_WorkformID&gt;&lt;/MDL&gt;&lt;/Cite&gt;&lt;Cite&gt;&lt;Author&gt;Broemeling&lt;/Author&gt;&lt;Year&gt;2008&lt;/Year&gt;&lt;RecNum&gt;1291&lt;/RecNum&gt;&lt;IDText&gt;Population patterns of chronic health conditions, co-morbidity and healthcare use in Canada: implications for policy and practice&lt;/IDText&gt;&lt;MDL Ref_Type="Journal"&gt;&lt;Ref_Type&gt;Journal&lt;/Ref_Type&gt;&lt;Ref_ID&gt;1291&lt;/Ref_ID&gt;&lt;Title_Primary&gt;Population patterns of chronic health conditions, co-morbidity and healthcare use in Canada: implications for policy and practice&lt;/Title_Primary&gt;&lt;Authors_Primary&gt;Broemeling,A.M.&lt;/Authors_Primary&gt;&lt;Authors_Primary&gt;Watson,D.E.&lt;/Authors_Primary&gt;&lt;Authors_Primary&gt;Prebtani,F.&lt;/Authors_Primary&gt;&lt;Date_Primary&gt;2008&lt;/Date_Primary&gt;&lt;Keywords&gt;British Columbia&lt;/Keywords&gt;&lt;Keywords&gt;Canada&lt;/Keywords&gt;&lt;Keywords&gt;comorbidity&lt;/Keywords&gt;&lt;Keywords&gt;Health&lt;/Keywords&gt;&lt;Keywords&gt;Health Services&lt;/Keywords&gt;&lt;Keywords&gt;outcome&lt;/Keywords&gt;&lt;Keywords&gt;population&lt;/Keywords&gt;&lt;Keywords&gt;Public Policy&lt;/Keywords&gt;&lt;Keywords&gt;research&lt;/Keywords&gt;&lt;Keywords&gt;Risk&lt;/Keywords&gt;&lt;Keywords&gt;Risk Factors&lt;/Keywords&gt;&lt;Reprint&gt;Not in File&lt;/Reprint&gt;&lt;Start_Page&gt;70&lt;/Start_Page&gt;&lt;End_Page&gt;76&lt;/End_Page&gt;&lt;Periodical&gt;Healthc Q&lt;/Periodical&gt;&lt;Volume&gt;11&lt;/Volume&gt;&lt;Issue&gt;3&lt;/Issue&gt;&lt;Web_URL&gt;PM:18536538&lt;/Web_URL&gt;&lt;ZZ_JournalStdAbbrev&gt;&lt;f name="System"&gt;Healthc Q&lt;/f&gt;&lt;/ZZ_JournalStdAbbrev&gt;&lt;ZZ_WorkformID&gt;1&lt;/ZZ_WorkformID&gt;&lt;/MDL&gt;&lt;/Cite&gt;&lt;Cite&gt;&lt;Author&gt;Bierman&lt;/Author&gt;&lt;Year&gt;2009&lt;/Year&gt;&lt;RecNum&gt;1610&lt;/RecNum&gt;&lt;IDText&gt;Project for an Ontario Women&amp;apos;s Health Evidence-Based Report: Volume 1&lt;/IDText&gt;&lt;MDL Ref_Type="Report"&gt;&lt;Ref_Type&gt;Report&lt;/Ref_Type&gt;&lt;Ref_ID&gt;1610&lt;/Ref_ID&gt;&lt;Title_Primary&gt;Project for an Ontario Women&amp;apos;s Health Evidence-Based Report: Volume 1&lt;/Title_Primary&gt;&lt;Date_Primary&gt;2009&lt;/Date_Primary&gt;&lt;Keywords&gt;Ontario&lt;/Keywords&gt;&lt;Keywords&gt;Women&lt;/Keywords&gt;&lt;Keywords&gt;Women&amp;apos;s Health&lt;/Keywords&gt;&lt;Keywords&gt;Health&lt;/Keywords&gt;&lt;Keywords&gt;volume&lt;/Keywords&gt;&lt;Authors_Secondary&gt;Bierman,A.S.&lt;/Authors_Secondary&gt;&lt;Pub_Place&gt;Toronto&lt;/Pub_Place&gt;&lt;Publisher&gt;ICES and St. Michael&amp;apos;s Hospital&lt;/Publisher&gt;&lt;ZZ_WorkformID&gt;24&lt;/ZZ_WorkformID&gt;&lt;/MDL&gt;&lt;/Cite&gt;&lt;Cite&gt;&lt;Author&gt;Bierman&lt;/Author&gt;&lt;Year&gt;2010&lt;/Year&gt;&lt;RecNum&gt;1611&lt;/RecNum&gt;&lt;IDText&gt;Project for an Ontario Women&amp;apos;s Health Evidence-Based Report: Volume 2&lt;/IDText&gt;&lt;MDL Ref_Type="Report"&gt;&lt;Ref_Type&gt;Report&lt;/Ref_Type&gt;&lt;Ref_ID&gt;1611&lt;/Ref_ID&gt;&lt;Title_Primary&gt;Project for an Ontario Women&amp;apos;s Health Evidence-Based Report: Volume 2&lt;/Title_Primary&gt;&lt;Date_Primary&gt;2010&lt;/Date_Primary&gt;&lt;Keywords&gt;Ontario&lt;/Keywords&gt;&lt;Keywords&gt;Women&lt;/Keywords&gt;&lt;Keywords&gt;Women&amp;apos;s Health&lt;/Keywords&gt;&lt;Keywords&gt;Health&lt;/Keywords&gt;&lt;Keywords&gt;volume&lt;/Keywords&gt;&lt;Keywords&gt;studies&lt;/Keywords&gt;&lt;Authors_Secondary&gt;Bierman,A.S.&lt;/Authors_Secondary&gt;&lt;Pub_Place&gt;Toronto&lt;/Pub_Place&gt;&lt;Publisher&gt;ICES and St. Michael&amp;apos;s Hospital&lt;/Publisher&gt;&lt;ZZ_WorkformID&gt;24&lt;/ZZ_WorkformID&gt;&lt;/MDL&gt;&lt;/Cite&gt;&lt;/Refman&gt;</w:instrText>
      </w:r>
      <w:r>
        <w:fldChar w:fldCharType="separate"/>
      </w:r>
      <w:bookmarkStart w:id="1" w:name="__Fieldmark__915_1322453857"/>
      <w:r>
        <w:rPr>
          <w:vertAlign w:val="superscript"/>
        </w:rPr>
        <w:t>3-8</w:t>
      </w:r>
      <w:r>
        <w:rPr>
          <w:vertAlign w:val="superscript"/>
        </w:rPr>
      </w:r>
      <w:r>
        <w:fldChar w:fldCharType="end"/>
      </w:r>
      <w:bookmarkEnd w:id="1"/>
      <w:r>
        <w:rPr>
          <w:rFonts w:cs="Times New Roman" w:ascii="Times New Roman" w:hAnsi="Times New Roman"/>
        </w:rPr>
        <w:t xml:space="preserve"> Serious gaps in the quality of chronic disease management are attributed to poor coordination and fragmented care.</w:t>
      </w:r>
      <w:r>
        <w:fldChar w:fldCharType="begin"/>
      </w:r>
      <w:r>
        <w:instrText> ADDIN REFMGR.CITE &lt;Refman&gt;&lt;Cite&gt;&lt;Author&gt;Institute of Medicine&lt;/Author&gt;&lt;Year&gt;2001&lt;/Year&gt;&lt;RecNum&gt;1111&lt;/RecNum&gt;&lt;IDText&gt;Crossing the Quality Chasm: A New Health System for the 21st Century&lt;/IDText&gt;&lt;MDL Ref_Type="Report"&gt;&lt;Ref_Type&gt;Report&lt;/Ref_Type&gt;&lt;Ref_ID&gt;1111&lt;/Ref_ID&gt;&lt;Title_Primary&gt;Crossing the Quality Chasm: A New Health System for the 21st Century&lt;/Title_Primary&gt;&lt;Authors_Primary&gt;Institute of Medicine&lt;/Authors_Primary&gt;&lt;Date_Primary&gt;2001&lt;/Date_Primary&gt;&lt;Keywords&gt;Health&lt;/Keywords&gt;&lt;Reprint&gt;Not in File&lt;/Reprint&gt;&lt;Pub_Place&gt;Washington, DC&lt;/Pub_Place&gt;&lt;Publisher&gt;National Academies Press&lt;/Publisher&gt;&lt;ZZ_WorkformID&gt;24&lt;/ZZ_WorkformID&gt;&lt;/MDL&gt;&lt;/Cite&gt;&lt;Cite&gt;&lt;Author&gt;McGlynn&lt;/Author&gt;&lt;Year&gt;2003&lt;/Year&gt;&lt;RecNum&gt;1113&lt;/RecNum&gt;&lt;IDText&gt;The quality of health care delivered to adults in the United States&lt;/IDText&gt;&lt;MDL Ref_Type="Journal"&gt;&lt;Ref_Type&gt;Journal&lt;/Ref_Type&gt;&lt;Ref_ID&gt;1113&lt;/Ref_ID&gt;&lt;Title_Primary&gt;The quality of health care delivered to adults in the United States&lt;/Title_Primary&gt;&lt;Authors_Primary&gt;McGlynn,E.A.&lt;/Authors_Primary&gt;&lt;Authors_Primary&gt;Asch,S.M.&lt;/Authors_Primary&gt;&lt;Authors_Primary&gt;Adams,J.&lt;/Authors_Primary&gt;&lt;Authors_Primary&gt;Keesey,J.&lt;/Authors_Primary&gt;&lt;Authors_Primary&gt;Hicks,J.&lt;/Authors_Primary&gt;&lt;Authors_Primary&gt;DeCristofaro,A.&lt;/Authors_Primary&gt;&lt;Authors_Primary&gt;Kerr,E.A.&lt;/Authors_Primary&gt;&lt;Date_Primary&gt;2003/6/26&lt;/Date_Primary&gt;&lt;Keywords&gt;Adult&lt;/Keywords&gt;&lt;Keywords&gt;Data Collection&lt;/Keywords&gt;&lt;Keywords&gt;Guideline Adherence&lt;/Keywords&gt;&lt;Keywords&gt;Health&lt;/Keywords&gt;&lt;Keywords&gt;Humans&lt;/Keywords&gt;&lt;Keywords&gt;medical&lt;/Keywords&gt;&lt;Keywords&gt;Medical Records&lt;/Keywords&gt;&lt;Keywords&gt;methods&lt;/Keywords&gt;&lt;Keywords&gt;Quality Indicators,Health Care&lt;/Keywords&gt;&lt;Keywords&gt;Quality of Health Care&lt;/Keywords&gt;&lt;Keywords&gt;research&lt;/Keywords&gt;&lt;Keywords&gt;results&lt;/Keywords&gt;&lt;Keywords&gt;standards&lt;/Keywords&gt;&lt;Keywords&gt;statistics &amp;amp; numerical data&lt;/Keywords&gt;&lt;Keywords&gt;Therapeutics&lt;/Keywords&gt;&lt;Keywords&gt;United States&lt;/Keywords&gt;&lt;Keywords&gt;utilization&lt;/Keywords&gt;&lt;Reprint&gt;Not in File&lt;/Reprint&gt;&lt;Start_Page&gt;2635&lt;/Start_Page&gt;&lt;End_Page&gt;2645&lt;/End_Page&gt;&lt;Periodical&gt;N Engl J Med&lt;/Periodical&gt;&lt;Volume&gt;348&lt;/Volume&gt;&lt;Issue&gt;26&lt;/Issue&gt;&lt;Address&gt;RAND, Santa Monica, Calif 90407, USA. beth_mcglynn@rand.org&lt;/Address&gt;&lt;Web_URL&gt;PM:12826639&lt;/Web_URL&gt;&lt;ZZ_JournalStdAbbrev&gt;&lt;f name="System"&gt;N Engl J Med&lt;/f&gt;&lt;/ZZ_JournalStdAbbrev&gt;&lt;ZZ_WorkformID&gt;1&lt;/ZZ_WorkformID&gt;&lt;/MDL&gt;&lt;/Cite&gt;&lt;Cite&gt;&lt;Author&gt;Coleman&lt;/Author&gt;&lt;Year&gt;2005&lt;/Year&gt;&lt;RecNum&gt;1121&lt;/RecNum&gt;&lt;IDText&gt;Posthospital medication discrepancies: prevalence and contributing factors&lt;/IDText&gt;&lt;MDL Ref_Type="Journal"&gt;&lt;Ref_Type&gt;Journal&lt;/Ref_Type&gt;&lt;Ref_ID&gt;1121&lt;/Ref_ID&gt;&lt;Title_Primary&gt;Posthospital medication discrepancies: prevalence and contributing factors&lt;/Title_Primary&gt;&lt;Authors_Primary&gt;Coleman,E.A.&lt;/Authors_Primary&gt;&lt;Authors_Primary&gt;Smith,J.D.&lt;/Authors_Primary&gt;&lt;Authors_Primary&gt;Raha,D.&lt;/Authors_Primary&gt;&lt;Authors_Primary&gt;Min,S.J.&lt;/Authors_Primary&gt;&lt;Date_Primary&gt;2005/9/12&lt;/Date_Primary&gt;&lt;Keywords&gt;administration &amp;amp; dosage&lt;/Keywords&gt;&lt;Keywords&gt;Adult&lt;/Keywords&gt;&lt;Keywords&gt;Aged&lt;/Keywords&gt;&lt;Keywords&gt;assessment&lt;/Keywords&gt;&lt;Keywords&gt;Colorado&lt;/Keywords&gt;&lt;Keywords&gt;Comparative Study&lt;/Keywords&gt;&lt;Keywords&gt;Continuity of Patient Care&lt;/Keywords&gt;&lt;Keywords&gt;epidemiology&lt;/Keywords&gt;&lt;Keywords&gt;Female&lt;/Keywords&gt;&lt;Keywords&gt;Health&lt;/Keywords&gt;&lt;Keywords&gt;Humans&lt;/Keywords&gt;&lt;Keywords&gt;Male&lt;/Keywords&gt;&lt;Keywords&gt;methods&lt;/Keywords&gt;&lt;Keywords&gt;organization &amp;amp; administration&lt;/Keywords&gt;&lt;Keywords&gt;Patient Discharge&lt;/Keywords&gt;&lt;Keywords&gt;Patient Readmission&lt;/Keywords&gt;&lt;Keywords&gt;Patients&lt;/Keywords&gt;&lt;Keywords&gt;Pharmaceutical Preparations&lt;/Keywords&gt;&lt;Keywords&gt;population&lt;/Keywords&gt;&lt;Keywords&gt;Prevalence&lt;/Keywords&gt;&lt;Keywords&gt;Quality Assurance,Health Care&lt;/Keywords&gt;&lt;Keywords&gt;research&lt;/Keywords&gt;&lt;Keywords&gt;results&lt;/Keywords&gt;&lt;Keywords&gt;Risk Factors&lt;/Keywords&gt;&lt;Keywords&gt;Safety&lt;/Keywords&gt;&lt;Keywords&gt;studies&lt;/Keywords&gt;&lt;Keywords&gt;Time Factors&lt;/Keywords&gt;&lt;Reprint&gt;Not in File&lt;/Reprint&gt;&lt;Start_Page&gt;1842&lt;/Start_Page&gt;&lt;End_Page&gt;1847&lt;/End_Page&gt;&lt;Periodical&gt;Arch Intern Med&lt;/Periodical&gt;&lt;Volume&gt;165&lt;/Volume&gt;&lt;Issue&gt;16&lt;/Issue&gt;&lt;Address&gt;Division of Health Care Policy and Research, University of Colorado Health Sciences Center, Aurora, CO 80011, USA. Eric.Coleman@uchsc.edu&lt;/Address&gt;&lt;Web_URL&gt;PM:16157827&lt;/Web_URL&gt;&lt;ZZ_JournalStdAbbrev&gt;&lt;f name="System"&gt;Arch Intern Med&lt;/f&gt;&lt;/ZZ_JournalStdAbbrev&gt;&lt;ZZ_WorkformID&gt;1&lt;/ZZ_WorkformID&gt;&lt;/MDL&gt;&lt;/Cite&gt;&lt;Cite&gt;&lt;Author&gt;Glazier&lt;/Author&gt;&lt;Year&gt;2008&lt;/Year&gt;&lt;RecNum&gt;1340&lt;/RecNum&gt;&lt;IDText&gt;The Impact of Not Having a Primary Care Physician Among People with Chronic Conditions&lt;/IDText&gt;&lt;MDL Ref_Type="Report"&gt;&lt;Ref_Type&gt;Report&lt;/Ref_Type&gt;&lt;Ref_ID&gt;1340&lt;/Ref_ID&gt;&lt;Title_Primary&gt;The Impact of Not Having a Primary Care Physician Among People with Chronic Conditions&lt;/Title_Primary&gt;&lt;Authors_Primary&gt;Glazier,R.H.&lt;/Authors_Primary&gt;&lt;Authors_Primary&gt;Moineddin,R.&lt;/Authors_Primary&gt;&lt;Authors_Primary&gt;Agha,M.M.&lt;/Authors_Primary&gt;&lt;Authors_Primary&gt;Zagorski,B.&lt;/Authors_Primary&gt;&lt;Authors_Primary&gt;Hall,R.&lt;/Authors_Primary&gt;&lt;Authors_Primary&gt;Manuel,D.G.&lt;/Authors_Primary&gt;&lt;Authors_Primary&gt;Sibley,L.M.&lt;/Authors_Primary&gt;&lt;Authors_Primary&gt;Kopp,A.&lt;/Authors_Primary&gt;&lt;Date_Primary&gt;2008&lt;/Date_Primary&gt;&lt;Reprint&gt;Not in File&lt;/Reprint&gt;&lt;Periodical&gt;http://www.ices.on.ca/file/Impact_no%20physcian_July2-08.pdf&lt;/Periodical&gt;&lt;Pub_Place&gt;Toronto, ON&lt;/Pub_Place&gt;&lt;Publisher&gt;Institute for Clinical Evaluative Sciences&lt;/Publisher&gt;&lt;Date_Secondary&gt;2008/7/3&lt;/Date_Secondary&gt;&lt;ZZ_JournalStdAbbrev&gt;&lt;f name="System"&gt;http://www.ices.on.ca/file/Impact_no%20physcian_July2-08.pdf&lt;/f&gt;&lt;/ZZ_JournalStdAbbrev&gt;&lt;ZZ_WorkformID&gt;24&lt;/ZZ_WorkformID&gt;&lt;/MDL&gt;&lt;/Cite&gt;&lt;Cite&gt;&lt;Author&gt;Institute of Medicine&lt;/Author&gt;&lt;Year&gt;2006&lt;/Year&gt;&lt;RecNum&gt;1112&lt;/RecNum&gt;&lt;IDText&gt;Performance Measurement: Accelerating Improvement&lt;/IDText&gt;&lt;MDL Ref_Type="Report"&gt;&lt;Ref_Type&gt;Report&lt;/Ref_Type&gt;&lt;Ref_ID&gt;1112&lt;/Ref_ID&gt;&lt;Title_Primary&gt;Performance Measurement: Accelerating Improvement&lt;/Title_Primary&gt;&lt;Authors_Primary&gt;Institute of Medicine&lt;/Authors_Primary&gt;&lt;Date_Primary&gt;2006&lt;/Date_Primary&gt;&lt;Reprint&gt;Not in File&lt;/Reprint&gt;&lt;Pub_Place&gt;Washington, DC&lt;/Pub_Place&gt;&lt;Publisher&gt;National Academies Press&lt;/Publisher&gt;&lt;ZZ_WorkformID&gt;24&lt;/ZZ_WorkformID&gt;&lt;/MDL&gt;&lt;/Cite&gt;&lt;/Refman&gt;</w:instrText>
      </w:r>
      <w:r>
        <w:fldChar w:fldCharType="separate"/>
      </w:r>
      <w:bookmarkStart w:id="2" w:name="__Fieldmark__916_1322453857"/>
      <w:r>
        <w:rPr>
          <w:vertAlign w:val="superscript"/>
        </w:rPr>
        <w:t>1,2,9-11</w:t>
      </w:r>
      <w:r>
        <w:rPr>
          <w:vertAlign w:val="superscript"/>
        </w:rPr>
      </w:r>
      <w:r>
        <w:fldChar w:fldCharType="end"/>
      </w:r>
      <w:bookmarkEnd w:id="2"/>
      <w:r>
        <w:rPr>
          <w:rFonts w:cs="Times New Roman" w:ascii="Times New Roman" w:hAnsi="Times New Roman"/>
        </w:rPr>
        <w:t xml:space="preserve"> Effective chronic disease management requires coordinated, longitudinal care and the engagement of multi-disciplinary teams across different sectors.</w:t>
      </w:r>
      <w:r>
        <w:fldChar w:fldCharType="begin"/>
      </w:r>
      <w:r>
        <w:instrText> ADDIN REFMGR.CITE &lt;Refman&gt;&lt;Cite&gt;&lt;Author&gt;Crosson&lt;/Author&gt;&lt;Year&gt;2005&lt;/Year&gt;&lt;RecNum&gt;1119&lt;/RecNum&gt;&lt;IDText&gt;The delivery system matters&lt;/IDText&gt;&lt;MDL Ref_Type="Journal"&gt;&lt;Ref_Type&gt;Journal&lt;/Ref_Type&gt;&lt;Ref_ID&gt;1119&lt;/Ref_ID&gt;&lt;Title_Primary&gt;The delivery system matters&lt;/Title_Primary&gt;&lt;Authors_Primary&gt;Crosson,F.J.&lt;/Authors_Primary&gt;&lt;Date_Primary&gt;2005/11&lt;/Date_Primary&gt;&lt;Keywords&gt;California&lt;/Keywords&gt;&lt;Keywords&gt;Delivery of Health Care&lt;/Keywords&gt;&lt;Keywords&gt;Group Practice&lt;/Keywords&gt;&lt;Keywords&gt;Health&lt;/Keywords&gt;&lt;Keywords&gt;Humans&lt;/Keywords&gt;&lt;Keywords&gt;organization &amp;amp; administration&lt;/Keywords&gt;&lt;Keywords&gt;Quality of Health Care&lt;/Keywords&gt;&lt;Keywords&gt;research&lt;/Keywords&gt;&lt;Keywords&gt;Specialties,Medical&lt;/Keywords&gt;&lt;Keywords&gt;United States&lt;/Keywords&gt;&lt;Reprint&gt;Not in File&lt;/Reprint&gt;&lt;Start_Page&gt;1543&lt;/Start_Page&gt;&lt;End_Page&gt;1548&lt;/End_Page&gt;&lt;Periodical&gt;Health Aff.(Millwood)&lt;/Periodical&gt;&lt;Volume&gt;24&lt;/Volume&gt;&lt;Issue&gt;6&lt;/Issue&gt;&lt;Address&gt;Permanente Federation in Oakland, California, USA. jay.crosson@kp.org&lt;/Address&gt;&lt;Web_URL&gt;PM:16284026&lt;/Web_URL&gt;&lt;ZZ_JournalStdAbbrev&gt;&lt;f name="System"&gt;Health Aff.(Millwood)&lt;/f&gt;&lt;/ZZ_JournalStdAbbrev&gt;&lt;ZZ_WorkformID&gt;1&lt;/ZZ_WorkformID&gt;&lt;/MDL&gt;&lt;/Cite&gt;&lt;Cite&gt;&lt;Author&gt;Lawrence&lt;/Author&gt;&lt;Year&gt;2005&lt;/Year&gt;&lt;RecNum&gt;1118&lt;/RecNum&gt;&lt;IDText&gt;Chronic disease care: rearranging the deck chairs&lt;/IDText&gt;&lt;MDL Ref_Type="Journal"&gt;&lt;Ref_Type&gt;Journal&lt;/Ref_Type&gt;&lt;Ref_ID&gt;1118&lt;/Ref_ID&gt;&lt;Title_Primary&gt;Chronic disease care: rearranging the deck chairs&lt;/Title_Primary&gt;&lt;Authors_Primary&gt;Lawrence,D.M.&lt;/Authors_Primary&gt;&lt;Date_Primary&gt;2005/9/20&lt;/Date_Primary&gt;&lt;Keywords&gt;Aged&lt;/Keywords&gt;&lt;Keywords&gt;Chronic Disease&lt;/Keywords&gt;&lt;Keywords&gt;Disease&lt;/Keywords&gt;&lt;Keywords&gt;Disease Management&lt;/Keywords&gt;&lt;Keywords&gt;Humans&lt;/Keywords&gt;&lt;Keywords&gt;Medicare&lt;/Keywords&gt;&lt;Keywords&gt;organization &amp;amp; administration&lt;/Keywords&gt;&lt;Keywords&gt;Quality of Health Care&lt;/Keywords&gt;&lt;Keywords&gt;standards&lt;/Keywords&gt;&lt;Reprint&gt;Not in File&lt;/Reprint&gt;&lt;Start_Page&gt;458&lt;/Start_Page&gt;&lt;End_Page&gt;459&lt;/End_Page&gt;&lt;Periodical&gt;Ann Intern Med&lt;/Periodical&gt;&lt;Volume&gt;143&lt;/Volume&gt;&lt;Issue&gt;6&lt;/Issue&gt;&lt;Web_URL&gt;PM:16172444&lt;/Web_URL&gt;&lt;ZZ_JournalStdAbbrev&gt;&lt;f name="System"&gt;Ann Intern Med&lt;/f&gt;&lt;/ZZ_JournalStdAbbrev&gt;&lt;ZZ_WorkformID&gt;1&lt;/ZZ_WorkformID&gt;&lt;/MDL&gt;&lt;/Cite&gt;&lt;Cite&gt;&lt;Author&gt;Institute of Medicine&lt;/Author&gt;&lt;Year&gt;2006&lt;/Year&gt;&lt;RecNum&gt;1112&lt;/RecNum&gt;&lt;IDText&gt;Performance Measurement: Accelerating Improvement&lt;/IDText&gt;&lt;MDL Ref_Type="Report"&gt;&lt;Ref_Type&gt;Report&lt;/Ref_Type&gt;&lt;Ref_ID&gt;1112&lt;/Ref_ID&gt;&lt;Title_Primary&gt;Performance Measurement: Accelerating Improvement&lt;/Title_Primary&gt;&lt;Authors_Primary&gt;Institute of Medicine&lt;/Authors_Primary&gt;&lt;Date_Primary&gt;2006&lt;/Date_Primary&gt;&lt;Reprint&gt;Not in File&lt;/Reprint&gt;&lt;Pub_Place&gt;Washington, DC&lt;/Pub_Place&gt;&lt;Publisher&gt;National Academies Press&lt;/Publisher&gt;&lt;ZZ_WorkformID&gt;24&lt;/ZZ_WorkformID&gt;&lt;/MDL&gt;&lt;/Cite&gt;&lt;/Refman&gt;</w:instrText>
      </w:r>
      <w:r>
        <w:fldChar w:fldCharType="separate"/>
      </w:r>
      <w:bookmarkStart w:id="3" w:name="__Fieldmark__917_1322453857"/>
      <w:r>
        <w:rPr>
          <w:rFonts w:cs="Times New Roman" w:ascii="Times New Roman" w:hAnsi="Times New Roman"/>
          <w:vertAlign w:val="superscript"/>
        </w:rPr>
        <w:t>11-13</w:t>
      </w:r>
      <w:r>
        <w:rPr>
          <w:rFonts w:cs="Times New Roman" w:ascii="Times New Roman" w:hAnsi="Times New Roman"/>
          <w:vertAlign w:val="superscript"/>
        </w:rPr>
      </w:r>
      <w:r>
        <w:fldChar w:fldCharType="end"/>
      </w:r>
      <w:bookmarkEnd w:id="3"/>
      <w:r>
        <w:rPr>
          <w:rFonts w:cs="Times New Roman" w:ascii="Times New Roman" w:hAnsi="Times New Roman"/>
        </w:rPr>
        <w:t xml:space="preserve"> Large multispecialty physician group practices have been shown to achieve high quality, low cost care. Through better ambulatory management of their patients, they reduce complications and avoid costly readmissions to the hospital and emergency department (ED).</w:t>
      </w:r>
      <w:r>
        <w:fldChar w:fldCharType="begin"/>
      </w:r>
      <w:r>
        <w:instrText> ADDIN REFMGR.CITE &lt;Refman&gt;&lt;Cite&gt;&lt;Author&gt;Rich&lt;/Author&gt;&lt;Year&gt;1995&lt;/Year&gt;&lt;RecNum&gt;1099&lt;/RecNum&gt;&lt;IDText&gt;A multidisciplinary intervention to prevent the readmission of elderly patients with congestive heart failure&lt;/IDText&gt;&lt;MDL Ref_Type="Journal"&gt;&lt;Ref_Type&gt;Journal&lt;/Ref_Type&gt;&lt;Ref_ID&gt;1099&lt;/Ref_ID&gt;&lt;Title_Primary&gt;A multidisciplinary intervention to prevent the readmission of elderly patients with congestive heart failure&lt;/Title_Primary&gt;&lt;Authors_Primary&gt;Rich,M.W.&lt;/Authors_Primary&gt;&lt;Authors_Primary&gt;Beckham,V.&lt;/Authors_Primary&gt;&lt;Authors_Primary&gt;Wittenberg,C.&lt;/Authors_Primary&gt;&lt;Authors_Primary&gt;Leven,C.L.&lt;/Authors_Primary&gt;&lt;Authors_Primary&gt;Freedland,K.E.&lt;/Authors_Primary&gt;&lt;Authors_Primary&gt;Carney,R.M.&lt;/Authors_Primary&gt;&lt;Date_Primary&gt;1995/11/2&lt;/Date_Primary&gt;&lt;Keywords&gt;Adult&lt;/Keywords&gt;&lt;Keywords&gt;Aged&lt;/Keywords&gt;&lt;Keywords&gt;Aged,80 and over&lt;/Keywords&gt;&lt;Keywords&gt;Cardiology&lt;/Keywords&gt;&lt;Keywords&gt;control&lt;/Keywords&gt;&lt;Keywords&gt;Diet&lt;/Keywords&gt;&lt;Keywords&gt;economics&lt;/Keywords&gt;&lt;Keywords&gt;education&lt;/Keywords&gt;&lt;Keywords&gt;Family&lt;/Keywords&gt;&lt;Keywords&gt;Female&lt;/Keywords&gt;&lt;Keywords&gt;Health Care Costs&lt;/Keywords&gt;&lt;Keywords&gt;Heart Failure,Congestive&lt;/Keywords&gt;&lt;Keywords&gt;Home Care Services&lt;/Keywords&gt;&lt;Keywords&gt;Humans&lt;/Keywords&gt;&lt;Keywords&gt;Intervention Studies&lt;/Keywords&gt;&lt;Keywords&gt;Life&lt;/Keywords&gt;&lt;Keywords&gt;Male&lt;/Keywords&gt;&lt;Keywords&gt;medical&lt;/Keywords&gt;&lt;Keywords&gt;methods&lt;/Keywords&gt;&lt;Keywords&gt;mortality&lt;/Keywords&gt;&lt;Keywords&gt;nursing&lt;/Keywords&gt;&lt;Keywords&gt;outcome&lt;/Keywords&gt;&lt;Keywords&gt;Patient Care Planning&lt;/Keywords&gt;&lt;Keywords&gt;Patient Education&lt;/Keywords&gt;&lt;Keywords&gt;Patient Readmission&lt;/Keywords&gt;&lt;Keywords&gt;Patients&lt;/Keywords&gt;&lt;Keywords&gt;Prospective Studies&lt;/Keywords&gt;&lt;Keywords&gt;Quality of Life&lt;/Keywords&gt;&lt;Keywords&gt;research&lt;/Keywords&gt;&lt;Keywords&gt;results&lt;/Keywords&gt;&lt;Keywords&gt;Risk&lt;/Keywords&gt;&lt;Keywords&gt;Social Work&lt;/Keywords&gt;&lt;Keywords&gt;statistics &amp;amp; numerical data&lt;/Keywords&gt;&lt;Keywords&gt;survival&lt;/Keywords&gt;&lt;Keywords&gt;Survival Analysis&lt;/Keywords&gt;&lt;Keywords&gt;therapy&lt;/Keywords&gt;&lt;Keywords&gt;Washington&lt;/Keywords&gt;&lt;Reprint&gt;Not in File&lt;/Reprint&gt;&lt;Start_Page&gt;1190&lt;/Start_Page&gt;&lt;End_Page&gt;1195&lt;/End_Page&gt;&lt;Periodical&gt;N Engl J Med&lt;/Periodical&gt;&lt;Volume&gt;333&lt;/Volume&gt;&lt;Issue&gt;18&lt;/Issue&gt;&lt;Address&gt;Division of Cardiology, Jewish Hospital at Washington University, St. Louis, MO 63110, USA&lt;/Address&gt;&lt;Web_URL&gt;PM:7565975&lt;/Web_URL&gt;&lt;ZZ_JournalStdAbbrev&gt;&lt;f name="System"&gt;N Engl J Med&lt;/f&gt;&lt;/ZZ_JournalStdAbbrev&gt;&lt;ZZ_WorkformID&gt;1&lt;/ZZ_WorkformID&gt;&lt;/MDL&gt;&lt;/Cite&gt;&lt;Cite&gt;&lt;Author&gt;Wagner&lt;/Author&gt;&lt;Year&gt;2001&lt;/Year&gt;&lt;RecNum&gt;1211&lt;/RecNum&gt;&lt;IDText&gt;Improving chronic illness care: translating evidence into action&lt;/IDText&gt;&lt;MDL Ref_Type="Journal"&gt;&lt;Ref_Type&gt;Journal&lt;/Ref_Type&gt;&lt;Ref_ID&gt;1211&lt;/Ref_ID&gt;&lt;Title_Primary&gt;Improving chronic illness care: translating evidence into action&lt;/Title_Primary&gt;&lt;Authors_Primary&gt;Wagner,E.H.&lt;/Authors_Primary&gt;&lt;Authors_Primary&gt;Austin,B.T.&lt;/Authors_Primary&gt;&lt;Authors_Primary&gt;Davis,C.&lt;/Authors_Primary&gt;&lt;Authors_Primary&gt;Hindmarsh,M.&lt;/Authors_Primary&gt;&lt;Authors_Primary&gt;Schaefer,J.&lt;/Authors_Primary&gt;&lt;Authors_Primary&gt;Bonomi,A.&lt;/Authors_Primary&gt;&lt;Date_Primary&gt;2001/11&lt;/Date_Primary&gt;&lt;Keywords&gt;Chronic Disease&lt;/Keywords&gt;&lt;Keywords&gt;Evidence-Based Medicine&lt;/Keywords&gt;&lt;Keywords&gt;Health&lt;/Keywords&gt;&lt;Keywords&gt;Health Services Needs and Demand&lt;/Keywords&gt;&lt;Keywords&gt;Humans&lt;/Keywords&gt;&lt;Keywords&gt;medical&lt;/Keywords&gt;&lt;Keywords&gt;medical care&lt;/Keywords&gt;&lt;Keywords&gt;Quality Assurance,Health Care&lt;/Keywords&gt;&lt;Keywords&gt;research&lt;/Keywords&gt;&lt;Keywords&gt;Self Care&lt;/Keywords&gt;&lt;Keywords&gt;studies&lt;/Keywords&gt;&lt;Keywords&gt;therapy&lt;/Keywords&gt;&lt;Keywords&gt;United States&lt;/Keywords&gt;&lt;Reprint&gt;Not in File&lt;/Reprint&gt;&lt;Start_Page&gt;64&lt;/Start_Page&gt;&lt;End_Page&gt;78&lt;/End_Page&gt;&lt;Periodical&gt;Health Aff (Millwood)&lt;/Periodical&gt;&lt;Volume&gt;20&lt;/Volume&gt;&lt;Issue&gt;6&lt;/Issue&gt;&lt;Address&gt;W.A. MacColl Institute for Healthcare Innovation at the Center for Health Studies, Group Health Cooperative of Puget Sound, Seattle, USA&lt;/Address&gt;&lt;Web_URL&gt;PM:11816692&lt;/Web_URL&gt;&lt;ZZ_JournalStdAbbrev&gt;&lt;f name="System"&gt;Health Aff (Millwood)&lt;/f&gt;&lt;/ZZ_JournalStdAbbrev&gt;&lt;ZZ_WorkformID&gt;1&lt;/ZZ_WorkformID&gt;&lt;/MDL&gt;&lt;/Cite&gt;&lt;Cite&gt;&lt;Author&gt;Bodenheimer&lt;/Author&gt;&lt;Year&gt;2002&lt;/Year&gt;&lt;RecNum&gt;7&lt;/RecNum&gt;&lt;IDText&gt;Improving primary care for patients with chronic illness&lt;/IDText&gt;&lt;MDL Ref_Type="Journal"&gt;&lt;Ref_Type&gt;Journal&lt;/Ref_Type&gt;&lt;Ref_ID&gt;7&lt;/Ref_ID&gt;&lt;Title_Primary&gt;Improving primary care for patients with chronic illness&lt;/Title_Primary&gt;&lt;Authors_Primary&gt;Bodenheimer,T.&lt;/Authors_Primary&gt;&lt;Authors_Primary&gt;Wagner,E.H.&lt;/Authors_Primary&gt;&lt;Authors_Primary&gt;Grumbach,K.&lt;/Authors_Primary&gt;&lt;Date_Primary&gt;2002/10/9&lt;/Date_Primary&gt;&lt;Keywords&gt;California&lt;/Keywords&gt;&lt;Keywords&gt;Chronic Disease&lt;/Keywords&gt;&lt;Keywords&gt;Community Health Services&lt;/Keywords&gt;&lt;Keywords&gt;Continuity of Patient Care&lt;/Keywords&gt;&lt;Keywords&gt;Diabetes Mellitus&lt;/Keywords&gt;&lt;Keywords&gt;Disease Management&lt;/Keywords&gt;&lt;Keywords&gt;Family&lt;/Keywords&gt;&lt;Keywords&gt;Family Practice&lt;/Keywords&gt;&lt;Keywords&gt;Group Practice&lt;/Keywords&gt;&lt;Keywords&gt;Health&lt;/Keywords&gt;&lt;Keywords&gt;Health Maintenance Organizations&lt;/Keywords&gt;&lt;Keywords&gt;Health Resources&lt;/Keywords&gt;&lt;Keywords&gt;Health Services Accessibility&lt;/Keywords&gt;&lt;Keywords&gt;Humans&lt;/Keywords&gt;&lt;Keywords&gt;Information Systems&lt;/Keywords&gt;&lt;Keywords&gt;Models,Organizational&lt;/Keywords&gt;&lt;Keywords&gt;organization &amp;amp; administration&lt;/Keywords&gt;&lt;Keywords&gt;Patients&lt;/Keywords&gt;&lt;Keywords&gt;Practice Guidelines&lt;/Keywords&gt;&lt;Keywords&gt;Primary Health Care&lt;/Keywords&gt;&lt;Keywords&gt;Quality of Health Care&lt;/Keywords&gt;&lt;Keywords&gt;research&lt;/Keywords&gt;&lt;Keywords&gt;San Francisco&lt;/Keywords&gt;&lt;Keywords&gt;Self Care&lt;/Keywords&gt;&lt;Keywords&gt;standards&lt;/Keywords&gt;&lt;Keywords&gt;studies&lt;/Keywords&gt;&lt;Keywords&gt;therapy&lt;/Keywords&gt;&lt;Keywords&gt;United States&lt;/Keywords&gt;&lt;Reprint&gt;Not in File&lt;/Reprint&gt;&lt;Start_Page&gt;1775&lt;/Start_Page&gt;&lt;End_Page&gt;1779&lt;/End_Page&gt;&lt;Periodical&gt;JAMA&lt;/Periodical&gt;&lt;Volume&gt;288&lt;/Volume&gt;&lt;Issue&gt;14&lt;/Issue&gt;&lt;Address&gt;Family and Community Medicine, University of California, San Francisco, USA. tbodie@earthlink.net&lt;/Address&gt;&lt;Web_URL&gt;PM:12365965&lt;/Web_URL&gt;&lt;ZZ_JournalStdAbbrev&gt;&lt;f name="System"&gt;JAMA&lt;/f&gt;&lt;/ZZ_JournalStdAbbrev&gt;&lt;ZZ_WorkformID&gt;1&lt;/ZZ_WorkformID&gt;&lt;/MDL&gt;&lt;/Cite&gt;&lt;Cite&gt;&lt;Author&gt;Bodenheimer&lt;/Author&gt;&lt;Year&gt;2002&lt;/Year&gt;&lt;RecNum&gt;1152&lt;/RecNum&gt;&lt;IDText&gt;Improving primary care for patients with chronic illness: the chronic care model, Part 2&lt;/IDText&gt;&lt;MDL Ref_Type="Journal"&gt;&lt;Ref_Type&gt;Journal&lt;/Ref_Type&gt;&lt;Ref_ID&gt;1152&lt;/Ref_ID&gt;&lt;Title_Primary&gt;Improving primary care for patients with chronic illness: the chronic care model, Part 2&lt;/Title_Primary&gt;&lt;Authors_Primary&gt;Bodenheimer,T.&lt;/Authors_Primary&gt;&lt;Authors_Primary&gt;Wagner,E.H.&lt;/Authors_Primary&gt;&lt;Authors_Primary&gt;Grumbach,K.&lt;/Authors_Primary&gt;&lt;Date_Primary&gt;2002/10/16&lt;/Date_Primary&gt;&lt;Keywords&gt;Ambulatory Care&lt;/Keywords&gt;&lt;Keywords&gt;Asthma&lt;/Keywords&gt;&lt;Keywords&gt;California&lt;/Keywords&gt;&lt;Keywords&gt;Chronic Disease&lt;/Keywords&gt;&lt;Keywords&gt;Diabetes Mellitus&lt;/Keywords&gt;&lt;Keywords&gt;Disease Management&lt;/Keywords&gt;&lt;Keywords&gt;economics&lt;/Keywords&gt;&lt;Keywords&gt;Family&lt;/Keywords&gt;&lt;Keywords&gt;Health&lt;/Keywords&gt;&lt;Keywords&gt;Health Care Costs&lt;/Keywords&gt;&lt;Keywords&gt;Health Services Research&lt;/Keywords&gt;&lt;Keywords&gt;Heart Failure,Congestive&lt;/Keywords&gt;&lt;Keywords&gt;hospitalization&lt;/Keywords&gt;&lt;Keywords&gt;Humans&lt;/Keywords&gt;&lt;Keywords&gt;Models,Organizational&lt;/Keywords&gt;&lt;Keywords&gt;outcome&lt;/Keywords&gt;&lt;Keywords&gt;Outcome and Process Assessment (Health Care)&lt;/Keywords&gt;&lt;Keywords&gt;Patients&lt;/Keywords&gt;&lt;Keywords&gt;Primary Health Care&lt;/Keywords&gt;&lt;Keywords&gt;research&lt;/Keywords&gt;&lt;Keywords&gt;San Francisco&lt;/Keywords&gt;&lt;Keywords&gt;standards&lt;/Keywords&gt;&lt;Keywords&gt;studies&lt;/Keywords&gt;&lt;Keywords&gt;therapy&lt;/Keywords&gt;&lt;Keywords&gt;United States&lt;/Keywords&gt;&lt;Reprint&gt;Not in File&lt;/Reprint&gt;&lt;Start_Page&gt;1909&lt;/Start_Page&gt;&lt;End_Page&gt;1914&lt;/End_Page&gt;&lt;Periodical&gt;JAMA&lt;/Periodical&gt;&lt;Volume&gt;288&lt;/Volume&gt;&lt;Issue&gt;15&lt;/Issue&gt;&lt;Address&gt;Family and Community Medicine, University of California, San Francisco, USA. Bodenheimer@Medsch.ucsf.edu&lt;/Address&gt;&lt;Web_URL&gt;PM:12377092&lt;/Web_URL&gt;&lt;ZZ_JournalStdAbbrev&gt;&lt;f name="System"&gt;JAMA&lt;/f&gt;&lt;/ZZ_JournalStdAbbrev&gt;&lt;ZZ_WorkformID&gt;1&lt;/ZZ_WorkformID&gt;&lt;/MDL&gt;&lt;/Cite&gt;&lt;Cite&gt;&lt;Author&gt;Knowler&lt;/Author&gt;&lt;Year&gt;2002&lt;/Year&gt;&lt;RecNum&gt;1153&lt;/RecNum&gt;&lt;IDText&gt;Reduction in the incidence of type 2 diabetes with lifestyle intervention or metformin&lt;/IDText&gt;&lt;MDL Ref_Type="Journal"&gt;&lt;Ref_Type&gt;Journal&lt;/Ref_Type&gt;&lt;Ref_ID&gt;1153&lt;/Ref_ID&gt;&lt;Title_Primary&gt;Reduction in the incidence of type 2 diabetes with lifestyle intervention or metformin&lt;/Title_Primary&gt;&lt;Authors_Primary&gt;Knowler,W.C.&lt;/Authors_Primary&gt;&lt;Authors_Primary&gt;Barrett-Connor,E.&lt;/Authors_Primary&gt;&lt;Authors_Primary&gt;Fowler,S.E.&lt;/Authors_Primary&gt;&lt;Authors_Primary&gt;Hamman,R.F.&lt;/Authors_Primary&gt;&lt;Authors_Primary&gt;Lachin,J.M.&lt;/Authors_Primary&gt;&lt;Authors_Primary&gt;Walker,E.A.&lt;/Authors_Primary&gt;&lt;Authors_Primary&gt;Nathan,D.M.&lt;/Authors_Primary&gt;&lt;Date_Primary&gt;2002/2/7&lt;/Date_Primary&gt;&lt;Keywords&gt;Adult&lt;/Keywords&gt;&lt;Keywords&gt;adverse effects&lt;/Keywords&gt;&lt;Keywords&gt;Affect&lt;/Keywords&gt;&lt;Keywords&gt;blood&lt;/Keywords&gt;&lt;Keywords&gt;Blood Glucose&lt;/Keywords&gt;&lt;Keywords&gt;Body Mass Index&lt;/Keywords&gt;&lt;Keywords&gt;Diabetes Mellitus,Type 2&lt;/Keywords&gt;&lt;Keywords&gt;Double-Blind Method&lt;/Keywords&gt;&lt;Keywords&gt;Energy Intake&lt;/Keywords&gt;&lt;Keywords&gt;epidemiology&lt;/Keywords&gt;&lt;Keywords&gt;Exercise&lt;/Keywords&gt;&lt;Keywords&gt;Female&lt;/Keywords&gt;&lt;Keywords&gt;Humans&lt;/Keywords&gt;&lt;Keywords&gt;Hypoglycemic Agents&lt;/Keywords&gt;&lt;Keywords&gt;Incidence&lt;/Keywords&gt;&lt;Keywords&gt;Life Style&lt;/Keywords&gt;&lt;Keywords&gt;Male&lt;/Keywords&gt;&lt;Keywords&gt;metabolism&lt;/Keywords&gt;&lt;Keywords&gt;Metformin&lt;/Keywords&gt;&lt;Keywords&gt;methods&lt;/Keywords&gt;&lt;Keywords&gt;Middle Aged&lt;/Keywords&gt;&lt;Keywords&gt;Multicenter Studies&lt;/Keywords&gt;&lt;Keywords&gt;Patient Compliance&lt;/Keywords&gt;&lt;Keywords&gt;prevention &amp;amp; control&lt;/Keywords&gt;&lt;Keywords&gt;research&lt;/Keywords&gt;&lt;Keywords&gt;results&lt;/Keywords&gt;&lt;Keywords&gt;Risk&lt;/Keywords&gt;&lt;Keywords&gt;Risk Factors&lt;/Keywords&gt;&lt;Keywords&gt;studies&lt;/Keywords&gt;&lt;Keywords&gt;therapeutic use&lt;/Keywords&gt;&lt;Keywords&gt;United States&lt;/Keywords&gt;&lt;Keywords&gt;Washington&lt;/Keywords&gt;&lt;Keywords&gt;Weight Loss&lt;/Keywords&gt;&lt;Keywords&gt;Women&lt;/Keywords&gt;&lt;Reprint&gt;Not in File&lt;/Reprint&gt;&lt;Start_Page&gt;393&lt;/Start_Page&gt;&lt;End_Page&gt;403&lt;/End_Page&gt;&lt;Periodical&gt;N Engl J Med&lt;/Periodical&gt;&lt;Volume&gt;346&lt;/Volume&gt;&lt;Issue&gt;6&lt;/Issue&gt;&lt;Address&gt;Diabetes Prevention Program Coordinating Center, Biostatistics Center, George Washington University, 6110 Executive Blvd., Suite 750, Rockville, MD 20852, USA&lt;/Address&gt;&lt;Web_URL&gt;PM:11832527&lt;/Web_URL&gt;&lt;ZZ_JournalStdAbbrev&gt;&lt;f name="System"&gt;N Engl J Med&lt;/f&gt;&lt;/ZZ_JournalStdAbbrev&gt;&lt;ZZ_WorkformID&gt;1&lt;/ZZ_WorkformID&gt;&lt;/MDL&gt;&lt;/Cite&gt;&lt;Cite&gt;&lt;Author&gt;Chodosh&lt;/Author&gt;&lt;Year&gt;2005&lt;/Year&gt;&lt;RecNum&gt;1122&lt;/RecNum&gt;&lt;IDText&gt;Meta-analysis: chronic disease self-management programs for older adults&lt;/IDText&gt;&lt;MDL Ref_Type="Journal"&gt;&lt;Ref_Type&gt;Journal&lt;/Ref_Type&gt;&lt;Ref_ID&gt;1122&lt;/Ref_ID&gt;&lt;Title_Primary&gt;Meta-analysis: chronic disease self-management programs for older adults&lt;/Title_Primary&gt;&lt;Authors_Primary&gt;Chodosh,J.&lt;/Authors_Primary&gt;&lt;Authors_Primary&gt;Morton,S.C.&lt;/Authors_Primary&gt;&lt;Authors_Primary&gt;Mojica,W.&lt;/Authors_Primary&gt;&lt;Authors_Primary&gt;Maglione,M.&lt;/Authors_Primary&gt;&lt;Authors_Primary&gt;Suttorp,M.J.&lt;/Authors_Primary&gt;&lt;Authors_Primary&gt;Hilton,L.&lt;/Authors_Primary&gt;&lt;Authors_Primary&gt;Rhodes,S.&lt;/Authors_Primary&gt;&lt;Authors_Primary&gt;Shekelle,P.&lt;/Authors_Primary&gt;&lt;Date_Primary&gt;2005/9/20&lt;/Date_Primary&gt;&lt;Keywords&gt;Adult&lt;/Keywords&gt;&lt;Keywords&gt;Aged&lt;/Keywords&gt;&lt;Keywords&gt;blood&lt;/Keywords&gt;&lt;Keywords&gt;Blood Pressure&lt;/Keywords&gt;&lt;Keywords&gt;California&lt;/Keywords&gt;&lt;Keywords&gt;Chronic Disease&lt;/Keywords&gt;&lt;Keywords&gt;control&lt;/Keywords&gt;&lt;Keywords&gt;data&lt;/Keywords&gt;&lt;Keywords&gt;Databases&lt;/Keywords&gt;&lt;Keywords&gt;Diabetes Mellitus&lt;/Keywords&gt;&lt;Keywords&gt;Disease&lt;/Keywords&gt;&lt;Keywords&gt;Evidence-Based Medicine&lt;/Keywords&gt;&lt;Keywords&gt;Feedback&lt;/Keywords&gt;&lt;Keywords&gt;Health&lt;/Keywords&gt;&lt;Keywords&gt;Hemoglobin A,Glycosylated&lt;/Keywords&gt;&lt;Keywords&gt;Humans&lt;/Keywords&gt;&lt;Keywords&gt;Hypertension&lt;/Keywords&gt;&lt;Keywords&gt;Meta-Analysis&lt;/Keywords&gt;&lt;Keywords&gt;metabolism&lt;/Keywords&gt;&lt;Keywords&gt;nursing&lt;/Keywords&gt;&lt;Keywords&gt;Osteoarthritis&lt;/Keywords&gt;&lt;Keywords&gt;outcome&lt;/Keywords&gt;&lt;Keywords&gt;Pain&lt;/Keywords&gt;&lt;Keywords&gt;Pain Measurement&lt;/Keywords&gt;&lt;Keywords&gt;physiology&lt;/Keywords&gt;&lt;Keywords&gt;physiopathology&lt;/Keywords&gt;&lt;Keywords&gt;Program Evaluation&lt;/Keywords&gt;&lt;Keywords&gt;random effects&lt;/Keywords&gt;&lt;Keywords&gt;Randomized Controlled Trials&lt;/Keywords&gt;&lt;Keywords&gt;research&lt;/Keywords&gt;&lt;Keywords&gt;results&lt;/Keywords&gt;&lt;Keywords&gt;Self Care&lt;/Keywords&gt;&lt;Keywords&gt;studies&lt;/Keywords&gt;&lt;Keywords&gt;therapy&lt;/Keywords&gt;&lt;Keywords&gt;Treatment Outcome&lt;/Keywords&gt;&lt;Reprint&gt;Not in File&lt;/Reprint&gt;&lt;Start_Page&gt;427&lt;/Start_Page&gt;&lt;End_Page&gt;438&lt;/End_Page&gt;&lt;Periodical&gt;Ann Intern Med&lt;/Periodical&gt;&lt;Volume&gt;143&lt;/Volume&gt;&lt;Issue&gt;6&lt;/Issue&gt;&lt;Address&gt;Southern California Evidence-based Practice Center, RAND Health Division, Santa Monica, USA&lt;/Address&gt;&lt;Web_URL&gt;PM:16172441&lt;/Web_URL&gt;&lt;ZZ_JournalStdAbbrev&gt;&lt;f name="System"&gt;Ann Intern Med&lt;/f&gt;&lt;/ZZ_JournalStdAbbrev&gt;&lt;ZZ_WorkformID&gt;1&lt;/ZZ_WorkformID&gt;&lt;/MDL&gt;&lt;/Cite&gt;&lt;Cite&gt;&lt;Author&gt;Lawrence&lt;/Author&gt;&lt;Year&gt;2005&lt;/Year&gt;&lt;RecNum&gt;1118&lt;/RecNum&gt;&lt;IDText&gt;Chronic disease care: rearranging the deck chairs&lt;/IDText&gt;&lt;MDL Ref_Type="Journal"&gt;&lt;Ref_Type&gt;Journal&lt;/Ref_Type&gt;&lt;Ref_ID&gt;1118&lt;/Ref_ID&gt;&lt;Title_Primary&gt;Chronic disease care: rearranging the deck chairs&lt;/Title_Primary&gt;&lt;Authors_Primary&gt;Lawrence,D.M.&lt;/Authors_Primary&gt;&lt;Date_Primary&gt;2005/9/20&lt;/Date_Primary&gt;&lt;Keywords&gt;Aged&lt;/Keywords&gt;&lt;Keywords&gt;Chronic Disease&lt;/Keywords&gt;&lt;Keywords&gt;Disease&lt;/Keywords&gt;&lt;Keywords&gt;Disease Management&lt;/Keywords&gt;&lt;Keywords&gt;Humans&lt;/Keywords&gt;&lt;Keywords&gt;Medicare&lt;/Keywords&gt;&lt;Keywords&gt;organization &amp;amp; administration&lt;/Keywords&gt;&lt;Keywords&gt;Quality of Health Care&lt;/Keywords&gt;&lt;Keywords&gt;standards&lt;/Keywords&gt;&lt;Reprint&gt;Not in File&lt;/Reprint&gt;&lt;Start_Page&gt;458&lt;/Start_Page&gt;&lt;End_Page&gt;459&lt;/End_Page&gt;&lt;Periodical&gt;Ann Intern Med&lt;/Periodical&gt;&lt;Volume&gt;143&lt;/Volume&gt;&lt;Issue&gt;6&lt;/Issue&gt;&lt;Web_URL&gt;PM:16172444&lt;/Web_URL&gt;&lt;ZZ_JournalStdAbbrev&gt;&lt;f name="System"&gt;Ann Intern Med&lt;/f&gt;&lt;/ZZ_JournalStdAbbrev&gt;&lt;ZZ_WorkformID&gt;1&lt;/ZZ_WorkformID&gt;&lt;/MDL&gt;&lt;/Cite&gt;&lt;/Refman&gt;</w:instrText>
      </w:r>
      <w:r>
        <w:fldChar w:fldCharType="separate"/>
      </w:r>
      <w:bookmarkStart w:id="4" w:name="__Fieldmark__918_1322453857"/>
      <w:r>
        <w:rPr>
          <w:rFonts w:cs="Times New Roman" w:ascii="Times New Roman" w:hAnsi="Times New Roman"/>
          <w:vertAlign w:val="superscript"/>
        </w:rPr>
        <w:t>13-19</w:t>
      </w:r>
      <w:r>
        <w:rPr>
          <w:rFonts w:cs="Times New Roman" w:ascii="Times New Roman" w:hAnsi="Times New Roman"/>
          <w:vertAlign w:val="superscript"/>
        </w:rPr>
      </w:r>
      <w:r>
        <w:fldChar w:fldCharType="end"/>
      </w:r>
      <w:bookmarkEnd w:id="4"/>
      <w:r>
        <w:rPr>
          <w:rFonts w:cs="Times New Roman" w:ascii="Times New Roman" w:hAnsi="Times New Roman"/>
        </w:rPr>
        <w:t xml:space="preserve"> </w:t>
      </w:r>
    </w:p>
    <w:p>
      <w:pPr>
        <w:pStyle w:val="Normal"/>
        <w:spacing w:lineRule="auto" w:line="480"/>
        <w:rPr>
          <w:rFonts w:ascii="Times New Roman" w:hAnsi="Times New Roman" w:cs="Times New Roman"/>
        </w:rPr>
      </w:pPr>
      <w:r>
        <w:rPr>
          <w:rFonts w:cs="Times New Roman"/>
        </w:rPr>
      </w:r>
    </w:p>
    <w:p>
      <w:pPr>
        <w:pStyle w:val="Normal"/>
        <w:spacing w:lineRule="auto" w:line="480"/>
        <w:rPr/>
      </w:pPr>
      <w:r>
        <w:rPr/>
        <w:t>The development of multidisciplinary accountable care organizations in the USA has illustrated the central role of primary care.</w:t>
      </w:r>
      <w:r>
        <w:fldChar w:fldCharType="begin"/>
      </w:r>
      <w:r>
        <w:instrText> ADDIN REFMGR.CITE &lt;Refman&gt;&lt;Cite&gt;&lt;Author&gt;Guterman&lt;/Author&gt;&lt;Year&gt;2011&lt;/Year&gt;&lt;RecNum&gt;1668&lt;/RecNum&gt;&lt;IDText&gt;High Performance Accountable Care: Building on Success and Learning from Experience&lt;/IDText&gt;&lt;MDL Ref_Type="Report"&gt;&lt;Ref_Type&gt;Report&lt;/Ref_Type&gt;&lt;Ref_ID&gt;1668&lt;/Ref_ID&gt;&lt;Title_Primary&gt;High Performance Accountable Care: Building on Success and Learning from Experience&lt;/Title_Primary&gt;&lt;Authors_Primary&gt;Guterman,S.&lt;/Authors_Primary&gt;&lt;Authors_Primary&gt;Schoenbaum,S.C.&lt;/Authors_Primary&gt;&lt;Authors_Primary&gt;Davis,K.&lt;/Authors_Primary&gt;&lt;Authors_Primary&gt;Schoen,C.&lt;/Authors_Primary&gt;&lt;Authors_Primary&gt;Audet,A.J.&lt;/Authors_Primary&gt;&lt;Authors_Primary&gt;Stremikis,K.&lt;/Authors_Primary&gt;&lt;Authors_Primary&gt;Zezza,M.&lt;/Authors_Primary&gt;&lt;Date_Primary&gt;2011/4&lt;/Date_Primary&gt;&lt;Keywords&gt;high performance&lt;/Keywords&gt;&lt;Keywords&gt;Learning&lt;/Keywords&gt;&lt;Volume&gt;1494&lt;/Volume&gt;&lt;Pub_Place&gt;New York&lt;/Pub_Place&gt;&lt;Publisher&gt;The Commonwealth Fund&lt;/Publisher&gt;&lt;Date_Secondary&gt;2012/8/17&lt;/Date_Secondary&gt;&lt;Web_URL_Link1&gt;&lt;u&gt;http://www.commonwealthfund.org/~/media/Files/Publications/Fund%20Report/2011/Apr/1494_Guterman_high_performance_accountable_care_v3.pdf&lt;/u&gt;&lt;/Web_URL_Link1&gt;&lt;ZZ_WorkformID&gt;24&lt;/ZZ_WorkformID&gt;&lt;/MDL&gt;&lt;/Cite&gt;&lt;/Refman&gt;</w:instrText>
      </w:r>
      <w:r>
        <w:fldChar w:fldCharType="separate"/>
      </w:r>
      <w:bookmarkStart w:id="5" w:name="__Fieldmark__919_1322453857"/>
      <w:r>
        <w:rPr>
          <w:vertAlign w:val="superscript"/>
        </w:rPr>
        <w:t>20</w:t>
      </w:r>
      <w:r>
        <w:rPr>
          <w:vertAlign w:val="superscript"/>
        </w:rPr>
      </w:r>
      <w:r>
        <w:fldChar w:fldCharType="end"/>
      </w:r>
      <w:bookmarkEnd w:id="5"/>
      <w:r>
        <w:rPr/>
        <w:t xml:space="preserve"> Strong primary care (PC) systems are associated with higher quality of care for chronic disease, including increased preventive care, and fewer avoidable ED visits and hospital admissions.</w:t>
      </w:r>
      <w:r>
        <w:fldChar w:fldCharType="begin"/>
      </w:r>
      <w:r>
        <w:instrText> ADDIN REFMGR.CITE &lt;Refman&gt;&lt;Cite&gt;&lt;Author&gt;Macinko&lt;/Author&gt;&lt;Year&gt;2003&lt;/Year&gt;&lt;RecNum&gt;629&lt;/RecNum&gt;&lt;IDText&gt;The contribution of primary care systems to health outcomes within Organization for Economic Cooperation and Development (OECD) countries, 1970-1998&lt;/IDText&gt;&lt;MDL Ref_Type="Journal"&gt;&lt;Ref_Type&gt;Journal&lt;/Ref_Type&gt;&lt;Ref_ID&gt;629&lt;/Ref_ID&gt;&lt;Title_Primary&gt;The contribution of primary care systems to health outcomes within Organization for Economic Cooperation and Development (OECD) countries, 1970-1998&lt;/Title_Primary&gt;&lt;Authors_Primary&gt;Macinko,J.&lt;/Authors_Primary&gt;&lt;Authors_Primary&gt;Starfield,B.&lt;/Authors_Primary&gt;&lt;Authors_Primary&gt;Shi,L.&lt;/Authors_Primary&gt;&lt;Date_Primary&gt;2003/6&lt;/Date_Primary&gt;&lt;Keywords&gt;Ambulatory Care&lt;/Keywords&gt;&lt;Keywords&gt;analysis&lt;/Keywords&gt;&lt;Keywords&gt;Asthma&lt;/Keywords&gt;&lt;Keywords&gt;Cross-Sectional Studies&lt;/Keywords&gt;&lt;Keywords&gt;data&lt;/Keywords&gt;&lt;Keywords&gt;design&lt;/Keywords&gt;&lt;Keywords&gt;Developed Countries&lt;/Keywords&gt;&lt;Keywords&gt;Disease&lt;/Keywords&gt;&lt;Keywords&gt;economics&lt;/Keywords&gt;&lt;Keywords&gt;Health&lt;/Keywords&gt;&lt;Keywords&gt;Health Care Reform&lt;/Keywords&gt;&lt;Keywords&gt;Health Services Research&lt;/Keywords&gt;&lt;Keywords&gt;Health Status&lt;/Keywords&gt;&lt;Keywords&gt;Humans&lt;/Keywords&gt;&lt;Keywords&gt;Income&lt;/Keywords&gt;&lt;Keywords&gt;International Agencies&lt;/Keywords&gt;&lt;Keywords&gt;methods&lt;/Keywords&gt;&lt;Keywords&gt;mortality&lt;/Keywords&gt;&lt;Keywords&gt;outcome&lt;/Keywords&gt;&lt;Keywords&gt;Outcome Assessment (Health Care)&lt;/Keywords&gt;&lt;Keywords&gt;Physicians&lt;/Keywords&gt;&lt;Keywords&gt;Pneumonia&lt;/Keywords&gt;&lt;Keywords&gt;population&lt;/Keywords&gt;&lt;Keywords&gt;Primary Health Care&lt;/Keywords&gt;&lt;Keywords&gt;regression&lt;/Keywords&gt;&lt;Keywords&gt;Regression Analysis&lt;/Keywords&gt;&lt;Keywords&gt;Research Support,U.S.Gov&amp;apos;t,P.H.S.&lt;/Keywords&gt;&lt;Keywords&gt;standards&lt;/Keywords&gt;&lt;Keywords&gt;statistics &amp;amp; numerical data&lt;/Keywords&gt;&lt;Keywords&gt;studies&lt;/Keywords&gt;&lt;Keywords&gt;time-series analysis&lt;/Keywords&gt;&lt;Reprint&gt;Not in File&lt;/Reprint&gt;&lt;Start_Page&gt;831&lt;/Start_Page&gt;&lt;End_Page&gt;865&lt;/End_Page&gt;&lt;Periodical&gt;Health Serv Res&lt;/Periodical&gt;&lt;Volume&gt;38&lt;/Volume&gt;&lt;Issue&gt;3&lt;/Issue&gt;&lt;Address&gt;Department of Health Administration and Planning, National School of Public Health/Fundacao Oswaldo Cruz, Rio de Janeiro, Brazil&lt;/Address&gt;&lt;Web_URL&gt;PM:12822915&lt;/Web_URL&gt;&lt;ZZ_JournalStdAbbrev&gt;&lt;f name="System"&gt;Health Serv Res&lt;/f&gt;&lt;/ZZ_JournalStdAbbrev&gt;&lt;ZZ_WorkformID&gt;1&lt;/ZZ_WorkformID&gt;&lt;/MDL&gt;&lt;/Cite&gt;&lt;Cite&gt;&lt;Author&gt;Gill&lt;/Author&gt;&lt;Year&gt;2003&lt;/Year&gt;&lt;RecNum&gt;1186&lt;/RecNum&gt;&lt;IDText&gt;Impact of provider continuity on quality of care for persons with diabetes mellitus&lt;/IDText&gt;&lt;MDL Ref_Type="Journal"&gt;&lt;Ref_Type&gt;Journal&lt;/Ref_Type&gt;&lt;Ref_ID&gt;1186&lt;/Ref_ID&gt;&lt;Title_Primary&gt;Impact of provider continuity on quality of care for persons with diabetes mellitus&lt;/Title_Primary&gt;&lt;Authors_Primary&gt;Gill,J.M.&lt;/Authors_Primary&gt;&lt;Authors_Primary&gt;Mainous,A.G.,III&lt;/Authors_Primary&gt;&lt;Authors_Primary&gt;Diamond,J.J.&lt;/Authors_Primary&gt;&lt;Authors_Primary&gt;Lenhard,M.J.&lt;/Authors_Primary&gt;&lt;Date_Primary&gt;2003/9&lt;/Date_Primary&gt;&lt;Keywords&gt;Adult&lt;/Keywords&gt;&lt;Keywords&gt;analysis&lt;/Keywords&gt;&lt;Keywords&gt;blood&lt;/Keywords&gt;&lt;Keywords&gt;complications&lt;/Keywords&gt;&lt;Keywords&gt;Continuity of Patient Care&lt;/Keywords&gt;&lt;Keywords&gt;cross-sectional analysis&lt;/Keywords&gt;&lt;Keywords&gt;Cross-Sectional Studies&lt;/Keywords&gt;&lt;Keywords&gt;data&lt;/Keywords&gt;&lt;Keywords&gt;Diabetes Complications&lt;/Keywords&gt;&lt;Keywords&gt;Diabetes Mellitus&lt;/Keywords&gt;&lt;Keywords&gt;Diabetic Retinopathy&lt;/Keywords&gt;&lt;Keywords&gt;diagnosis&lt;/Keywords&gt;&lt;Keywords&gt;Diagnostic Tests,Routine&lt;/Keywords&gt;&lt;Keywords&gt;Family Practice&lt;/Keywords&gt;&lt;Keywords&gt;Female&lt;/Keywords&gt;&lt;Keywords&gt;Health&lt;/Keywords&gt;&lt;Keywords&gt;Health Services&lt;/Keywords&gt;&lt;Keywords&gt;Health Services Research&lt;/Keywords&gt;&lt;Keywords&gt;Hemoglobin A,Glycosylated&lt;/Keywords&gt;&lt;Keywords&gt;Humans&lt;/Keywords&gt;&lt;Keywords&gt;Insurance,Physician Services&lt;/Keywords&gt;&lt;Keywords&gt;Lipoproteins&lt;/Keywords&gt;&lt;Keywords&gt;Logistic Models&lt;/Keywords&gt;&lt;Keywords&gt;Male&lt;/Keywords&gt;&lt;Keywords&gt;methods&lt;/Keywords&gt;&lt;Keywords&gt;Middle Aged&lt;/Keywords&gt;&lt;Keywords&gt;Multivariate Analysis&lt;/Keywords&gt;&lt;Keywords&gt;Odds Ratio&lt;/Keywords&gt;&lt;Keywords&gt;Patient-Centered Care&lt;/Keywords&gt;&lt;Keywords&gt;Patients&lt;/Keywords&gt;&lt;Keywords&gt;Physician-Patient Relations&lt;/Keywords&gt;&lt;Keywords&gt;population&lt;/Keywords&gt;&lt;Keywords&gt;research&lt;/Keywords&gt;&lt;Keywords&gt;results&lt;/Keywords&gt;&lt;Keywords&gt;Risk Assessment&lt;/Keywords&gt;&lt;Keywords&gt;Severity of Illness Index&lt;/Keywords&gt;&lt;Keywords&gt;standards&lt;/Keywords&gt;&lt;Keywords&gt;studies&lt;/Keywords&gt;&lt;Keywords&gt;therapy&lt;/Keywords&gt;&lt;Keywords&gt;United States&lt;/Keywords&gt;&lt;Keywords&gt;utilization&lt;/Keywords&gt;&lt;Reprint&gt;Not in File&lt;/Reprint&gt;&lt;Start_Page&gt;162&lt;/Start_Page&gt;&lt;End_Page&gt;170&lt;/End_Page&gt;&lt;Periodical&gt;Ann Fam Med&lt;/Periodical&gt;&lt;Volume&gt;1&lt;/Volume&gt;&lt;Issue&gt;3&lt;/Issue&gt;&lt;Address&gt;Health Services Research, Christiana Care Health Services, Wilmington, Del 19803, USA. jgill@christianacare.org&lt;/Address&gt;&lt;Web_URL&gt;PM:15043378&lt;/Web_URL&gt;&lt;ZZ_JournalStdAbbrev&gt;&lt;f name="System"&gt;Ann Fam Med&lt;/f&gt;&lt;/ZZ_JournalStdAbbrev&gt;&lt;ZZ_WorkformID&gt;1&lt;/ZZ_WorkformID&gt;&lt;/MDL&gt;&lt;/Cite&gt;&lt;Cite&gt;&lt;Author&gt;Starfield&lt;/Author&gt;&lt;Year&gt;2005&lt;/Year&gt;&lt;RecNum&gt;1306&lt;/RecNum&gt;&lt;IDText&gt;Contribution of primary care to health systems and health&lt;/IDText&gt;&lt;MDL Ref_Type="Journal"&gt;&lt;Ref_Type&gt;Journal&lt;/Ref_Type&gt;&lt;Ref_ID&gt;1306&lt;/Ref_ID&gt;&lt;Title_Primary&gt;Contribution of primary care to health systems and health&lt;/Title_Primary&gt;&lt;Authors_Primary&gt;Starfield,B.&lt;/Authors_Primary&gt;&lt;Authors_Primary&gt;Shi,L.&lt;/Authors_Primary&gt;&lt;Authors_Primary&gt;Macinko,J.&lt;/Authors_Primary&gt;&lt;Date_Primary&gt;2005&lt;/Date_Primary&gt;&lt;Keywords&gt;Death&lt;/Keywords&gt;&lt;Keywords&gt;Delivery of Health Care&lt;/Keywords&gt;&lt;Keywords&gt;distribution&lt;/Keywords&gt;&lt;Keywords&gt;economics&lt;/Keywords&gt;&lt;Keywords&gt;Evidence-Based Medicine&lt;/Keywords&gt;&lt;Keywords&gt;Health&lt;/Keywords&gt;&lt;Keywords&gt;Health Expenditures&lt;/Keywords&gt;&lt;Keywords&gt;Health Services&lt;/Keywords&gt;&lt;Keywords&gt;Health Services Accessibility&lt;/Keywords&gt;&lt;Keywords&gt;Health Status&lt;/Keywords&gt;&lt;Keywords&gt;Humans&lt;/Keywords&gt;&lt;Keywords&gt;Physician-Patient Relations&lt;/Keywords&gt;&lt;Keywords&gt;Physicians&lt;/Keywords&gt;&lt;Keywords&gt;Physicians,Family&lt;/Keywords&gt;&lt;Keywords&gt;population&lt;/Keywords&gt;&lt;Keywords&gt;Primary Health Care&lt;/Keywords&gt;&lt;Keywords&gt;research&lt;/Keywords&gt;&lt;Keywords&gt;studies&lt;/Keywords&gt;&lt;Keywords&gt;supply &amp;amp; distribution&lt;/Keywords&gt;&lt;Keywords&gt;United States&lt;/Keywords&gt;&lt;Keywords&gt;World Health&lt;/Keywords&gt;&lt;Reprint&gt;Not in File&lt;/Reprint&gt;&lt;Start_Page&gt;457&lt;/Start_Page&gt;&lt;End_Page&gt;502&lt;/End_Page&gt;&lt;Periodical&gt;Milbank.Q&lt;/Periodical&gt;&lt;Volume&gt;83&lt;/Volume&gt;&lt;Issue&gt;3&lt;/Issue&gt;&lt;Address&gt;Johns Hopkins University, Baltimore, MD, USA. bstarfie@jhsph.edu&lt;/Address&gt;&lt;Web_URL&gt;PM:16202000&lt;/Web_URL&gt;&lt;ZZ_JournalStdAbbrev&gt;&lt;f name="System"&gt;Milbank.Q&lt;/f&gt;&lt;/ZZ_JournalStdAbbrev&gt;&lt;ZZ_WorkformID&gt;1&lt;/ZZ_WorkformID&gt;&lt;/MDL&gt;&lt;/Cite&gt;&lt;Cite&gt;&lt;Author&gt;Ionescu-Ittu&lt;/Author&gt;&lt;Year&gt;2007&lt;/Year&gt;&lt;RecNum&gt;1315&lt;/RecNum&gt;&lt;IDText&gt;Continuity of primary care and emergency department utilization among elderly people&lt;/IDText&gt;&lt;MDL Ref_Type="Journal"&gt;&lt;Ref_Type&gt;Journal&lt;/Ref_Type&gt;&lt;Ref_ID&gt;1315&lt;/Ref_ID&gt;&lt;Title_Primary&gt;Continuity of primary care and emergency department utilization among elderly people&lt;/Title_Primary&gt;&lt;Authors_Primary&gt;Ionescu-Ittu,R.&lt;/Authors_Primary&gt;&lt;Authors_Primary&gt;McCusker,J.&lt;/Authors_Primary&gt;&lt;Authors_Primary&gt;Ciampi,A.&lt;/Authors_Primary&gt;&lt;Authors_Primary&gt;Vadeboncoeur,A.M.&lt;/Authors_Primary&gt;&lt;Authors_Primary&gt;Roberge,D.&lt;/Authors_Primary&gt;&lt;Authors_Primary&gt;Larouche,D.&lt;/Authors_Primary&gt;&lt;Authors_Primary&gt;Verdon,J.&lt;/Authors_Primary&gt;&lt;Authors_Primary&gt;Pineault,R.&lt;/Authors_Primary&gt;&lt;Date_Primary&gt;2007/11/20&lt;/Date_Primary&gt;&lt;Keywords&gt;Age Distribution&lt;/Keywords&gt;&lt;Keywords&gt;Aged&lt;/Keywords&gt;&lt;Keywords&gt;comorbidity&lt;/Keywords&gt;&lt;Keywords&gt;Continuity of Patient Care&lt;/Keywords&gt;&lt;Keywords&gt;Cross-Sectional Studies&lt;/Keywords&gt;&lt;Keywords&gt;data&lt;/Keywords&gt;&lt;Keywords&gt;Databases&lt;/Keywords&gt;&lt;Keywords&gt;Emergencies&lt;/Keywords&gt;&lt;Keywords&gt;emergency department&lt;/Keywords&gt;&lt;Keywords&gt;Emergency Service,Hospital&lt;/Keywords&gt;&lt;Keywords&gt;epidemiology&lt;/Keywords&gt;&lt;Keywords&gt;Female&lt;/Keywords&gt;&lt;Keywords&gt;Health&lt;/Keywords&gt;&lt;Keywords&gt;Health Care Surveys&lt;/Keywords&gt;&lt;Keywords&gt;Health Services Accessibility&lt;/Keywords&gt;&lt;Keywords&gt;Health Status&lt;/Keywords&gt;&lt;Keywords&gt;Humans&lt;/Keywords&gt;&lt;Keywords&gt;Male&lt;/Keywords&gt;&lt;Keywords&gt;methods&lt;/Keywords&gt;&lt;Keywords&gt;Patients&lt;/Keywords&gt;&lt;Keywords&gt;population&lt;/Keywords&gt;&lt;Keywords&gt;Primary Health Care&lt;/Keywords&gt;&lt;Keywords&gt;Quebec&lt;/Keywords&gt;&lt;Keywords&gt;research&lt;/Keywords&gt;&lt;Keywords&gt;results&lt;/Keywords&gt;&lt;Keywords&gt;Risk&lt;/Keywords&gt;&lt;Keywords&gt;Socioeconomic Factors&lt;/Keywords&gt;&lt;Keywords&gt;statistics &amp;amp; numerical data&lt;/Keywords&gt;&lt;Keywords&gt;studies&lt;/Keywords&gt;&lt;Keywords&gt;utilization&lt;/Keywords&gt;&lt;Reprint&gt;Not in File&lt;/Reprint&gt;&lt;Start_Page&gt;1362&lt;/Start_Page&gt;&lt;End_Page&gt;1368&lt;/End_Page&gt;&lt;Periodical&gt;CMAJ&lt;/Periodical&gt;&lt;Volume&gt;177&lt;/Volume&gt;&lt;Issue&gt;11&lt;/Issue&gt;&lt;Address&gt;Department of Epidemiology, Biostatistics and Occupational Health, McGill University, Montreal Que&lt;/Address&gt;&lt;Web_URL&gt;PM:18025427&lt;/Web_URL&gt;&lt;ZZ_JournalFull&gt;&lt;f name="System"&gt;Canadian Medical Association Journal&lt;/f&gt;&lt;/ZZ_JournalFull&gt;&lt;ZZ_JournalStdAbbrev&gt;&lt;f name="System"&gt;CMAJ&lt;/f&gt;&lt;/ZZ_JournalStdAbbrev&gt;&lt;ZZ_WorkformID&gt;1&lt;/ZZ_WorkformID&gt;&lt;/MDL&gt;&lt;/Cite&gt;&lt;/Refman&gt;</w:instrText>
      </w:r>
      <w:r>
        <w:fldChar w:fldCharType="separate"/>
      </w:r>
      <w:bookmarkStart w:id="6" w:name="__Fieldmark__920_1322453857"/>
      <w:r>
        <w:rPr>
          <w:vertAlign w:val="superscript"/>
        </w:rPr>
        <w:t>21-24</w:t>
      </w:r>
      <w:r>
        <w:rPr>
          <w:vertAlign w:val="superscript"/>
        </w:rPr>
      </w:r>
      <w:r>
        <w:fldChar w:fldCharType="end"/>
      </w:r>
      <w:bookmarkEnd w:id="6"/>
      <w:r>
        <w:rPr/>
        <w:t xml:space="preserve"> Ontario leads other  Canadian provinces in deploying a range of PC group models, such as Family Health Teams, using financial incentives to reward continuity and comprehensiveness of care, after-hours coverage, and electronic medical records.</w:t>
      </w:r>
      <w:r>
        <w:fldChar w:fldCharType="begin"/>
      </w:r>
      <w:r>
        <w:instrText> ADDIN REFMGR.CITE &lt;Refman&gt;&lt;Cite&gt;&lt;Author&gt;Lamarche&lt;/Author&gt;&lt;Year&gt;2003&lt;/Year&gt;&lt;RecNum&gt;539&lt;/RecNum&gt;&lt;IDText&gt;Choices for Change: The Path for Restructuring Primary Healthcare Services in Canada&lt;/IDText&gt;&lt;MDL Ref_Type="Report"&gt;&lt;Ref_Type&gt;Report&lt;/Ref_Type&gt;&lt;Ref_ID&gt;539&lt;/Ref_ID&gt;&lt;Title_Primary&gt;Choices for Change: The Path for Restructuring Primary Healthcare Services in Canada&lt;/Title_Primary&gt;&lt;Authors_Primary&gt;Lamarche,PA&lt;/Authors_Primary&gt;&lt;Authors_Primary&gt;Beaulieu,M-D&lt;/Authors_Primary&gt;&lt;Authors_Primary&gt;Pineault,R.&lt;/Authors_Primary&gt;&lt;Authors_Primary&gt;Contandriopoulos,A-P.&lt;/Authors_Primary&gt;&lt;Authors_Primary&gt;Denis,J-L.&lt;/Authors_Primary&gt;&lt;Authors_Primary&gt;Haggerty,J.&lt;/Authors_Primary&gt;&lt;Date_Primary&gt;2003/11/1&lt;/Date_Primary&gt;&lt;Keywords&gt;Canada&lt;/Keywords&gt;&lt;Reprint&gt;Not in File&lt;/Reprint&gt;&lt;Pub_Place&gt;Ottawa, ON&lt;/Pub_Place&gt;&lt;Publisher&gt;Canadian Health Services Research Foundation&lt;/Publisher&gt;&lt;ZZ_WorkformID&gt;24&lt;/ZZ_WorkformID&gt;&lt;/MDL&gt;&lt;/Cite&gt;&lt;Cite&gt;&lt;Author&gt;Glazier&lt;/Author&gt;&lt;Year&gt;2007&lt;/Year&gt;&lt;RecNum&gt;1189&lt;/RecNum&gt;&lt;IDText&gt;Balancing equity issues in health systems: perspectives of primary healthcare&lt;/IDText&gt;&lt;MDL Ref_Type="Journal"&gt;&lt;Ref_Type&gt;Journal&lt;/Ref_Type&gt;&lt;Ref_ID&gt;1189&lt;/Ref_ID&gt;&lt;Title_Primary&gt;Balancing equity issues in health systems: perspectives of primary healthcare&lt;/Title_Primary&gt;&lt;Authors_Primary&gt;Glazier,R.H.&lt;/Authors_Primary&gt;&lt;Date_Primary&gt;2007&lt;/Date_Primary&gt;&lt;Keywords&gt;Health&lt;/Keywords&gt;&lt;Reprint&gt;Not in File&lt;/Reprint&gt;&lt;Start_Page&gt;35&lt;/Start_Page&gt;&lt;End_Page&gt;45&lt;/End_Page&gt;&lt;Periodical&gt;Healthc Pap&lt;/Periodical&gt;&lt;Volume&gt;8&lt;/Volume&gt;&lt;Issue&gt;Spec&lt;/Issue&gt;&lt;ZZ_JournalFull&gt;&lt;f name="System"&gt;Healthc Pap&lt;/f&gt;&lt;/ZZ_JournalFull&gt;&lt;ZZ_WorkformID&gt;1&lt;/ZZ_WorkformID&gt;&lt;/MDL&gt;&lt;/Cite&gt;&lt;Cite&gt;&lt;Author&gt;Glazier&lt;/Author&gt;&lt;Year&gt;2009&lt;/Year&gt;&lt;RecNum&gt;1464&lt;/RecNum&gt;&lt;IDText&gt;Capitation and enhanced fee-for-service models for primary care reform: a population-based evaluation&lt;/IDText&gt;&lt;MDL Ref_Type="Journal"&gt;&lt;Ref_Type&gt;Journal&lt;/Ref_Type&gt;&lt;Ref_ID&gt;1464&lt;/Ref_ID&gt;&lt;Title_Primary&gt;Capitation and enhanced fee-for-service models for primary care reform: a population-based evaluation&lt;/Title_Primary&gt;&lt;Authors_Primary&gt;Glazier,R.H.&lt;/Authors_Primary&gt;&lt;Authors_Primary&gt;Klein-Geltink,J.&lt;/Authors_Primary&gt;&lt;Authors_Primary&gt;Kopp,A.&lt;/Authors_Primary&gt;&lt;Authors_Primary&gt;Sibley,L.M.&lt;/Authors_Primary&gt;&lt;Date_Primary&gt;2009/5/26&lt;/Date_Primary&gt;&lt;Keywords&gt;Adolescent&lt;/Keywords&gt;&lt;Keywords&gt;Adult&lt;/Keywords&gt;&lt;Keywords&gt;Aged&lt;/Keywords&gt;&lt;Keywords&gt;Canada&lt;/Keywords&gt;&lt;Keywords&gt;Capitation Fee&lt;/Keywords&gt;&lt;Keywords&gt;Child&lt;/Keywords&gt;&lt;Keywords&gt;Child,Preschool&lt;/Keywords&gt;&lt;Keywords&gt;comorbidity&lt;/Keywords&gt;&lt;Keywords&gt;Comparative Study&lt;/Keywords&gt;&lt;Keywords&gt;data&lt;/Keywords&gt;&lt;Keywords&gt;economics&lt;/Keywords&gt;&lt;Keywords&gt;Emergencies&lt;/Keywords&gt;&lt;Keywords&gt;emergency department&lt;/Keywords&gt;&lt;Keywords&gt;Fee-for-Service Plans&lt;/Keywords&gt;&lt;Keywords&gt;Fees,Medical&lt;/Keywords&gt;&lt;Keywords&gt;Female&lt;/Keywords&gt;&lt;Keywords&gt;Health Care Reform&lt;/Keywords&gt;&lt;Keywords&gt;Health Services Research&lt;/Keywords&gt;&lt;Keywords&gt;Humans&lt;/Keywords&gt;&lt;Keywords&gt;Male&lt;/Keywords&gt;&lt;Keywords&gt;methods&lt;/Keywords&gt;&lt;Keywords&gt;Middle Aged&lt;/Keywords&gt;&lt;Keywords&gt;models&lt;/Keywords&gt;&lt;Keywords&gt;Models,Economic&lt;/Keywords&gt;&lt;Keywords&gt;Morbidity&lt;/Keywords&gt;&lt;Keywords&gt;Multicenter Studies&lt;/Keywords&gt;&lt;Keywords&gt;Ontario&lt;/Keywords&gt;&lt;Keywords&gt;organization &amp;amp; administration&lt;/Keywords&gt;&lt;Keywords&gt;Patients&lt;/Keywords&gt;&lt;Keywords&gt;Physicians&lt;/Keywords&gt;&lt;Keywords&gt;Population Surveillance&lt;/Keywords&gt;&lt;Keywords&gt;Primary Health Care&lt;/Keywords&gt;&lt;Keywords&gt;research&lt;/Keywords&gt;&lt;Keywords&gt;results&lt;/Keywords&gt;&lt;Keywords&gt;Retrospective Studies&lt;/Keywords&gt;&lt;Keywords&gt;Salaries and Fringe Benefits&lt;/Keywords&gt;&lt;Keywords&gt;Science&lt;/Keywords&gt;&lt;Keywords&gt;studies&lt;/Keywords&gt;&lt;Keywords&gt;Toronto&lt;/Keywords&gt;&lt;Keywords&gt;Young Adult&lt;/Keywords&gt;&lt;Reprint&gt;Not in File&lt;/Reprint&gt;&lt;Start_Page&gt;E72&lt;/Start_Page&gt;&lt;End_Page&gt;E81&lt;/End_Page&gt;&lt;Periodical&gt;CMAJ.&lt;/Periodical&gt;&lt;Volume&gt;180&lt;/Volume&gt;&lt;Issue&gt;11&lt;/Issue&gt;&lt;Address&gt;Institute for Clinical Evaluative Sciences, Toronto, Ont. rick.glazier@ices.on.ca&lt;/Address&gt;&lt;Web_URL&gt;PM:19468106&lt;/Web_URL&gt;&lt;ZZ_JournalStdAbbrev&gt;&lt;f name="System"&gt;CMAJ.&lt;/f&gt;&lt;/ZZ_JournalStdAbbrev&gt;&lt;ZZ_WorkformID&gt;1&lt;/ZZ_WorkformID&gt;&lt;/MDL&gt;&lt;/Cite&gt;&lt;Cite&gt;&lt;Author&gt;Glazier&lt;/Author&gt;&lt;Year&gt;2010&lt;/Year&gt;&lt;RecNum&gt;1506&lt;/RecNum&gt;&lt;IDText&gt;Building the patient-centered medical home in Ontario&lt;/IDText&gt;&lt;MDL Ref_Type="Journal"&gt;&lt;Ref_Type&gt;Journal&lt;/Ref_Type&gt;&lt;Ref_ID&gt;1506&lt;/Ref_ID&gt;&lt;Title_Primary&gt;Building the patient-centered medical home in Ontario&lt;/Title_Primary&gt;&lt;Authors_Primary&gt;Glazier,R.H.&lt;/Authors_Primary&gt;&lt;Authors_Primary&gt;Redelmeier,D.A.&lt;/Authors_Primary&gt;&lt;Date_Primary&gt;2010/6/2&lt;/Date_Primary&gt;&lt;Keywords&gt;Canada&lt;/Keywords&gt;&lt;Keywords&gt;medical&lt;/Keywords&gt;&lt;Keywords&gt;Ontario&lt;/Keywords&gt;&lt;Keywords&gt;Toronto&lt;/Keywords&gt;&lt;Reprint&gt;Not in File&lt;/Reprint&gt;&lt;Start_Page&gt;2186&lt;/Start_Page&gt;&lt;End_Page&gt;2187&lt;/End_Page&gt;&lt;Periodical&gt;JAMA&lt;/Periodical&gt;&lt;Volume&gt;303&lt;/Volume&gt;&lt;Issue&gt;21&lt;/Issue&gt;&lt;Web_URL&gt;PM:20516421&lt;/Web_URL&gt;&lt;ZZ_JournalStdAbbrev&gt;&lt;f name="System"&gt;JAMA&lt;/f&gt;&lt;/ZZ_JournalStdAbbrev&gt;&lt;ZZ_WorkformID&gt;1&lt;/ZZ_WorkformID&gt;&lt;/MDL&gt;&lt;/Cite&gt;&lt;/Refman&gt;</w:instrText>
      </w:r>
      <w:r>
        <w:fldChar w:fldCharType="separate"/>
      </w:r>
      <w:bookmarkStart w:id="7" w:name="__Fieldmark__921_1322453857"/>
      <w:r>
        <w:rPr>
          <w:vertAlign w:val="superscript"/>
        </w:rPr>
        <w:t>25-28</w:t>
      </w:r>
      <w:r>
        <w:rPr>
          <w:vertAlign w:val="superscript"/>
        </w:rPr>
      </w:r>
      <w:r>
        <w:fldChar w:fldCharType="end"/>
      </w:r>
      <w:bookmarkEnd w:id="7"/>
      <w:r>
        <w:rPr/>
        <w:t xml:space="preserve"> However, </w:t>
      </w:r>
      <w:r>
        <w:rPr>
          <w:spacing w:val="-2"/>
        </w:rPr>
        <w:t xml:space="preserve">PC reform has paid little attention to integrating specialists and hospitals into the management of patients with chronic disease. </w:t>
      </w:r>
    </w:p>
    <w:p>
      <w:pPr>
        <w:pStyle w:val="Normal"/>
        <w:spacing w:lineRule="auto" w:line="480"/>
        <w:rPr>
          <w:spacing w:val="-2"/>
        </w:rPr>
      </w:pPr>
      <w:r>
        <w:rPr>
          <w:spacing w:val="-2"/>
        </w:rPr>
      </w:r>
    </w:p>
    <w:p>
      <w:pPr>
        <w:pStyle w:val="Pa16"/>
        <w:spacing w:lineRule="auto" w:line="480" w:before="0" w:after="0"/>
        <w:rPr>
          <w:rFonts w:ascii="Times New Roman" w:hAnsi="Times New Roman" w:cs="Times New Roman"/>
        </w:rPr>
      </w:pPr>
      <w:r>
        <w:rPr>
          <w:rFonts w:cs="Times New Roman" w:ascii="Times New Roman" w:hAnsi="Times New Roman"/>
        </w:rPr>
        <w:t>The current healthcare structure and payment system is focused on acute care and is poorly aligned with chronic disease patient needs. To incentivize integrated, coordinated care among providers and promote collective accountability will require a major reorganization of traditional health delivery and payment systems.</w:t>
      </w:r>
      <w:r>
        <w:fldChar w:fldCharType="begin"/>
      </w:r>
      <w:r>
        <w:instrText> ADDIN REFMGR.CITE &lt;Refman&gt;&lt;Cite&gt;&lt;Author&gt;Institute of Medicine&lt;/Author&gt;&lt;Year&gt;2006&lt;/Year&gt;&lt;RecNum&gt;1112&lt;/RecNum&gt;&lt;IDText&gt;Performance Measurement: Accelerating Improvement&lt;/IDText&gt;&lt;MDL Ref_Type="Report"&gt;&lt;Ref_Type&gt;Report&lt;/Ref_Type&gt;&lt;Ref_ID&gt;1112&lt;/Ref_ID&gt;&lt;Title_Primary&gt;Performance Measurement: Accelerating Improvement&lt;/Title_Primary&gt;&lt;Authors_Primary&gt;Institute of Medicine&lt;/Authors_Primary&gt;&lt;Date_Primary&gt;2006&lt;/Date_Primary&gt;&lt;Reprint&gt;Not in File&lt;/Reprint&gt;&lt;Pub_Place&gt;Washington, DC&lt;/Pub_Place&gt;&lt;Publisher&gt;National Academies Press&lt;/Publisher&gt;&lt;ZZ_WorkformID&gt;24&lt;/ZZ_WorkformID&gt;&lt;/MDL&gt;&lt;/Cite&gt;&lt;Cite&gt;&lt;Author&gt;Crosson&lt;/Author&gt;&lt;Year&gt;2005&lt;/Year&gt;&lt;RecNum&gt;1119&lt;/RecNum&gt;&lt;IDText&gt;The delivery system matters&lt;/IDText&gt;&lt;MDL Ref_Type="Journal"&gt;&lt;Ref_Type&gt;Journal&lt;/Ref_Type&gt;&lt;Ref_ID&gt;1119&lt;/Ref_ID&gt;&lt;Title_Primary&gt;The delivery system matters&lt;/Title_Primary&gt;&lt;Authors_Primary&gt;Crosson,F.J.&lt;/Authors_Primary&gt;&lt;Date_Primary&gt;2005/11&lt;/Date_Primary&gt;&lt;Keywords&gt;California&lt;/Keywords&gt;&lt;Keywords&gt;Delivery of Health Care&lt;/Keywords&gt;&lt;Keywords&gt;Group Practice&lt;/Keywords&gt;&lt;Keywords&gt;Health&lt;/Keywords&gt;&lt;Keywords&gt;Humans&lt;/Keywords&gt;&lt;Keywords&gt;organization &amp;amp; administration&lt;/Keywords&gt;&lt;Keywords&gt;Quality of Health Care&lt;/Keywords&gt;&lt;Keywords&gt;research&lt;/Keywords&gt;&lt;Keywords&gt;Specialties,Medical&lt;/Keywords&gt;&lt;Keywords&gt;United States&lt;/Keywords&gt;&lt;Reprint&gt;Not in File&lt;/Reprint&gt;&lt;Start_Page&gt;1543&lt;/Start_Page&gt;&lt;End_Page&gt;1548&lt;/End_Page&gt;&lt;Periodical&gt;Health Aff.(Millwood)&lt;/Periodical&gt;&lt;Volume&gt;24&lt;/Volume&gt;&lt;Issue&gt;6&lt;/Issue&gt;&lt;Address&gt;Permanente Federation in Oakland, California, USA. jay.crosson@kp.org&lt;/Address&gt;&lt;Web_URL&gt;PM:16284026&lt;/Web_URL&gt;&lt;ZZ_JournalStdAbbrev&gt;&lt;f name="System"&gt;Health Aff.(Millwood)&lt;/f&gt;&lt;/ZZ_JournalStdAbbrev&gt;&lt;ZZ_WorkformID&gt;1&lt;/ZZ_WorkformID&gt;&lt;/MDL&gt;&lt;/Cite&gt;&lt;Cite&gt;&lt;Author&gt;Lawrence&lt;/Author&gt;&lt;Year&gt;2005&lt;/Year&gt;&lt;RecNum&gt;1118&lt;/RecNum&gt;&lt;IDText&gt;Chronic disease care: rearranging the deck chairs&lt;/IDText&gt;&lt;MDL Ref_Type="Journal"&gt;&lt;Ref_Type&gt;Journal&lt;/Ref_Type&gt;&lt;Ref_ID&gt;1118&lt;/Ref_ID&gt;&lt;Title_Primary&gt;Chronic disease care: rearranging the deck chairs&lt;/Title_Primary&gt;&lt;Authors_Primary&gt;Lawrence,D.M.&lt;/Authors_Primary&gt;&lt;Date_Primary&gt;2005/9/20&lt;/Date_Primary&gt;&lt;Keywords&gt;Aged&lt;/Keywords&gt;&lt;Keywords&gt;Chronic Disease&lt;/Keywords&gt;&lt;Keywords&gt;Disease&lt;/Keywords&gt;&lt;Keywords&gt;Disease Management&lt;/Keywords&gt;&lt;Keywords&gt;Humans&lt;/Keywords&gt;&lt;Keywords&gt;Medicare&lt;/Keywords&gt;&lt;Keywords&gt;organization &amp;amp; administration&lt;/Keywords&gt;&lt;Keywords&gt;Quality of Health Care&lt;/Keywords&gt;&lt;Keywords&gt;standards&lt;/Keywords&gt;&lt;Reprint&gt;Not in File&lt;/Reprint&gt;&lt;Start_Page&gt;458&lt;/Start_Page&gt;&lt;End_Page&gt;459&lt;/End_Page&gt;&lt;Periodical&gt;Ann Intern Med&lt;/Periodical&gt;&lt;Volume&gt;143&lt;/Volume&gt;&lt;Issue&gt;6&lt;/Issue&gt;&lt;Web_URL&gt;PM:16172444&lt;/Web_URL&gt;&lt;ZZ_JournalStdAbbrev&gt;&lt;f name="System"&gt;Ann Intern Med&lt;/f&gt;&lt;/ZZ_JournalStdAbbrev&gt;&lt;ZZ_WorkformID&gt;1&lt;/ZZ_WorkformID&gt;&lt;/MDL&gt;&lt;/Cite&gt;&lt;/Refman&gt;</w:instrText>
      </w:r>
      <w:r>
        <w:fldChar w:fldCharType="separate"/>
      </w:r>
      <w:bookmarkStart w:id="8" w:name="__Fieldmark__922_1322453857"/>
      <w:r>
        <w:rPr>
          <w:rFonts w:cs="Times New Roman" w:ascii="Times New Roman" w:hAnsi="Times New Roman"/>
          <w:vertAlign w:val="superscript"/>
        </w:rPr>
        <w:t>11-13</w:t>
      </w:r>
      <w:r>
        <w:rPr>
          <w:rFonts w:cs="Times New Roman" w:ascii="Times New Roman" w:hAnsi="Times New Roman"/>
          <w:vertAlign w:val="superscript"/>
        </w:rPr>
      </w:r>
      <w:r>
        <w:fldChar w:fldCharType="end"/>
      </w:r>
      <w:bookmarkEnd w:id="8"/>
      <w:r>
        <w:rPr>
          <w:rFonts w:cs="Times New Roman" w:ascii="Times New Roman" w:hAnsi="Times New Roman"/>
        </w:rPr>
        <w:t xml:space="preserve"> </w:t>
      </w:r>
    </w:p>
    <w:p>
      <w:pPr>
        <w:pStyle w:val="Pa16"/>
        <w:spacing w:lineRule="auto" w:line="480" w:before="0" w:after="0"/>
        <w:rPr>
          <w:rFonts w:ascii="Times New Roman" w:hAnsi="Times New Roman" w:cs="Times New Roman"/>
        </w:rPr>
      </w:pPr>
      <w:r>
        <w:rPr>
          <w:rFonts w:cs="Times New Roman" w:ascii="Times New Roman" w:hAnsi="Times New Roman"/>
        </w:rPr>
      </w:r>
    </w:p>
    <w:p>
      <w:pPr>
        <w:pStyle w:val="Pa16"/>
        <w:spacing w:lineRule="auto" w:line="480" w:before="0" w:after="0"/>
        <w:rPr/>
      </w:pPr>
      <w:r>
        <w:rPr>
          <w:rFonts w:cs="Times New Roman" w:ascii="Times New Roman" w:hAnsi="Times New Roman"/>
        </w:rPr>
        <w:t>While formal multispecialty physician networks are uncommon in Canada, healthcare providers tend to form informal networks based on sharing patients and information. ‘Virtual’ networks, behaving as informal, organic “self-organizing systems”, consisting of primary care physicians, specialists and the hospitals where their patients are admitted, have likely developed naturally through patient travel patterns, long-standing referral patterns, information sharing, and admission of patients to local hospitals.</w:t>
      </w:r>
    </w:p>
    <w:p>
      <w:pPr>
        <w:pStyle w:val="Normal"/>
        <w:spacing w:lineRule="auto" w:line="480"/>
        <w:rPr>
          <w:rFonts w:ascii="Times New Roman" w:hAnsi="Times New Roman" w:cs="Times New Roman"/>
        </w:rPr>
      </w:pPr>
      <w:r>
        <w:rPr>
          <w:rFonts w:cs="Times New Roman"/>
        </w:rPr>
      </w:r>
    </w:p>
    <w:p>
      <w:pPr>
        <w:pStyle w:val="Normal"/>
        <w:spacing w:lineRule="auto" w:line="480"/>
        <w:rPr/>
      </w:pPr>
      <w:r>
        <w:rPr/>
        <w:t>Our objective was to identify naturally occurring multispecialty physician networks in Ontario by exploiting linkages among patients, physicians, and hospitals based on existing patient flow using health administrative data, and to characterize them in terms of population and physician characteristics.</w:t>
      </w:r>
    </w:p>
    <w:p>
      <w:pPr>
        <w:pStyle w:val="Normal"/>
        <w:tabs>
          <w:tab w:val="left" w:pos="2760" w:leader="none"/>
        </w:tabs>
        <w:spacing w:lineRule="auto" w:line="480"/>
        <w:rPr/>
      </w:pPr>
      <w:r>
        <w:rPr/>
      </w:r>
    </w:p>
    <w:p>
      <w:pPr>
        <w:pStyle w:val="Normal"/>
        <w:spacing w:lineRule="auto" w:line="480"/>
        <w:rPr>
          <w:spacing w:val="-2"/>
        </w:rPr>
      </w:pPr>
      <w:r>
        <w:rPr/>
        <w:t xml:space="preserve">This ‘natural’ model of physician organization would reflect the way PC physicians, specialists and hospitals actually practice together to care for a defined population, and would permit evaluation of quality and costs of care. The overarching goal would be to identify which networks provide high quality, low cost care and examine what factors contribute to their efficiency. </w:t>
      </w:r>
      <w:r>
        <w:rPr>
          <w:spacing w:val="-2"/>
        </w:rPr>
        <w:t>Understanding what constitutes a high-performing system provides an opportunity to focus policy reforms on promoting and sustaining the best systems.</w:t>
      </w:r>
      <w:r>
        <w:fldChar w:fldCharType="begin"/>
      </w:r>
      <w:r>
        <w:instrText> ADDIN REFMGR.CITE &lt;Refman&gt;&lt;Cite&gt;&lt;Author&gt;Shortell&lt;/Author&gt;&lt;Year&gt;2008&lt;/Year&gt;&lt;RecNum&gt;1339&lt;/RecNum&gt;&lt;IDText&gt;Health care reform requires accountable care systems&lt;/IDText&gt;&lt;MDL Ref_Type="Journal"&gt;&lt;Ref_Type&gt;Journal&lt;/Ref_Type&gt;&lt;Ref_ID&gt;1339&lt;/Ref_ID&gt;&lt;Title_Primary&gt;Health care reform requires accountable care systems&lt;/Title_Primary&gt;&lt;Authors_Primary&gt;Shortell,S.M.&lt;/Authors_Primary&gt;&lt;Date_Primary&gt;2008/7/2&lt;/Date_Primary&gt;&lt;Keywords&gt;Health&lt;/Keywords&gt;&lt;Keywords&gt;Health Care Reform&lt;/Keywords&gt;&lt;Start_Page&gt;95&lt;/Start_Page&gt;&lt;End_Page&gt;97&lt;/End_Page&gt;&lt;Periodical&gt;JAMA&lt;/Periodical&gt;&lt;Volume&gt;300&lt;/Volume&gt;&lt;Issue&gt;1&lt;/Issue&gt;&lt;ZZ_JournalStdAbbrev&gt;&lt;f name="System"&gt;JAMA&lt;/f&gt;&lt;/ZZ_JournalStdAbbrev&gt;&lt;ZZ_WorkformID&gt;1&lt;/ZZ_WorkformID&gt;&lt;/MDL&gt;&lt;/Cite&gt;&lt;/Refman&gt;</w:instrText>
      </w:r>
      <w:r>
        <w:fldChar w:fldCharType="separate"/>
      </w:r>
      <w:bookmarkStart w:id="9" w:name="__Fieldmark__923_1322453857"/>
      <w:r>
        <w:rPr>
          <w:spacing w:val="-2"/>
          <w:vertAlign w:val="superscript"/>
        </w:rPr>
        <w:t>29</w:t>
      </w:r>
      <w:bookmarkEnd w:id="9"/>
      <w:r>
        <w:rPr>
          <w:spacing w:val="-2"/>
          <w:vertAlign w:val="superscript"/>
        </w:rPr>
      </w:r>
      <w:r>
        <w:fldChar w:fldCharType="end"/>
      </w:r>
    </w:p>
    <w:p>
      <w:pPr>
        <w:pStyle w:val="Normal"/>
        <w:spacing w:lineRule="auto" w:line="480"/>
        <w:rPr>
          <w:b/>
          <w:b/>
        </w:rPr>
      </w:pPr>
      <w:r>
        <w:rPr>
          <w:b/>
        </w:rPr>
      </w:r>
    </w:p>
    <w:p>
      <w:pPr>
        <w:pStyle w:val="Normal"/>
        <w:spacing w:lineRule="auto" w:line="480"/>
        <w:rPr>
          <w:b/>
          <w:b/>
        </w:rPr>
      </w:pPr>
      <w:r>
        <w:rPr>
          <w:b/>
        </w:rPr>
        <w:t>METHODS</w:t>
      </w:r>
    </w:p>
    <w:p>
      <w:pPr>
        <w:pStyle w:val="Normal"/>
        <w:spacing w:lineRule="auto" w:line="480"/>
        <w:rPr/>
      </w:pPr>
      <w:r>
        <w:rPr/>
        <w:t>We identified physician networks with the idea of defining “medical neighborhoods” for chronic disease care.</w:t>
      </w:r>
      <w:r>
        <w:fldChar w:fldCharType="begin"/>
      </w:r>
      <w:r>
        <w:instrText> ADDIN REFMGR.CITE &lt;Refman&gt;&lt;Cite&gt;&lt;Author&gt;Fisher&lt;/Author&gt;&lt;Year&gt;2008&lt;/Year&gt;&lt;RecNum&gt;1463&lt;/RecNum&gt;&lt;IDText&gt;Building a medical neighborhood for the medical home&lt;/IDText&gt;&lt;MDL Ref_Type="Journal"&gt;&lt;Ref_Type&gt;Journal&lt;/Ref_Type&gt;&lt;Ref_ID&gt;1463&lt;/Ref_ID&gt;&lt;Title_Primary&gt;Building a medical neighborhood for the medical home&lt;/Title_Primary&gt;&lt;Authors_Primary&gt;Fisher,E.S.&lt;/Authors_Primary&gt;&lt;Date_Primary&gt;2008/9/18&lt;/Date_Primary&gt;&lt;Keywords&gt;Certification&lt;/Keywords&gt;&lt;Keywords&gt;Delivery of Health Care&lt;/Keywords&gt;&lt;Keywords&gt;economics&lt;/Keywords&gt;&lt;Keywords&gt;Health&lt;/Keywords&gt;&lt;Keywords&gt;Health Care Reform&lt;/Keywords&gt;&lt;Keywords&gt;Health Policy&lt;/Keywords&gt;&lt;Keywords&gt;Humans&lt;/Keywords&gt;&lt;Keywords&gt;Insurance,Health&lt;/Keywords&gt;&lt;Keywords&gt;Insurance,Health,Reimbursement&lt;/Keywords&gt;&lt;Keywords&gt;medical&lt;/Keywords&gt;&lt;Keywords&gt;Medicare&lt;/Keywords&gt;&lt;Keywords&gt;organization &amp;amp; administration&lt;/Keywords&gt;&lt;Keywords&gt;Patient-Centered Care&lt;/Keywords&gt;&lt;Keywords&gt;Primary Health Care&lt;/Keywords&gt;&lt;Keywords&gt;research&lt;/Keywords&gt;&lt;Keywords&gt;standards&lt;/Keywords&gt;&lt;Keywords&gt;United States&lt;/Keywords&gt;&lt;Reprint&gt;Not in File&lt;/Reprint&gt;&lt;Start_Page&gt;1202&lt;/Start_Page&gt;&lt;End_Page&gt;1205&lt;/End_Page&gt;&lt;Periodical&gt;N.Engl.J.Med.&lt;/Periodical&gt;&lt;Volume&gt;359&lt;/Volume&gt;&lt;Issue&gt;12&lt;/Issue&gt;&lt;Address&gt;Center for Health Policy Research, Dartmouth Institute for Health Policy and Clinical Practice, Lebanon, NH, USA&lt;/Address&gt;&lt;Web_URL&gt;PM:18799556&lt;/Web_URL&gt;&lt;ZZ_JournalStdAbbrev&gt;&lt;f name="System"&gt;N.Engl.J.Med.&lt;/f&gt;&lt;/ZZ_JournalStdAbbrev&gt;&lt;ZZ_WorkformID&gt;1&lt;/ZZ_WorkformID&gt;&lt;/MDL&gt;&lt;/Cite&gt;&lt;/Refman&gt;</w:instrText>
      </w:r>
      <w:r>
        <w:fldChar w:fldCharType="separate"/>
      </w:r>
      <w:bookmarkStart w:id="10" w:name="__Fieldmark__924_1322453857"/>
      <w:r>
        <w:rPr>
          <w:vertAlign w:val="superscript"/>
        </w:rPr>
        <w:t>30</w:t>
      </w:r>
      <w:r>
        <w:rPr>
          <w:vertAlign w:val="superscript"/>
        </w:rPr>
      </w:r>
      <w:r>
        <w:fldChar w:fldCharType="end"/>
      </w:r>
      <w:bookmarkEnd w:id="10"/>
      <w:r>
        <w:rPr/>
        <w:t xml:space="preserve"> A medical neighborhood would consist of PC physicians (medical homes), and the specialists and hospitals from which their patients receive most of their care. The reason to include hospitals is to foster accountability for hospital readmissions among the multiple providers who might be responsible for reducing the rates of such events.</w:t>
      </w:r>
      <w:r>
        <w:fldChar w:fldCharType="begin"/>
      </w:r>
      <w:r>
        <w:instrText> ADDIN REFMGR.CITE &lt;Refman&gt;&lt;Cite&gt;&lt;Author&gt;Epstein&lt;/Author&gt;&lt;Year&gt;2009&lt;/Year&gt;&lt;RecNum&gt;1541&lt;/RecNum&gt;&lt;IDText&gt;Revisiting readmissions -- changing the incentives for shared accountability&lt;/IDText&gt;&lt;MDL Ref_Type="Journal"&gt;&lt;Ref_Type&gt;Journal&lt;/Ref_Type&gt;&lt;Ref_ID&gt;1541&lt;/Ref_ID&gt;&lt;Title_Primary&gt;Revisiting readmissions -- changing the incentives for shared accountability&lt;/Title_Primary&gt;&lt;Authors_Primary&gt;Epstein,A.M.&lt;/Authors_Primary&gt;&lt;Date_Primary&gt;2009/4/2&lt;/Date_Primary&gt;&lt;Keywords&gt;economics&lt;/Keywords&gt;&lt;Keywords&gt;Fee-for-Service Plans&lt;/Keywords&gt;&lt;Keywords&gt;Health Policy&lt;/Keywords&gt;&lt;Keywords&gt;Humans&lt;/Keywords&gt;&lt;Keywords&gt;Length of Stay&lt;/Keywords&gt;&lt;Keywords&gt;Medicare&lt;/Keywords&gt;&lt;Keywords&gt;Patient Readmission&lt;/Keywords&gt;&lt;Keywords&gt;Reimbursement Mechanisms&lt;/Keywords&gt;&lt;Keywords&gt;Risk Adjustment&lt;/Keywords&gt;&lt;Keywords&gt;statistics &amp;amp; numerical data&lt;/Keywords&gt;&lt;Keywords&gt;United States&lt;/Keywords&gt;&lt;Reprint&gt;Not in File&lt;/Reprint&gt;&lt;Start_Page&gt;1457&lt;/Start_Page&gt;&lt;End_Page&gt;1459&lt;/End_Page&gt;&lt;Periodical&gt;N.Engl.J.Med.&lt;/Periodical&gt;&lt;Volume&gt;360&lt;/Volume&gt;&lt;Issue&gt;14&lt;/Issue&gt;&lt;Web_URL&gt;PM:19339727&lt;/Web_URL&gt;&lt;ZZ_JournalStdAbbrev&gt;&lt;f name="System"&gt;N.Engl.J.Med.&lt;/f&gt;&lt;/ZZ_JournalStdAbbrev&gt;&lt;ZZ_WorkformID&gt;1&lt;/ZZ_WorkformID&gt;&lt;/MDL&gt;&lt;/Cite&gt;&lt;Cite&gt;&lt;Author&gt;Jencks&lt;/Author&gt;&lt;Year&gt;2010&lt;/Year&gt;&lt;RecNum&gt;1537&lt;/RecNum&gt;&lt;IDText&gt;Defragmenting care&lt;/IDText&gt;&lt;MDL Ref_Type="Journal"&gt;&lt;Ref_Type&gt;Journal&lt;/Ref_Type&gt;&lt;Ref_ID&gt;1537&lt;/Ref_ID&gt;&lt;Title_Primary&gt;Defragmenting care&lt;/Title_Primary&gt;&lt;Authors_Primary&gt;Jencks,S.F.&lt;/Authors_Primary&gt;&lt;Date_Primary&gt;2010/12/7&lt;/Date_Primary&gt;&lt;Keywords&gt;Baltimore&lt;/Keywords&gt;&lt;Reprint&gt;Not in File&lt;/Reprint&gt;&lt;Start_Page&gt;757&lt;/Start_Page&gt;&lt;End_Page&gt;758&lt;/End_Page&gt;&lt;Periodical&gt;Ann.Intern.Med.&lt;/Periodical&gt;&lt;Volume&gt;153&lt;/Volume&gt;&lt;Issue&gt;11&lt;/Issue&gt;&lt;Address&gt;Baltimore, MD 21210&lt;/Address&gt;&lt;Web_URL&gt;PM:21135299&lt;/Web_URL&gt;&lt;ZZ_JournalStdAbbrev&gt;&lt;f name="System"&gt;Ann.Intern.Med.&lt;/f&gt;&lt;/ZZ_JournalStdAbbrev&gt;&lt;ZZ_WorkformID&gt;1&lt;/ZZ_WorkformID&gt;&lt;/MDL&gt;&lt;/Cite&gt;&lt;/Refman&gt;</w:instrText>
      </w:r>
      <w:r>
        <w:fldChar w:fldCharType="separate"/>
      </w:r>
      <w:bookmarkStart w:id="11" w:name="__Fieldmark__925_1322453857"/>
      <w:r>
        <w:rPr>
          <w:vertAlign w:val="superscript"/>
        </w:rPr>
        <w:t>31,32</w:t>
      </w:r>
      <w:r>
        <w:rPr>
          <w:vertAlign w:val="superscript"/>
        </w:rPr>
      </w:r>
      <w:r>
        <w:fldChar w:fldCharType="end"/>
      </w:r>
      <w:bookmarkEnd w:id="11"/>
      <w:r>
        <w:rPr/>
        <w:t xml:space="preserve"> While improving the quality of chronic disease care is important, one of the markers for excellent care is avoiding costly readmissions. Our  algorithm was similar to that used to derive networks in the USA,</w:t>
      </w:r>
      <w:r>
        <w:fldChar w:fldCharType="begin"/>
      </w:r>
      <w:r>
        <w:instrText> ADDIN REFMGR.CITE &lt;Refman&gt;&lt;Cite&gt;&lt;Author&gt;Bynum&lt;/Author&gt;&lt;Year&gt;2007&lt;/Year&gt;&lt;RecNum&gt;1124&lt;/RecNum&gt;&lt;IDText&gt;Assigning ambulatory patients and their physicians to hospitals: a method for obtaining population-based provider performance measurements&lt;/IDText&gt;&lt;MDL Ref_Type="Journal"&gt;&lt;Ref_Type&gt;Journal&lt;/Ref_Type&gt;&lt;Ref_ID&gt;1124&lt;/Ref_ID&gt;&lt;Title_Primary&gt;Assigning ambulatory patients and their physicians to hospitals: a method for obtaining population-based provider performance measurements&lt;/Title_Primary&gt;&lt;Authors_Primary&gt;Bynum,J.P.&lt;/Authors_Primary&gt;&lt;Authors_Primary&gt;Bernal-Delgado,E.&lt;/Authors_Primary&gt;&lt;Authors_Primary&gt;Gottlieb,D.&lt;/Authors_Primary&gt;&lt;Authors_Primary&gt;Fisher,E.&lt;/Authors_Primary&gt;&lt;Date_Primary&gt;2007/2&lt;/Date_Primary&gt;&lt;Keywords&gt;Aged&lt;/Keywords&gt;&lt;Keywords&gt;analysis&lt;/Keywords&gt;&lt;Keywords&gt;assessment&lt;/Keywords&gt;&lt;Keywords&gt;cohort&lt;/Keywords&gt;&lt;Keywords&gt;Community Health Planning&lt;/Keywords&gt;&lt;Keywords&gt;cross-sectional analysis&lt;/Keywords&gt;&lt;Keywords&gt;Cross-Sectional Studies&lt;/Keywords&gt;&lt;Keywords&gt;data&lt;/Keywords&gt;&lt;Keywords&gt;Data Collection&lt;/Keywords&gt;&lt;Keywords&gt;design&lt;/Keywords&gt;&lt;Keywords&gt;Female&lt;/Keywords&gt;&lt;Keywords&gt;Health Services&lt;/Keywords&gt;&lt;Keywords&gt;Health Services Research&lt;/Keywords&gt;&lt;Keywords&gt;Hospital Administration&lt;/Keywords&gt;&lt;Keywords&gt;Hospitals&lt;/Keywords&gt;&lt;Keywords&gt;Humans&lt;/Keywords&gt;&lt;Keywords&gt;Insurance Claim Review&lt;/Keywords&gt;&lt;Keywords&gt;Male&lt;/Keywords&gt;&lt;Keywords&gt;medical&lt;/Keywords&gt;&lt;Keywords&gt;Medicare&lt;/Keywords&gt;&lt;Keywords&gt;methods&lt;/Keywords&gt;&lt;Keywords&gt;organization &amp;amp; administration&lt;/Keywords&gt;&lt;Keywords&gt;outcome&lt;/Keywords&gt;&lt;Keywords&gt;Outcome and Process Assessment (Health Care)&lt;/Keywords&gt;&lt;Keywords&gt;Patients&lt;/Keywords&gt;&lt;Keywords&gt;Physicians&lt;/Keywords&gt;&lt;Keywords&gt;population&lt;/Keywords&gt;&lt;Keywords&gt;Quality of Health Care&lt;/Keywords&gt;&lt;Keywords&gt;research&lt;/Keywords&gt;&lt;Keywords&gt;Small-Area Analysis&lt;/Keywords&gt;&lt;Keywords&gt;studies&lt;/Keywords&gt;&lt;Keywords&gt;Survey&lt;/Keywords&gt;&lt;Keywords&gt;utilization&lt;/Keywords&gt;&lt;Reprint&gt;Not in File&lt;/Reprint&gt;&lt;Start_Page&gt;45&lt;/Start_Page&gt;&lt;End_Page&gt;62&lt;/End_Page&gt;&lt;Periodical&gt;Health Serv.Res&lt;/Periodical&gt;&lt;Volume&gt;42&lt;/Volume&gt;&lt;Issue&gt;1 Pt 1&lt;/Issue&gt;&lt;Address&gt;Department of Medicine and Center for the Evaluative Clinical Sciences, Dartmouth Medical School, Hanover, NH, 7251 Strasenburgh Hall, Hanover, NH 03755-3863, USA&lt;/Address&gt;&lt;Web_URL&gt;PM:17355581&lt;/Web_URL&gt;&lt;ZZ_JournalStdAbbrev&gt;&lt;f name="System"&gt;Health Serv.Res&lt;/f&gt;&lt;/ZZ_JournalStdAbbrev&gt;&lt;ZZ_WorkformID&gt;1&lt;/ZZ_WorkformID&gt;&lt;/MDL&gt;&lt;/Cite&gt;&lt;Cite&gt;&lt;Author&gt;Fisher&lt;/Author&gt;&lt;Year&gt;2007&lt;/Year&gt;&lt;RecNum&gt;1120&lt;/RecNum&gt;&lt;IDText&gt;Creating accountable care organizations: the extended hospital medical staff&lt;/IDText&gt;&lt;MDL Ref_Type="Journal"&gt;&lt;Ref_Type&gt;Journal&lt;/Ref_Type&gt;&lt;Ref_ID&gt;1120&lt;/Ref_ID&gt;&lt;Title_Primary&gt;Creating accountable care organizations: the extended hospital medical staff&lt;/Title_Primary&gt;&lt;Authors_Primary&gt;Fisher,E.S.&lt;/Authors_Primary&gt;&lt;Authors_Primary&gt;Staiger,D.O.&lt;/Authors_Primary&gt;&lt;Authors_Primary&gt;Bynum,J.P.&lt;/Authors_Primary&gt;&lt;Authors_Primary&gt;Gottlieb,D.J.&lt;/Authors_Primary&gt;&lt;Date_Primary&gt;2007/1&lt;/Date_Primary&gt;&lt;Keywords&gt;Delivery of Health Care&lt;/Keywords&gt;&lt;Keywords&gt;Health Care Reform&lt;/Keywords&gt;&lt;Keywords&gt;Health Services Accessibility&lt;/Keywords&gt;&lt;Keywords&gt;Hospitals&lt;/Keywords&gt;&lt;Keywords&gt;Humans&lt;/Keywords&gt;&lt;Keywords&gt;Managed Competition&lt;/Keywords&gt;&lt;Keywords&gt;medical&lt;/Keywords&gt;&lt;Keywords&gt;Medical Staff,Hospital&lt;/Keywords&gt;&lt;Keywords&gt;Medicare&lt;/Keywords&gt;&lt;Keywords&gt;New Hampshire&lt;/Keywords&gt;&lt;Keywords&gt;organization &amp;amp; administration&lt;/Keywords&gt;&lt;Keywords&gt;Patients&lt;/Keywords&gt;&lt;Keywords&gt;Physicians&lt;/Keywords&gt;&lt;Keywords&gt;Quality Assurance,Health Care&lt;/Keywords&gt;&lt;Keywords&gt;research&lt;/Keywords&gt;&lt;Keywords&gt;Risk&lt;/Keywords&gt;&lt;Keywords&gt;Social Responsibility&lt;/Keywords&gt;&lt;Keywords&gt;standards&lt;/Keywords&gt;&lt;Keywords&gt;United States&lt;/Keywords&gt;&lt;Reprint&gt;Not in File&lt;/Reprint&gt;&lt;Start_Page&gt;w44&lt;/Start_Page&gt;&lt;End_Page&gt;w57&lt;/End_Page&gt;&lt;Periodical&gt;Health Aff.(Millwood)&lt;/Periodical&gt;&lt;Volume&gt;26&lt;/Volume&gt;&lt;Issue&gt;1&lt;/Issue&gt;&lt;Address&gt;Dartmouth Medical School and the Center for the Evaluative Clinical Sciences, Hanover, New Hampshire, USA. Elliott.Fisher@Dartmouth.edu&lt;/Address&gt;&lt;Web_URL&gt;PM:17148490&lt;/Web_URL&gt;&lt;ZZ_JournalStdAbbrev&gt;&lt;f name="System"&gt;Health Aff.(Millwood)&lt;/f&gt;&lt;/ZZ_JournalStdAbbrev&gt;&lt;ZZ_WorkformID&gt;1&lt;/ZZ_WorkformID&gt;&lt;/MDL&gt;&lt;/Cite&gt;&lt;/Refman&gt;</w:instrText>
      </w:r>
      <w:r>
        <w:fldChar w:fldCharType="separate"/>
      </w:r>
      <w:bookmarkStart w:id="12" w:name="__Fieldmark__926_1322453857"/>
      <w:r>
        <w:rPr>
          <w:vertAlign w:val="superscript"/>
        </w:rPr>
        <w:t>33,34</w:t>
      </w:r>
      <w:r>
        <w:rPr>
          <w:vertAlign w:val="superscript"/>
        </w:rPr>
      </w:r>
      <w:r>
        <w:fldChar w:fldCharType="end"/>
      </w:r>
      <w:bookmarkEnd w:id="12"/>
      <w:r>
        <w:rPr/>
        <w:t xml:space="preserve"> but was adapted to reflect the Ontario health care system. </w:t>
      </w:r>
    </w:p>
    <w:p>
      <w:pPr>
        <w:pStyle w:val="Normal"/>
        <w:spacing w:lineRule="auto" w:line="480"/>
        <w:rPr/>
      </w:pPr>
      <w:r>
        <w:rPr/>
      </w:r>
    </w:p>
    <w:p>
      <w:pPr>
        <w:pStyle w:val="Normal"/>
        <w:spacing w:lineRule="auto" w:line="480"/>
        <w:rPr/>
      </w:pPr>
      <w:r>
        <w:rPr/>
        <w:t xml:space="preserve">Data sources </w:t>
      </w:r>
    </w:p>
    <w:p>
      <w:pPr>
        <w:pStyle w:val="Normal"/>
        <w:spacing w:lineRule="auto" w:line="480"/>
        <w:rPr/>
      </w:pPr>
      <w:r>
        <w:rPr/>
        <w:t xml:space="preserve">Multiple Ontario health administrative databases containing information on all publicly insured hospital and physician services were linked using unique, anonymized, encrypted identifiers for patients and physicians. These included the Discharge Abstract Database (DAD) for hospital admissions, procedures and transfers; </w:t>
      </w:r>
      <w:r>
        <w:rPr>
          <w:bCs/>
        </w:rPr>
        <w:t xml:space="preserve">National Ambulatory Care Reporting System (NACRS) for ED visits; </w:t>
      </w:r>
      <w:r>
        <w:rPr>
          <w:bCs/>
          <w:szCs w:val="20"/>
        </w:rPr>
        <w:t>Ontario Health Insurance Plan (OHIP)  database of physician billings for type and location of service, diagnosis codes and procedures; Ontario Drug Benefits (ODB) Plan for outpatient drug prescriptions for those over age 65 years;</w:t>
      </w:r>
      <w:r>
        <w:rPr/>
        <w:t xml:space="preserve"> Registered Persons Database (RPDB) for patient demographic information and deaths; Client Agency Program Enrolment (CAPE) registry to identify rostered patients and PC models; Ontario Physician Workforce Database (OPWD)</w:t>
      </w:r>
      <w:r>
        <w:fldChar w:fldCharType="begin"/>
      </w:r>
      <w:r>
        <w:instrText> ADDIN REFMGR.CITE &lt;Refman&gt;&lt;Cite&gt;&lt;Year&gt;2007&lt;/Year&gt;&lt;RecNum&gt;1325&lt;/RecNum&gt;&lt;IDText&gt;Ontario Physician Human Resources Data Centre. About OPHRDC&lt;/IDText&gt;&lt;MDL Ref_Type="Electronic Citation"&gt;&lt;Ref_Type&gt;Electronic Citation&lt;/Ref_Type&gt;&lt;Ref_ID&gt;1325&lt;/Ref_ID&gt;&lt;Title_Primary&gt;Ontario Physician Human Resources Data Centre. About OPHRDC&lt;/Title_Primary&gt;&lt;Date_Primary&gt;2007&lt;/Date_Primary&gt;&lt;Keywords&gt;Ontario&lt;/Keywords&gt;&lt;Keywords&gt;Human&lt;/Keywords&gt;&lt;Keywords&gt;data&lt;/Keywords&gt;&lt;Periodical&gt;https://www.ophrdc.org/Public/About.aspx&lt;/Periodical&gt;&lt;Date_Secondary&gt;2008/6/28&lt;/Date_Secondary&gt;&lt;Web_URL&gt;&lt;u&gt;https://www.ophrdc.org/Public/About.aspx&lt;/u&gt;&lt;/Web_URL&gt;&lt;ZZ_JournalStdAbbrev&gt;&lt;f name="System"&gt;https://www.ophrdc.org/Public/About.aspx&lt;/f&gt;&lt;/ZZ_JournalStdAbbrev&gt;&lt;ZZ_WorkformID&gt;34&lt;/ZZ_WorkformID&gt;&lt;/MDL&gt;&lt;/Cite&gt;&lt;/Refman&gt;</w:instrText>
      </w:r>
      <w:r>
        <w:fldChar w:fldCharType="separate"/>
      </w:r>
      <w:bookmarkStart w:id="13" w:name="__Fieldmark__927_1322453857"/>
      <w:r>
        <w:rPr>
          <w:vertAlign w:val="superscript"/>
        </w:rPr>
        <w:t>35</w:t>
      </w:r>
      <w:r>
        <w:rPr>
          <w:vertAlign w:val="superscript"/>
        </w:rPr>
      </w:r>
      <w:r>
        <w:fldChar w:fldCharType="end"/>
      </w:r>
      <w:bookmarkEnd w:id="13"/>
      <w:r>
        <w:rPr/>
        <w:t xml:space="preserve"> and the ICES Physician Database (IPDB) to identify physician activity status, self-designated and functional specialty, and FTEs. Neighborhood income was derived from Statistics Canada 2006 census estimates. The 2008 rurality index (RIO) accounts for population size and travel time.</w:t>
      </w:r>
      <w:r>
        <w:fldChar w:fldCharType="begin"/>
      </w:r>
      <w:r>
        <w:instrText> ADDIN REFMGR.CITE &lt;Refman&gt;&lt;Cite&gt;&lt;Author&gt;Kralj&lt;/Author&gt;&lt;Year&gt;2008&lt;/Year&gt;&lt;RecNum&gt;1662&lt;/RecNum&gt;&lt;IDText&gt;Measuring Rurality - RIO2008 BASIC: Methodology and Results&lt;/IDText&gt;&lt;MDL Ref_Type="Report"&gt;&lt;Ref_Type&gt;Report&lt;/Ref_Type&gt;&lt;Ref_ID&gt;1662&lt;/Ref_ID&gt;&lt;Title_Primary&gt;Measuring Rurality - RIO2008 BASIC: Methodology and Results&lt;/Title_Primary&gt;&lt;Authors_Primary&gt;Kralj,B.&lt;/Authors_Primary&gt;&lt;Date_Primary&gt;2008&lt;/Date_Primary&gt;&lt;Keywords&gt;measuring&lt;/Keywords&gt;&lt;Keywords&gt;results&lt;/Keywords&gt;&lt;Keywords&gt;rurality&lt;/Keywords&gt;&lt;Date_Secondary&gt;2012/8/17&lt;/Date_Secondary&gt;&lt;Web_URL&gt;&lt;u&gt;http://www.health.gov.on.ca/english/providers/program/uap/docs/up_rio_methodology.pdf&lt;/u&gt;&lt;/Web_URL&gt;&lt;Web_URL_Link2&gt;&lt;u&gt;http://www.health.gov.on.ca/english/providers/program/uap/docs/up_rio_methodology.pdf&lt;/u&gt;&lt;/Web_URL_Link2&gt;&lt;ZZ_WorkformID&gt;24&lt;/ZZ_WorkformID&gt;&lt;/MDL&gt;&lt;/Cite&gt;&lt;/Refman&gt;</w:instrText>
      </w:r>
      <w:r>
        <w:fldChar w:fldCharType="separate"/>
      </w:r>
      <w:bookmarkStart w:id="14" w:name="__Fieldmark__928_1322453857"/>
      <w:r>
        <w:rPr>
          <w:vertAlign w:val="superscript"/>
        </w:rPr>
        <w:t>36</w:t>
      </w:r>
      <w:bookmarkEnd w:id="14"/>
      <w:r>
        <w:rPr>
          <w:vertAlign w:val="superscript"/>
        </w:rPr>
      </w:r>
      <w:r>
        <w:fldChar w:fldCharType="end"/>
      </w:r>
    </w:p>
    <w:p>
      <w:pPr>
        <w:pStyle w:val="Normal"/>
        <w:spacing w:lineRule="auto" w:line="480"/>
        <w:rPr/>
      </w:pPr>
      <w:r>
        <w:rPr/>
      </w:r>
    </w:p>
    <w:p>
      <w:pPr>
        <w:pStyle w:val="Normal"/>
        <w:spacing w:lineRule="auto" w:line="480"/>
        <w:rPr/>
      </w:pPr>
      <w:r>
        <w:rPr/>
        <w:t>Eligible Residents and Physicians</w:t>
      </w:r>
    </w:p>
    <w:p>
      <w:pPr>
        <w:pStyle w:val="Normal"/>
        <w:spacing w:lineRule="auto" w:line="480"/>
        <w:rPr/>
      </w:pPr>
      <w:r>
        <w:rPr/>
        <w:t xml:space="preserve">The eligible population included residents of Ontario who were alive and aged &lt; 100 years on April 1, 2008, including newborns and immigrants who registered with OHIP during FY08-10, excluding those with no healthcare system contact since FY00. Ontario physicians with a valid physician number were eligible if they were in active practice during FY08-10, defined as having at least one OHIP billing or an active CAPE patient roster. All acute care inpatient institutions, including general, cardiac, children’s and psychiatric hospitals, were eligible. </w:t>
      </w:r>
    </w:p>
    <w:p>
      <w:pPr>
        <w:pStyle w:val="Normal"/>
        <w:spacing w:lineRule="auto" w:line="480"/>
        <w:rPr/>
      </w:pPr>
      <w:r>
        <w:rPr/>
      </w:r>
    </w:p>
    <w:p>
      <w:pPr>
        <w:pStyle w:val="Normal"/>
        <w:spacing w:lineRule="auto" w:line="480"/>
        <w:rPr/>
      </w:pPr>
      <w:r>
        <w:rPr/>
        <w:t>Linkage of Residents to the Usual Provider of Primary Care (UPC)</w:t>
      </w:r>
    </w:p>
    <w:p>
      <w:pPr>
        <w:pStyle w:val="Normal"/>
        <w:spacing w:lineRule="auto" w:line="480"/>
        <w:rPr/>
      </w:pPr>
      <w:r>
        <w:rPr/>
        <w:t>PC physicians were those whose self-designated or functional specialty was general practice, family practice or community medicine. Pediatricians were considered PC providers if they billed &gt;30 well baby or well child visits in FY08-10.</w:t>
      </w:r>
      <w:r>
        <w:fldChar w:fldCharType="begin"/>
      </w:r>
      <w:r>
        <w:instrText> ADDIN REFMGR.CITE &lt;Refman&gt;&lt;Cite&gt;&lt;Author&gt;Guttmann&lt;/Author&gt;&lt;Year&gt;2010&lt;/Year&gt;&lt;RecNum&gt;1518&lt;/RecNum&gt;&lt;IDText&gt;Primary care physician supply and children&amp;apos;s health care use, access, and outcomes: findings from Canada&lt;/IDText&gt;&lt;MDL Ref_Type="Journal"&gt;&lt;Ref_Type&gt;Journal&lt;/Ref_Type&gt;&lt;Ref_ID&gt;1518&lt;/Ref_ID&gt;&lt;Title_Primary&gt;Primary care physician supply and children&amp;apos;s health care use, access, and outcomes: findings from Canada&lt;/Title_Primary&gt;&lt;Authors_Primary&gt;Guttmann,A.&lt;/Authors_Primary&gt;&lt;Authors_Primary&gt;Shipman,S.A.&lt;/Authors_Primary&gt;&lt;Authors_Primary&gt;Lam,K.&lt;/Authors_Primary&gt;&lt;Authors_Primary&gt;Goodman,D.C.&lt;/Authors_Primary&gt;&lt;Authors_Primary&gt;Stukel,T.A.&lt;/Authors_Primary&gt;&lt;Date_Primary&gt;2010/6&lt;/Date_Primary&gt;&lt;Keywords&gt;Canada&lt;/Keywords&gt;&lt;Keywords&gt;Child&lt;/Keywords&gt;&lt;Keywords&gt;Child Health Services&lt;/Keywords&gt;&lt;Keywords&gt;children&lt;/Keywords&gt;&lt;Keywords&gt;Chronic Disease&lt;/Keywords&gt;&lt;Keywords&gt;control&lt;/Keywords&gt;&lt;Keywords&gt;Cross-Sectional Studies&lt;/Keywords&gt;&lt;Keywords&gt;data&lt;/Keywords&gt;&lt;Keywords&gt;Disease&lt;/Keywords&gt;&lt;Keywords&gt;distribution&lt;/Keywords&gt;&lt;Keywords&gt;Emergencies&lt;/Keywords&gt;&lt;Keywords&gt;emergency department&lt;/Keywords&gt;&lt;Keywords&gt;Emergency Service,Hospital&lt;/Keywords&gt;&lt;Keywords&gt;Health&lt;/Keywords&gt;&lt;Keywords&gt;Health Services Accessibility&lt;/Keywords&gt;&lt;Keywords&gt;Health Services Research&lt;/Keywords&gt;&lt;Keywords&gt;Humans&lt;/Keywords&gt;&lt;Keywords&gt;Income&lt;/Keywords&gt;&lt;Keywords&gt;manpower&lt;/Keywords&gt;&lt;Keywords&gt;methods&lt;/Keywords&gt;&lt;Keywords&gt;Odds Ratio&lt;/Keywords&gt;&lt;Keywords&gt;Ontario&lt;/Keywords&gt;&lt;Keywords&gt;outcome&lt;/Keywords&gt;&lt;Keywords&gt;Outcome and Process Assessment (Health Care)&lt;/Keywords&gt;&lt;Keywords&gt;Physicians&lt;/Keywords&gt;&lt;Keywords&gt;Primary Health Care&lt;/Keywords&gt;&lt;Keywords&gt;research&lt;/Keywords&gt;&lt;Keywords&gt;results&lt;/Keywords&gt;&lt;Keywords&gt;Science&lt;/Keywords&gt;&lt;Keywords&gt;statistics &amp;amp; numerical data&lt;/Keywords&gt;&lt;Keywords&gt;studies&lt;/Keywords&gt;&lt;Keywords&gt;supply &amp;amp; distribution&lt;/Keywords&gt;&lt;Keywords&gt;Survey&lt;/Keywords&gt;&lt;Keywords&gt;Toronto&lt;/Keywords&gt;&lt;Keywords&gt;utilization&lt;/Keywords&gt;&lt;Reprint&gt;Not in File&lt;/Reprint&gt;&lt;Start_Page&gt;1119&lt;/Start_Page&gt;&lt;End_Page&gt;1126&lt;/End_Page&gt;&lt;Periodical&gt;Pediatrics&lt;/Periodical&gt;&lt;Volume&gt;125&lt;/Volume&gt;&lt;Issue&gt;6&lt;/Issue&gt;&lt;Address&gt;Institute for Clinical Evaluative Sciences, 2075 Bayview Ave, G106, Toronto, Ontario, Canada M4N 3M5. astrid.guttmann@ices.on.ca&lt;/Address&gt;&lt;Web_URL&gt;PM:20498170&lt;/Web_URL&gt;&lt;ZZ_JournalStdAbbrev&gt;&lt;f name="System"&gt;Pediatrics&lt;/f&gt;&lt;/ZZ_JournalStdAbbrev&gt;&lt;ZZ_WorkformID&gt;1&lt;/ZZ_WorkformID&gt;&lt;/MDL&gt;&lt;/Cite&gt;&lt;/Refman&gt;</w:instrText>
      </w:r>
      <w:r>
        <w:fldChar w:fldCharType="separate"/>
      </w:r>
      <w:bookmarkStart w:id="15" w:name="__Fieldmark__929_1322453857"/>
      <w:r>
        <w:rPr>
          <w:vertAlign w:val="superscript"/>
        </w:rPr>
        <w:t>37</w:t>
      </w:r>
      <w:r>
        <w:rPr>
          <w:vertAlign w:val="superscript"/>
        </w:rPr>
      </w:r>
      <w:r>
        <w:fldChar w:fldCharType="end"/>
      </w:r>
      <w:bookmarkEnd w:id="15"/>
      <w:r>
        <w:rPr/>
        <w:t xml:space="preserve"> In the spirit of defining medical homes, we linked Ontario residents to their UPC in the following hierarchical manner. Residents were linked to the physician to whom they were rostered at the midpoint of the period since this physician was contractually responsible for their primary care; rostered residents who died before the midpoint were linked to their last PC physician. Non-rostered residents were linked to the PC physician who provided most of their core PC services based on a set of billing codes used by the Ontario Ministry of Health to determine virtual patient rosters (Appendix A). The remaining unlinked residents were linked to the PC (preferentially) or other physician who provided the greatest number of ambulatory services, including visits, laboratory tests, diagnostic tests and prescriptions, counting each type of service once per patient per day. Residents with no ambulatory contact with a physician were not linked to a UPC. </w:t>
      </w:r>
    </w:p>
    <w:p>
      <w:pPr>
        <w:pStyle w:val="Normal"/>
        <w:spacing w:lineRule="auto" w:line="480"/>
        <w:rPr/>
      </w:pPr>
      <w:r>
        <w:rPr/>
      </w:r>
    </w:p>
    <w:p>
      <w:pPr>
        <w:pStyle w:val="Normal"/>
        <w:spacing w:lineRule="auto" w:line="480"/>
        <w:rPr/>
      </w:pPr>
      <w:r>
        <w:rPr/>
        <w:t>Linkage of Physicians to Hospitals</w:t>
      </w:r>
    </w:p>
    <w:p>
      <w:pPr>
        <w:pStyle w:val="Normal"/>
        <w:spacing w:lineRule="auto" w:line="480"/>
        <w:rPr/>
      </w:pPr>
      <w:r>
        <w:rPr/>
        <w:t>We linked specialists to the acute care hospital where they provided the highest volume of inpatient services, including visits, procedures, imaging and diagnostic tests billed during the admission. We did not include same-day surgery or ED visits. Several specialists could provide services to the same inpatient.</w:t>
      </w:r>
    </w:p>
    <w:p>
      <w:pPr>
        <w:pStyle w:val="Normal"/>
        <w:spacing w:lineRule="auto" w:line="480"/>
        <w:rPr/>
      </w:pPr>
      <w:r>
        <w:rPr/>
      </w:r>
    </w:p>
    <w:p>
      <w:pPr>
        <w:pStyle w:val="Normal"/>
        <w:spacing w:lineRule="auto" w:line="480"/>
        <w:rPr/>
      </w:pPr>
      <w:r>
        <w:rPr/>
        <w:t>PC physicians were linked to the hospital where most of their UPC patient panel was admitted. We reasoned that this hospital would be responsible for discharge planning for their patients. We used non-maternal medical admissions for hospital assignment since the focus for chronic disease patients is avoidable medical admissions; surgery is often regionalized and maternal admissions are not avoidable. Each admitted patient was counted once in order that those who were admitted more frequently would not bias the assignment; for those admitted to &gt;1 hospital, we weighted each admission proportionally to the total number of admissions for that patient. Unlinked rostering physicians were linked to the hospital where most physicians in their PC group were assigned.</w:t>
      </w:r>
    </w:p>
    <w:p>
      <w:pPr>
        <w:pStyle w:val="Normal"/>
        <w:spacing w:lineRule="auto" w:line="480"/>
        <w:rPr/>
      </w:pPr>
      <w:r>
        <w:rPr/>
      </w:r>
    </w:p>
    <w:p>
      <w:pPr>
        <w:pStyle w:val="Normal"/>
        <w:autoSpaceDE w:val="false"/>
        <w:spacing w:lineRule="auto" w:line="480" w:before="0" w:after="60"/>
        <w:rPr/>
      </w:pPr>
      <w:r>
        <w:rPr/>
        <w:t>Linkage of Residents to Hospitals</w:t>
      </w:r>
    </w:p>
    <w:p>
      <w:pPr>
        <w:pStyle w:val="Normal"/>
        <w:autoSpaceDE w:val="false"/>
        <w:spacing w:lineRule="auto" w:line="480" w:before="0" w:after="60"/>
        <w:rPr/>
      </w:pPr>
      <w:r>
        <w:rPr/>
        <w:t xml:space="preserve">Ontario residents were linked to the hospital where their UPC physician was assigned as this would likely be the hospital responsible for their discharge planning. Unlinked residents who were admitted to a hospital or seen in the ED during FY08-10 were directly linked to this hospital. </w:t>
      </w:r>
    </w:p>
    <w:p>
      <w:pPr>
        <w:pStyle w:val="Normal"/>
        <w:spacing w:lineRule="auto" w:line="480"/>
        <w:rPr/>
      </w:pPr>
      <w:r>
        <w:rPr/>
      </w:r>
    </w:p>
    <w:p>
      <w:pPr>
        <w:pStyle w:val="Normal"/>
        <w:spacing w:lineRule="auto" w:line="480"/>
        <w:rPr/>
      </w:pPr>
      <w:r>
        <w:rPr/>
        <w:t>Aggregation of Provider Clusters to form Networks</w:t>
      </w:r>
    </w:p>
    <w:p>
      <w:pPr>
        <w:pStyle w:val="Normal"/>
        <w:autoSpaceDE w:val="false"/>
        <w:spacing w:lineRule="auto" w:line="480" w:before="0" w:after="60"/>
        <w:rPr/>
      </w:pPr>
      <w:r>
        <w:rPr/>
        <w:t xml:space="preserve">A </w:t>
      </w:r>
      <w:r>
        <w:rPr>
          <w:u w:val="single"/>
        </w:rPr>
        <w:t>provider cluster</w:t>
      </w:r>
      <w:r>
        <w:rPr/>
        <w:t xml:space="preserve"> comprised the population and physicians linked to a particular hospital. We combined provider clusters to derive multispecialty physician networks, aggregating small clusters that shared patients and were in close proximity so that the resulting network had a minimum population size and included at least one medium or large hospital. A </w:t>
      </w:r>
      <w:r>
        <w:rPr>
          <w:u w:val="single"/>
        </w:rPr>
        <w:t>network</w:t>
      </w:r>
      <w:r>
        <w:rPr/>
        <w:t xml:space="preserve"> consisted of the combined population, physicians and hospitals linked to its component provider clusters. A </w:t>
      </w:r>
      <w:r>
        <w:rPr>
          <w:u w:val="single"/>
        </w:rPr>
        <w:t>satellite network</w:t>
      </w:r>
      <w:r>
        <w:rPr/>
        <w:t xml:space="preserve"> was a collection of small, rural provider clusters that were geographically distant from the large hospital upon which they depended for complex services. The population served and the local services provided were very different from that in the nearest large provider cluster. Depending on the purpose, it could always be aggregated to the nearest network. A glossary of terms is provided for clarity (Appendix B).</w:t>
      </w:r>
    </w:p>
    <w:p>
      <w:pPr>
        <w:pStyle w:val="Normal"/>
        <w:autoSpaceDE w:val="false"/>
        <w:spacing w:lineRule="auto" w:line="480" w:before="0" w:after="60"/>
        <w:rPr/>
      </w:pPr>
      <w:r>
        <w:rPr/>
      </w:r>
    </w:p>
    <w:p>
      <w:pPr>
        <w:pStyle w:val="Normal"/>
        <w:autoSpaceDE w:val="false"/>
        <w:spacing w:lineRule="auto" w:line="480" w:before="0" w:after="60"/>
        <w:rPr/>
      </w:pPr>
      <w:r>
        <w:rPr/>
        <w:t xml:space="preserve">We defined an index of localization that measured the extent of self-containment of provider clusters and networks. </w:t>
      </w:r>
      <w:r>
        <w:rPr>
          <w:u w:val="single"/>
        </w:rPr>
        <w:t>Admission loyalty</w:t>
      </w:r>
      <w:r>
        <w:rPr/>
        <w:t xml:space="preserve"> was defined as the percent of a provider cluster population’s total admissions that were to the assigned hospital. </w:t>
      </w:r>
      <w:r>
        <w:rPr>
          <w:u w:val="single"/>
        </w:rPr>
        <w:t>Physician loyalty</w:t>
      </w:r>
      <w:r>
        <w:rPr/>
        <w:t xml:space="preserve"> was defined as the percent of a provider cluster population’s ambulatory visits that were with physicians linked to the cluster. Similar loyalty measures were computed using network populations (Appendix B). High loyalty implies that network providers deliver most of the care for their assigned population.</w:t>
      </w:r>
    </w:p>
    <w:p>
      <w:pPr>
        <w:pStyle w:val="Normal"/>
        <w:autoSpaceDE w:val="false"/>
        <w:spacing w:lineRule="auto" w:line="480" w:before="0" w:after="60"/>
        <w:rPr/>
      </w:pPr>
      <w:r>
        <w:rPr/>
      </w:r>
    </w:p>
    <w:p>
      <w:pPr>
        <w:pStyle w:val="Normal"/>
        <w:autoSpaceDE w:val="false"/>
        <w:spacing w:lineRule="auto" w:line="480" w:before="0" w:after="60"/>
        <w:rPr/>
      </w:pPr>
      <w:r>
        <w:rPr/>
        <w:t>To aggregate provider clusters, we reviewed the top 4 admission and physician loyalties of each cluster’s population to itself and other clusters to determine where the population was primarily seeking care. We computed travel times between centroids of hospital postal codes with a Geographic Information System (GIS) system that used posted speed limits on the road network. Using a combination of high admission and physician loyalty, indicating shared patients, close geographic proximity, and GIS mapping, we aggregated small provider clusters to form networks of minimum population size 50,000, where possible, respecting hospital governance structures. The minimum population size was based on having sufficient patients to accurately measure network performance for chronic diseases with prevalence &lt;10%, and being sufficiently large to provide a range of healthcare services and implement system improvements.</w:t>
      </w:r>
      <w:r>
        <w:fldChar w:fldCharType="begin"/>
      </w:r>
      <w:r>
        <w:instrText> ADDIN REFMGR.CITE &lt;Refman&gt;&lt;Cite&gt;&lt;Author&gt;Shortell&lt;/Author&gt;&lt;Year&gt;2008&lt;/Year&gt;&lt;RecNum&gt;1339&lt;/RecNum&gt;&lt;IDText&gt;Health care reform requires accountable care systems&lt;/IDText&gt;&lt;MDL Ref_Type="Journal"&gt;&lt;Ref_Type&gt;Journal&lt;/Ref_Type&gt;&lt;Ref_ID&gt;1339&lt;/Ref_ID&gt;&lt;Title_Primary&gt;Health care reform requires accountable care systems&lt;/Title_Primary&gt;&lt;Authors_Primary&gt;Shortell,S.M.&lt;/Authors_Primary&gt;&lt;Date_Primary&gt;2008/7/2&lt;/Date_Primary&gt;&lt;Keywords&gt;Health&lt;/Keywords&gt;&lt;Keywords&gt;Health Care Reform&lt;/Keywords&gt;&lt;Start_Page&gt;95&lt;/Start_Page&gt;&lt;End_Page&gt;97&lt;/End_Page&gt;&lt;Periodical&gt;JAMA&lt;/Periodical&gt;&lt;Volume&gt;300&lt;/Volume&gt;&lt;Issue&gt;1&lt;/Issue&gt;&lt;ZZ_JournalStdAbbrev&gt;&lt;f name="System"&gt;JAMA&lt;/f&gt;&lt;/ZZ_JournalStdAbbrev&gt;&lt;ZZ_WorkformID&gt;1&lt;/ZZ_WorkformID&gt;&lt;/MDL&gt;&lt;/Cite&gt;&lt;/Refman&gt;</w:instrText>
      </w:r>
      <w:r>
        <w:fldChar w:fldCharType="separate"/>
      </w:r>
      <w:bookmarkStart w:id="16" w:name="__Fieldmark__930_1322453857"/>
      <w:r>
        <w:rPr>
          <w:vertAlign w:val="superscript"/>
        </w:rPr>
        <w:t>29</w:t>
      </w:r>
      <w:bookmarkEnd w:id="16"/>
      <w:r>
        <w:rPr>
          <w:vertAlign w:val="superscript"/>
        </w:rPr>
      </w:r>
      <w:r>
        <w:fldChar w:fldCharType="end"/>
      </w:r>
    </w:p>
    <w:p>
      <w:pPr>
        <w:pStyle w:val="Normal"/>
        <w:autoSpaceDE w:val="false"/>
        <w:spacing w:lineRule="auto" w:line="480" w:before="0" w:after="60"/>
        <w:rPr/>
      </w:pPr>
      <w:r>
        <w:rPr/>
      </w:r>
    </w:p>
    <w:p>
      <w:pPr>
        <w:pStyle w:val="Normal"/>
        <w:autoSpaceDE w:val="false"/>
        <w:spacing w:lineRule="auto" w:line="480" w:before="0" w:after="60"/>
        <w:rPr/>
      </w:pPr>
      <w:r>
        <w:rPr/>
        <w:t>Table 1 shows an example of aggregating provider cluster A having 27,474 patients to a larger cluster. Provider cluster A’s admission loyalty to itself is moderate (54%) since it is small and has few specialists (N=4) so that patients are admitted to larger, nearby hospitals for serious conditions. Provider B is further away than provider C but it is linked to A by a major highway, and its main hospital is a large tertiary center. Cluster A’s residents travel more frequently to B than to C for care, as evidenced by a higher percentage of admissions and ambulatory visits to providers in B. We, therefore, aggregated provider cluster A with cluster B.</w:t>
      </w:r>
    </w:p>
    <w:p>
      <w:pPr>
        <w:pStyle w:val="Normal"/>
        <w:autoSpaceDE w:val="false"/>
        <w:spacing w:lineRule="auto" w:line="480" w:before="0" w:after="60"/>
        <w:rPr/>
      </w:pPr>
      <w:r>
        <w:rPr/>
      </w:r>
    </w:p>
    <w:p>
      <w:pPr>
        <w:pStyle w:val="Normal"/>
        <w:spacing w:lineRule="auto" w:line="480"/>
        <w:rPr/>
      </w:pPr>
      <w:r>
        <w:rPr/>
        <w:t>Characteristics of Physician Networks</w:t>
      </w:r>
      <w:r>
        <w:rPr>
          <w:b/>
        </w:rPr>
        <w:t xml:space="preserve"> </w:t>
      </w:r>
    </w:p>
    <w:p>
      <w:pPr>
        <w:pStyle w:val="Normal"/>
        <w:spacing w:lineRule="auto" w:line="480"/>
        <w:rPr/>
      </w:pPr>
      <w:r>
        <w:rPr/>
        <w:t>We report network population characteristics, computing median, 10</w:t>
      </w:r>
      <w:r>
        <w:rPr>
          <w:vertAlign w:val="superscript"/>
        </w:rPr>
        <w:t>th</w:t>
      </w:r>
      <w:r>
        <w:rPr/>
        <w:t xml:space="preserve"> and 90</w:t>
      </w:r>
      <w:r>
        <w:rPr>
          <w:vertAlign w:val="superscript"/>
        </w:rPr>
        <w:t>th</w:t>
      </w:r>
      <w:r>
        <w:rPr/>
        <w:t xml:space="preserve"> percentiles, weighting by network population. Characteristics include network size, loyalty, distance between residents and providers, sociodemographic information, prevalence of chronic diseases including diabetes, acute myocardial infarction, congestive heart failure, hypertension, chronic obstructive pulmonary disease, and asthma using chart-validated algorithms,</w:t>
      </w:r>
      <w:r>
        <w:fldChar w:fldCharType="begin"/>
      </w:r>
      <w:r>
        <w:instrText> ADDIN REFMGR.CITE &lt;Refman&gt;&lt;Cite&gt;&lt;Author&gt;Austin&lt;/Author&gt;&lt;Year&gt;2002&lt;/Year&gt;&lt;RecNum&gt;1317&lt;/RecNum&gt;&lt;IDText&gt;A multicenter study of the coding accuracy of hospital discharge administrative data for patients admitted to cardiac care units in Ontario&lt;/IDText&gt;&lt;MDL Ref_Type="Journal"&gt;&lt;Ref_Type&gt;Journal&lt;/Ref_Type&gt;&lt;Ref_ID&gt;1317&lt;/Ref_ID&gt;&lt;Title_Primary&gt;A multicenter study of the coding accuracy of hospital discharge administrative data for patients admitted to cardiac care units in Ontario&lt;/Title_Primary&gt;&lt;Authors_Primary&gt;Austin,P.C.&lt;/Authors_Primary&gt;&lt;Authors_Primary&gt;Daly,P.A.&lt;/Authors_Primary&gt;&lt;Authors_Primary&gt;Tu,J.V.&lt;/Authors_Primary&gt;&lt;Date_Primary&gt;2002/8&lt;/Date_Primary&gt;&lt;Keywords&gt;Aged&lt;/Keywords&gt;&lt;Keywords&gt;Angina,Unstable&lt;/Keywords&gt;&lt;Keywords&gt;Arrhythmias,Cardiac&lt;/Keywords&gt;&lt;Keywords&gt;Canada&lt;/Keywords&gt;&lt;Keywords&gt;Chest Pain&lt;/Keywords&gt;&lt;Keywords&gt;classification&lt;/Keywords&gt;&lt;Keywords&gt;cohort&lt;/Keywords&gt;&lt;Keywords&gt;Coronary Artery Disease&lt;/Keywords&gt;&lt;Keywords&gt;Coronary Care Units&lt;/Keywords&gt;&lt;Keywords&gt;Coronary Disease&lt;/Keywords&gt;&lt;Keywords&gt;data&lt;/Keywords&gt;&lt;Keywords&gt;diagnosis&lt;/Keywords&gt;&lt;Keywords&gt;Diagnosis-Related Groups&lt;/Keywords&gt;&lt;Keywords&gt;Disease&lt;/Keywords&gt;&lt;Keywords&gt;etiology&lt;/Keywords&gt;&lt;Keywords&gt;Evaluation Studies&lt;/Keywords&gt;&lt;Keywords&gt;Female&lt;/Keywords&gt;&lt;Keywords&gt;Forms and Records Control&lt;/Keywords&gt;&lt;Keywords&gt;Health&lt;/Keywords&gt;&lt;Keywords&gt;Health Services&lt;/Keywords&gt;&lt;Keywords&gt;Heart Failure&lt;/Keywords&gt;&lt;Keywords&gt;Humans&lt;/Keywords&gt;&lt;Keywords&gt;Male&lt;/Keywords&gt;&lt;Keywords&gt;Medical Record Linkage&lt;/Keywords&gt;&lt;Keywords&gt;methods&lt;/Keywords&gt;&lt;Keywords&gt;Multicenter Studies&lt;/Keywords&gt;&lt;Keywords&gt;Myocardial Infarction&lt;/Keywords&gt;&lt;Keywords&gt;Ontario&lt;/Keywords&gt;&lt;Keywords&gt;organization &amp;amp; administration&lt;/Keywords&gt;&lt;Keywords&gt;outcome&lt;/Keywords&gt;&lt;Keywords&gt;Pain&lt;/Keywords&gt;&lt;Keywords&gt;Patient Discharge&lt;/Keywords&gt;&lt;Keywords&gt;Patients&lt;/Keywords&gt;&lt;Keywords&gt;Predictive Value of Tests&lt;/Keywords&gt;&lt;Keywords&gt;Registries&lt;/Keywords&gt;&lt;Keywords&gt;research&lt;/Keywords&gt;&lt;Keywords&gt;results&lt;/Keywords&gt;&lt;Keywords&gt;Sensitivity and Specificity&lt;/Keywords&gt;&lt;Keywords&gt;standards&lt;/Keywords&gt;&lt;Keywords&gt;statistics &amp;amp; numerical data&lt;/Keywords&gt;&lt;Keywords&gt;studies&lt;/Keywords&gt;&lt;Keywords&gt;Syndrome&lt;/Keywords&gt;&lt;Keywords&gt;Toronto&lt;/Keywords&gt;&lt;Keywords&gt;utilization&lt;/Keywords&gt;&lt;Reprint&gt;Not in File&lt;/Reprint&gt;&lt;Start_Page&gt;290&lt;/Start_Page&gt;&lt;End_Page&gt;296&lt;/End_Page&gt;&lt;Periodical&gt;Am Heart J&lt;/Periodical&gt;&lt;Volume&gt;144&lt;/Volume&gt;&lt;Issue&gt;2&lt;/Issue&gt;&lt;Address&gt;Institute for Clinical Evaluative Sciences, University of Toronto, Toronto, Ontario, Canada. peter.austin@ices.on.ca&lt;/Address&gt;&lt;Web_URL&gt;PM:12177647&lt;/Web_URL&gt;&lt;ZZ_JournalStdAbbrev&gt;&lt;f name="System"&gt;Am Heart J&lt;/f&gt;&lt;/ZZ_JournalStdAbbrev&gt;&lt;ZZ_WorkformID&gt;1&lt;/ZZ_WorkformID&gt;&lt;/MDL&gt;&lt;/Cite&gt;&lt;Cite&gt;&lt;Author&gt;Hux&lt;/Author&gt;&lt;Year&gt;2002&lt;/Year&gt;&lt;RecNum&gt;452&lt;/RecNum&gt;&lt;IDText&gt;Diabetes in Ontario: determination of prevalence and incidence using a validated administrative data algorithm&lt;/IDText&gt;&lt;MDL Ref_Type="Journal"&gt;&lt;Ref_Type&gt;Journal&lt;/Ref_Type&gt;&lt;Ref_ID&gt;452&lt;/Ref_ID&gt;&lt;Title_Primary&gt;Diabetes in Ontario: determination of prevalence and incidence using a validated administrative data algorithm&lt;/Title_Primary&gt;&lt;Authors_Primary&gt;Hux,J.E.&lt;/Authors_Primary&gt;&lt;Authors_Primary&gt;Ivis,F.&lt;/Authors_Primary&gt;&lt;Authors_Primary&gt;Flintoft,V.&lt;/Authors_Primary&gt;&lt;Authors_Primary&gt;Bica,A.&lt;/Authors_Primary&gt;&lt;Date_Primary&gt;2002/3&lt;/Date_Primary&gt;&lt;Keywords&gt;Adult&lt;/Keywords&gt;&lt;Keywords&gt;Algorithms&lt;/Keywords&gt;&lt;Keywords&gt;Canada&lt;/Keywords&gt;&lt;Keywords&gt;cohort&lt;/Keywords&gt;&lt;Keywords&gt;data&lt;/Keywords&gt;&lt;Keywords&gt;design&lt;/Keywords&gt;&lt;Keywords&gt;Diabetes Mellitus&lt;/Keywords&gt;&lt;Keywords&gt;diagnosis&lt;/Keywords&gt;&lt;Keywords&gt;distribution&lt;/Keywords&gt;&lt;Keywords&gt;epidemiology&lt;/Keywords&gt;&lt;Keywords&gt;Geography&lt;/Keywords&gt;&lt;Keywords&gt;Health&lt;/Keywords&gt;&lt;Keywords&gt;Human&lt;/Keywords&gt;&lt;Keywords&gt;Incidence&lt;/Keywords&gt;&lt;Keywords&gt;methods&lt;/Keywords&gt;&lt;Keywords&gt;Ontario&lt;/Keywords&gt;&lt;Keywords&gt;Physicians&lt;/Keywords&gt;&lt;Keywords&gt;population&lt;/Keywords&gt;&lt;Keywords&gt;Prevalence&lt;/Keywords&gt;&lt;Keywords&gt;Registries&lt;/Keywords&gt;&lt;Keywords&gt;Reproducibility of Results&lt;/Keywords&gt;&lt;Keywords&gt;research&lt;/Keywords&gt;&lt;Keywords&gt;Research Design&lt;/Keywords&gt;&lt;Keywords&gt;Retrospective Studies&lt;/Keywords&gt;&lt;Keywords&gt;Sensitivity and Specificity&lt;/Keywords&gt;&lt;Keywords&gt;Statistics&lt;/Keywords&gt;&lt;Keywords&gt;Support,Non-U.S.Gov&amp;apos;t&lt;/Keywords&gt;&lt;Keywords&gt;Time&lt;/Keywords&gt;&lt;Keywords&gt;Toronto&lt;/Keywords&gt;&lt;Keywords&gt;validation&lt;/Keywords&gt;&lt;Keywords&gt;Vital Statistics&lt;/Keywords&gt;&lt;Reprint&gt;Not in File&lt;/Reprint&gt;&lt;Start_Page&gt;512&lt;/Start_Page&gt;&lt;End_Page&gt;516&lt;/End_Page&gt;&lt;Periodical&gt;Diabetes Care&lt;/Periodical&gt;&lt;Volume&gt;25&lt;/Volume&gt;&lt;Issue&gt;3&lt;/Issue&gt;&lt;Address&gt;Institute for Clinical Evaluative Sciences, Toronto, Canada. jan@ices.on.ca&lt;/Address&gt;&lt;Web_URL&gt;PM:11874939&lt;/Web_URL&gt;&lt;ZZ_JournalStdAbbrev&gt;&lt;f name="System"&gt;Diabetes Care&lt;/f&gt;&lt;/ZZ_JournalStdAbbrev&gt;&lt;ZZ_WorkformID&gt;1&lt;/ZZ_WorkformID&gt;&lt;/MDL&gt;&lt;/Cite&gt;&lt;Cite&gt;&lt;Author&gt;Lee&lt;/Author&gt;&lt;Year&gt;2005&lt;/Year&gt;&lt;RecNum&gt;1289&lt;/RecNum&gt;&lt;IDText&gt;Comparison of coding of heart failure and comorbidities in administrative and clinical data for use in outcomes research&lt;/IDText&gt;&lt;MDL Ref_Type="Journal"&gt;&lt;Ref_Type&gt;Journal&lt;/Ref_Type&gt;&lt;Ref_ID&gt;1289&lt;/Ref_ID&gt;&lt;Title_Primary&gt;Comparison of coding of heart failure and comorbidities in administrative and clinical data for use in outcomes research&lt;/Title_Primary&gt;&lt;Authors_Primary&gt;Lee,D.S.&lt;/Authors_Primary&gt;&lt;Authors_Primary&gt;Donovan,L.&lt;/Authors_Primary&gt;&lt;Authors_Primary&gt;Austin,P.C.&lt;/Authors_Primary&gt;&lt;Authors_Primary&gt;Gong,Y.&lt;/Authors_Primary&gt;&lt;Authors_Primary&gt;Liu,P.P.&lt;/Authors_Primary&gt;&lt;Authors_Primary&gt;Rouleau,J.L.&lt;/Authors_Primary&gt;&lt;Authors_Primary&gt;Tu,J.V.&lt;/Authors_Primary&gt;&lt;Date_Primary&gt;2005/2&lt;/Date_Primary&gt;&lt;Keywords&gt;Aged&lt;/Keywords&gt;&lt;Keywords&gt;Canada&lt;/Keywords&gt;&lt;Keywords&gt;Capillaries&lt;/Keywords&gt;&lt;Keywords&gt;classification&lt;/Keywords&gt;&lt;Keywords&gt;comorbidity&lt;/Keywords&gt;&lt;Keywords&gt;Comparative Study&lt;/Keywords&gt;&lt;Keywords&gt;data&lt;/Keywords&gt;&lt;Keywords&gt;Databases&lt;/Keywords&gt;&lt;Keywords&gt;diagnosis&lt;/Keywords&gt;&lt;Keywords&gt;epidemiology&lt;/Keywords&gt;&lt;Keywords&gt;Female&lt;/Keywords&gt;&lt;Keywords&gt;Forms and Records Control&lt;/Keywords&gt;&lt;Keywords&gt;Health&lt;/Keywords&gt;&lt;Keywords&gt;Health Services Administration&lt;/Keywords&gt;&lt;Keywords&gt;Heart Failure&lt;/Keywords&gt;&lt;Keywords&gt;hospitalization&lt;/Keywords&gt;&lt;Keywords&gt;Hospitals&lt;/Keywords&gt;&lt;Keywords&gt;Humans&lt;/Keywords&gt;&lt;Keywords&gt;Male&lt;/Keywords&gt;&lt;Keywords&gt;methods&lt;/Keywords&gt;&lt;Keywords&gt;Middle Aged&lt;/Keywords&gt;&lt;Keywords&gt;models&lt;/Keywords&gt;&lt;Keywords&gt;mortality&lt;/Keywords&gt;&lt;Keywords&gt;Odds Ratio&lt;/Keywords&gt;&lt;Keywords&gt;Ontario&lt;/Keywords&gt;&lt;Keywords&gt;outcome&lt;/Keywords&gt;&lt;Keywords&gt;Outcome Assessment (Health Care)&lt;/Keywords&gt;&lt;Keywords&gt;Predictive Value of Tests&lt;/Keywords&gt;&lt;Keywords&gt;Prevalence&lt;/Keywords&gt;&lt;Keywords&gt;Prognosis&lt;/Keywords&gt;&lt;Keywords&gt;research&lt;/Keywords&gt;&lt;Keywords&gt;results&lt;/Keywords&gt;&lt;Keywords&gt;statistics &amp;amp; numerical data&lt;/Keywords&gt;&lt;Keywords&gt;studies&lt;/Keywords&gt;&lt;Keywords&gt;therapy&lt;/Keywords&gt;&lt;Keywords&gt;Toronto&lt;/Keywords&gt;&lt;Reprint&gt;Not in File&lt;/Reprint&gt;&lt;Start_Page&gt;182&lt;/Start_Page&gt;&lt;End_Page&gt;188&lt;/End_Page&gt;&lt;Periodical&gt;Med Care&lt;/Periodical&gt;&lt;Volume&gt;43&lt;/Volume&gt;&lt;Issue&gt;2&lt;/Issue&gt;&lt;Address&gt;Institute for Clinical Evaluative Sciences, Toronto, Canada&lt;/Address&gt;&lt;Web_URL&gt;PM:15655432&lt;/Web_URL&gt;&lt;ZZ_JournalStdAbbrev&gt;&lt;f name="System"&gt;Med Care&lt;/f&gt;&lt;/ZZ_JournalStdAbbrev&gt;&lt;ZZ_WorkformID&gt;1&lt;/ZZ_WorkformID&gt;&lt;/MDL&gt;&lt;/Cite&gt;&lt;Cite&gt;&lt;Author&gt;Tu&lt;/Author&gt;&lt;Year&gt;2007&lt;/Year&gt;&lt;RecNum&gt;1290&lt;/RecNum&gt;&lt;IDText&gt;Accuracy of administrative databases in identifying patients with hypertension&lt;/IDText&gt;&lt;MDL Ref_Type="Journal"&gt;&lt;Ref_Type&gt;Journal&lt;/Ref_Type&gt;&lt;Ref_ID&gt;1290&lt;/Ref_ID&gt;&lt;Title_Primary&gt;Accuracy of administrative databases in identifying patients with hypertension&lt;/Title_Primary&gt;&lt;Authors_Primary&gt;Tu,K.&lt;/Authors_Primary&gt;&lt;Authors_Primary&gt;Campbell,N.&lt;/Authors_Primary&gt;&lt;Authors_Primary&gt;Chen,X.-L.&lt;/Authors_Primary&gt;&lt;Authors_Primary&gt;Cauch-Dudek,K.&lt;/Authors_Primary&gt;&lt;Authors_Primary&gt;McAlister,F.&lt;/Authors_Primary&gt;&lt;Date_Primary&gt;2007&lt;/Date_Primary&gt;&lt;Keywords&gt;Databases&lt;/Keywords&gt;&lt;Keywords&gt;Patients&lt;/Keywords&gt;&lt;Keywords&gt;Hypertension&lt;/Keywords&gt;&lt;Reprint&gt;Not in File&lt;/Reprint&gt;&lt;Start_Page&gt;18&lt;/Start_Page&gt;&lt;End_Page&gt;26&lt;/End_Page&gt;&lt;Periodical&gt;Open Medicine&lt;/Periodical&gt;&lt;Volume&gt;1&lt;/Volume&gt;&lt;Issue&gt;1&lt;/Issue&gt;&lt;ZZ_JournalFull&gt;&lt;f name="System"&gt;Open Medicine&lt;/f&gt;&lt;/ZZ_JournalFull&gt;&lt;ZZ_WorkformID&gt;1&lt;/ZZ_WorkformID&gt;&lt;/MDL&gt;&lt;/Cite&gt;&lt;Cite&gt;&lt;Author&gt;Gershon&lt;/Author&gt;&lt;Year&gt;2009&lt;/Year&gt;&lt;RecNum&gt;1614&lt;/RecNum&gt;&lt;IDText&gt;Identifying individuals with physcian diagnosed COPD in health administrative databases&lt;/IDText&gt;&lt;MDL Ref_Type="Journal"&gt;&lt;Ref_Type&gt;Journal&lt;/Ref_Type&gt;&lt;Ref_ID&gt;1614&lt;/Ref_ID&gt;&lt;Title_Primary&gt;Identifying individuals with physcian diagnosed COPD in health administrative databases&lt;/Title_Primary&gt;&lt;Authors_Primary&gt;Gershon,A.S.&lt;/Authors_Primary&gt;&lt;Authors_Primary&gt;Wang,C.&lt;/Authors_Primary&gt;&lt;Authors_Primary&gt;Guan,J.&lt;/Authors_Primary&gt;&lt;Authors_Primary&gt;Vasilevska-Ristovska,J.&lt;/Authors_Primary&gt;&lt;Authors_Primary&gt;Cicutto,L.&lt;/Authors_Primary&gt;&lt;Authors_Primary&gt;To,T.&lt;/Authors_Primary&gt;&lt;Date_Primary&gt;2009/10&lt;/Date_Primary&gt;&lt;Keywords&gt;Adult&lt;/Keywords&gt;&lt;Keywords&gt;Aged&lt;/Keywords&gt;&lt;Keywords&gt;Canada&lt;/Keywords&gt;&lt;Keywords&gt;children&lt;/Keywords&gt;&lt;Keywords&gt;cohort&lt;/Keywords&gt;&lt;Keywords&gt;Comparative Study&lt;/Keywords&gt;&lt;Keywords&gt;data&lt;/Keywords&gt;&lt;Keywords&gt;Data Interpretation,Statistical&lt;/Keywords&gt;&lt;Keywords&gt;Databases&lt;/Keywords&gt;&lt;Keywords&gt;diagnosis&lt;/Keywords&gt;&lt;Keywords&gt;Disease&lt;/Keywords&gt;&lt;Keywords&gt;epidemiology&lt;/Keywords&gt;&lt;Keywords&gt;Female&lt;/Keywords&gt;&lt;Keywords&gt;Health&lt;/Keywords&gt;&lt;Keywords&gt;Health Services Administration&lt;/Keywords&gt;&lt;Keywords&gt;hospitalization&lt;/Keywords&gt;&lt;Keywords&gt;Humans&lt;/Keywords&gt;&lt;Keywords&gt;Male&lt;/Keywords&gt;&lt;Keywords&gt;medical&lt;/Keywords&gt;&lt;Keywords&gt;Medical Records&lt;/Keywords&gt;&lt;Keywords&gt;Middle Aged&lt;/Keywords&gt;&lt;Keywords&gt;Morbidity&lt;/Keywords&gt;&lt;Keywords&gt;mortality&lt;/Keywords&gt;&lt;Keywords&gt;Ontario&lt;/Keywords&gt;&lt;Keywords&gt;Patients&lt;/Keywords&gt;&lt;Keywords&gt;Physicians&lt;/Keywords&gt;&lt;Keywords&gt;population&lt;/Keywords&gt;&lt;Keywords&gt;Primary Health Care&lt;/Keywords&gt;&lt;Keywords&gt;Pulmonary Disease,Chronic Obstructive&lt;/Keywords&gt;&lt;Keywords&gt;research&lt;/Keywords&gt;&lt;Keywords&gt;Retrospective Studies&lt;/Keywords&gt;&lt;Keywords&gt;statistics &amp;amp; numerical data&lt;/Keywords&gt;&lt;Keywords&gt;studies&lt;/Keywords&gt;&lt;Keywords&gt;Toronto&lt;/Keywords&gt;&lt;Keywords&gt;trends&lt;/Keywords&gt;&lt;Reprint&gt;Not in File&lt;/Reprint&gt;&lt;Start_Page&gt;388&lt;/Start_Page&gt;&lt;End_Page&gt;394&lt;/End_Page&gt;&lt;Periodical&gt;COPD&lt;/Periodical&gt;&lt;Volume&gt;6&lt;/Volume&gt;&lt;Issue&gt;5&lt;/Issue&gt;&lt;Address&gt;The Hospital For Sick Children, Toronto, Ontario, Canada. andrea.gershon@ices.on.ca&lt;/Address&gt;&lt;Web_URL&gt;PM:19863368&lt;/Web_URL&gt;&lt;ZZ_JournalStdAbbrev&gt;&lt;f name="System"&gt;COPD&lt;/f&gt;&lt;/ZZ_JournalStdAbbrev&gt;&lt;ZZ_WorkformID&gt;1&lt;/ZZ_WorkformID&gt;&lt;/MDL&gt;&lt;/Cite&gt;&lt;Cite&gt;&lt;Author&gt;Gershon&lt;/Author&gt;&lt;Year&gt;2009&lt;/Year&gt;&lt;RecNum&gt;1615&lt;/RecNum&gt;&lt;IDText&gt;Identifying patients with physician-diagnosed asthma in health administrative databases&lt;/IDText&gt;&lt;MDL Ref_Type="Journal"&gt;&lt;Ref_Type&gt;Journal&lt;/Ref_Type&gt;&lt;Ref_ID&gt;1615&lt;/Ref_ID&gt;&lt;Title_Primary&gt;Identifying patients with physician-diagnosed asthma in health administrative databases&lt;/Title_Primary&gt;&lt;Authors_Primary&gt;Gershon,A.S.&lt;/Authors_Primary&gt;&lt;Authors_Primary&gt;Wang,C.&lt;/Authors_Primary&gt;&lt;Authors_Primary&gt;Guan,J.&lt;/Authors_Primary&gt;&lt;Authors_Primary&gt;Vasilevska-Ristovska,J.&lt;/Authors_Primary&gt;&lt;Authors_Primary&gt;Cicutto,L.&lt;/Authors_Primary&gt;&lt;Authors_Primary&gt;To,T.&lt;/Authors_Primary&gt;&lt;Date_Primary&gt;2009/11&lt;/Date_Primary&gt;&lt;Keywords&gt;Adult&lt;/Keywords&gt;&lt;Keywords&gt;Aged&lt;/Keywords&gt;&lt;Keywords&gt;Algorithms&lt;/Keywords&gt;&lt;Keywords&gt;Ambulatory Care&lt;/Keywords&gt;&lt;Keywords&gt;Asthma&lt;/Keywords&gt;&lt;Keywords&gt;Canada&lt;/Keywords&gt;&lt;Keywords&gt;children&lt;/Keywords&gt;&lt;Keywords&gt;cohort&lt;/Keywords&gt;&lt;Keywords&gt;Comparative Study&lt;/Keywords&gt;&lt;Keywords&gt;data&lt;/Keywords&gt;&lt;Keywords&gt;Data Collection&lt;/Keywords&gt;&lt;Keywords&gt;Databases&lt;/Keywords&gt;&lt;Keywords&gt;Databases,Factual&lt;/Keywords&gt;&lt;Keywords&gt;diagnosis&lt;/Keywords&gt;&lt;Keywords&gt;Disease&lt;/Keywords&gt;&lt;Keywords&gt;Female&lt;/Keywords&gt;&lt;Keywords&gt;Health&lt;/Keywords&gt;&lt;Keywords&gt;Humans&lt;/Keywords&gt;&lt;Keywords&gt;Male&lt;/Keywords&gt;&lt;Keywords&gt;Medical Records&lt;/Keywords&gt;&lt;Keywords&gt;methods&lt;/Keywords&gt;&lt;Keywords&gt;Middle Aged&lt;/Keywords&gt;&lt;Keywords&gt;Patients&lt;/Keywords&gt;&lt;Keywords&gt;population&lt;/Keywords&gt;&lt;Keywords&gt;Primary Health Care&lt;/Keywords&gt;&lt;Keywords&gt;research&lt;/Keywords&gt;&lt;Keywords&gt;results&lt;/Keywords&gt;&lt;Keywords&gt;Sensitivity and Specificity&lt;/Keywords&gt;&lt;Keywords&gt;studies&lt;/Keywords&gt;&lt;Keywords&gt;Toronto&lt;/Keywords&gt;&lt;Reprint&gt;Not in File&lt;/Reprint&gt;&lt;Start_Page&gt;183&lt;/Start_Page&gt;&lt;End_Page&gt;188&lt;/End_Page&gt;&lt;Periodical&gt;Can Respir J&lt;/Periodical&gt;&lt;Volume&gt;16&lt;/Volume&gt;&lt;Issue&gt;6&lt;/Issue&gt;&lt;Address&gt;The Hospital for Sick Children, Toronto, Canada. andrea.gershon@ices.on.ca&lt;/Address&gt;&lt;Web_URL&gt;PM:20011725&lt;/Web_URL&gt;&lt;ZZ_JournalStdAbbrev&gt;&lt;f name="System"&gt;Can Respir J&lt;/f&gt;&lt;/ZZ_JournalStdAbbrev&gt;&lt;ZZ_WorkformID&gt;1&lt;/ZZ_WorkformID&gt;&lt;/MDL&gt;&lt;/Cite&gt;&lt;/Refman&gt;</w:instrText>
      </w:r>
      <w:r>
        <w:fldChar w:fldCharType="separate"/>
      </w:r>
      <w:bookmarkStart w:id="17" w:name="__Fieldmark__931_1322453857"/>
      <w:r>
        <w:rPr>
          <w:vertAlign w:val="superscript"/>
        </w:rPr>
        <w:t>4,38-42</w:t>
      </w:r>
      <w:r>
        <w:rPr>
          <w:vertAlign w:val="superscript"/>
        </w:rPr>
      </w:r>
      <w:r>
        <w:fldChar w:fldCharType="end"/>
      </w:r>
      <w:bookmarkEnd w:id="17"/>
      <w:r>
        <w:rPr/>
        <w:t xml:space="preserve"> and PC model affiliation.</w:t>
      </w:r>
      <w:r>
        <w:fldChar w:fldCharType="begin"/>
      </w:r>
      <w:r>
        <w:instrText> ADDIN REFMGR.CITE &lt;Refman&gt;&lt;Cite&gt;&lt;Author&gt;Glazier&lt;/Author&gt;&lt;Year&gt;2012&lt;/Year&gt;&lt;RecNum&gt;1657&lt;/RecNum&gt;&lt;IDText&gt;Comparison of Primary Care Models in Ontario by Demographics, Case Mix and Emergency Department Use, 2008/9 to 2009/10&lt;/IDText&gt;&lt;MDL Ref_Type="Report"&gt;&lt;Ref_Type&gt;Report&lt;/Ref_Type&gt;&lt;Ref_ID&gt;1657&lt;/Ref_ID&gt;&lt;Title_Primary&gt;Comparison of Primary Care Models in Ontario by Demographics, Case Mix and Emergency Department Use, 2008/9 to 2009/10&lt;/Title_Primary&gt;&lt;Authors_Primary&gt;Glazier,R.H.&lt;/Authors_Primary&gt;&lt;Authors_Primary&gt;Zagorski,B.&lt;/Authors_Primary&gt;&lt;Authors_Primary&gt;Rayner,J.&lt;/Authors_Primary&gt;&lt;Date_Primary&gt;2012&lt;/Date_Primary&gt;&lt;Keywords&gt;models&lt;/Keywords&gt;&lt;Keywords&gt;Ontario&lt;/Keywords&gt;&lt;Keywords&gt;Emergencies&lt;/Keywords&gt;&lt;Keywords&gt;emergency department&lt;/Keywords&gt;&lt;Reprint&gt;Not in File&lt;/Reprint&gt;&lt;Publisher&gt;Institute for Clinical Evaluative Sciences&lt;/Publisher&gt;&lt;ZZ_WorkformID&gt;24&lt;/ZZ_WorkformID&gt;&lt;/MDL&gt;&lt;/Cite&gt;&lt;/Refman&gt;</w:instrText>
      </w:r>
      <w:r>
        <w:fldChar w:fldCharType="separate"/>
      </w:r>
      <w:bookmarkStart w:id="18" w:name="__Fieldmark__932_1322453857"/>
      <w:r>
        <w:rPr>
          <w:vertAlign w:val="superscript"/>
        </w:rPr>
        <w:t>43</w:t>
      </w:r>
      <w:r>
        <w:rPr>
          <w:vertAlign w:val="superscript"/>
        </w:rPr>
      </w:r>
      <w:r>
        <w:fldChar w:fldCharType="end"/>
      </w:r>
      <w:bookmarkEnd w:id="18"/>
      <w:r>
        <w:rPr/>
        <w:t xml:space="preserve"> </w:t>
      </w:r>
    </w:p>
    <w:p>
      <w:pPr>
        <w:pStyle w:val="Normal"/>
        <w:spacing w:lineRule="auto" w:line="480"/>
        <w:rPr/>
      </w:pPr>
      <w:r>
        <w:rPr/>
      </w:r>
    </w:p>
    <w:p>
      <w:pPr>
        <w:pStyle w:val="Normal"/>
        <w:spacing w:lineRule="auto" w:line="480"/>
        <w:rPr/>
      </w:pPr>
      <w:r>
        <w:rPr/>
        <w:t>Physician supply was calculated as full-time-equivalents (FTEs) per capita network population. FTEs were calculated using total payments from all sources, assigning an FTE of 1.00 to physicians who fell between the 40th and 60th percentiles, by specialty.</w:t>
      </w:r>
      <w:r>
        <w:fldChar w:fldCharType="begin"/>
      </w:r>
      <w:r>
        <w:instrText> ADDIN REFMGR.CITE &lt;Refman&gt;&lt;Cite&gt;&lt;Year&gt;2003&lt;/Year&gt;&lt;RecNum&gt;506&lt;/RecNum&gt;&lt;IDText&gt;Full-time Equivalent Physicians Report, Canada, 1999/2000 and 2000/2001&lt;/IDText&gt;&lt;MDL Ref_Type="Report"&gt;&lt;Ref_Type&gt;Report&lt;/Ref_Type&gt;&lt;Ref_ID&gt;506&lt;/Ref_ID&gt;&lt;Title_Primary&gt;Full-time Equivalent Physicians Report, Canada, 1999/2000 and 2000/2001&lt;/Title_Primary&gt;&lt;Date_Primary&gt;2003&lt;/Date_Primary&gt;&lt;Keywords&gt;Physicians&lt;/Keywords&gt;&lt;Keywords&gt;Canada&lt;/Keywords&gt;&lt;Reprint&gt;Not in File&lt;/Reprint&gt;&lt;Pub_Place&gt;Ottawa&lt;/Pub_Place&gt;&lt;Publisher&gt;Canadian Institute for Health Information&lt;/Publisher&gt;&lt;ZZ_WorkformID&gt;24&lt;/ZZ_WorkformID&gt;&lt;/MDL&gt;&lt;/Cite&gt;&lt;Cite&gt;&lt;Author&gt;Henry&lt;/Author&gt;&lt;Year&gt;2012&lt;/Year&gt;&lt;RecNum&gt;1658&lt;/RecNum&gt;&lt;IDText&gt;Payments to Ontario Physicians from Ministry of Health and Long-Term Care Sources, 1992/93 to 2009/10&lt;/IDText&gt;&lt;MDL Ref_Type="Report"&gt;&lt;Ref_Type&gt;Report&lt;/Ref_Type&gt;&lt;Ref_ID&gt;1658&lt;/Ref_ID&gt;&lt;Title_Primary&gt;Payments to Ontario Physicians from Ministry of Health and Long-Term Care Sources, 1992/93 to 2009/10&lt;/Title_Primary&gt;&lt;Authors_Primary&gt;Henry,D.&lt;/Authors_Primary&gt;&lt;Authors_Primary&gt;Schultz,S.&lt;/Authors_Primary&gt;&lt;Authors_Primary&gt;Glazier,R.H.&lt;/Authors_Primary&gt;&lt;Authors_Primary&gt;Bhatia,R.S.&lt;/Authors_Primary&gt;&lt;Authors_Primary&gt;Dhalla,I.A.&lt;/Authors_Primary&gt;&lt;Authors_Primary&gt;Laupacis,A.&lt;/Authors_Primary&gt;&lt;Date_Primary&gt;2012&lt;/Date_Primary&gt;&lt;Keywords&gt;Ontario&lt;/Keywords&gt;&lt;Keywords&gt;Physicians&lt;/Keywords&gt;&lt;Keywords&gt;Health&lt;/Keywords&gt;&lt;Keywords&gt;Long-Term Care&lt;/Keywords&gt;&lt;Reprint&gt;Not in File&lt;/Reprint&gt;&lt;Pub_Place&gt;Toronto&lt;/Pub_Place&gt;&lt;Publisher&gt;Institute for Clinical Evaluative Sciences&lt;/Publisher&gt;&lt;ZZ_WorkformID&gt;24&lt;/ZZ_WorkformID&gt;&lt;/MDL&gt;&lt;/Cite&gt;&lt;/Refman&gt;</w:instrText>
      </w:r>
      <w:r>
        <w:fldChar w:fldCharType="separate"/>
      </w:r>
      <w:bookmarkStart w:id="19" w:name="__Fieldmark__933_1322453857"/>
      <w:r>
        <w:rPr>
          <w:vertAlign w:val="superscript"/>
        </w:rPr>
        <w:t>44,45</w:t>
      </w:r>
      <w:r>
        <w:rPr>
          <w:vertAlign w:val="superscript"/>
        </w:rPr>
      </w:r>
      <w:r>
        <w:fldChar w:fldCharType="end"/>
      </w:r>
      <w:bookmarkEnd w:id="19"/>
      <w:r>
        <w:rPr/>
        <w:t xml:space="preserve"> PC continuity was measured as the proportion of ambulatory visits that were with one’s UPC.</w:t>
      </w:r>
      <w:r>
        <w:fldChar w:fldCharType="begin"/>
      </w:r>
      <w:r>
        <w:instrText> ADDIN REFMGR.CITE &lt;Refman&gt;&lt;Cite&gt;&lt;Author&gt;Jaakkimainen&lt;/Author&gt;&lt;Year&gt;2006&lt;/Year&gt;&lt;RecNum&gt;1139&lt;/RecNum&gt;&lt;IDText&gt;Primary Care in Ontario: ICES Atlas&lt;/IDText&gt;&lt;MDL Ref_Type="Book, Whole"&gt;&lt;Ref_Type&gt;Book, Whole&lt;/Ref_Type&gt;&lt;Ref_ID&gt;1139&lt;/Ref_ID&gt;&lt;Title_Primary&gt;&lt;f name="Frutiger-Roman"&gt;Primary Care in Ontario: ICES Atlas&lt;/f&gt;&lt;/Title_Primary&gt;&lt;Date_Primary&gt;2006&lt;/Date_Primary&gt;&lt;Keywords&gt;Ontario&lt;/Keywords&gt;&lt;Reprint&gt;Not in File&lt;/Reprint&gt;&lt;Authors_Secondary&gt;Jaakkimainen,L.&lt;/Authors_Secondary&gt;&lt;Authors_Secondary&gt;Upshur,R.E.G.&lt;/Authors_Secondary&gt;&lt;Authors_Secondary&gt;Klein-Geltink,J.E.&lt;/Authors_Secondary&gt;&lt;Authors_Secondary&gt;Leong,A.&lt;/Authors_Secondary&gt;&lt;Authors_Secondary&gt;Maaten,S.&lt;/Authors_Secondary&gt;&lt;Authors_Secondary&gt;Schultz,S.E.&lt;/Authors_Secondary&gt;&lt;Authors_Secondary&gt;Wang,L.&lt;/Authors_Secondary&gt;&lt;Pub_Place&gt;Toronto&lt;/Pub_Place&gt;&lt;Publisher&gt;Institute for Clinical Evaluative Sciences&lt;/Publisher&gt;&lt;Web_URL&gt;&lt;u&gt;http://www.ices.on.ca/webpage.cfm?site_id=1&amp;amp;org_id=67&amp;amp;morg_id=0&amp;amp;gsec_id=0&amp;amp;item_id=3655&amp;amp;type=atlas&lt;/u&gt;&lt;/Web_URL&gt;&lt;ZZ_WorkformID&gt;2&lt;/ZZ_WorkformID&gt;&lt;/MDL&gt;&lt;/Cite&gt;&lt;/Refman&gt;</w:instrText>
      </w:r>
      <w:r>
        <w:fldChar w:fldCharType="separate"/>
      </w:r>
      <w:bookmarkStart w:id="20" w:name="__Fieldmark__934_1322453857"/>
      <w:r>
        <w:rPr>
          <w:vertAlign w:val="superscript"/>
        </w:rPr>
        <w:t>5</w:t>
      </w:r>
      <w:r>
        <w:rPr>
          <w:vertAlign w:val="superscript"/>
        </w:rPr>
      </w:r>
      <w:r>
        <w:fldChar w:fldCharType="end"/>
      </w:r>
      <w:bookmarkEnd w:id="20"/>
      <w:r>
        <w:rPr/>
        <w:t xml:space="preserve"> </w:t>
      </w:r>
    </w:p>
    <w:p>
      <w:pPr>
        <w:pStyle w:val="Normal"/>
        <w:spacing w:lineRule="auto" w:line="480"/>
        <w:rPr/>
      </w:pPr>
      <w:r>
        <w:rPr/>
      </w:r>
    </w:p>
    <w:p>
      <w:pPr>
        <w:pStyle w:val="Normal"/>
        <w:spacing w:lineRule="auto" w:line="480"/>
        <w:rPr/>
      </w:pPr>
      <w:r>
        <w:rPr/>
        <w:t xml:space="preserve">Sponsor role </w:t>
      </w:r>
    </w:p>
    <w:p>
      <w:pPr>
        <w:pStyle w:val="Normal"/>
        <w:shd w:fill="FFFFFF" w:val="clear"/>
        <w:spacing w:lineRule="auto" w:line="480" w:before="0" w:after="225"/>
        <w:rPr>
          <w:color w:val="000000"/>
          <w:spacing w:val="2"/>
          <w:lang w:val="en"/>
        </w:rPr>
      </w:pPr>
      <w:r>
        <w:rPr>
          <w:color w:val="000000"/>
          <w:spacing w:val="2"/>
          <w:lang w:val="en"/>
        </w:rPr>
        <w:t>Funding was provided by an Emerging Team Grant (ETG92248) in Applied Health Services and Policy Research from the Canadian Institutes of Health Research. The funding agency had no role in the</w:t>
      </w:r>
      <w:r>
        <w:rPr>
          <w:color w:val="111111"/>
        </w:rPr>
        <w:t xml:space="preserve"> study design, collection, analysis and interpretation of data, or writing the report</w:t>
      </w:r>
      <w:r>
        <w:rPr>
          <w:color w:val="000000"/>
          <w:spacing w:val="2"/>
          <w:lang w:val="en"/>
        </w:rPr>
        <w:t>.</w:t>
      </w:r>
    </w:p>
    <w:p>
      <w:pPr>
        <w:pStyle w:val="Normal"/>
        <w:shd w:fill="FFFFFF" w:val="clear"/>
        <w:spacing w:lineRule="auto" w:line="480"/>
        <w:rPr>
          <w:rFonts w:ascii="Lucida Sans Unicode" w:hAnsi="Lucida Sans Unicode" w:cs="Lucida Sans Unicode"/>
          <w:color w:val="404040"/>
          <w:spacing w:val="2"/>
          <w:lang w:val="en"/>
        </w:rPr>
      </w:pPr>
      <w:r>
        <w:rPr>
          <w:color w:val="000000"/>
          <w:spacing w:val="2"/>
          <w:lang w:val="en"/>
        </w:rPr>
        <w:t>Ethics approval</w:t>
      </w:r>
    </w:p>
    <w:p>
      <w:pPr>
        <w:pStyle w:val="Normal"/>
        <w:shd w:fill="FFFFFF" w:val="clear"/>
        <w:spacing w:lineRule="auto" w:line="480"/>
        <w:rPr>
          <w:color w:val="000000"/>
          <w:spacing w:val="2"/>
          <w:lang w:val="en"/>
        </w:rPr>
      </w:pPr>
      <w:r>
        <w:rPr>
          <w:color w:val="000000"/>
          <w:spacing w:val="2"/>
          <w:lang w:val="en"/>
        </w:rPr>
        <w:t>The study was approved by the research ethics board of Sunnybrook Health Sciences Centre.</w:t>
      </w:r>
    </w:p>
    <w:p>
      <w:pPr>
        <w:pStyle w:val="Normal"/>
        <w:spacing w:lineRule="auto" w:line="480"/>
        <w:rPr>
          <w:b/>
          <w:b/>
          <w:color w:val="000000"/>
          <w:spacing w:val="2"/>
          <w:lang w:val="en"/>
        </w:rPr>
      </w:pPr>
      <w:r>
        <w:rPr>
          <w:b/>
          <w:color w:val="000000"/>
          <w:spacing w:val="2"/>
          <w:lang w:val="en"/>
        </w:rPr>
      </w:r>
    </w:p>
    <w:p>
      <w:pPr>
        <w:pStyle w:val="Normal"/>
        <w:spacing w:lineRule="auto" w:line="480"/>
        <w:rPr>
          <w:b/>
          <w:b/>
        </w:rPr>
      </w:pPr>
      <w:r>
        <w:rPr>
          <w:b/>
        </w:rPr>
        <w:t>RESULTS</w:t>
      </w:r>
    </w:p>
    <w:p>
      <w:pPr>
        <w:pStyle w:val="Normal"/>
        <w:spacing w:lineRule="auto" w:line="480"/>
        <w:rPr/>
      </w:pPr>
      <w:r>
        <w:rPr/>
        <w:t>We began with 12,971,629 Ontario residents, including 359,963 immigrants and 435,381 newborns, 27, 437 physicians and 175 acute care hospitals that were eligible to be linked to a network. 97.5% of PC physicians and 100% of PC pediatricians were designated as UPCs. 12,845,793 (99%) residents were linked to a UPC; of these, 70.8% were linked through rostering, 27.1% through use of core PC services, and 2.1% through other physician services. We were unable to link 125,836 (&lt;1%) residents to a UPC since they received no ambulatory physician services over the 3-year period.</w:t>
      </w:r>
    </w:p>
    <w:p>
      <w:pPr>
        <w:pStyle w:val="Normal"/>
        <w:spacing w:lineRule="auto" w:line="480"/>
        <w:rPr/>
      </w:pPr>
      <w:r>
        <w:rPr/>
      </w:r>
    </w:p>
    <w:p>
      <w:pPr>
        <w:pStyle w:val="Normal"/>
        <w:spacing w:lineRule="auto" w:line="480"/>
        <w:rPr>
          <w:shd w:fill="FFFF00" w:val="clear"/>
        </w:rPr>
      </w:pPr>
      <w:r>
        <w:rPr/>
        <w:t xml:space="preserve">The majority (93.5%) of specialists were linked to a hospital through their hospital activity, and the majority (98.2%) of PC physicians through their UPC patient panel admissions. Pathologists had low linkage rates since they generally do not bill OHIP. Most (98.8%) residents were linked to a provider cluster, and therefore, to a network. The majority (92%) of specialists’ inpatient activity was in one hospital. PC physicians’ UPC panel admissions were often to several hospitals but on average, more than half (58%) were in one hospital. PC physicians who could not be linked typically had small, healthy patient panels; since the networks were created to foster chronic disease care, these physicians remained unlinked. </w:t>
      </w:r>
    </w:p>
    <w:p>
      <w:pPr>
        <w:pStyle w:val="Normal"/>
        <w:spacing w:lineRule="auto" w:line="480"/>
        <w:rPr>
          <w:shd w:fill="FFFF00" w:val="clear"/>
        </w:rPr>
      </w:pPr>
      <w:r>
        <w:rPr>
          <w:shd w:fill="FFFF00" w:val="clear"/>
        </w:rPr>
      </w:r>
    </w:p>
    <w:p>
      <w:pPr>
        <w:pStyle w:val="Normal"/>
        <w:spacing w:lineRule="auto" w:line="480"/>
        <w:rPr/>
      </w:pPr>
      <w:r>
        <w:rPr/>
        <w:t xml:space="preserve">We began with 175 provider clusters, each containing one acute care hospital, that were aggregated to 78 multispecialty physician networks. The networks comprised 12,581 PC physicians and 14,516 specialists serving 12,917,178 people. Some networks comprised only one hospital as they were large (N=38). Many comprised &gt;1 hospital (N=33) and appear as “spiders” in Figure 1. There were 7 satellite networks. Although most hospitals in a network were located inside LHIN boundaries, this was not true of the PC physicians or the population served. Figure 2 plots the envelope of PC providers linked to each network based on their billing postal code. It demonstrates substantial geographic overlap, especially in urban areas, and shows that residents do not seek care within defined or distinct geographic boundaries. </w:t>
      </w:r>
    </w:p>
    <w:p>
      <w:pPr>
        <w:pStyle w:val="Normal"/>
        <w:spacing w:lineRule="auto" w:line="480"/>
        <w:rPr>
          <w:shd w:fill="FFFF00" w:val="clear"/>
        </w:rPr>
      </w:pPr>
      <w:r>
        <w:rPr>
          <w:shd w:fill="FFFF00" w:val="clear"/>
        </w:rPr>
      </w:r>
    </w:p>
    <w:p>
      <w:pPr>
        <w:pStyle w:val="Normal"/>
        <w:spacing w:lineRule="auto" w:line="480"/>
        <w:rPr/>
      </w:pPr>
      <w:r>
        <w:rPr/>
        <w:t>There were large variations in numbers of residents and physicians linked across networks (Table 2). Large networks contained large hospitals and had greater breadth and numbers of specialists. In general, admission and physician loyalty were high. Median network loyalty was 68.4% for all physicians and 80.6% for PC physicians. Median non-maternal, medical admission loyalty was 67.4%. Loyalty was higher in rural than urban networks but varied considerably across networks. Distances between residents and providers were generally small. Prevalence of chronic conditions varied about 2-fold across networks (Table 3). There was modest variability in proportion of patients rostered to a PC group. PC physician supply varied about 1.5-fold, and specialist supply about 4-fold, across networks (Table 4). Acute care and ICU bed supply varied 3 to 5-fold.</w:t>
      </w:r>
    </w:p>
    <w:p>
      <w:pPr>
        <w:pStyle w:val="Normal"/>
        <w:spacing w:lineRule="auto" w:line="480"/>
        <w:rPr/>
      </w:pPr>
      <w:r>
        <w:rPr/>
      </w:r>
    </w:p>
    <w:p>
      <w:pPr>
        <w:pStyle w:val="Normal"/>
        <w:spacing w:lineRule="auto" w:line="480"/>
        <w:rPr>
          <w:b/>
          <w:b/>
        </w:rPr>
      </w:pPr>
      <w:r>
        <w:rPr>
          <w:b/>
        </w:rPr>
        <w:t>INTERPRETATION</w:t>
      </w:r>
    </w:p>
    <w:p>
      <w:pPr>
        <w:pStyle w:val="Normal"/>
        <w:autoSpaceDE w:val="false"/>
        <w:spacing w:lineRule="auto" w:line="480"/>
        <w:rPr/>
      </w:pPr>
      <w:r>
        <w:rPr/>
        <w:t>We have identified and characterized informal, multispecialty physician networks in Ontario. These can be viewed as “self-organizing systems of care” that collectively serve their large panels of patients. Physicians in these informal networks are associated by virtue of sharing care for common patients and admitting patients to the same hospital. Every physician does not share patients or consult with every other physician in their network, but they collectively share important resources such as acute care beds, specialists, and inpatient medical technologies that affect the outcomes of their patients. These networks provide a snapshot of how care is currently being delivered rather than a prescription for how care should be delivered. Other groups have created physician networks, based on shared patients, but none included hospitals.</w:t>
      </w:r>
      <w:r>
        <w:fldChar w:fldCharType="begin"/>
      </w:r>
      <w:r>
        <w:instrText> ADDIN REFMGR.CITE &lt;Refman&gt;&lt;Cite&gt;&lt;Author&gt;Manuel&lt;/Author&gt;&lt;Year&gt;2011&lt;/Year&gt;&lt;RecNum&gt;1689&lt;/RecNum&gt;&lt;IDText&gt;Using administrative data to measure the extent to which practitioners work together: &amp;quot;interconnected&amp;quot; care is common in a large cohort of family physicians&lt;/IDText&gt;&lt;MDL Ref_Type="Journal"&gt;&lt;Ref_Type&gt;Journal&lt;/Ref_Type&gt;&lt;Ref_ID&gt;1689&lt;/Ref_ID&gt;&lt;Title_Primary&gt;Using administrative data to measure the extent to which practitioners work together: &amp;quot;interconnected&amp;quot; care is common in a large cohort of family physicians&lt;/Title_Primary&gt;&lt;Authors_Primary&gt;Manuel,D.G.&lt;/Authors_Primary&gt;&lt;Authors_Primary&gt;Lam,K.&lt;/Authors_Primary&gt;&lt;Authors_Primary&gt;Maaten,S.&lt;/Authors_Primary&gt;&lt;Authors_Primary&gt;Klein-Geltink,J.&lt;/Authors_Primary&gt;&lt;Date_Primary&gt;2011&lt;/Date_Primary&gt;&lt;Keywords&gt;analysis&lt;/Keywords&gt;&lt;Keywords&gt;Canada&lt;/Keywords&gt;&lt;Keywords&gt;cohort&lt;/Keywords&gt;&lt;Keywords&gt;Cohort Studies&lt;/Keywords&gt;&lt;Keywords&gt;Cooperative Behavior&lt;/Keywords&gt;&lt;Keywords&gt;data&lt;/Keywords&gt;&lt;Keywords&gt;Data Collection&lt;/Keywords&gt;&lt;Keywords&gt;Data Interpretation,Statistical&lt;/Keywords&gt;&lt;Keywords&gt;Databases,Factual&lt;/Keywords&gt;&lt;Keywords&gt;Family&lt;/Keywords&gt;&lt;Keywords&gt;Family Health&lt;/Keywords&gt;&lt;Keywords&gt;Group Practice&lt;/Keywords&gt;&lt;Keywords&gt;Health&lt;/Keywords&gt;&lt;Keywords&gt;Humans&lt;/Keywords&gt;&lt;Keywords&gt;Interpersonal Relations&lt;/Keywords&gt;&lt;Keywords&gt;methods&lt;/Keywords&gt;&lt;Keywords&gt;Ontario&lt;/Keywords&gt;&lt;Keywords&gt;organization &amp;amp; administration&lt;/Keywords&gt;&lt;Keywords&gt;Patients&lt;/Keywords&gt;&lt;Keywords&gt;Physicians&lt;/Keywords&gt;&lt;Keywords&gt;Physicians,Family&lt;/Keywords&gt;&lt;Keywords&gt;Primary Health Care&lt;/Keywords&gt;&lt;Keywords&gt;research&lt;/Keywords&gt;&lt;Keywords&gt;results&lt;/Keywords&gt;&lt;Reprint&gt;Not in File&lt;/Reprint&gt;&lt;Start_Page&gt;e177&lt;/Start_Page&gt;&lt;End_Page&gt;e182&lt;/End_Page&gt;&lt;Periodical&gt;Open Med&lt;/Periodical&gt;&lt;Volume&gt;5&lt;/Volume&gt;&lt;Issue&gt;4&lt;/Issue&gt;&lt;Address&gt;Ottawa Hospital Research Institute, Room 1-008 Administrative Services Building, 1053Carling Ave., Ottawa ON K1Y 4E9, Canada. dmanuel@ohri.ca&lt;/Address&gt;&lt;Web_URL&gt;PM:22567073&lt;/Web_URL&gt;&lt;ZZ_JournalStdAbbrev&gt;&lt;f name="System"&gt;Open Med&lt;/f&gt;&lt;/ZZ_JournalStdAbbrev&gt;&lt;ZZ_WorkformID&gt;1&lt;/ZZ_WorkformID&gt;&lt;/MDL&gt;&lt;/Cite&gt;&lt;Cite&gt;&lt;Author&gt;Landon&lt;/Author&gt;&lt;Year&gt;2012&lt;/Year&gt;&lt;RecNum&gt;1666&lt;/RecNum&gt;&lt;IDText&gt;Variation in patient-sharing networks of physicians across the United States&lt;/IDText&gt;&lt;MDL Ref_Type="Journal"&gt;&lt;Ref_Type&gt;Journal&lt;/Ref_Type&gt;&lt;Ref_ID&gt;1666&lt;/Ref_ID&gt;&lt;Title_Primary&gt;Variation in patient-sharing networks of physicians across the United States&lt;/Title_Primary&gt;&lt;Authors_Primary&gt;Landon,B.E.&lt;/Authors_Primary&gt;&lt;Authors_Primary&gt;Keating,N.L.&lt;/Authors_Primary&gt;&lt;Authors_Primary&gt;Barnett,M.L.&lt;/Authors_Primary&gt;&lt;Authors_Primary&gt;Onnela,J.P.&lt;/Authors_Primary&gt;&lt;Authors_Primary&gt;Paul,S.&lt;/Authors_Primary&gt;&lt;Authors_Primary&gt;O&amp;apos;Malley,A.J.&lt;/Authors_Primary&gt;&lt;Authors_Primary&gt;Keegan,T.&lt;/Authors_Primary&gt;&lt;Authors_Primary&gt;Christakis,N.A.&lt;/Authors_Primary&gt;&lt;Date_Primary&gt;2012/7/18&lt;/Date_Primary&gt;&lt;Keywords&gt;analysis&lt;/Keywords&gt;&lt;Keywords&gt;Behavior&lt;/Keywords&gt;&lt;Keywords&gt;Boston&lt;/Keywords&gt;&lt;Keywords&gt;data&lt;/Keywords&gt;&lt;Keywords&gt;design&lt;/Keywords&gt;&lt;Keywords&gt;Health&lt;/Keywords&gt;&lt;Keywords&gt;Massachusetts&lt;/Keywords&gt;&lt;Keywords&gt;Medicare&lt;/Keywords&gt;&lt;Keywords&gt;Medicine&lt;/Keywords&gt;&lt;Keywords&gt;methods&lt;/Keywords&gt;&lt;Keywords&gt;outcome&lt;/Keywords&gt;&lt;Keywords&gt;Patients&lt;/Keywords&gt;&lt;Keywords&gt;Physicians&lt;/Keywords&gt;&lt;Keywords&gt;research&lt;/Keywords&gt;&lt;Keywords&gt;results&lt;/Keywords&gt;&lt;Keywords&gt;studies&lt;/Keywords&gt;&lt;Keywords&gt;Time&lt;/Keywords&gt;&lt;Keywords&gt;United States&lt;/Keywords&gt;&lt;Reprint&gt;Not in File&lt;/Reprint&gt;&lt;Start_Page&gt;265&lt;/Start_Page&gt;&lt;End_Page&gt;273&lt;/End_Page&gt;&lt;Periodical&gt;JAMA&lt;/Periodical&gt;&lt;Volume&gt;308&lt;/Volume&gt;&lt;Issue&gt;3&lt;/Issue&gt;&lt;Address&gt;Department of Health Care Policy, School of Medicine, Harvard University, Cambridge, Massachusetts, USA. landon@hcp.med.harvard.edu&lt;/Address&gt;&lt;Web_URL&gt;PM:22797644&lt;/Web_URL&gt;&lt;ZZ_JournalStdAbbrev&gt;&lt;f name="System"&gt;JAMA&lt;/f&gt;&lt;/ZZ_JournalStdAbbrev&gt;&lt;ZZ_WorkformID&gt;1&lt;/ZZ_WorkformID&gt;&lt;/MDL&gt;&lt;/Cite&gt;&lt;/Refman&gt;</w:instrText>
      </w:r>
      <w:r>
        <w:fldChar w:fldCharType="separate"/>
      </w:r>
      <w:bookmarkStart w:id="21" w:name="__Fieldmark__935_1322453857"/>
      <w:r>
        <w:rPr>
          <w:vertAlign w:val="superscript"/>
        </w:rPr>
        <w:t>46,47</w:t>
      </w:r>
      <w:r>
        <w:rPr>
          <w:vertAlign w:val="superscript"/>
        </w:rPr>
      </w:r>
      <w:r>
        <w:fldChar w:fldCharType="end"/>
      </w:r>
      <w:bookmarkEnd w:id="21"/>
      <w:r>
        <w:rPr/>
        <w:t xml:space="preserve"> The US groups did not aggregate provider clusters to networks, and included only US Medicare residents aged ≥65 years.</w:t>
      </w:r>
      <w:r>
        <w:fldChar w:fldCharType="begin"/>
      </w:r>
      <w:r>
        <w:instrText> ADDIN REFMGR.CITE &lt;Refman&gt;&lt;Cite&gt;&lt;Author&gt;Bynum&lt;/Author&gt;&lt;Year&gt;2007&lt;/Year&gt;&lt;RecNum&gt;1124&lt;/RecNum&gt;&lt;IDText&gt;Assigning ambulatory patients and their physicians to hospitals: a method for obtaining population-based provider performance measurements&lt;/IDText&gt;&lt;MDL Ref_Type="Journal"&gt;&lt;Ref_Type&gt;Journal&lt;/Ref_Type&gt;&lt;Ref_ID&gt;1124&lt;/Ref_ID&gt;&lt;Title_Primary&gt;Assigning ambulatory patients and their physicians to hospitals: a method for obtaining population-based provider performance measurements&lt;/Title_Primary&gt;&lt;Authors_Primary&gt;Bynum,J.P.&lt;/Authors_Primary&gt;&lt;Authors_Primary&gt;Bernal-Delgado,E.&lt;/Authors_Primary&gt;&lt;Authors_Primary&gt;Gottlieb,D.&lt;/Authors_Primary&gt;&lt;Authors_Primary&gt;Fisher,E.&lt;/Authors_Primary&gt;&lt;Date_Primary&gt;2007/2&lt;/Date_Primary&gt;&lt;Keywords&gt;Aged&lt;/Keywords&gt;&lt;Keywords&gt;analysis&lt;/Keywords&gt;&lt;Keywords&gt;assessment&lt;/Keywords&gt;&lt;Keywords&gt;cohort&lt;/Keywords&gt;&lt;Keywords&gt;Community Health Planning&lt;/Keywords&gt;&lt;Keywords&gt;cross-sectional analysis&lt;/Keywords&gt;&lt;Keywords&gt;Cross-Sectional Studies&lt;/Keywords&gt;&lt;Keywords&gt;data&lt;/Keywords&gt;&lt;Keywords&gt;Data Collection&lt;/Keywords&gt;&lt;Keywords&gt;design&lt;/Keywords&gt;&lt;Keywords&gt;Female&lt;/Keywords&gt;&lt;Keywords&gt;Health Services&lt;/Keywords&gt;&lt;Keywords&gt;Health Services Research&lt;/Keywords&gt;&lt;Keywords&gt;Hospital Administration&lt;/Keywords&gt;&lt;Keywords&gt;Hospitals&lt;/Keywords&gt;&lt;Keywords&gt;Humans&lt;/Keywords&gt;&lt;Keywords&gt;Insurance Claim Review&lt;/Keywords&gt;&lt;Keywords&gt;Male&lt;/Keywords&gt;&lt;Keywords&gt;medical&lt;/Keywords&gt;&lt;Keywords&gt;Medicare&lt;/Keywords&gt;&lt;Keywords&gt;methods&lt;/Keywords&gt;&lt;Keywords&gt;organization &amp;amp; administration&lt;/Keywords&gt;&lt;Keywords&gt;outcome&lt;/Keywords&gt;&lt;Keywords&gt;Outcome and Process Assessment (Health Care)&lt;/Keywords&gt;&lt;Keywords&gt;Patients&lt;/Keywords&gt;&lt;Keywords&gt;Physicians&lt;/Keywords&gt;&lt;Keywords&gt;population&lt;/Keywords&gt;&lt;Keywords&gt;Quality of Health Care&lt;/Keywords&gt;&lt;Keywords&gt;research&lt;/Keywords&gt;&lt;Keywords&gt;Small-Area Analysis&lt;/Keywords&gt;&lt;Keywords&gt;studies&lt;/Keywords&gt;&lt;Keywords&gt;Survey&lt;/Keywords&gt;&lt;Keywords&gt;utilization&lt;/Keywords&gt;&lt;Reprint&gt;Not in File&lt;/Reprint&gt;&lt;Start_Page&gt;45&lt;/Start_Page&gt;&lt;End_Page&gt;62&lt;/End_Page&gt;&lt;Periodical&gt;Health Serv.Res&lt;/Periodical&gt;&lt;Volume&gt;42&lt;/Volume&gt;&lt;Issue&gt;1 Pt 1&lt;/Issue&gt;&lt;Address&gt;Department of Medicine and Center for the Evaluative Clinical Sciences, Dartmouth Medical School, Hanover, NH, 7251 Strasenburgh Hall, Hanover, NH 03755-3863, USA&lt;/Address&gt;&lt;Web_URL&gt;PM:17355581&lt;/Web_URL&gt;&lt;ZZ_JournalStdAbbrev&gt;&lt;f name="System"&gt;Health Serv.Res&lt;/f&gt;&lt;/ZZ_JournalStdAbbrev&gt;&lt;ZZ_WorkformID&gt;1&lt;/ZZ_WorkformID&gt;&lt;/MDL&gt;&lt;/Cite&gt;&lt;Cite&gt;&lt;Author&gt;Landon&lt;/Author&gt;&lt;Year&gt;2012&lt;/Year&gt;&lt;RecNum&gt;1666&lt;/RecNum&gt;&lt;IDText&gt;Variation in patient-sharing networks of physicians across the United States&lt;/IDText&gt;&lt;MDL Ref_Type="Journal"&gt;&lt;Ref_Type&gt;Journal&lt;/Ref_Type&gt;&lt;Ref_ID&gt;1666&lt;/Ref_ID&gt;&lt;Title_Primary&gt;Variation in patient-sharing networks of physicians across the United States&lt;/Title_Primary&gt;&lt;Authors_Primary&gt;Landon,B.E.&lt;/Authors_Primary&gt;&lt;Authors_Primary&gt;Keating,N.L.&lt;/Authors_Primary&gt;&lt;Authors_Primary&gt;Barnett,M.L.&lt;/Authors_Primary&gt;&lt;Authors_Primary&gt;Onnela,J.P.&lt;/Authors_Primary&gt;&lt;Authors_Primary&gt;Paul,S.&lt;/Authors_Primary&gt;&lt;Authors_Primary&gt;O&amp;apos;Malley,A.J.&lt;/Authors_Primary&gt;&lt;Authors_Primary&gt;Keegan,T.&lt;/Authors_Primary&gt;&lt;Authors_Primary&gt;Christakis,N.A.&lt;/Authors_Primary&gt;&lt;Date_Primary&gt;2012/7/18&lt;/Date_Primary&gt;&lt;Keywords&gt;analysis&lt;/Keywords&gt;&lt;Keywords&gt;Behavior&lt;/Keywords&gt;&lt;Keywords&gt;Boston&lt;/Keywords&gt;&lt;Keywords&gt;data&lt;/Keywords&gt;&lt;Keywords&gt;design&lt;/Keywords&gt;&lt;Keywords&gt;Health&lt;/Keywords&gt;&lt;Keywords&gt;Massachusetts&lt;/Keywords&gt;&lt;Keywords&gt;Medicare&lt;/Keywords&gt;&lt;Keywords&gt;Medicine&lt;/Keywords&gt;&lt;Keywords&gt;methods&lt;/Keywords&gt;&lt;Keywords&gt;outcome&lt;/Keywords&gt;&lt;Keywords&gt;Patients&lt;/Keywords&gt;&lt;Keywords&gt;Physicians&lt;/Keywords&gt;&lt;Keywords&gt;research&lt;/Keywords&gt;&lt;Keywords&gt;results&lt;/Keywords&gt;&lt;Keywords&gt;studies&lt;/Keywords&gt;&lt;Keywords&gt;Time&lt;/Keywords&gt;&lt;Keywords&gt;United States&lt;/Keywords&gt;&lt;Reprint&gt;Not in File&lt;/Reprint&gt;&lt;Start_Page&gt;265&lt;/Start_Page&gt;&lt;End_Page&gt;273&lt;/End_Page&gt;&lt;Periodical&gt;JAMA&lt;/Periodical&gt;&lt;Volume&gt;308&lt;/Volume&gt;&lt;Issue&gt;3&lt;/Issue&gt;&lt;Address&gt;Department of Health Care Policy, School of Medicine, Harvard University, Cambridge, Massachusetts, USA. landon@hcp.med.harvard.edu&lt;/Address&gt;&lt;Web_URL&gt;PM:22797644&lt;/Web_URL&gt;&lt;ZZ_JournalStdAbbrev&gt;&lt;f name="System"&gt;JAMA&lt;/f&gt;&lt;/ZZ_JournalStdAbbrev&gt;&lt;ZZ_WorkformID&gt;1&lt;/ZZ_WorkformID&gt;&lt;/MDL&gt;&lt;/Cite&gt;&lt;/Refman&gt;</w:instrText>
      </w:r>
      <w:r>
        <w:fldChar w:fldCharType="separate"/>
      </w:r>
      <w:bookmarkStart w:id="22" w:name="__Fieldmark__936_1322453857"/>
      <w:r>
        <w:rPr>
          <w:vertAlign w:val="superscript"/>
        </w:rPr>
        <w:t>33,47</w:t>
      </w:r>
      <w:bookmarkEnd w:id="22"/>
      <w:r>
        <w:rPr>
          <w:vertAlign w:val="superscript"/>
        </w:rPr>
      </w:r>
      <w:r>
        <w:fldChar w:fldCharType="end"/>
      </w:r>
    </w:p>
    <w:p>
      <w:pPr>
        <w:pStyle w:val="Normal"/>
        <w:autoSpaceDE w:val="false"/>
        <w:spacing w:lineRule="auto" w:line="480"/>
        <w:rPr/>
      </w:pPr>
      <w:r>
        <w:rPr/>
      </w:r>
    </w:p>
    <w:p>
      <w:pPr>
        <w:pStyle w:val="Normal"/>
        <w:autoSpaceDE w:val="false"/>
        <w:spacing w:lineRule="auto" w:line="480"/>
        <w:rPr/>
      </w:pPr>
      <w:r>
        <w:rPr/>
        <w:t xml:space="preserve">Strengths of the work are high face validity based on high loyalty and close proximity among patients and providers. Most networks had sufficient chronic disease patients to measure performance and outcomes. PC loyalty was high since primary care is provided locally. Physician loyalty was moderately high since patients can be referred to specialists outside their network; nevertheless, care is generally concentrated within local providers since PC physicians often refer to the specialists who work in the hospitals where their patients are admitted. Admission loyalty was lower for urban networks since patients and physicians can be admitted to many nearby hospitals. Networks were not constrained geographically but were based on where patients seek care since healthcare is not delivered according to geographic boundaries. Finally, this method permits the identification of a target population served by providers in the network for reporting of quality and performance. </w:t>
      </w:r>
    </w:p>
    <w:p>
      <w:pPr>
        <w:pStyle w:val="Normal"/>
        <w:autoSpaceDE w:val="false"/>
        <w:spacing w:lineRule="auto" w:line="480"/>
        <w:rPr/>
      </w:pPr>
      <w:r>
        <w:rPr/>
      </w:r>
    </w:p>
    <w:p>
      <w:pPr>
        <w:pStyle w:val="Normal"/>
        <w:autoSpaceDE w:val="false"/>
        <w:spacing w:lineRule="auto" w:line="480"/>
        <w:rPr/>
      </w:pPr>
      <w:r>
        <w:rPr/>
        <w:t>The primary limitation is the fluid nature of healthcare seeking behaviour. We linked residents and physicians based on average utilization patterns over 3 years; however, patients may switch PC physicians, and both may move over this period. As long as there are no major hospital openings or closures, or changes to workforce policy, the basic network organization should persist. In fact, we applied the same method over FY05-07 and obtained identical network structures with similar numbers of linked residents and physicians, and loyalties. Another limitation is that PC physician patient panels are hospitalized in &gt;1 hospital, especially in large urban areas, so that the specificity of assignment to a single hospital was moderate; however, this is the nature of patient flow in large urban areas. We could not link home care, long-term care, Community Care Access Centres, and public health units to the networks since we did not have the data. It will be important to add these services as they play a support role in the community that may help to reduce hospital admissions and readmissions.</w:t>
      </w:r>
    </w:p>
    <w:p>
      <w:pPr>
        <w:pStyle w:val="Normal"/>
        <w:autoSpaceDE w:val="false"/>
        <w:spacing w:lineRule="auto" w:line="480"/>
        <w:rPr/>
      </w:pPr>
      <w:r>
        <w:rPr/>
      </w:r>
    </w:p>
    <w:p>
      <w:pPr>
        <w:pStyle w:val="Normal"/>
        <w:autoSpaceDE w:val="false"/>
        <w:spacing w:lineRule="auto" w:line="480"/>
        <w:rPr/>
      </w:pPr>
      <w:r>
        <w:rPr/>
        <w:t>This work is aligned with a systems-minded approach to providing chronic disease care and promoting accountability.</w:t>
      </w:r>
      <w:r>
        <w:fldChar w:fldCharType="begin"/>
      </w:r>
      <w:r>
        <w:instrText> ADDIN REFMGR.CITE &lt;Refman&gt;&lt;Cite&gt;&lt;Author&gt;Shortell&lt;/Author&gt;&lt;Year&gt;2008&lt;/Year&gt;&lt;RecNum&gt;1339&lt;/RecNum&gt;&lt;IDText&gt;Health care reform requires accountable care systems&lt;/IDText&gt;&lt;MDL Ref_Type="Journal"&gt;&lt;Ref_Type&gt;Journal&lt;/Ref_Type&gt;&lt;Ref_ID&gt;1339&lt;/Ref_ID&gt;&lt;Title_Primary&gt;Health care reform requires accountable care systems&lt;/Title_Primary&gt;&lt;Authors_Primary&gt;Shortell,S.M.&lt;/Authors_Primary&gt;&lt;Date_Primary&gt;2008/7/2&lt;/Date_Primary&gt;&lt;Keywords&gt;Health&lt;/Keywords&gt;&lt;Keywords&gt;Health Care Reform&lt;/Keywords&gt;&lt;Start_Page&gt;95&lt;/Start_Page&gt;&lt;End_Page&gt;97&lt;/End_Page&gt;&lt;Periodical&gt;JAMA&lt;/Periodical&gt;&lt;Volume&gt;300&lt;/Volume&gt;&lt;Issue&gt;1&lt;/Issue&gt;&lt;ZZ_JournalStdAbbrev&gt;&lt;f name="System"&gt;JAMA&lt;/f&gt;&lt;/ZZ_JournalStdAbbrev&gt;&lt;ZZ_WorkformID&gt;1&lt;/ZZ_WorkformID&gt;&lt;/MDL&gt;&lt;/Cite&gt;&lt;Cite&gt;&lt;Author&gt;Hackbarth&lt;/Author&gt;&lt;Year&gt;2008&lt;/Year&gt;&lt;RecNum&gt;1348&lt;/RecNum&gt;&lt;IDText&gt;Collective accountability for medical care -- toward bundled Medicare payments&lt;/IDText&gt;&lt;MDL Ref_Type="Journal"&gt;&lt;Ref_Type&gt;Journal&lt;/Ref_Type&gt;&lt;Ref_ID&gt;1348&lt;/Ref_ID&gt;&lt;Title_Primary&gt;Collective accountability for medical care -- toward bundled Medicare payments&lt;/Title_Primary&gt;&lt;Authors_Primary&gt;Hackbarth,G.&lt;/Authors_Primary&gt;&lt;Authors_Primary&gt;Reischauer,R.&lt;/Authors_Primary&gt;&lt;Authors_Primary&gt;Mutti,A.&lt;/Authors_Primary&gt;&lt;Date_Primary&gt;2008/7/3&lt;/Date_Primary&gt;&lt;Keywords&gt;medical&lt;/Keywords&gt;&lt;Keywords&gt;Medicare&lt;/Keywords&gt;&lt;Keywords&gt;Washington&lt;/Keywords&gt;&lt;Reprint&gt;Not in File&lt;/Reprint&gt;&lt;Start_Page&gt;3&lt;/Start_Page&gt;&lt;End_Page&gt;5&lt;/End_Page&gt;&lt;Periodical&gt;N Engl J Med&lt;/Periodical&gt;&lt;Volume&gt;359&lt;/Volume&gt;&lt;Issue&gt;1&lt;/Issue&gt;&lt;Address&gt;MedPAC, Washington, DC, USA&lt;/Address&gt;&lt;Web_URL&gt;PM:18596270&lt;/Web_URL&gt;&lt;ZZ_JournalStdAbbrev&gt;&lt;f name="System"&gt;N Engl J Med&lt;/f&gt;&lt;/ZZ_JournalStdAbbrev&gt;&lt;ZZ_WorkformID&gt;1&lt;/ZZ_WorkformID&gt;&lt;/MDL&gt;&lt;/Cite&gt;&lt;/Refman&gt;</w:instrText>
      </w:r>
      <w:r>
        <w:fldChar w:fldCharType="separate"/>
      </w:r>
      <w:bookmarkStart w:id="23" w:name="__Fieldmark__937_1322453857"/>
      <w:r>
        <w:rPr>
          <w:vertAlign w:val="superscript"/>
        </w:rPr>
        <w:t>29,48</w:t>
      </w:r>
      <w:r>
        <w:rPr>
          <w:vertAlign w:val="superscript"/>
        </w:rPr>
      </w:r>
      <w:r>
        <w:fldChar w:fldCharType="end"/>
      </w:r>
      <w:bookmarkEnd w:id="23"/>
      <w:r>
        <w:rPr/>
        <w:t xml:space="preserve"> The overarching aim is to better understand systems factors and strategies associated with highly efficient networks that provide high quality care at lower costs. We propose to explore virtual multispecialty physician networks as a functional and organizational unit for chronic disease care. Such networks would comprise large, multi-disciplinary groups that work together to manage chronic disease patients and would, therefore, be more conducive to evaluation, system interventions, and physician accountability frameworks than individual physicians or PC practices. These networks could provide the context and information to engage hospitals, physicians and policymakers in discussions of how to better align medical practice with evidence, and address resource use and integration across hospital and ambulatory sectors. Large multispecialty physician networks may be the most practical level for targeting reforms for integration of care since providers are already connected by virtue of caring for the same patients. </w:t>
      </w:r>
    </w:p>
    <w:p>
      <w:pPr>
        <w:pStyle w:val="Normal"/>
        <w:spacing w:lineRule="auto" w:line="480"/>
        <w:rPr/>
      </w:pPr>
      <w:r>
        <w:rPr/>
      </w:r>
    </w:p>
    <w:p>
      <w:pPr>
        <w:pStyle w:val="Normal"/>
        <w:spacing w:lineRule="auto" w:line="480"/>
        <w:rPr/>
      </w:pPr>
      <w:r>
        <w:rPr/>
        <w:t>It will not be a small task to exploit these networks for the purpose of improving care. There is currently no accountability framework that encompasses the different entities. The current payment system is a patchwork of fee for service (FFS), capitation and incentives for primary care, with FFS and alternate funding plans for specialists, which are not aligned with multidisciplinary practices. Ontario has recently shown a willingness to embrace new structural models through the creation of a set of pilot Health Links that, in some respects, resemble these networks, to improve care for high-cost chronic disease patients and reduce avoidable readmissions to hospitals.</w:t>
      </w:r>
      <w:r>
        <w:fldChar w:fldCharType="begin"/>
      </w:r>
      <w:r>
        <w:instrText> ADDIN REFMGR.CITE &lt;Refman&gt;&lt;Cite&gt;&lt;Author&gt;Ontario Ministry of Health and Long-Term Care&lt;/Author&gt;&lt;Year&gt;2012&lt;/Year&gt;&lt;RecNum&gt;1690&lt;/RecNum&gt;&lt;IDText&gt;Improving care for high-needs patients: McGuinty government linking health providers, offering patients more co-ordinated care&lt;/IDText&gt;&lt;MDL Ref_Type="Electronic Citation"&gt;&lt;Ref_Type&gt;Electronic Citation&lt;/Ref_Type&gt;&lt;Ref_ID&gt;1690&lt;/Ref_ID&gt;&lt;Title_Primary&gt;Improving care for high-needs patients: McGuinty government linking health providers, offering patients more co-ordinated care&lt;/Title_Primary&gt;&lt;Authors_Primary&gt;Ontario Ministry of Health and Long-Term Care&lt;/Authors_Primary&gt;&lt;Date_Primary&gt;2012/12/6&lt;/Date_Primary&gt;&lt;Keywords&gt;Patients&lt;/Keywords&gt;&lt;Keywords&gt;Health&lt;/Keywords&gt;&lt;Reprint&gt;Not in File&lt;/Reprint&gt;&lt;Periodical&gt;http://news.ontario.ca/mohltc/en/2012/12/improving-care-for-high-needs-patients.html&lt;/Periodical&gt;&lt;Date_Secondary&gt;2012/12/17&lt;/Date_Secondary&gt;&lt;Web_URL&gt;&lt;u&gt;http://news.ontario.ca/mohltc/en/2012/12/improving-care-for-high-needs-patients.html&lt;/u&gt;&lt;/Web_URL&gt;&lt;ZZ_JournalFull&gt;&lt;f name="System"&gt;http://news.ontario.ca/mohltc/en/2012/12/improving-care-for-high-needs-patients.html&lt;/f&gt;&lt;/ZZ_JournalFull&gt;&lt;ZZ_WorkformID&gt;34&lt;/ZZ_WorkformID&gt;&lt;/MDL&gt;&lt;/Cite&gt;&lt;/Refman&gt;</w:instrText>
      </w:r>
      <w:r>
        <w:fldChar w:fldCharType="separate"/>
      </w:r>
      <w:bookmarkStart w:id="24" w:name="__Fieldmark__938_1322453857"/>
      <w:r>
        <w:rPr>
          <w:vertAlign w:val="superscript"/>
        </w:rPr>
        <w:t>49</w:t>
      </w:r>
      <w:r>
        <w:rPr>
          <w:vertAlign w:val="superscript"/>
        </w:rPr>
      </w:r>
      <w:r>
        <w:fldChar w:fldCharType="end"/>
      </w:r>
      <w:bookmarkEnd w:id="24"/>
      <w:r>
        <w:rPr/>
        <w:t xml:space="preserve"> The developments in Ontario may provide a nascent organizational structure for vertically integrated networks.</w:t>
      </w:r>
    </w:p>
    <w:p>
      <w:pPr>
        <w:pStyle w:val="Normal"/>
        <w:spacing w:lineRule="auto" w:line="480"/>
        <w:rPr/>
      </w:pPr>
      <w:r>
        <w:rPr/>
      </w:r>
    </w:p>
    <w:p>
      <w:pPr>
        <w:pStyle w:val="Normal"/>
        <w:spacing w:lineRule="auto" w:line="480"/>
        <w:rPr/>
      </w:pPr>
      <w:r>
        <w:rPr/>
        <w:t>In summary, formal constitution of multispecialty physician groups around existing patterns of patient flow could foster accountability for efficient, integrated care, investment in electronic medical records, care coordination, performance measurement, care management tools and quality improvement, the main ideas behind ‘accountable care systems.</w:t>
      </w:r>
      <w:r>
        <w:fldChar w:fldCharType="begin"/>
      </w:r>
      <w:r>
        <w:instrText> ADDIN REFMGR.CITE &lt;Refman&gt;&lt;Cite&gt;&lt;Author&gt;Shortell&lt;/Author&gt;&lt;Year&gt;2008&lt;/Year&gt;&lt;RecNum&gt;1339&lt;/RecNum&gt;&lt;IDText&gt;Health care reform requires accountable care systems&lt;/IDText&gt;&lt;MDL Ref_Type="Journal"&gt;&lt;Ref_Type&gt;Journal&lt;/Ref_Type&gt;&lt;Ref_ID&gt;1339&lt;/Ref_ID&gt;&lt;Title_Primary&gt;Health care reform requires accountable care systems&lt;/Title_Primary&gt;&lt;Authors_Primary&gt;Shortell,S.M.&lt;/Authors_Primary&gt;&lt;Date_Primary&gt;2008/7/2&lt;/Date_Primary&gt;&lt;Keywords&gt;Health&lt;/Keywords&gt;&lt;Keywords&gt;Health Care Reform&lt;/Keywords&gt;&lt;Start_Page&gt;95&lt;/Start_Page&gt;&lt;End_Page&gt;97&lt;/End_Page&gt;&lt;Periodical&gt;JAMA&lt;/Periodical&gt;&lt;Volume&gt;300&lt;/Volume&gt;&lt;Issue&gt;1&lt;/Issue&gt;&lt;ZZ_JournalStdAbbrev&gt;&lt;f name="System"&gt;JAMA&lt;/f&gt;&lt;/ZZ_JournalStdAbbrev&gt;&lt;ZZ_WorkformID&gt;1&lt;/ZZ_WorkformID&gt;&lt;/MDL&gt;&lt;/Cite&gt;&lt;/Refman&gt;</w:instrText>
      </w:r>
      <w:r>
        <w:fldChar w:fldCharType="separate"/>
      </w:r>
      <w:bookmarkStart w:id="25" w:name="__Fieldmark__939_1322453857"/>
      <w:r>
        <w:rPr>
          <w:vertAlign w:val="superscript"/>
        </w:rPr>
        <w:t>29</w:t>
      </w:r>
      <w:bookmarkEnd w:id="25"/>
      <w:r>
        <w:rPr>
          <w:vertAlign w:val="superscript"/>
        </w:rPr>
      </w:r>
      <w:r>
        <w:fldChar w:fldCharType="end"/>
      </w:r>
      <w:r>
        <w:br w:type="page"/>
      </w:r>
    </w:p>
    <w:p>
      <w:pPr>
        <w:pStyle w:val="Normal"/>
        <w:spacing w:lineRule="auto" w:line="480"/>
        <w:rPr/>
      </w:pPr>
      <w:r>
        <w:rPr/>
        <w:t>Figure Legends</w:t>
      </w:r>
    </w:p>
    <w:p>
      <w:pPr>
        <w:pStyle w:val="Normal"/>
        <w:spacing w:lineRule="auto" w:line="480"/>
        <w:rPr/>
      </w:pPr>
      <w:r>
        <w:rPr/>
      </w:r>
    </w:p>
    <w:p>
      <w:pPr>
        <w:pStyle w:val="Normal"/>
        <w:spacing w:lineRule="auto" w:line="480"/>
        <w:rPr/>
      </w:pPr>
      <w:r>
        <w:rPr/>
        <w:t>Figure 1 maps the locations of the multispecialty physician networks in Ontario. The large green cross shows the location of the largest hospital in the network. The small black dot shows the location of other hospitals in the network. A network consists of either one provider hub, or an aggregation of provider hubs which are linked by straight lines to the largest hospital, resulting in “spiders”. Satellite networks are linked by dotted lines to the centroid of their provider hubs.</w:t>
      </w:r>
    </w:p>
    <w:p>
      <w:pPr>
        <w:pStyle w:val="Normal"/>
        <w:spacing w:lineRule="auto" w:line="480"/>
        <w:rPr/>
      </w:pPr>
      <w:r>
        <w:rPr/>
      </w:r>
    </w:p>
    <w:p>
      <w:pPr>
        <w:sectPr>
          <w:footerReference w:type="default" r:id="rId4"/>
          <w:type w:val="nextPage"/>
          <w:pgSz w:w="12240" w:h="15840"/>
          <w:pgMar w:left="1080" w:right="1080" w:header="0" w:top="720" w:footer="720" w:bottom="1080" w:gutter="0"/>
          <w:pgNumType w:start="1" w:fmt="decimal"/>
          <w:formProt w:val="false"/>
          <w:textDirection w:val="lrTb"/>
          <w:docGrid w:type="default" w:linePitch="360" w:charSpace="0"/>
        </w:sectPr>
        <w:pStyle w:val="Normal"/>
        <w:spacing w:lineRule="auto" w:line="480"/>
        <w:rPr/>
      </w:pPr>
      <w:r>
        <w:rPr/>
        <w:t xml:space="preserve">Figure 2 maps the concentration of PC physicians within the networks. We drew lines between the billing postal codes of PC physicians and the postal code of the primary network hospital. We first removed outliers, defined as those for whom this distance was &gt; 200 km. The “stars” show the locations of the PC physicians linked to a network. </w:t>
      </w:r>
    </w:p>
    <w:p>
      <w:pPr>
        <w:pStyle w:val="Normal"/>
        <w:rPr/>
      </w:pPr>
      <w:r>
        <w:rPr/>
      </w:r>
    </w:p>
    <w:p>
      <w:pPr>
        <w:pStyle w:val="Normal"/>
        <w:rPr/>
      </w:pPr>
      <w:bookmarkStart w:id="26" w:name="_GoBack"/>
      <w:bookmarkStart w:id="27" w:name="_GoBack"/>
      <w:bookmarkEnd w:id="27"/>
      <w:r>
        <w:rPr/>
      </w:r>
      <w: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ge">
                  <wp:posOffset>1343660</wp:posOffset>
                </wp:positionV>
                <wp:extent cx="7847330" cy="1874520"/>
                <wp:effectExtent l="0" t="0" r="0" b="0"/>
                <wp:wrapSquare wrapText="bothSides"/>
                <wp:docPr id="1" name="Frame1"/>
                <a:graphic xmlns:a="http://schemas.openxmlformats.org/drawingml/2006/main">
                  <a:graphicData uri="http://schemas.microsoft.com/office/word/2010/wordprocessingShape">
                    <wps:wsp>
                      <wps:cNvSpPr txBox="1"/>
                      <wps:spPr>
                        <a:xfrm>
                          <a:off x="0" y="0"/>
                          <a:ext cx="7847330" cy="1874520"/>
                        </a:xfrm>
                        <a:prstGeom prst="rect"/>
                        <a:solidFill>
                          <a:srgbClr val="FFFFFF">
                            <a:alpha val="0"/>
                          </a:srgbClr>
                        </a:solidFill>
                      </wps:spPr>
                      <wps:txbx>
                        <w:txbxContent>
                          <w:tbl>
                            <w:tblPr>
                              <w:tblW w:w="12358" w:type="dxa"/>
                              <w:jc w:val="left"/>
                              <w:tblInd w:w="108" w:type="dxa"/>
                              <w:tblBorders>
                                <w:top w:val="single" w:sz="4" w:space="0" w:color="000000"/>
                                <w:left w:val="single" w:sz="4" w:space="0" w:color="000000"/>
                              </w:tblBorders>
                              <w:tblCellMar>
                                <w:top w:w="0" w:type="dxa"/>
                                <w:left w:w="103" w:type="dxa"/>
                                <w:bottom w:w="0" w:type="dxa"/>
                                <w:right w:w="108" w:type="dxa"/>
                              </w:tblCellMar>
                            </w:tblPr>
                            <w:tblGrid>
                              <w:gridCol w:w="1152"/>
                              <w:gridCol w:w="1080"/>
                              <w:gridCol w:w="1080"/>
                              <w:gridCol w:w="1008"/>
                              <w:gridCol w:w="828"/>
                              <w:gridCol w:w="900"/>
                              <w:gridCol w:w="540"/>
                              <w:gridCol w:w="810"/>
                              <w:gridCol w:w="900"/>
                              <w:gridCol w:w="540"/>
                              <w:gridCol w:w="1080"/>
                              <w:gridCol w:w="900"/>
                              <w:gridCol w:w="540"/>
                              <w:gridCol w:w="1000"/>
                            </w:tblGrid>
                            <w:tr>
                              <w:trPr>
                                <w:trHeight w:val="803" w:hRule="atLeast"/>
                                <w:cantSplit w:val="true"/>
                              </w:trPr>
                              <w:tc>
                                <w:tcPr>
                                  <w:tcW w:w="1152" w:type="dxa"/>
                                  <w:vMerge w:val="restart"/>
                                  <w:tcBorders>
                                    <w:top w:val="single" w:sz="4" w:space="0" w:color="000000"/>
                                    <w:left w:val="single" w:sz="4" w:space="0" w:color="000000"/>
                                  </w:tcBorders>
                                  <w:shd w:fill="auto" w:val="clear"/>
                                  <w:tcMar>
                                    <w:left w:w="103" w:type="dxa"/>
                                  </w:tcMar>
                                  <w:vAlign w:val="center"/>
                                </w:tcPr>
                                <w:p>
                                  <w:pPr>
                                    <w:pStyle w:val="Normal"/>
                                    <w:jc w:val="center"/>
                                    <w:rPr>
                                      <w:b/>
                                      <w:b/>
                                      <w:bCs/>
                                      <w:sz w:val="18"/>
                                      <w:szCs w:val="18"/>
                                      <w:lang w:eastAsia="en-CA"/>
                                    </w:rPr>
                                  </w:pPr>
                                  <w:r>
                                    <w:rPr>
                                      <w:b/>
                                      <w:bCs/>
                                      <w:sz w:val="18"/>
                                      <w:szCs w:val="18"/>
                                      <w:lang w:eastAsia="en-CA"/>
                                    </w:rPr>
                                    <w:t> </w:t>
                                  </w:r>
                                </w:p>
                                <w:p>
                                  <w:pPr>
                                    <w:pStyle w:val="Normal"/>
                                    <w:jc w:val="center"/>
                                    <w:rPr>
                                      <w:b/>
                                      <w:b/>
                                      <w:bCs/>
                                      <w:sz w:val="18"/>
                                      <w:szCs w:val="18"/>
                                      <w:lang w:eastAsia="en-CA"/>
                                    </w:rPr>
                                  </w:pPr>
                                  <w:r>
                                    <w:rPr>
                                      <w:sz w:val="18"/>
                                      <w:szCs w:val="18"/>
                                      <w:lang w:eastAsia="en-CA"/>
                                    </w:rPr>
                                    <w:t>Provider Cluster</w:t>
                                  </w:r>
                                </w:p>
                              </w:tc>
                              <w:tc>
                                <w:tcPr>
                                  <w:tcW w:w="1080"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 of residents in Provider Cluster</w:t>
                                  </w:r>
                                </w:p>
                              </w:tc>
                              <w:tc>
                                <w:tcPr>
                                  <w:tcW w:w="1080"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 of physicians in Provider Cluster</w:t>
                                  </w:r>
                                </w:p>
                              </w:tc>
                              <w:tc>
                                <w:tcPr>
                                  <w:tcW w:w="1008"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 of PC physicians in Provider Cluster</w:t>
                                  </w:r>
                                </w:p>
                              </w:tc>
                              <w:tc>
                                <w:tcPr>
                                  <w:tcW w:w="2268"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pPr>
                                  <w:r>
                                    <w:rPr>
                                      <w:sz w:val="18"/>
                                      <w:szCs w:val="18"/>
                                      <w:lang w:eastAsia="en-CA"/>
                                    </w:rPr>
                                    <w:t>Ambulatory Visits by Cluster A Residents</w:t>
                                  </w:r>
                                </w:p>
                              </w:tc>
                              <w:tc>
                                <w:tcPr>
                                  <w:tcW w:w="2250"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pPr>
                                  <w:r>
                                    <w:rPr>
                                      <w:sz w:val="18"/>
                                      <w:szCs w:val="18"/>
                                      <w:lang w:eastAsia="en-CA"/>
                                    </w:rPr>
                                    <w:t>PC Visits by Cluster A Residents</w:t>
                                  </w:r>
                                </w:p>
                              </w:tc>
                              <w:tc>
                                <w:tcPr>
                                  <w:tcW w:w="2520"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pPr>
                                  <w:r>
                                    <w:rPr>
                                      <w:sz w:val="18"/>
                                      <w:szCs w:val="18"/>
                                      <w:lang w:eastAsia="en-CA"/>
                                    </w:rPr>
                                    <w:t>Medical non-maternal Admissions to Cluster A Residents</w:t>
                                  </w:r>
                                </w:p>
                              </w:tc>
                              <w:tc>
                                <w:tcPr>
                                  <w:tcW w:w="1000" w:type="dxa"/>
                                  <w:vMerge w:val="restart"/>
                                  <w:tcBorders>
                                    <w:top w:val="single" w:sz="4" w:space="0" w:color="000000"/>
                                    <w:left w:val="single" w:sz="4" w:space="0" w:color="000000"/>
                                    <w:right w:val="single" w:sz="4" w:space="0" w:color="000000"/>
                                    <w:insideV w:val="single" w:sz="4" w:space="0" w:color="000000"/>
                                  </w:tcBorders>
                                  <w:shd w:fill="auto" w:val="clear"/>
                                  <w:tcMar>
                                    <w:left w:w="103" w:type="dxa"/>
                                  </w:tcMar>
                                  <w:vAlign w:val="center"/>
                                </w:tcPr>
                                <w:p>
                                  <w:pPr>
                                    <w:pStyle w:val="Normal"/>
                                    <w:jc w:val="center"/>
                                    <w:rPr/>
                                  </w:pPr>
                                  <w:r>
                                    <w:rPr>
                                      <w:sz w:val="18"/>
                                      <w:szCs w:val="18"/>
                                      <w:lang w:eastAsia="en-CA"/>
                                    </w:rPr>
                                    <w:t>Travel time from Provider Cluster A (min)</w:t>
                                  </w:r>
                                </w:p>
                              </w:tc>
                            </w:tr>
                            <w:tr>
                              <w:trPr>
                                <w:trHeight w:val="443" w:hRule="atLeast"/>
                                <w:cantSplit w:val="true"/>
                              </w:trPr>
                              <w:tc>
                                <w:tcPr>
                                  <w:tcW w:w="1152" w:type="dxa"/>
                                  <w:vMerge w:val="continue"/>
                                  <w:tcBorders>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sz w:val="18"/>
                                      <w:szCs w:val="18"/>
                                      <w:lang w:eastAsia="en-CA"/>
                                    </w:rPr>
                                  </w:pPr>
                                  <w:r>
                                    <w:rPr>
                                      <w:sz w:val="18"/>
                                      <w:szCs w:val="18"/>
                                      <w:lang w:eastAsia="en-CA"/>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sz w:val="18"/>
                                      <w:szCs w:val="18"/>
                                      <w:lang w:eastAsia="en-CA"/>
                                    </w:rPr>
                                  </w:pPr>
                                  <w:r>
                                    <w:rPr>
                                      <w:sz w:val="18"/>
                                      <w:szCs w:val="18"/>
                                      <w:lang w:eastAsia="en-CA"/>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sz w:val="18"/>
                                      <w:szCs w:val="18"/>
                                      <w:lang w:eastAsia="en-CA"/>
                                    </w:rPr>
                                  </w:pPr>
                                  <w:r>
                                    <w:rPr>
                                      <w:sz w:val="18"/>
                                      <w:szCs w:val="18"/>
                                      <w:lang w:eastAsia="en-CA"/>
                                    </w:rPr>
                                  </w:r>
                                </w:p>
                              </w:tc>
                              <w:tc>
                                <w:tcPr>
                                  <w:tcW w:w="1008"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sz w:val="18"/>
                                      <w:szCs w:val="18"/>
                                      <w:lang w:eastAsia="en-CA"/>
                                    </w:rPr>
                                  </w:pPr>
                                  <w:r>
                                    <w:rPr>
                                      <w:sz w:val="18"/>
                                      <w:szCs w:val="18"/>
                                      <w:lang w:eastAsia="en-CA"/>
                                    </w:rPr>
                                  </w:r>
                                </w:p>
                              </w:tc>
                              <w:tc>
                                <w:tcPr>
                                  <w:tcW w:w="828"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 of visits</w:t>
                                  </w:r>
                                </w:p>
                              </w:tc>
                              <w:tc>
                                <w:tcPr>
                                  <w:tcW w:w="90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pPr>
                                  <w:r>
                                    <w:rPr>
                                      <w:sz w:val="18"/>
                                      <w:szCs w:val="18"/>
                                      <w:lang w:eastAsia="en-CA"/>
                                    </w:rPr>
                                    <w:t>Loyalty*          (%)</w:t>
                                  </w:r>
                                </w:p>
                              </w:tc>
                              <w:tc>
                                <w:tcPr>
                                  <w:tcW w:w="54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rank</w:t>
                                  </w:r>
                                </w:p>
                              </w:tc>
                              <w:tc>
                                <w:tcPr>
                                  <w:tcW w:w="81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 of visits</w:t>
                                  </w:r>
                                </w:p>
                              </w:tc>
                              <w:tc>
                                <w:tcPr>
                                  <w:tcW w:w="90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pPr>
                                  <w:r>
                                    <w:rPr>
                                      <w:sz w:val="18"/>
                                      <w:szCs w:val="18"/>
                                      <w:lang w:eastAsia="en-CA"/>
                                    </w:rPr>
                                    <w:t>Loyalty* (%)</w:t>
                                  </w:r>
                                </w:p>
                              </w:tc>
                              <w:tc>
                                <w:tcPr>
                                  <w:tcW w:w="54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rank</w:t>
                                  </w:r>
                                </w:p>
                              </w:tc>
                              <w:tc>
                                <w:tcPr>
                                  <w:tcW w:w="108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 of admissions</w:t>
                                  </w:r>
                                </w:p>
                              </w:tc>
                              <w:tc>
                                <w:tcPr>
                                  <w:tcW w:w="90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pPr>
                                  <w:r>
                                    <w:rPr>
                                      <w:sz w:val="18"/>
                                      <w:szCs w:val="18"/>
                                      <w:lang w:eastAsia="en-CA"/>
                                    </w:rPr>
                                    <w:t>Loyalty*          (%)</w:t>
                                  </w:r>
                                </w:p>
                              </w:tc>
                              <w:tc>
                                <w:tcPr>
                                  <w:tcW w:w="54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rank</w:t>
                                  </w:r>
                                </w:p>
                              </w:tc>
                              <w:tc>
                                <w:tcPr>
                                  <w:tcW w:w="1000"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snapToGrid w:val="false"/>
                                    <w:rPr>
                                      <w:sz w:val="18"/>
                                      <w:szCs w:val="18"/>
                                      <w:lang w:eastAsia="en-CA"/>
                                    </w:rPr>
                                  </w:pPr>
                                  <w:r>
                                    <w:rPr>
                                      <w:sz w:val="18"/>
                                      <w:szCs w:val="18"/>
                                      <w:lang w:eastAsia="en-CA"/>
                                    </w:rPr>
                                  </w:r>
                                </w:p>
                              </w:tc>
                            </w:tr>
                            <w:tr>
                              <w:trPr>
                                <w:trHeight w:val="263" w:hRule="atLeast"/>
                              </w:trPr>
                              <w:tc>
                                <w:tcPr>
                                  <w:tcW w:w="1152"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pPr>
                                  <w:r>
                                    <w:rPr>
                                      <w:sz w:val="18"/>
                                      <w:szCs w:val="18"/>
                                      <w:lang w:eastAsia="en-CA"/>
                                    </w:rPr>
                                    <w:t>Provider Cluster A</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27,473</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32</w:t>
                                  </w:r>
                                </w:p>
                              </w:tc>
                              <w:tc>
                                <w:tcPr>
                                  <w:tcW w:w="1008"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28</w:t>
                                  </w:r>
                                </w:p>
                              </w:tc>
                              <w:tc>
                                <w:tcPr>
                                  <w:tcW w:w="828"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286,120</w:t>
                                  </w:r>
                                </w:p>
                              </w:tc>
                              <w:tc>
                                <w:tcPr>
                                  <w:tcW w:w="900" w:type="dxa"/>
                                  <w:tcBorders>
                                    <w:left w:val="single" w:sz="4" w:space="0" w:color="000000"/>
                                    <w:bottom w:val="single" w:sz="4" w:space="0" w:color="000000"/>
                                    <w:insideH w:val="single" w:sz="4" w:space="0" w:color="000000"/>
                                  </w:tcBorders>
                                  <w:shd w:fill="FFFF00" w:val="clear"/>
                                  <w:tcMar>
                                    <w:left w:w="103" w:type="dxa"/>
                                  </w:tcMar>
                                  <w:vAlign w:val="bottom"/>
                                </w:tcPr>
                                <w:p>
                                  <w:pPr>
                                    <w:pStyle w:val="Normal"/>
                                    <w:jc w:val="right"/>
                                    <w:rPr>
                                      <w:sz w:val="18"/>
                                      <w:szCs w:val="18"/>
                                      <w:lang w:eastAsia="en-CA"/>
                                    </w:rPr>
                                  </w:pPr>
                                  <w:r>
                                    <w:rPr>
                                      <w:sz w:val="18"/>
                                      <w:szCs w:val="18"/>
                                      <w:lang w:eastAsia="en-CA"/>
                                    </w:rPr>
                                    <w:t>67.1</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w:t>
                                  </w:r>
                                </w:p>
                              </w:tc>
                              <w:tc>
                                <w:tcPr>
                                  <w:tcW w:w="81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277,205</w:t>
                                  </w:r>
                                </w:p>
                              </w:tc>
                              <w:tc>
                                <w:tcPr>
                                  <w:tcW w:w="900" w:type="dxa"/>
                                  <w:tcBorders>
                                    <w:left w:val="single" w:sz="4" w:space="0" w:color="000000"/>
                                    <w:bottom w:val="single" w:sz="4" w:space="0" w:color="000000"/>
                                    <w:insideH w:val="single" w:sz="4" w:space="0" w:color="000000"/>
                                  </w:tcBorders>
                                  <w:shd w:fill="FFFF00" w:val="clear"/>
                                  <w:tcMar>
                                    <w:left w:w="103" w:type="dxa"/>
                                  </w:tcMar>
                                  <w:vAlign w:val="bottom"/>
                                </w:tcPr>
                                <w:p>
                                  <w:pPr>
                                    <w:pStyle w:val="Normal"/>
                                    <w:jc w:val="right"/>
                                    <w:rPr>
                                      <w:sz w:val="18"/>
                                      <w:szCs w:val="18"/>
                                      <w:lang w:eastAsia="en-CA"/>
                                    </w:rPr>
                                  </w:pPr>
                                  <w:r>
                                    <w:rPr>
                                      <w:sz w:val="18"/>
                                      <w:szCs w:val="18"/>
                                      <w:lang w:eastAsia="en-CA"/>
                                    </w:rPr>
                                    <w:t>87.4</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2,373</w:t>
                                  </w:r>
                                </w:p>
                              </w:tc>
                              <w:tc>
                                <w:tcPr>
                                  <w:tcW w:w="900" w:type="dxa"/>
                                  <w:tcBorders>
                                    <w:left w:val="single" w:sz="4" w:space="0" w:color="000000"/>
                                    <w:bottom w:val="single" w:sz="4" w:space="0" w:color="000000"/>
                                    <w:insideH w:val="single" w:sz="4" w:space="0" w:color="000000"/>
                                  </w:tcBorders>
                                  <w:shd w:fill="FFFF00" w:val="clear"/>
                                  <w:tcMar>
                                    <w:left w:w="103" w:type="dxa"/>
                                  </w:tcMar>
                                  <w:vAlign w:val="bottom"/>
                                </w:tcPr>
                                <w:p>
                                  <w:pPr>
                                    <w:pStyle w:val="Normal"/>
                                    <w:jc w:val="right"/>
                                    <w:rPr>
                                      <w:sz w:val="18"/>
                                      <w:szCs w:val="18"/>
                                      <w:lang w:eastAsia="en-CA"/>
                                    </w:rPr>
                                  </w:pPr>
                                  <w:r>
                                    <w:rPr>
                                      <w:sz w:val="18"/>
                                      <w:szCs w:val="18"/>
                                      <w:lang w:eastAsia="en-CA"/>
                                    </w:rPr>
                                    <w:t>53.8</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w:t>
                                  </w:r>
                                </w:p>
                              </w:tc>
                              <w:tc>
                                <w:tcPr>
                                  <w:tcW w:w="1000" w:type="dxa"/>
                                  <w:tcBorders>
                                    <w:left w:val="single" w:sz="4" w:space="0" w:color="000000"/>
                                    <w:right w:val="single" w:sz="4" w:space="0" w:color="000000"/>
                                    <w:insideV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0</w:t>
                                  </w:r>
                                </w:p>
                              </w:tc>
                            </w:tr>
                            <w:tr>
                              <w:trPr>
                                <w:trHeight w:val="263" w:hRule="atLeast"/>
                              </w:trPr>
                              <w:tc>
                                <w:tcPr>
                                  <w:tcW w:w="1152"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pPr>
                                  <w:r>
                                    <w:rPr>
                                      <w:sz w:val="18"/>
                                      <w:szCs w:val="18"/>
                                      <w:lang w:eastAsia="en-CA"/>
                                    </w:rPr>
                                    <w:t>Provider Cluster B</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181,060</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612</w:t>
                                  </w:r>
                                </w:p>
                              </w:tc>
                              <w:tc>
                                <w:tcPr>
                                  <w:tcW w:w="1008"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246</w:t>
                                  </w:r>
                                </w:p>
                              </w:tc>
                              <w:tc>
                                <w:tcPr>
                                  <w:tcW w:w="828"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89,190</w:t>
                                  </w:r>
                                </w:p>
                              </w:tc>
                              <w:tc>
                                <w:tcPr>
                                  <w:tcW w:w="900" w:type="dxa"/>
                                  <w:tcBorders>
                                    <w:left w:val="single" w:sz="4" w:space="0" w:color="000000"/>
                                    <w:bottom w:val="single" w:sz="4" w:space="0" w:color="000000"/>
                                    <w:insideH w:val="single" w:sz="4" w:space="0" w:color="000000"/>
                                  </w:tcBorders>
                                  <w:shd w:fill="FFFF00" w:val="clear"/>
                                  <w:tcMar>
                                    <w:left w:w="103" w:type="dxa"/>
                                  </w:tcMar>
                                  <w:vAlign w:val="bottom"/>
                                </w:tcPr>
                                <w:p>
                                  <w:pPr>
                                    <w:pStyle w:val="Normal"/>
                                    <w:jc w:val="right"/>
                                    <w:rPr>
                                      <w:sz w:val="18"/>
                                      <w:szCs w:val="18"/>
                                      <w:lang w:eastAsia="en-CA"/>
                                    </w:rPr>
                                  </w:pPr>
                                  <w:r>
                                    <w:rPr>
                                      <w:sz w:val="18"/>
                                      <w:szCs w:val="18"/>
                                      <w:lang w:eastAsia="en-CA"/>
                                    </w:rPr>
                                    <w:t>20.9</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w:t>
                                  </w:r>
                                </w:p>
                              </w:tc>
                              <w:tc>
                                <w:tcPr>
                                  <w:tcW w:w="81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21,792</w:t>
                                  </w:r>
                                </w:p>
                              </w:tc>
                              <w:tc>
                                <w:tcPr>
                                  <w:tcW w:w="900" w:type="dxa"/>
                                  <w:tcBorders>
                                    <w:left w:val="single" w:sz="4" w:space="0" w:color="000000"/>
                                    <w:bottom w:val="single" w:sz="4" w:space="0" w:color="000000"/>
                                    <w:insideH w:val="single" w:sz="4" w:space="0" w:color="000000"/>
                                  </w:tcBorders>
                                  <w:shd w:fill="FFFF00" w:val="clear"/>
                                  <w:tcMar>
                                    <w:left w:w="103" w:type="dxa"/>
                                  </w:tcMar>
                                  <w:vAlign w:val="bottom"/>
                                </w:tcPr>
                                <w:p>
                                  <w:pPr>
                                    <w:pStyle w:val="Normal"/>
                                    <w:jc w:val="right"/>
                                    <w:rPr>
                                      <w:sz w:val="18"/>
                                      <w:szCs w:val="18"/>
                                      <w:lang w:eastAsia="en-CA"/>
                                    </w:rPr>
                                  </w:pPr>
                                  <w:r>
                                    <w:rPr>
                                      <w:sz w:val="18"/>
                                      <w:szCs w:val="18"/>
                                      <w:lang w:eastAsia="en-CA"/>
                                    </w:rPr>
                                    <w:t>6.9</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1,199</w:t>
                                  </w:r>
                                </w:p>
                              </w:tc>
                              <w:tc>
                                <w:tcPr>
                                  <w:tcW w:w="900" w:type="dxa"/>
                                  <w:tcBorders>
                                    <w:left w:val="single" w:sz="4" w:space="0" w:color="000000"/>
                                    <w:bottom w:val="single" w:sz="4" w:space="0" w:color="000000"/>
                                    <w:insideH w:val="single" w:sz="4" w:space="0" w:color="000000"/>
                                  </w:tcBorders>
                                  <w:shd w:fill="FFFF00" w:val="clear"/>
                                  <w:tcMar>
                                    <w:left w:w="103" w:type="dxa"/>
                                  </w:tcMar>
                                  <w:vAlign w:val="bottom"/>
                                </w:tcPr>
                                <w:p>
                                  <w:pPr>
                                    <w:pStyle w:val="Normal"/>
                                    <w:jc w:val="right"/>
                                    <w:rPr>
                                      <w:sz w:val="18"/>
                                      <w:szCs w:val="18"/>
                                      <w:lang w:eastAsia="en-CA"/>
                                    </w:rPr>
                                  </w:pPr>
                                  <w:r>
                                    <w:rPr>
                                      <w:sz w:val="18"/>
                                      <w:szCs w:val="18"/>
                                      <w:lang w:eastAsia="en-CA"/>
                                    </w:rPr>
                                    <w:t>27.2</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w:t>
                                  </w:r>
                                </w:p>
                              </w:tc>
                              <w:tc>
                                <w:tcPr>
                                  <w:tcW w:w="1000" w:type="dxa"/>
                                  <w:tcBorders>
                                    <w:top w:val="single" w:sz="4" w:space="0" w:color="000000"/>
                                    <w:left w:val="single" w:sz="4" w:space="0" w:color="000000"/>
                                    <w:right w:val="single" w:sz="4" w:space="0" w:color="000000"/>
                                    <w:insideV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70</w:t>
                                  </w:r>
                                </w:p>
                              </w:tc>
                            </w:tr>
                            <w:tr>
                              <w:trPr>
                                <w:trHeight w:val="263" w:hRule="atLeast"/>
                              </w:trPr>
                              <w:tc>
                                <w:tcPr>
                                  <w:tcW w:w="1152"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pPr>
                                  <w:r>
                                    <w:rPr>
                                      <w:sz w:val="18"/>
                                      <w:szCs w:val="18"/>
                                      <w:lang w:eastAsia="en-CA"/>
                                    </w:rPr>
                                    <w:t>Provider Cluster C</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119,223</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211</w:t>
                                  </w:r>
                                </w:p>
                              </w:tc>
                              <w:tc>
                                <w:tcPr>
                                  <w:tcW w:w="1008"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104</w:t>
                                  </w:r>
                                </w:p>
                              </w:tc>
                              <w:tc>
                                <w:tcPr>
                                  <w:tcW w:w="828"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22,550</w:t>
                                  </w:r>
                                </w:p>
                              </w:tc>
                              <w:tc>
                                <w:tcPr>
                                  <w:tcW w:w="90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5.3</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3</w:t>
                                  </w:r>
                                </w:p>
                              </w:tc>
                              <w:tc>
                                <w:tcPr>
                                  <w:tcW w:w="81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7,710</w:t>
                                  </w:r>
                                </w:p>
                              </w:tc>
                              <w:tc>
                                <w:tcPr>
                                  <w:tcW w:w="90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2.4</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3</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282</w:t>
                                  </w:r>
                                </w:p>
                              </w:tc>
                              <w:tc>
                                <w:tcPr>
                                  <w:tcW w:w="90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6.4</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3</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53</w:t>
                                  </w:r>
                                </w:p>
                              </w:tc>
                            </w:tr>
                            <w:tr>
                              <w:trPr>
                                <w:trHeight w:val="263" w:hRule="atLeast"/>
                              </w:trPr>
                              <w:tc>
                                <w:tcPr>
                                  <w:tcW w:w="1152"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pPr>
                                  <w:r>
                                    <w:rPr>
                                      <w:sz w:val="18"/>
                                      <w:szCs w:val="18"/>
                                      <w:lang w:eastAsia="en-CA"/>
                                    </w:rPr>
                                    <w:t>Provider Cluster D</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56,405</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100</w:t>
                                  </w:r>
                                </w:p>
                              </w:tc>
                              <w:tc>
                                <w:tcPr>
                                  <w:tcW w:w="1008"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57</w:t>
                                  </w:r>
                                </w:p>
                              </w:tc>
                              <w:tc>
                                <w:tcPr>
                                  <w:tcW w:w="828"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4,765</w:t>
                                  </w:r>
                                </w:p>
                              </w:tc>
                              <w:tc>
                                <w:tcPr>
                                  <w:tcW w:w="90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1.1</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4</w:t>
                                  </w:r>
                                </w:p>
                              </w:tc>
                              <w:tc>
                                <w:tcPr>
                                  <w:tcW w:w="81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706</w:t>
                                  </w:r>
                                </w:p>
                              </w:tc>
                              <w:tc>
                                <w:tcPr>
                                  <w:tcW w:w="90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0.2</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4</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201</w:t>
                                  </w:r>
                                </w:p>
                              </w:tc>
                              <w:tc>
                                <w:tcPr>
                                  <w:tcW w:w="90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4.6</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4</w:t>
                                  </w:r>
                                </w:p>
                              </w:tc>
                              <w:tc>
                                <w:tcPr>
                                  <w:tcW w:w="10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73</w:t>
                                  </w:r>
                                </w:p>
                              </w:tc>
                            </w:tr>
                          </w:tbl>
                        </w:txbxContent>
                      </wps:txbx>
                      <wps:bodyPr anchor="t">
                        <a:noAutofit/>
                      </wps:bodyPr>
                    </wps:wsp>
                  </a:graphicData>
                </a:graphic>
              </wp:anchor>
            </w:drawing>
          </mc:Choice>
          <mc:Fallback>
            <w:pict>
              <v:rect fillcolor="#FFFFFF" style="position:absolute;rotation:0;width:617.9pt;height:147.6pt;mso-wrap-distance-left:9pt;mso-wrap-distance-right:9pt;margin-top:105.8pt;mso-position-vertical-relative:page;margin-left:33.05pt;mso-position-horizontal:center;mso-position-horizontal-relative:margin">
                <v:fill opacity="0f"/>
                <v:textbox>
                  <w:txbxContent>
                    <w:tbl>
                      <w:tblPr>
                        <w:tblW w:w="12358" w:type="dxa"/>
                        <w:jc w:val="left"/>
                        <w:tblInd w:w="108" w:type="dxa"/>
                        <w:tblBorders>
                          <w:top w:val="single" w:sz="4" w:space="0" w:color="000000"/>
                          <w:left w:val="single" w:sz="4" w:space="0" w:color="000000"/>
                        </w:tblBorders>
                        <w:tblCellMar>
                          <w:top w:w="0" w:type="dxa"/>
                          <w:left w:w="103" w:type="dxa"/>
                          <w:bottom w:w="0" w:type="dxa"/>
                          <w:right w:w="108" w:type="dxa"/>
                        </w:tblCellMar>
                      </w:tblPr>
                      <w:tblGrid>
                        <w:gridCol w:w="1152"/>
                        <w:gridCol w:w="1080"/>
                        <w:gridCol w:w="1080"/>
                        <w:gridCol w:w="1008"/>
                        <w:gridCol w:w="828"/>
                        <w:gridCol w:w="900"/>
                        <w:gridCol w:w="540"/>
                        <w:gridCol w:w="810"/>
                        <w:gridCol w:w="900"/>
                        <w:gridCol w:w="540"/>
                        <w:gridCol w:w="1080"/>
                        <w:gridCol w:w="900"/>
                        <w:gridCol w:w="540"/>
                        <w:gridCol w:w="1000"/>
                      </w:tblGrid>
                      <w:tr>
                        <w:trPr>
                          <w:trHeight w:val="803" w:hRule="atLeast"/>
                          <w:cantSplit w:val="true"/>
                        </w:trPr>
                        <w:tc>
                          <w:tcPr>
                            <w:tcW w:w="1152" w:type="dxa"/>
                            <w:vMerge w:val="restart"/>
                            <w:tcBorders>
                              <w:top w:val="single" w:sz="4" w:space="0" w:color="000000"/>
                              <w:left w:val="single" w:sz="4" w:space="0" w:color="000000"/>
                            </w:tcBorders>
                            <w:shd w:fill="auto" w:val="clear"/>
                            <w:tcMar>
                              <w:left w:w="103" w:type="dxa"/>
                            </w:tcMar>
                            <w:vAlign w:val="center"/>
                          </w:tcPr>
                          <w:p>
                            <w:pPr>
                              <w:pStyle w:val="Normal"/>
                              <w:jc w:val="center"/>
                              <w:rPr>
                                <w:b/>
                                <w:b/>
                                <w:bCs/>
                                <w:sz w:val="18"/>
                                <w:szCs w:val="18"/>
                                <w:lang w:eastAsia="en-CA"/>
                              </w:rPr>
                            </w:pPr>
                            <w:r>
                              <w:rPr>
                                <w:b/>
                                <w:bCs/>
                                <w:sz w:val="18"/>
                                <w:szCs w:val="18"/>
                                <w:lang w:eastAsia="en-CA"/>
                              </w:rPr>
                              <w:t> </w:t>
                            </w:r>
                          </w:p>
                          <w:p>
                            <w:pPr>
                              <w:pStyle w:val="Normal"/>
                              <w:jc w:val="center"/>
                              <w:rPr>
                                <w:b/>
                                <w:b/>
                                <w:bCs/>
                                <w:sz w:val="18"/>
                                <w:szCs w:val="18"/>
                                <w:lang w:eastAsia="en-CA"/>
                              </w:rPr>
                            </w:pPr>
                            <w:r>
                              <w:rPr>
                                <w:sz w:val="18"/>
                                <w:szCs w:val="18"/>
                                <w:lang w:eastAsia="en-CA"/>
                              </w:rPr>
                              <w:t>Provider Cluster</w:t>
                            </w:r>
                          </w:p>
                        </w:tc>
                        <w:tc>
                          <w:tcPr>
                            <w:tcW w:w="1080"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 of residents in Provider Cluster</w:t>
                            </w:r>
                          </w:p>
                        </w:tc>
                        <w:tc>
                          <w:tcPr>
                            <w:tcW w:w="1080"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 of physicians in Provider Cluster</w:t>
                            </w:r>
                          </w:p>
                        </w:tc>
                        <w:tc>
                          <w:tcPr>
                            <w:tcW w:w="1008"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 of PC physicians in Provider Cluster</w:t>
                            </w:r>
                          </w:p>
                        </w:tc>
                        <w:tc>
                          <w:tcPr>
                            <w:tcW w:w="2268"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pPr>
                            <w:r>
                              <w:rPr>
                                <w:sz w:val="18"/>
                                <w:szCs w:val="18"/>
                                <w:lang w:eastAsia="en-CA"/>
                              </w:rPr>
                              <w:t>Ambulatory Visits by Cluster A Residents</w:t>
                            </w:r>
                          </w:p>
                        </w:tc>
                        <w:tc>
                          <w:tcPr>
                            <w:tcW w:w="2250"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pPr>
                            <w:r>
                              <w:rPr>
                                <w:sz w:val="18"/>
                                <w:szCs w:val="18"/>
                                <w:lang w:eastAsia="en-CA"/>
                              </w:rPr>
                              <w:t>PC Visits by Cluster A Residents</w:t>
                            </w:r>
                          </w:p>
                        </w:tc>
                        <w:tc>
                          <w:tcPr>
                            <w:tcW w:w="2520"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pPr>
                            <w:r>
                              <w:rPr>
                                <w:sz w:val="18"/>
                                <w:szCs w:val="18"/>
                                <w:lang w:eastAsia="en-CA"/>
                              </w:rPr>
                              <w:t>Medical non-maternal Admissions to Cluster A Residents</w:t>
                            </w:r>
                          </w:p>
                        </w:tc>
                        <w:tc>
                          <w:tcPr>
                            <w:tcW w:w="1000" w:type="dxa"/>
                            <w:vMerge w:val="restart"/>
                            <w:tcBorders>
                              <w:top w:val="single" w:sz="4" w:space="0" w:color="000000"/>
                              <w:left w:val="single" w:sz="4" w:space="0" w:color="000000"/>
                              <w:right w:val="single" w:sz="4" w:space="0" w:color="000000"/>
                              <w:insideV w:val="single" w:sz="4" w:space="0" w:color="000000"/>
                            </w:tcBorders>
                            <w:shd w:fill="auto" w:val="clear"/>
                            <w:tcMar>
                              <w:left w:w="103" w:type="dxa"/>
                            </w:tcMar>
                            <w:vAlign w:val="center"/>
                          </w:tcPr>
                          <w:p>
                            <w:pPr>
                              <w:pStyle w:val="Normal"/>
                              <w:jc w:val="center"/>
                              <w:rPr/>
                            </w:pPr>
                            <w:r>
                              <w:rPr>
                                <w:sz w:val="18"/>
                                <w:szCs w:val="18"/>
                                <w:lang w:eastAsia="en-CA"/>
                              </w:rPr>
                              <w:t>Travel time from Provider Cluster A (min)</w:t>
                            </w:r>
                          </w:p>
                        </w:tc>
                      </w:tr>
                      <w:tr>
                        <w:trPr>
                          <w:trHeight w:val="443" w:hRule="atLeast"/>
                          <w:cantSplit w:val="true"/>
                        </w:trPr>
                        <w:tc>
                          <w:tcPr>
                            <w:tcW w:w="1152" w:type="dxa"/>
                            <w:vMerge w:val="continue"/>
                            <w:tcBorders>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sz w:val="18"/>
                                <w:szCs w:val="18"/>
                                <w:lang w:eastAsia="en-CA"/>
                              </w:rPr>
                            </w:pPr>
                            <w:r>
                              <w:rPr>
                                <w:sz w:val="18"/>
                                <w:szCs w:val="18"/>
                                <w:lang w:eastAsia="en-CA"/>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sz w:val="18"/>
                                <w:szCs w:val="18"/>
                                <w:lang w:eastAsia="en-CA"/>
                              </w:rPr>
                            </w:pPr>
                            <w:r>
                              <w:rPr>
                                <w:sz w:val="18"/>
                                <w:szCs w:val="18"/>
                                <w:lang w:eastAsia="en-CA"/>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sz w:val="18"/>
                                <w:szCs w:val="18"/>
                                <w:lang w:eastAsia="en-CA"/>
                              </w:rPr>
                            </w:pPr>
                            <w:r>
                              <w:rPr>
                                <w:sz w:val="18"/>
                                <w:szCs w:val="18"/>
                                <w:lang w:eastAsia="en-CA"/>
                              </w:rPr>
                            </w:r>
                          </w:p>
                        </w:tc>
                        <w:tc>
                          <w:tcPr>
                            <w:tcW w:w="1008"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sz w:val="18"/>
                                <w:szCs w:val="18"/>
                                <w:lang w:eastAsia="en-CA"/>
                              </w:rPr>
                            </w:pPr>
                            <w:r>
                              <w:rPr>
                                <w:sz w:val="18"/>
                                <w:szCs w:val="18"/>
                                <w:lang w:eastAsia="en-CA"/>
                              </w:rPr>
                            </w:r>
                          </w:p>
                        </w:tc>
                        <w:tc>
                          <w:tcPr>
                            <w:tcW w:w="828"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 of visits</w:t>
                            </w:r>
                          </w:p>
                        </w:tc>
                        <w:tc>
                          <w:tcPr>
                            <w:tcW w:w="90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pPr>
                            <w:r>
                              <w:rPr>
                                <w:sz w:val="18"/>
                                <w:szCs w:val="18"/>
                                <w:lang w:eastAsia="en-CA"/>
                              </w:rPr>
                              <w:t>Loyalty*          (%)</w:t>
                            </w:r>
                          </w:p>
                        </w:tc>
                        <w:tc>
                          <w:tcPr>
                            <w:tcW w:w="54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rank</w:t>
                            </w:r>
                          </w:p>
                        </w:tc>
                        <w:tc>
                          <w:tcPr>
                            <w:tcW w:w="81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 of visits</w:t>
                            </w:r>
                          </w:p>
                        </w:tc>
                        <w:tc>
                          <w:tcPr>
                            <w:tcW w:w="90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pPr>
                            <w:r>
                              <w:rPr>
                                <w:sz w:val="18"/>
                                <w:szCs w:val="18"/>
                                <w:lang w:eastAsia="en-CA"/>
                              </w:rPr>
                              <w:t>Loyalty* (%)</w:t>
                            </w:r>
                          </w:p>
                        </w:tc>
                        <w:tc>
                          <w:tcPr>
                            <w:tcW w:w="54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rank</w:t>
                            </w:r>
                          </w:p>
                        </w:tc>
                        <w:tc>
                          <w:tcPr>
                            <w:tcW w:w="108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 of admissions</w:t>
                            </w:r>
                          </w:p>
                        </w:tc>
                        <w:tc>
                          <w:tcPr>
                            <w:tcW w:w="90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pPr>
                            <w:r>
                              <w:rPr>
                                <w:sz w:val="18"/>
                                <w:szCs w:val="18"/>
                                <w:lang w:eastAsia="en-CA"/>
                              </w:rPr>
                              <w:t>Loyalty*          (%)</w:t>
                            </w:r>
                          </w:p>
                        </w:tc>
                        <w:tc>
                          <w:tcPr>
                            <w:tcW w:w="54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rank</w:t>
                            </w:r>
                          </w:p>
                        </w:tc>
                        <w:tc>
                          <w:tcPr>
                            <w:tcW w:w="1000"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snapToGrid w:val="false"/>
                              <w:rPr>
                                <w:sz w:val="18"/>
                                <w:szCs w:val="18"/>
                                <w:lang w:eastAsia="en-CA"/>
                              </w:rPr>
                            </w:pPr>
                            <w:r>
                              <w:rPr>
                                <w:sz w:val="18"/>
                                <w:szCs w:val="18"/>
                                <w:lang w:eastAsia="en-CA"/>
                              </w:rPr>
                            </w:r>
                          </w:p>
                        </w:tc>
                      </w:tr>
                      <w:tr>
                        <w:trPr>
                          <w:trHeight w:val="263" w:hRule="atLeast"/>
                        </w:trPr>
                        <w:tc>
                          <w:tcPr>
                            <w:tcW w:w="1152"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pPr>
                            <w:r>
                              <w:rPr>
                                <w:sz w:val="18"/>
                                <w:szCs w:val="18"/>
                                <w:lang w:eastAsia="en-CA"/>
                              </w:rPr>
                              <w:t>Provider Cluster A</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27,473</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32</w:t>
                            </w:r>
                          </w:p>
                        </w:tc>
                        <w:tc>
                          <w:tcPr>
                            <w:tcW w:w="1008"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28</w:t>
                            </w:r>
                          </w:p>
                        </w:tc>
                        <w:tc>
                          <w:tcPr>
                            <w:tcW w:w="828"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286,120</w:t>
                            </w:r>
                          </w:p>
                        </w:tc>
                        <w:tc>
                          <w:tcPr>
                            <w:tcW w:w="900" w:type="dxa"/>
                            <w:tcBorders>
                              <w:left w:val="single" w:sz="4" w:space="0" w:color="000000"/>
                              <w:bottom w:val="single" w:sz="4" w:space="0" w:color="000000"/>
                              <w:insideH w:val="single" w:sz="4" w:space="0" w:color="000000"/>
                            </w:tcBorders>
                            <w:shd w:fill="FFFF00" w:val="clear"/>
                            <w:tcMar>
                              <w:left w:w="103" w:type="dxa"/>
                            </w:tcMar>
                            <w:vAlign w:val="bottom"/>
                          </w:tcPr>
                          <w:p>
                            <w:pPr>
                              <w:pStyle w:val="Normal"/>
                              <w:jc w:val="right"/>
                              <w:rPr>
                                <w:sz w:val="18"/>
                                <w:szCs w:val="18"/>
                                <w:lang w:eastAsia="en-CA"/>
                              </w:rPr>
                            </w:pPr>
                            <w:r>
                              <w:rPr>
                                <w:sz w:val="18"/>
                                <w:szCs w:val="18"/>
                                <w:lang w:eastAsia="en-CA"/>
                              </w:rPr>
                              <w:t>67.1</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w:t>
                            </w:r>
                          </w:p>
                        </w:tc>
                        <w:tc>
                          <w:tcPr>
                            <w:tcW w:w="81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277,205</w:t>
                            </w:r>
                          </w:p>
                        </w:tc>
                        <w:tc>
                          <w:tcPr>
                            <w:tcW w:w="900" w:type="dxa"/>
                            <w:tcBorders>
                              <w:left w:val="single" w:sz="4" w:space="0" w:color="000000"/>
                              <w:bottom w:val="single" w:sz="4" w:space="0" w:color="000000"/>
                              <w:insideH w:val="single" w:sz="4" w:space="0" w:color="000000"/>
                            </w:tcBorders>
                            <w:shd w:fill="FFFF00" w:val="clear"/>
                            <w:tcMar>
                              <w:left w:w="103" w:type="dxa"/>
                            </w:tcMar>
                            <w:vAlign w:val="bottom"/>
                          </w:tcPr>
                          <w:p>
                            <w:pPr>
                              <w:pStyle w:val="Normal"/>
                              <w:jc w:val="right"/>
                              <w:rPr>
                                <w:sz w:val="18"/>
                                <w:szCs w:val="18"/>
                                <w:lang w:eastAsia="en-CA"/>
                              </w:rPr>
                            </w:pPr>
                            <w:r>
                              <w:rPr>
                                <w:sz w:val="18"/>
                                <w:szCs w:val="18"/>
                                <w:lang w:eastAsia="en-CA"/>
                              </w:rPr>
                              <w:t>87.4</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2,373</w:t>
                            </w:r>
                          </w:p>
                        </w:tc>
                        <w:tc>
                          <w:tcPr>
                            <w:tcW w:w="900" w:type="dxa"/>
                            <w:tcBorders>
                              <w:left w:val="single" w:sz="4" w:space="0" w:color="000000"/>
                              <w:bottom w:val="single" w:sz="4" w:space="0" w:color="000000"/>
                              <w:insideH w:val="single" w:sz="4" w:space="0" w:color="000000"/>
                            </w:tcBorders>
                            <w:shd w:fill="FFFF00" w:val="clear"/>
                            <w:tcMar>
                              <w:left w:w="103" w:type="dxa"/>
                            </w:tcMar>
                            <w:vAlign w:val="bottom"/>
                          </w:tcPr>
                          <w:p>
                            <w:pPr>
                              <w:pStyle w:val="Normal"/>
                              <w:jc w:val="right"/>
                              <w:rPr>
                                <w:sz w:val="18"/>
                                <w:szCs w:val="18"/>
                                <w:lang w:eastAsia="en-CA"/>
                              </w:rPr>
                            </w:pPr>
                            <w:r>
                              <w:rPr>
                                <w:sz w:val="18"/>
                                <w:szCs w:val="18"/>
                                <w:lang w:eastAsia="en-CA"/>
                              </w:rPr>
                              <w:t>53.8</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w:t>
                            </w:r>
                          </w:p>
                        </w:tc>
                        <w:tc>
                          <w:tcPr>
                            <w:tcW w:w="1000" w:type="dxa"/>
                            <w:tcBorders>
                              <w:left w:val="single" w:sz="4" w:space="0" w:color="000000"/>
                              <w:right w:val="single" w:sz="4" w:space="0" w:color="000000"/>
                              <w:insideV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0</w:t>
                            </w:r>
                          </w:p>
                        </w:tc>
                      </w:tr>
                      <w:tr>
                        <w:trPr>
                          <w:trHeight w:val="263" w:hRule="atLeast"/>
                        </w:trPr>
                        <w:tc>
                          <w:tcPr>
                            <w:tcW w:w="1152"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pPr>
                            <w:r>
                              <w:rPr>
                                <w:sz w:val="18"/>
                                <w:szCs w:val="18"/>
                                <w:lang w:eastAsia="en-CA"/>
                              </w:rPr>
                              <w:t>Provider Cluster B</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181,060</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612</w:t>
                            </w:r>
                          </w:p>
                        </w:tc>
                        <w:tc>
                          <w:tcPr>
                            <w:tcW w:w="1008"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246</w:t>
                            </w:r>
                          </w:p>
                        </w:tc>
                        <w:tc>
                          <w:tcPr>
                            <w:tcW w:w="828"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89,190</w:t>
                            </w:r>
                          </w:p>
                        </w:tc>
                        <w:tc>
                          <w:tcPr>
                            <w:tcW w:w="900" w:type="dxa"/>
                            <w:tcBorders>
                              <w:left w:val="single" w:sz="4" w:space="0" w:color="000000"/>
                              <w:bottom w:val="single" w:sz="4" w:space="0" w:color="000000"/>
                              <w:insideH w:val="single" w:sz="4" w:space="0" w:color="000000"/>
                            </w:tcBorders>
                            <w:shd w:fill="FFFF00" w:val="clear"/>
                            <w:tcMar>
                              <w:left w:w="103" w:type="dxa"/>
                            </w:tcMar>
                            <w:vAlign w:val="bottom"/>
                          </w:tcPr>
                          <w:p>
                            <w:pPr>
                              <w:pStyle w:val="Normal"/>
                              <w:jc w:val="right"/>
                              <w:rPr>
                                <w:sz w:val="18"/>
                                <w:szCs w:val="18"/>
                                <w:lang w:eastAsia="en-CA"/>
                              </w:rPr>
                            </w:pPr>
                            <w:r>
                              <w:rPr>
                                <w:sz w:val="18"/>
                                <w:szCs w:val="18"/>
                                <w:lang w:eastAsia="en-CA"/>
                              </w:rPr>
                              <w:t>20.9</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w:t>
                            </w:r>
                          </w:p>
                        </w:tc>
                        <w:tc>
                          <w:tcPr>
                            <w:tcW w:w="81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21,792</w:t>
                            </w:r>
                          </w:p>
                        </w:tc>
                        <w:tc>
                          <w:tcPr>
                            <w:tcW w:w="900" w:type="dxa"/>
                            <w:tcBorders>
                              <w:left w:val="single" w:sz="4" w:space="0" w:color="000000"/>
                              <w:bottom w:val="single" w:sz="4" w:space="0" w:color="000000"/>
                              <w:insideH w:val="single" w:sz="4" w:space="0" w:color="000000"/>
                            </w:tcBorders>
                            <w:shd w:fill="FFFF00" w:val="clear"/>
                            <w:tcMar>
                              <w:left w:w="103" w:type="dxa"/>
                            </w:tcMar>
                            <w:vAlign w:val="bottom"/>
                          </w:tcPr>
                          <w:p>
                            <w:pPr>
                              <w:pStyle w:val="Normal"/>
                              <w:jc w:val="right"/>
                              <w:rPr>
                                <w:sz w:val="18"/>
                                <w:szCs w:val="18"/>
                                <w:lang w:eastAsia="en-CA"/>
                              </w:rPr>
                            </w:pPr>
                            <w:r>
                              <w:rPr>
                                <w:sz w:val="18"/>
                                <w:szCs w:val="18"/>
                                <w:lang w:eastAsia="en-CA"/>
                              </w:rPr>
                              <w:t>6.9</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1,199</w:t>
                            </w:r>
                          </w:p>
                        </w:tc>
                        <w:tc>
                          <w:tcPr>
                            <w:tcW w:w="900" w:type="dxa"/>
                            <w:tcBorders>
                              <w:left w:val="single" w:sz="4" w:space="0" w:color="000000"/>
                              <w:bottom w:val="single" w:sz="4" w:space="0" w:color="000000"/>
                              <w:insideH w:val="single" w:sz="4" w:space="0" w:color="000000"/>
                            </w:tcBorders>
                            <w:shd w:fill="FFFF00" w:val="clear"/>
                            <w:tcMar>
                              <w:left w:w="103" w:type="dxa"/>
                            </w:tcMar>
                            <w:vAlign w:val="bottom"/>
                          </w:tcPr>
                          <w:p>
                            <w:pPr>
                              <w:pStyle w:val="Normal"/>
                              <w:jc w:val="right"/>
                              <w:rPr>
                                <w:sz w:val="18"/>
                                <w:szCs w:val="18"/>
                                <w:lang w:eastAsia="en-CA"/>
                              </w:rPr>
                            </w:pPr>
                            <w:r>
                              <w:rPr>
                                <w:sz w:val="18"/>
                                <w:szCs w:val="18"/>
                                <w:lang w:eastAsia="en-CA"/>
                              </w:rPr>
                              <w:t>27.2</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w:t>
                            </w:r>
                          </w:p>
                        </w:tc>
                        <w:tc>
                          <w:tcPr>
                            <w:tcW w:w="1000" w:type="dxa"/>
                            <w:tcBorders>
                              <w:top w:val="single" w:sz="4" w:space="0" w:color="000000"/>
                              <w:left w:val="single" w:sz="4" w:space="0" w:color="000000"/>
                              <w:right w:val="single" w:sz="4" w:space="0" w:color="000000"/>
                              <w:insideV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70</w:t>
                            </w:r>
                          </w:p>
                        </w:tc>
                      </w:tr>
                      <w:tr>
                        <w:trPr>
                          <w:trHeight w:val="263" w:hRule="atLeast"/>
                        </w:trPr>
                        <w:tc>
                          <w:tcPr>
                            <w:tcW w:w="1152"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pPr>
                            <w:r>
                              <w:rPr>
                                <w:sz w:val="18"/>
                                <w:szCs w:val="18"/>
                                <w:lang w:eastAsia="en-CA"/>
                              </w:rPr>
                              <w:t>Provider Cluster C</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119,223</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211</w:t>
                            </w:r>
                          </w:p>
                        </w:tc>
                        <w:tc>
                          <w:tcPr>
                            <w:tcW w:w="1008"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104</w:t>
                            </w:r>
                          </w:p>
                        </w:tc>
                        <w:tc>
                          <w:tcPr>
                            <w:tcW w:w="828"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22,550</w:t>
                            </w:r>
                          </w:p>
                        </w:tc>
                        <w:tc>
                          <w:tcPr>
                            <w:tcW w:w="90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5.3</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3</w:t>
                            </w:r>
                          </w:p>
                        </w:tc>
                        <w:tc>
                          <w:tcPr>
                            <w:tcW w:w="81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7,710</w:t>
                            </w:r>
                          </w:p>
                        </w:tc>
                        <w:tc>
                          <w:tcPr>
                            <w:tcW w:w="90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2.4</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3</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282</w:t>
                            </w:r>
                          </w:p>
                        </w:tc>
                        <w:tc>
                          <w:tcPr>
                            <w:tcW w:w="90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6.4</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3</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53</w:t>
                            </w:r>
                          </w:p>
                        </w:tc>
                      </w:tr>
                      <w:tr>
                        <w:trPr>
                          <w:trHeight w:val="263" w:hRule="atLeast"/>
                        </w:trPr>
                        <w:tc>
                          <w:tcPr>
                            <w:tcW w:w="1152"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pPr>
                            <w:r>
                              <w:rPr>
                                <w:sz w:val="18"/>
                                <w:szCs w:val="18"/>
                                <w:lang w:eastAsia="en-CA"/>
                              </w:rPr>
                              <w:t>Provider Cluster D</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56,405</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100</w:t>
                            </w:r>
                          </w:p>
                        </w:tc>
                        <w:tc>
                          <w:tcPr>
                            <w:tcW w:w="1008"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57</w:t>
                            </w:r>
                          </w:p>
                        </w:tc>
                        <w:tc>
                          <w:tcPr>
                            <w:tcW w:w="828"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4,765</w:t>
                            </w:r>
                          </w:p>
                        </w:tc>
                        <w:tc>
                          <w:tcPr>
                            <w:tcW w:w="90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1.1</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4</w:t>
                            </w:r>
                          </w:p>
                        </w:tc>
                        <w:tc>
                          <w:tcPr>
                            <w:tcW w:w="81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706</w:t>
                            </w:r>
                          </w:p>
                        </w:tc>
                        <w:tc>
                          <w:tcPr>
                            <w:tcW w:w="90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0.2</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4</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201</w:t>
                            </w:r>
                          </w:p>
                        </w:tc>
                        <w:tc>
                          <w:tcPr>
                            <w:tcW w:w="90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4.6</w:t>
                            </w:r>
                          </w:p>
                        </w:tc>
                        <w:tc>
                          <w:tcPr>
                            <w:tcW w:w="5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right"/>
                              <w:rPr>
                                <w:sz w:val="18"/>
                                <w:szCs w:val="18"/>
                                <w:lang w:eastAsia="en-CA"/>
                              </w:rPr>
                            </w:pPr>
                            <w:r>
                              <w:rPr>
                                <w:sz w:val="18"/>
                                <w:szCs w:val="18"/>
                                <w:lang w:eastAsia="en-CA"/>
                              </w:rPr>
                              <w:t>4</w:t>
                            </w:r>
                          </w:p>
                        </w:tc>
                        <w:tc>
                          <w:tcPr>
                            <w:tcW w:w="10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sz w:val="18"/>
                                <w:szCs w:val="18"/>
                                <w:lang w:eastAsia="en-CA"/>
                              </w:rPr>
                            </w:pPr>
                            <w:r>
                              <w:rPr>
                                <w:sz w:val="18"/>
                                <w:szCs w:val="18"/>
                                <w:lang w:eastAsia="en-CA"/>
                              </w:rPr>
                              <w:t>73</w:t>
                            </w:r>
                          </w:p>
                        </w:tc>
                      </w:tr>
                    </w:tbl>
                  </w:txbxContent>
                </v:textbox>
                <w10:wrap type="square"/>
              </v:rect>
            </w:pict>
          </mc:Fallback>
        </mc:AlternateContent>
      </w:r>
    </w:p>
    <w:p>
      <w:pPr>
        <w:pStyle w:val="Normal"/>
        <w:rPr/>
      </w:pPr>
      <w:r>
        <w:rPr/>
        <w:t>Table 1. Data used to aggregate provider cluster A to a larger provider cluster.</w:t>
      </w:r>
    </w:p>
    <w:p>
      <w:pPr>
        <w:pStyle w:val="Normal"/>
        <w:rPr/>
      </w:pPr>
      <w:r>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sectPr>
          <w:footerReference w:type="default" r:id="rId5"/>
          <w:type w:val="nextPage"/>
          <w:pgSz w:orient="landscape" w:w="15840" w:h="12240"/>
          <w:pgMar w:left="1080" w:right="1080" w:header="0" w:top="720" w:footer="720" w:bottom="1080" w:gutter="0"/>
          <w:pgNumType w:fmt="decimal"/>
          <w:formProt w:val="false"/>
          <w:textDirection w:val="lrTb"/>
          <w:docGrid w:type="default" w:linePitch="360" w:charSpace="0"/>
        </w:sectPr>
        <w:pStyle w:val="Normal"/>
        <w:rPr>
          <w:sz w:val="22"/>
          <w:szCs w:val="22"/>
        </w:rPr>
      </w:pPr>
      <w:r>
        <w:rPr>
          <w:sz w:val="22"/>
          <w:szCs w:val="22"/>
        </w:rPr>
        <w:t>* Loyalty does not add to 100% since only visits and admissions by Cluster A residents to Clusters B, C and D are included.</w:t>
      </w:r>
    </w:p>
    <w:p>
      <w:pPr>
        <w:pStyle w:val="Normal"/>
        <w:ind w:left="-720" w:hanging="0"/>
        <w:jc w:val="center"/>
        <w:rPr/>
      </w:pPr>
      <w:r>
        <w:rPr/>
        <w:t>Table 2. Network Size, Loyalty and Distance Measures</w:t>
      </w:r>
    </w:p>
    <w:tbl>
      <w:tblPr>
        <w:tblW w:w="9610" w:type="dxa"/>
        <w:jc w:val="left"/>
        <w:tblInd w:w="0" w:type="dxa"/>
        <w:tblBorders/>
        <w:tblCellMar>
          <w:top w:w="0" w:type="dxa"/>
          <w:left w:w="43" w:type="dxa"/>
          <w:bottom w:w="0" w:type="dxa"/>
          <w:right w:w="43" w:type="dxa"/>
        </w:tblCellMar>
      </w:tblPr>
      <w:tblGrid>
        <w:gridCol w:w="5997"/>
        <w:gridCol w:w="1134"/>
        <w:gridCol w:w="1276"/>
        <w:gridCol w:w="1203"/>
      </w:tblGrid>
      <w:tr>
        <w:trPr>
          <w:trHeight w:val="293" w:hRule="atLeast"/>
        </w:trPr>
        <w:tc>
          <w:tcPr>
            <w:tcW w:w="5997" w:type="dxa"/>
            <w:tcBorders/>
            <w:shd w:fill="auto" w:val="clear"/>
          </w:tcPr>
          <w:p>
            <w:pPr>
              <w:pStyle w:val="Normal"/>
              <w:tabs>
                <w:tab w:val="left" w:pos="365" w:leader="none"/>
              </w:tabs>
              <w:snapToGrid w:val="false"/>
              <w:rPr/>
            </w:pPr>
            <w:r>
              <w:rPr/>
            </w:r>
          </w:p>
        </w:tc>
        <w:tc>
          <w:tcPr>
            <w:tcW w:w="3613" w:type="dxa"/>
            <w:gridSpan w:val="3"/>
            <w:tcBorders>
              <w:bottom w:val="single" w:sz="4" w:space="0" w:color="000000"/>
              <w:insideH w:val="single" w:sz="4" w:space="0" w:color="000000"/>
            </w:tcBorders>
            <w:shd w:fill="auto" w:val="clear"/>
            <w:vAlign w:val="bottom"/>
          </w:tcPr>
          <w:p>
            <w:pPr>
              <w:pStyle w:val="Normal"/>
              <w:jc w:val="center"/>
              <w:rPr/>
            </w:pPr>
            <w:r>
              <w:rPr/>
              <w:t>Percentile*</w:t>
            </w:r>
          </w:p>
        </w:tc>
      </w:tr>
      <w:tr>
        <w:trPr>
          <w:trHeight w:val="255" w:hRule="atLeast"/>
        </w:trPr>
        <w:tc>
          <w:tcPr>
            <w:tcW w:w="5997" w:type="dxa"/>
            <w:tcBorders>
              <w:bottom w:val="single" w:sz="4" w:space="0" w:color="000000"/>
              <w:insideH w:val="single" w:sz="4" w:space="0" w:color="000000"/>
            </w:tcBorders>
            <w:shd w:fill="auto" w:val="clear"/>
          </w:tcPr>
          <w:p>
            <w:pPr>
              <w:pStyle w:val="Normal"/>
              <w:tabs>
                <w:tab w:val="left" w:pos="365" w:leader="none"/>
              </w:tabs>
              <w:snapToGrid w:val="false"/>
              <w:rPr/>
            </w:pPr>
            <w:r>
              <w:rPr/>
            </w:r>
          </w:p>
        </w:tc>
        <w:tc>
          <w:tcPr>
            <w:tcW w:w="1134" w:type="dxa"/>
            <w:tcBorders>
              <w:top w:val="single" w:sz="4" w:space="0" w:color="000000"/>
              <w:bottom w:val="single" w:sz="4" w:space="0" w:color="000000"/>
              <w:insideH w:val="single" w:sz="4" w:space="0" w:color="000000"/>
            </w:tcBorders>
            <w:shd w:fill="auto" w:val="clear"/>
          </w:tcPr>
          <w:p>
            <w:pPr>
              <w:pStyle w:val="Normal"/>
              <w:jc w:val="center"/>
              <w:rPr/>
            </w:pPr>
            <w:r>
              <w:rPr/>
              <w:t>10</w:t>
            </w:r>
            <w:r>
              <w:rPr>
                <w:vertAlign w:val="superscript"/>
              </w:rPr>
              <w:t>th</w:t>
            </w:r>
          </w:p>
        </w:tc>
        <w:tc>
          <w:tcPr>
            <w:tcW w:w="1276" w:type="dxa"/>
            <w:tcBorders>
              <w:top w:val="single" w:sz="4" w:space="0" w:color="000000"/>
              <w:bottom w:val="single" w:sz="4" w:space="0" w:color="000000"/>
              <w:insideH w:val="single" w:sz="4" w:space="0" w:color="000000"/>
            </w:tcBorders>
            <w:shd w:fill="auto" w:val="clear"/>
          </w:tcPr>
          <w:p>
            <w:pPr>
              <w:pStyle w:val="Normal"/>
              <w:jc w:val="center"/>
              <w:rPr/>
            </w:pPr>
            <w:r>
              <w:rPr/>
              <w:t>50</w:t>
            </w:r>
            <w:r>
              <w:rPr>
                <w:vertAlign w:val="superscript"/>
              </w:rPr>
              <w:t>th</w:t>
            </w:r>
          </w:p>
        </w:tc>
        <w:tc>
          <w:tcPr>
            <w:tcW w:w="1203" w:type="dxa"/>
            <w:tcBorders>
              <w:top w:val="single" w:sz="4" w:space="0" w:color="000000"/>
              <w:bottom w:val="single" w:sz="4" w:space="0" w:color="000000"/>
              <w:insideH w:val="single" w:sz="4" w:space="0" w:color="000000"/>
            </w:tcBorders>
            <w:shd w:fill="auto" w:val="clear"/>
          </w:tcPr>
          <w:p>
            <w:pPr>
              <w:pStyle w:val="Normal"/>
              <w:jc w:val="center"/>
              <w:rPr/>
            </w:pPr>
            <w:r>
              <w:rPr/>
              <w:t>90</w:t>
            </w:r>
            <w:r>
              <w:rPr>
                <w:vertAlign w:val="superscript"/>
              </w:rPr>
              <w:t>th</w:t>
            </w:r>
          </w:p>
        </w:tc>
      </w:tr>
      <w:tr>
        <w:trPr>
          <w:trHeight w:val="77" w:hRule="atLeast"/>
        </w:trPr>
        <w:tc>
          <w:tcPr>
            <w:tcW w:w="5997" w:type="dxa"/>
            <w:tcBorders>
              <w:top w:val="single" w:sz="4" w:space="0" w:color="000000"/>
            </w:tcBorders>
            <w:shd w:fill="auto" w:val="clear"/>
          </w:tcPr>
          <w:p>
            <w:pPr>
              <w:pStyle w:val="Normal"/>
              <w:tabs>
                <w:tab w:val="left" w:pos="365" w:leader="none"/>
              </w:tabs>
              <w:snapToGrid w:val="false"/>
              <w:rPr>
                <w:sz w:val="12"/>
                <w:szCs w:val="12"/>
              </w:rPr>
            </w:pPr>
            <w:r>
              <w:rPr>
                <w:sz w:val="12"/>
                <w:szCs w:val="12"/>
              </w:rPr>
            </w:r>
          </w:p>
        </w:tc>
        <w:tc>
          <w:tcPr>
            <w:tcW w:w="1134" w:type="dxa"/>
            <w:tcBorders>
              <w:top w:val="single" w:sz="4" w:space="0" w:color="000000"/>
            </w:tcBorders>
            <w:shd w:fill="auto" w:val="clear"/>
          </w:tcPr>
          <w:p>
            <w:pPr>
              <w:pStyle w:val="Normal"/>
              <w:snapToGrid w:val="false"/>
              <w:jc w:val="center"/>
              <w:rPr>
                <w:sz w:val="12"/>
                <w:szCs w:val="12"/>
              </w:rPr>
            </w:pPr>
            <w:r>
              <w:rPr>
                <w:sz w:val="12"/>
                <w:szCs w:val="12"/>
              </w:rPr>
            </w:r>
          </w:p>
        </w:tc>
        <w:tc>
          <w:tcPr>
            <w:tcW w:w="1276" w:type="dxa"/>
            <w:tcBorders>
              <w:top w:val="single" w:sz="4" w:space="0" w:color="000000"/>
            </w:tcBorders>
            <w:shd w:fill="auto" w:val="clear"/>
          </w:tcPr>
          <w:p>
            <w:pPr>
              <w:pStyle w:val="Normal"/>
              <w:snapToGrid w:val="false"/>
              <w:jc w:val="center"/>
              <w:rPr>
                <w:sz w:val="12"/>
                <w:szCs w:val="12"/>
              </w:rPr>
            </w:pPr>
            <w:r>
              <w:rPr>
                <w:sz w:val="12"/>
                <w:szCs w:val="12"/>
              </w:rPr>
            </w:r>
          </w:p>
        </w:tc>
        <w:tc>
          <w:tcPr>
            <w:tcW w:w="1203" w:type="dxa"/>
            <w:tcBorders>
              <w:top w:val="single" w:sz="4" w:space="0" w:color="000000"/>
            </w:tcBorders>
            <w:shd w:fill="auto" w:val="clear"/>
          </w:tcPr>
          <w:p>
            <w:pPr>
              <w:pStyle w:val="Normal"/>
              <w:snapToGrid w:val="false"/>
              <w:jc w:val="center"/>
              <w:rPr>
                <w:sz w:val="12"/>
                <w:szCs w:val="12"/>
              </w:rPr>
            </w:pPr>
            <w:r>
              <w:rPr>
                <w:sz w:val="12"/>
                <w:szCs w:val="12"/>
              </w:rPr>
            </w:r>
          </w:p>
        </w:tc>
      </w:tr>
      <w:tr>
        <w:trPr>
          <w:trHeight w:val="88" w:hRule="atLeast"/>
        </w:trPr>
        <w:tc>
          <w:tcPr>
            <w:tcW w:w="5997" w:type="dxa"/>
            <w:tcBorders/>
            <w:shd w:fill="auto" w:val="clear"/>
          </w:tcPr>
          <w:p>
            <w:pPr>
              <w:pStyle w:val="Normal"/>
              <w:rPr/>
            </w:pPr>
            <w:r>
              <w:rPr/>
              <w:t>Network size</w:t>
            </w:r>
          </w:p>
        </w:tc>
        <w:tc>
          <w:tcPr>
            <w:tcW w:w="1134" w:type="dxa"/>
            <w:tcBorders/>
            <w:shd w:fill="auto" w:val="clear"/>
          </w:tcPr>
          <w:p>
            <w:pPr>
              <w:pStyle w:val="Normal"/>
              <w:snapToGrid w:val="false"/>
              <w:jc w:val="center"/>
              <w:rPr/>
            </w:pPr>
            <w:r>
              <w:rPr/>
            </w:r>
          </w:p>
        </w:tc>
        <w:tc>
          <w:tcPr>
            <w:tcW w:w="1276" w:type="dxa"/>
            <w:tcBorders/>
            <w:shd w:fill="auto" w:val="clear"/>
          </w:tcPr>
          <w:p>
            <w:pPr>
              <w:pStyle w:val="Normal"/>
              <w:snapToGrid w:val="false"/>
              <w:jc w:val="center"/>
              <w:rPr/>
            </w:pPr>
            <w:r>
              <w:rPr/>
            </w:r>
          </w:p>
        </w:tc>
        <w:tc>
          <w:tcPr>
            <w:tcW w:w="1203" w:type="dxa"/>
            <w:tcBorders/>
            <w:shd w:fill="auto" w:val="clear"/>
          </w:tcPr>
          <w:p>
            <w:pPr>
              <w:pStyle w:val="Normal"/>
              <w:snapToGrid w:val="false"/>
              <w:jc w:val="center"/>
              <w:rPr/>
            </w:pPr>
            <w:r>
              <w:rPr/>
            </w:r>
          </w:p>
        </w:tc>
      </w:tr>
      <w:tr>
        <w:trPr>
          <w:trHeight w:val="88" w:hRule="atLeast"/>
        </w:trPr>
        <w:tc>
          <w:tcPr>
            <w:tcW w:w="5997" w:type="dxa"/>
            <w:tcBorders/>
            <w:shd w:fill="auto" w:val="clear"/>
          </w:tcPr>
          <w:p>
            <w:pPr>
              <w:pStyle w:val="Normal"/>
              <w:rPr/>
            </w:pPr>
            <w:r>
              <w:rPr/>
              <w:t>Overall population, N</w:t>
            </w:r>
          </w:p>
        </w:tc>
        <w:tc>
          <w:tcPr>
            <w:tcW w:w="1134" w:type="dxa"/>
            <w:tcBorders/>
            <w:shd w:fill="auto" w:val="clear"/>
          </w:tcPr>
          <w:p>
            <w:pPr>
              <w:pStyle w:val="Normal"/>
              <w:jc w:val="center"/>
              <w:rPr/>
            </w:pPr>
            <w:r>
              <w:rPr/>
              <w:t>48,016</w:t>
            </w:r>
          </w:p>
        </w:tc>
        <w:tc>
          <w:tcPr>
            <w:tcW w:w="1276" w:type="dxa"/>
            <w:tcBorders/>
            <w:shd w:fill="auto" w:val="clear"/>
          </w:tcPr>
          <w:p>
            <w:pPr>
              <w:pStyle w:val="Normal"/>
              <w:jc w:val="center"/>
              <w:rPr/>
            </w:pPr>
            <w:r>
              <w:rPr/>
              <w:t>134,723</w:t>
            </w:r>
          </w:p>
        </w:tc>
        <w:tc>
          <w:tcPr>
            <w:tcW w:w="1203" w:type="dxa"/>
            <w:tcBorders/>
            <w:shd w:fill="auto" w:val="clear"/>
          </w:tcPr>
          <w:p>
            <w:pPr>
              <w:pStyle w:val="Normal"/>
              <w:jc w:val="center"/>
              <w:rPr/>
            </w:pPr>
            <w:r>
              <w:rPr/>
              <w:t>343,527</w:t>
            </w:r>
          </w:p>
        </w:tc>
      </w:tr>
      <w:tr>
        <w:trPr>
          <w:trHeight w:val="88" w:hRule="atLeast"/>
        </w:trPr>
        <w:tc>
          <w:tcPr>
            <w:tcW w:w="5997" w:type="dxa"/>
            <w:tcBorders/>
            <w:shd w:fill="auto" w:val="clear"/>
          </w:tcPr>
          <w:p>
            <w:pPr>
              <w:pStyle w:val="Normal"/>
              <w:rPr/>
            </w:pPr>
            <w:r>
              <w:rPr/>
              <w:t xml:space="preserve">  </w:t>
            </w:r>
            <w:r>
              <w:rPr/>
              <w:t>Newborns</w:t>
            </w:r>
          </w:p>
        </w:tc>
        <w:tc>
          <w:tcPr>
            <w:tcW w:w="1134" w:type="dxa"/>
            <w:tcBorders/>
            <w:shd w:fill="auto" w:val="clear"/>
          </w:tcPr>
          <w:p>
            <w:pPr>
              <w:pStyle w:val="Normal"/>
              <w:jc w:val="center"/>
              <w:rPr/>
            </w:pPr>
            <w:r>
              <w:rPr/>
              <w:t>1,311</w:t>
            </w:r>
          </w:p>
        </w:tc>
        <w:tc>
          <w:tcPr>
            <w:tcW w:w="1276" w:type="dxa"/>
            <w:tcBorders/>
            <w:shd w:fill="auto" w:val="clear"/>
          </w:tcPr>
          <w:p>
            <w:pPr>
              <w:pStyle w:val="Normal"/>
              <w:jc w:val="center"/>
              <w:rPr/>
            </w:pPr>
            <w:r>
              <w:rPr/>
              <w:t>4,261</w:t>
            </w:r>
          </w:p>
        </w:tc>
        <w:tc>
          <w:tcPr>
            <w:tcW w:w="1203" w:type="dxa"/>
            <w:tcBorders/>
            <w:shd w:fill="auto" w:val="clear"/>
          </w:tcPr>
          <w:p>
            <w:pPr>
              <w:pStyle w:val="Normal"/>
              <w:jc w:val="center"/>
              <w:rPr/>
            </w:pPr>
            <w:r>
              <w:rPr/>
              <w:t>11,561</w:t>
            </w:r>
          </w:p>
        </w:tc>
      </w:tr>
      <w:tr>
        <w:trPr>
          <w:trHeight w:val="88" w:hRule="atLeast"/>
        </w:trPr>
        <w:tc>
          <w:tcPr>
            <w:tcW w:w="5997" w:type="dxa"/>
            <w:tcBorders/>
            <w:shd w:fill="auto" w:val="clear"/>
          </w:tcPr>
          <w:p>
            <w:pPr>
              <w:pStyle w:val="Normal"/>
              <w:rPr/>
            </w:pPr>
            <w:r>
              <w:rPr/>
              <w:t xml:space="preserve">  </w:t>
            </w:r>
            <w:r>
              <w:rPr/>
              <w:t>New immigrants</w:t>
            </w:r>
          </w:p>
        </w:tc>
        <w:tc>
          <w:tcPr>
            <w:tcW w:w="1134" w:type="dxa"/>
            <w:tcBorders/>
            <w:shd w:fill="auto" w:val="clear"/>
          </w:tcPr>
          <w:p>
            <w:pPr>
              <w:pStyle w:val="Normal"/>
              <w:jc w:val="center"/>
              <w:rPr/>
            </w:pPr>
            <w:r>
              <w:rPr/>
              <w:t>301</w:t>
            </w:r>
          </w:p>
        </w:tc>
        <w:tc>
          <w:tcPr>
            <w:tcW w:w="1276" w:type="dxa"/>
            <w:tcBorders/>
            <w:shd w:fill="auto" w:val="clear"/>
          </w:tcPr>
          <w:p>
            <w:pPr>
              <w:pStyle w:val="Normal"/>
              <w:jc w:val="center"/>
              <w:rPr/>
            </w:pPr>
            <w:r>
              <w:rPr/>
              <w:t>1,844</w:t>
            </w:r>
          </w:p>
        </w:tc>
        <w:tc>
          <w:tcPr>
            <w:tcW w:w="1203" w:type="dxa"/>
            <w:tcBorders/>
            <w:shd w:fill="auto" w:val="clear"/>
          </w:tcPr>
          <w:p>
            <w:pPr>
              <w:pStyle w:val="Normal"/>
              <w:jc w:val="center"/>
              <w:rPr/>
            </w:pPr>
            <w:r>
              <w:rPr/>
              <w:t>14,380</w:t>
            </w:r>
          </w:p>
        </w:tc>
      </w:tr>
      <w:tr>
        <w:trPr>
          <w:trHeight w:val="88" w:hRule="atLeast"/>
        </w:trPr>
        <w:tc>
          <w:tcPr>
            <w:tcW w:w="5997" w:type="dxa"/>
            <w:tcBorders/>
            <w:shd w:fill="auto" w:val="clear"/>
          </w:tcPr>
          <w:p>
            <w:pPr>
              <w:pStyle w:val="Normal"/>
              <w:rPr/>
            </w:pPr>
            <w:r>
              <w:rPr/>
              <w:t>Physicians, N</w:t>
            </w:r>
          </w:p>
        </w:tc>
        <w:tc>
          <w:tcPr>
            <w:tcW w:w="1134" w:type="dxa"/>
            <w:tcBorders/>
            <w:shd w:fill="auto" w:val="clear"/>
          </w:tcPr>
          <w:p>
            <w:pPr>
              <w:pStyle w:val="Normal"/>
              <w:jc w:val="center"/>
              <w:rPr/>
            </w:pPr>
            <w:r>
              <w:rPr/>
              <w:t>75</w:t>
            </w:r>
          </w:p>
        </w:tc>
        <w:tc>
          <w:tcPr>
            <w:tcW w:w="1276" w:type="dxa"/>
            <w:tcBorders/>
            <w:shd w:fill="auto" w:val="clear"/>
          </w:tcPr>
          <w:p>
            <w:pPr>
              <w:pStyle w:val="Normal"/>
              <w:jc w:val="center"/>
              <w:rPr/>
            </w:pPr>
            <w:r>
              <w:rPr/>
              <w:t>294</w:t>
            </w:r>
          </w:p>
        </w:tc>
        <w:tc>
          <w:tcPr>
            <w:tcW w:w="1203" w:type="dxa"/>
            <w:tcBorders/>
            <w:shd w:fill="auto" w:val="clear"/>
          </w:tcPr>
          <w:p>
            <w:pPr>
              <w:pStyle w:val="Normal"/>
              <w:jc w:val="center"/>
              <w:rPr/>
            </w:pPr>
            <w:r>
              <w:rPr/>
              <w:t>822</w:t>
            </w:r>
          </w:p>
        </w:tc>
      </w:tr>
      <w:tr>
        <w:trPr>
          <w:trHeight w:val="88" w:hRule="atLeast"/>
        </w:trPr>
        <w:tc>
          <w:tcPr>
            <w:tcW w:w="5997" w:type="dxa"/>
            <w:tcBorders/>
            <w:shd w:fill="auto" w:val="clear"/>
          </w:tcPr>
          <w:p>
            <w:pPr>
              <w:pStyle w:val="Normal"/>
              <w:rPr/>
            </w:pPr>
            <w:r>
              <w:rPr/>
              <w:t xml:space="preserve">  </w:t>
            </w:r>
            <w:r>
              <w:rPr/>
              <w:t>PC physicians</w:t>
            </w:r>
          </w:p>
        </w:tc>
        <w:tc>
          <w:tcPr>
            <w:tcW w:w="1134" w:type="dxa"/>
            <w:tcBorders/>
            <w:shd w:fill="auto" w:val="clear"/>
          </w:tcPr>
          <w:p>
            <w:pPr>
              <w:pStyle w:val="Normal"/>
              <w:jc w:val="center"/>
              <w:rPr/>
            </w:pPr>
            <w:r>
              <w:rPr/>
              <w:t>51</w:t>
            </w:r>
          </w:p>
        </w:tc>
        <w:tc>
          <w:tcPr>
            <w:tcW w:w="1276" w:type="dxa"/>
            <w:tcBorders/>
            <w:shd w:fill="auto" w:val="clear"/>
          </w:tcPr>
          <w:p>
            <w:pPr>
              <w:pStyle w:val="Normal"/>
              <w:jc w:val="center"/>
              <w:rPr/>
            </w:pPr>
            <w:r>
              <w:rPr/>
              <w:t>125</w:t>
            </w:r>
          </w:p>
        </w:tc>
        <w:tc>
          <w:tcPr>
            <w:tcW w:w="1203" w:type="dxa"/>
            <w:tcBorders/>
            <w:shd w:fill="auto" w:val="clear"/>
          </w:tcPr>
          <w:p>
            <w:pPr>
              <w:pStyle w:val="Normal"/>
              <w:jc w:val="center"/>
              <w:rPr/>
            </w:pPr>
            <w:r>
              <w:rPr/>
              <w:t>295</w:t>
            </w:r>
          </w:p>
        </w:tc>
      </w:tr>
      <w:tr>
        <w:trPr>
          <w:trHeight w:val="88" w:hRule="atLeast"/>
        </w:trPr>
        <w:tc>
          <w:tcPr>
            <w:tcW w:w="5997" w:type="dxa"/>
            <w:tcBorders/>
            <w:shd w:fill="auto" w:val="clear"/>
          </w:tcPr>
          <w:p>
            <w:pPr>
              <w:pStyle w:val="Normal"/>
              <w:rPr/>
            </w:pPr>
            <w:r>
              <w:rPr/>
              <w:t xml:space="preserve">  </w:t>
            </w:r>
            <w:r>
              <w:rPr/>
              <w:t>Specialist physicians</w:t>
            </w:r>
          </w:p>
        </w:tc>
        <w:tc>
          <w:tcPr>
            <w:tcW w:w="1134" w:type="dxa"/>
            <w:tcBorders/>
            <w:shd w:fill="auto" w:val="clear"/>
          </w:tcPr>
          <w:p>
            <w:pPr>
              <w:pStyle w:val="Normal"/>
              <w:jc w:val="center"/>
              <w:rPr/>
            </w:pPr>
            <w:r>
              <w:rPr/>
              <w:t>20</w:t>
            </w:r>
          </w:p>
        </w:tc>
        <w:tc>
          <w:tcPr>
            <w:tcW w:w="1276" w:type="dxa"/>
            <w:tcBorders/>
            <w:shd w:fill="auto" w:val="clear"/>
          </w:tcPr>
          <w:p>
            <w:pPr>
              <w:pStyle w:val="Normal"/>
              <w:jc w:val="center"/>
              <w:rPr/>
            </w:pPr>
            <w:r>
              <w:rPr/>
              <w:t>141</w:t>
            </w:r>
          </w:p>
        </w:tc>
        <w:tc>
          <w:tcPr>
            <w:tcW w:w="1203" w:type="dxa"/>
            <w:tcBorders/>
            <w:shd w:fill="auto" w:val="clear"/>
          </w:tcPr>
          <w:p>
            <w:pPr>
              <w:pStyle w:val="Normal"/>
              <w:jc w:val="center"/>
              <w:rPr/>
            </w:pPr>
            <w:r>
              <w:rPr/>
              <w:t>526</w:t>
            </w:r>
          </w:p>
        </w:tc>
      </w:tr>
      <w:tr>
        <w:trPr>
          <w:trHeight w:val="88" w:hRule="atLeast"/>
        </w:trPr>
        <w:tc>
          <w:tcPr>
            <w:tcW w:w="5997" w:type="dxa"/>
            <w:tcBorders/>
            <w:shd w:fill="auto" w:val="clear"/>
          </w:tcPr>
          <w:p>
            <w:pPr>
              <w:pStyle w:val="Normal"/>
              <w:snapToGrid w:val="false"/>
              <w:rPr/>
            </w:pPr>
            <w:r>
              <w:rPr/>
            </w:r>
          </w:p>
        </w:tc>
        <w:tc>
          <w:tcPr>
            <w:tcW w:w="1134" w:type="dxa"/>
            <w:tcBorders/>
            <w:shd w:fill="auto" w:val="clear"/>
          </w:tcPr>
          <w:p>
            <w:pPr>
              <w:pStyle w:val="Normal"/>
              <w:snapToGrid w:val="false"/>
              <w:jc w:val="center"/>
              <w:rPr/>
            </w:pPr>
            <w:r>
              <w:rPr/>
            </w:r>
          </w:p>
        </w:tc>
        <w:tc>
          <w:tcPr>
            <w:tcW w:w="1276" w:type="dxa"/>
            <w:tcBorders/>
            <w:shd w:fill="auto" w:val="clear"/>
          </w:tcPr>
          <w:p>
            <w:pPr>
              <w:pStyle w:val="Normal"/>
              <w:snapToGrid w:val="false"/>
              <w:jc w:val="center"/>
              <w:rPr/>
            </w:pPr>
            <w:r>
              <w:rPr/>
            </w:r>
          </w:p>
        </w:tc>
        <w:tc>
          <w:tcPr>
            <w:tcW w:w="1203" w:type="dxa"/>
            <w:tcBorders/>
            <w:shd w:fill="auto" w:val="clear"/>
          </w:tcPr>
          <w:p>
            <w:pPr>
              <w:pStyle w:val="Normal"/>
              <w:snapToGrid w:val="false"/>
              <w:jc w:val="center"/>
              <w:rPr/>
            </w:pPr>
            <w:r>
              <w:rPr/>
            </w:r>
          </w:p>
        </w:tc>
      </w:tr>
      <w:tr>
        <w:trPr>
          <w:trHeight w:val="88" w:hRule="atLeast"/>
        </w:trPr>
        <w:tc>
          <w:tcPr>
            <w:tcW w:w="5997" w:type="dxa"/>
            <w:tcBorders/>
            <w:shd w:fill="auto" w:val="clear"/>
          </w:tcPr>
          <w:p>
            <w:pPr>
              <w:pStyle w:val="Normal"/>
              <w:snapToGrid w:val="false"/>
              <w:rPr>
                <w:sz w:val="12"/>
                <w:szCs w:val="12"/>
              </w:rPr>
            </w:pPr>
            <w:r>
              <w:rPr>
                <w:sz w:val="12"/>
                <w:szCs w:val="12"/>
              </w:rPr>
            </w:r>
          </w:p>
        </w:tc>
        <w:tc>
          <w:tcPr>
            <w:tcW w:w="1134" w:type="dxa"/>
            <w:tcBorders/>
            <w:shd w:fill="auto" w:val="clear"/>
          </w:tcPr>
          <w:p>
            <w:pPr>
              <w:pStyle w:val="Normal"/>
              <w:snapToGrid w:val="false"/>
              <w:jc w:val="center"/>
              <w:rPr>
                <w:sz w:val="12"/>
                <w:szCs w:val="12"/>
              </w:rPr>
            </w:pPr>
            <w:r>
              <w:rPr>
                <w:sz w:val="12"/>
                <w:szCs w:val="12"/>
              </w:rPr>
            </w:r>
          </w:p>
        </w:tc>
        <w:tc>
          <w:tcPr>
            <w:tcW w:w="1276" w:type="dxa"/>
            <w:tcBorders/>
            <w:shd w:fill="auto" w:val="clear"/>
          </w:tcPr>
          <w:p>
            <w:pPr>
              <w:pStyle w:val="Normal"/>
              <w:snapToGrid w:val="false"/>
              <w:jc w:val="center"/>
              <w:rPr>
                <w:sz w:val="12"/>
                <w:szCs w:val="12"/>
              </w:rPr>
            </w:pPr>
            <w:r>
              <w:rPr>
                <w:sz w:val="12"/>
                <w:szCs w:val="12"/>
              </w:rPr>
            </w:r>
          </w:p>
        </w:tc>
        <w:tc>
          <w:tcPr>
            <w:tcW w:w="1203" w:type="dxa"/>
            <w:tcBorders/>
            <w:shd w:fill="auto" w:val="clear"/>
          </w:tcPr>
          <w:p>
            <w:pPr>
              <w:pStyle w:val="Normal"/>
              <w:snapToGrid w:val="false"/>
              <w:jc w:val="center"/>
              <w:rPr>
                <w:sz w:val="12"/>
                <w:szCs w:val="12"/>
              </w:rPr>
            </w:pPr>
            <w:r>
              <w:rPr>
                <w:sz w:val="12"/>
                <w:szCs w:val="12"/>
              </w:rPr>
            </w:r>
          </w:p>
        </w:tc>
      </w:tr>
      <w:tr>
        <w:trPr>
          <w:trHeight w:val="88" w:hRule="atLeast"/>
        </w:trPr>
        <w:tc>
          <w:tcPr>
            <w:tcW w:w="5997" w:type="dxa"/>
            <w:tcBorders/>
            <w:shd w:fill="auto" w:val="clear"/>
          </w:tcPr>
          <w:p>
            <w:pPr>
              <w:pStyle w:val="Normal"/>
              <w:tabs>
                <w:tab w:val="left" w:pos="365" w:leader="none"/>
              </w:tabs>
              <w:rPr/>
            </w:pPr>
            <w:r>
              <w:rPr/>
              <w:t>Loyalty to network physicians, %</w:t>
            </w:r>
          </w:p>
        </w:tc>
        <w:tc>
          <w:tcPr>
            <w:tcW w:w="1134" w:type="dxa"/>
            <w:tcBorders/>
            <w:shd w:fill="auto" w:val="clear"/>
          </w:tcPr>
          <w:p>
            <w:pPr>
              <w:pStyle w:val="Normal"/>
              <w:snapToGrid w:val="false"/>
              <w:jc w:val="center"/>
              <w:rPr/>
            </w:pPr>
            <w:r>
              <w:rPr/>
            </w:r>
          </w:p>
        </w:tc>
        <w:tc>
          <w:tcPr>
            <w:tcW w:w="1276" w:type="dxa"/>
            <w:tcBorders/>
            <w:shd w:fill="auto" w:val="clear"/>
          </w:tcPr>
          <w:p>
            <w:pPr>
              <w:pStyle w:val="Normal"/>
              <w:snapToGrid w:val="false"/>
              <w:jc w:val="center"/>
              <w:rPr/>
            </w:pPr>
            <w:r>
              <w:rPr/>
            </w:r>
          </w:p>
        </w:tc>
        <w:tc>
          <w:tcPr>
            <w:tcW w:w="1203" w:type="dxa"/>
            <w:tcBorders/>
            <w:shd w:fill="auto" w:val="clear"/>
          </w:tcPr>
          <w:p>
            <w:pPr>
              <w:pStyle w:val="Normal"/>
              <w:snapToGrid w:val="false"/>
              <w:jc w:val="center"/>
              <w:rPr/>
            </w:pPr>
            <w:r>
              <w:rPr/>
            </w:r>
          </w:p>
        </w:tc>
      </w:tr>
      <w:tr>
        <w:trPr>
          <w:trHeight w:val="255" w:hRule="atLeast"/>
        </w:trPr>
        <w:tc>
          <w:tcPr>
            <w:tcW w:w="5997" w:type="dxa"/>
            <w:tcBorders/>
            <w:shd w:fill="auto" w:val="clear"/>
          </w:tcPr>
          <w:p>
            <w:pPr>
              <w:pStyle w:val="Normal"/>
              <w:tabs>
                <w:tab w:val="left" w:pos="365" w:leader="none"/>
              </w:tabs>
              <w:ind w:firstLine="180"/>
              <w:rPr/>
            </w:pPr>
            <w:r>
              <w:rPr/>
              <w:t xml:space="preserve">PC physician loyalty, overall </w:t>
            </w:r>
          </w:p>
        </w:tc>
        <w:tc>
          <w:tcPr>
            <w:tcW w:w="1134" w:type="dxa"/>
            <w:tcBorders/>
            <w:shd w:fill="auto" w:val="clear"/>
          </w:tcPr>
          <w:p>
            <w:pPr>
              <w:pStyle w:val="Normal"/>
              <w:jc w:val="center"/>
              <w:rPr/>
            </w:pPr>
            <w:r>
              <w:rPr/>
              <w:t>73.8</w:t>
            </w:r>
          </w:p>
        </w:tc>
        <w:tc>
          <w:tcPr>
            <w:tcW w:w="1276" w:type="dxa"/>
            <w:tcBorders/>
            <w:shd w:fill="auto" w:val="clear"/>
          </w:tcPr>
          <w:p>
            <w:pPr>
              <w:pStyle w:val="Normal"/>
              <w:jc w:val="center"/>
              <w:rPr/>
            </w:pPr>
            <w:r>
              <w:rPr/>
              <w:t>80.6</w:t>
            </w:r>
          </w:p>
        </w:tc>
        <w:tc>
          <w:tcPr>
            <w:tcW w:w="1203" w:type="dxa"/>
            <w:tcBorders/>
            <w:shd w:fill="auto" w:val="clear"/>
          </w:tcPr>
          <w:p>
            <w:pPr>
              <w:pStyle w:val="Normal"/>
              <w:jc w:val="center"/>
              <w:rPr/>
            </w:pPr>
            <w:r>
              <w:rPr/>
              <w:t>92.4</w:t>
            </w:r>
          </w:p>
        </w:tc>
      </w:tr>
      <w:tr>
        <w:trPr>
          <w:trHeight w:val="255" w:hRule="atLeast"/>
        </w:trPr>
        <w:tc>
          <w:tcPr>
            <w:tcW w:w="5997" w:type="dxa"/>
            <w:tcBorders/>
            <w:shd w:fill="auto" w:val="clear"/>
          </w:tcPr>
          <w:p>
            <w:pPr>
              <w:pStyle w:val="Normal"/>
              <w:tabs>
                <w:tab w:val="left" w:pos="365" w:leader="none"/>
              </w:tabs>
              <w:ind w:firstLine="180"/>
              <w:rPr/>
            </w:pPr>
            <w:r>
              <w:rPr/>
              <w:t xml:space="preserve">   </w:t>
            </w:r>
            <w:r>
              <w:rPr/>
              <w:t>PC physician loyalty, RIO &lt;10 (urban)</w:t>
            </w:r>
          </w:p>
        </w:tc>
        <w:tc>
          <w:tcPr>
            <w:tcW w:w="1134" w:type="dxa"/>
            <w:tcBorders/>
            <w:shd w:fill="auto" w:val="clear"/>
          </w:tcPr>
          <w:p>
            <w:pPr>
              <w:pStyle w:val="Normal"/>
              <w:jc w:val="center"/>
              <w:rPr/>
            </w:pPr>
            <w:r>
              <w:rPr/>
              <w:t>71.8</w:t>
            </w:r>
          </w:p>
        </w:tc>
        <w:tc>
          <w:tcPr>
            <w:tcW w:w="1276" w:type="dxa"/>
            <w:tcBorders/>
            <w:shd w:fill="auto" w:val="clear"/>
          </w:tcPr>
          <w:p>
            <w:pPr>
              <w:pStyle w:val="Normal"/>
              <w:jc w:val="center"/>
              <w:rPr/>
            </w:pPr>
            <w:r>
              <w:rPr/>
              <w:t>77.4</w:t>
            </w:r>
          </w:p>
        </w:tc>
        <w:tc>
          <w:tcPr>
            <w:tcW w:w="1203" w:type="dxa"/>
            <w:tcBorders/>
            <w:shd w:fill="auto" w:val="clear"/>
          </w:tcPr>
          <w:p>
            <w:pPr>
              <w:pStyle w:val="Normal"/>
              <w:jc w:val="center"/>
              <w:rPr/>
            </w:pPr>
            <w:r>
              <w:rPr/>
              <w:t>87.9</w:t>
            </w:r>
          </w:p>
        </w:tc>
      </w:tr>
      <w:tr>
        <w:trPr>
          <w:trHeight w:val="255" w:hRule="atLeast"/>
        </w:trPr>
        <w:tc>
          <w:tcPr>
            <w:tcW w:w="5997" w:type="dxa"/>
            <w:tcBorders/>
            <w:shd w:fill="auto" w:val="clear"/>
          </w:tcPr>
          <w:p>
            <w:pPr>
              <w:pStyle w:val="Normal"/>
              <w:tabs>
                <w:tab w:val="left" w:pos="365" w:leader="none"/>
              </w:tabs>
              <w:ind w:firstLine="180"/>
              <w:rPr/>
            </w:pPr>
            <w:r>
              <w:rPr/>
              <w:t xml:space="preserve">   </w:t>
            </w:r>
            <w:r>
              <w:rPr/>
              <w:t>PC physician loyalty, RIO 10+ (rural)</w:t>
            </w:r>
          </w:p>
        </w:tc>
        <w:tc>
          <w:tcPr>
            <w:tcW w:w="1134" w:type="dxa"/>
            <w:tcBorders/>
            <w:shd w:fill="auto" w:val="clear"/>
          </w:tcPr>
          <w:p>
            <w:pPr>
              <w:pStyle w:val="Normal"/>
              <w:jc w:val="center"/>
              <w:rPr/>
            </w:pPr>
            <w:r>
              <w:rPr/>
              <w:t>81.3</w:t>
            </w:r>
          </w:p>
        </w:tc>
        <w:tc>
          <w:tcPr>
            <w:tcW w:w="1276" w:type="dxa"/>
            <w:tcBorders/>
            <w:shd w:fill="auto" w:val="clear"/>
          </w:tcPr>
          <w:p>
            <w:pPr>
              <w:pStyle w:val="Normal"/>
              <w:jc w:val="center"/>
              <w:rPr/>
            </w:pPr>
            <w:r>
              <w:rPr/>
              <w:t>88.8</w:t>
            </w:r>
          </w:p>
        </w:tc>
        <w:tc>
          <w:tcPr>
            <w:tcW w:w="1203" w:type="dxa"/>
            <w:tcBorders/>
            <w:shd w:fill="auto" w:val="clear"/>
          </w:tcPr>
          <w:p>
            <w:pPr>
              <w:pStyle w:val="Normal"/>
              <w:jc w:val="center"/>
              <w:rPr/>
            </w:pPr>
            <w:r>
              <w:rPr/>
              <w:t>92.4</w:t>
            </w:r>
          </w:p>
        </w:tc>
      </w:tr>
      <w:tr>
        <w:trPr>
          <w:trHeight w:val="255" w:hRule="atLeast"/>
        </w:trPr>
        <w:tc>
          <w:tcPr>
            <w:tcW w:w="5997" w:type="dxa"/>
            <w:tcBorders/>
            <w:shd w:fill="auto" w:val="clear"/>
          </w:tcPr>
          <w:p>
            <w:pPr>
              <w:pStyle w:val="Normal"/>
              <w:tabs>
                <w:tab w:val="left" w:pos="365" w:leader="none"/>
              </w:tabs>
              <w:ind w:firstLine="180"/>
              <w:rPr/>
            </w:pPr>
            <w:r>
              <w:rPr/>
              <w:t>Physician loyalty, overall</w:t>
            </w:r>
          </w:p>
        </w:tc>
        <w:tc>
          <w:tcPr>
            <w:tcW w:w="1134" w:type="dxa"/>
            <w:tcBorders/>
            <w:shd w:fill="auto" w:val="clear"/>
          </w:tcPr>
          <w:p>
            <w:pPr>
              <w:pStyle w:val="Normal"/>
              <w:jc w:val="center"/>
              <w:rPr/>
            </w:pPr>
            <w:r>
              <w:rPr/>
              <w:t>59.4</w:t>
            </w:r>
          </w:p>
        </w:tc>
        <w:tc>
          <w:tcPr>
            <w:tcW w:w="1276" w:type="dxa"/>
            <w:tcBorders/>
            <w:shd w:fill="auto" w:val="clear"/>
          </w:tcPr>
          <w:p>
            <w:pPr>
              <w:pStyle w:val="Normal"/>
              <w:jc w:val="center"/>
              <w:rPr/>
            </w:pPr>
            <w:r>
              <w:rPr/>
              <w:t>68.4</w:t>
            </w:r>
          </w:p>
        </w:tc>
        <w:tc>
          <w:tcPr>
            <w:tcW w:w="1203" w:type="dxa"/>
            <w:tcBorders/>
            <w:shd w:fill="auto" w:val="clear"/>
          </w:tcPr>
          <w:p>
            <w:pPr>
              <w:pStyle w:val="Normal"/>
              <w:jc w:val="center"/>
              <w:rPr/>
            </w:pPr>
            <w:r>
              <w:rPr/>
              <w:t>86.3</w:t>
            </w:r>
          </w:p>
        </w:tc>
      </w:tr>
      <w:tr>
        <w:trPr>
          <w:trHeight w:val="255" w:hRule="atLeast"/>
        </w:trPr>
        <w:tc>
          <w:tcPr>
            <w:tcW w:w="5997" w:type="dxa"/>
            <w:tcBorders/>
            <w:shd w:fill="auto" w:val="clear"/>
          </w:tcPr>
          <w:p>
            <w:pPr>
              <w:pStyle w:val="Normal"/>
              <w:tabs>
                <w:tab w:val="left" w:pos="365" w:leader="none"/>
              </w:tabs>
              <w:ind w:firstLine="270"/>
              <w:rPr/>
            </w:pPr>
            <w:r>
              <w:rPr/>
              <w:t xml:space="preserve"> </w:t>
            </w:r>
            <w:r>
              <w:rPr/>
              <w:tab/>
              <w:t>Physician loyalty, RIO &lt;10 (urban)</w:t>
            </w:r>
          </w:p>
        </w:tc>
        <w:tc>
          <w:tcPr>
            <w:tcW w:w="1134" w:type="dxa"/>
            <w:tcBorders/>
            <w:shd w:fill="auto" w:val="clear"/>
          </w:tcPr>
          <w:p>
            <w:pPr>
              <w:pStyle w:val="Normal"/>
              <w:jc w:val="center"/>
              <w:rPr/>
            </w:pPr>
            <w:r>
              <w:rPr/>
              <w:t>56.4</w:t>
            </w:r>
          </w:p>
        </w:tc>
        <w:tc>
          <w:tcPr>
            <w:tcW w:w="1276" w:type="dxa"/>
            <w:tcBorders/>
            <w:shd w:fill="auto" w:val="clear"/>
          </w:tcPr>
          <w:p>
            <w:pPr>
              <w:pStyle w:val="Normal"/>
              <w:jc w:val="center"/>
              <w:rPr/>
            </w:pPr>
            <w:r>
              <w:rPr/>
              <w:t>64.7</w:t>
            </w:r>
          </w:p>
        </w:tc>
        <w:tc>
          <w:tcPr>
            <w:tcW w:w="1203" w:type="dxa"/>
            <w:tcBorders/>
            <w:shd w:fill="auto" w:val="clear"/>
          </w:tcPr>
          <w:p>
            <w:pPr>
              <w:pStyle w:val="Normal"/>
              <w:jc w:val="center"/>
              <w:rPr/>
            </w:pPr>
            <w:r>
              <w:rPr/>
              <w:t>77.9</w:t>
            </w:r>
          </w:p>
        </w:tc>
      </w:tr>
      <w:tr>
        <w:trPr>
          <w:trHeight w:val="255" w:hRule="atLeast"/>
        </w:trPr>
        <w:tc>
          <w:tcPr>
            <w:tcW w:w="5997" w:type="dxa"/>
            <w:tcBorders/>
            <w:shd w:fill="auto" w:val="clear"/>
          </w:tcPr>
          <w:p>
            <w:pPr>
              <w:pStyle w:val="Normal"/>
              <w:tabs>
                <w:tab w:val="left" w:pos="330" w:leader="none"/>
                <w:tab w:val="left" w:pos="365" w:leader="none"/>
              </w:tabs>
              <w:ind w:firstLine="270"/>
              <w:rPr/>
            </w:pPr>
            <w:r>
              <w:rPr/>
              <w:t xml:space="preserve"> </w:t>
            </w:r>
            <w:r>
              <w:rPr/>
              <w:tab/>
              <w:t>Physician loyalty, RIO 10+ (rural)</w:t>
            </w:r>
          </w:p>
        </w:tc>
        <w:tc>
          <w:tcPr>
            <w:tcW w:w="1134" w:type="dxa"/>
            <w:tcBorders/>
            <w:shd w:fill="auto" w:val="clear"/>
          </w:tcPr>
          <w:p>
            <w:pPr>
              <w:pStyle w:val="Normal"/>
              <w:jc w:val="center"/>
              <w:rPr/>
            </w:pPr>
            <w:r>
              <w:rPr/>
              <w:t>65.5</w:t>
            </w:r>
          </w:p>
        </w:tc>
        <w:tc>
          <w:tcPr>
            <w:tcW w:w="1276" w:type="dxa"/>
            <w:tcBorders/>
            <w:shd w:fill="auto" w:val="clear"/>
          </w:tcPr>
          <w:p>
            <w:pPr>
              <w:pStyle w:val="Normal"/>
              <w:jc w:val="center"/>
              <w:rPr/>
            </w:pPr>
            <w:r>
              <w:rPr/>
              <w:t>78.1</w:t>
            </w:r>
          </w:p>
        </w:tc>
        <w:tc>
          <w:tcPr>
            <w:tcW w:w="1203" w:type="dxa"/>
            <w:tcBorders/>
            <w:shd w:fill="auto" w:val="clear"/>
          </w:tcPr>
          <w:p>
            <w:pPr>
              <w:pStyle w:val="Normal"/>
              <w:jc w:val="center"/>
              <w:rPr/>
            </w:pPr>
            <w:r>
              <w:rPr/>
              <w:t>86.3</w:t>
            </w:r>
          </w:p>
        </w:tc>
      </w:tr>
      <w:tr>
        <w:trPr>
          <w:trHeight w:val="255" w:hRule="atLeast"/>
        </w:trPr>
        <w:tc>
          <w:tcPr>
            <w:tcW w:w="5997" w:type="dxa"/>
            <w:tcBorders/>
            <w:shd w:fill="auto" w:val="clear"/>
          </w:tcPr>
          <w:p>
            <w:pPr>
              <w:pStyle w:val="Normal"/>
              <w:tabs>
                <w:tab w:val="left" w:pos="365" w:leader="none"/>
              </w:tabs>
              <w:rPr/>
            </w:pPr>
            <w:r>
              <w:rPr/>
              <w:t>Loyalty to network hospital(s)</w:t>
            </w:r>
          </w:p>
        </w:tc>
        <w:tc>
          <w:tcPr>
            <w:tcW w:w="1134" w:type="dxa"/>
            <w:tcBorders/>
            <w:shd w:fill="auto" w:val="clear"/>
          </w:tcPr>
          <w:p>
            <w:pPr>
              <w:pStyle w:val="Normal"/>
              <w:snapToGrid w:val="false"/>
              <w:jc w:val="center"/>
              <w:rPr/>
            </w:pPr>
            <w:r>
              <w:rPr/>
            </w:r>
          </w:p>
        </w:tc>
        <w:tc>
          <w:tcPr>
            <w:tcW w:w="1276" w:type="dxa"/>
            <w:tcBorders/>
            <w:shd w:fill="auto" w:val="clear"/>
          </w:tcPr>
          <w:p>
            <w:pPr>
              <w:pStyle w:val="Normal"/>
              <w:snapToGrid w:val="false"/>
              <w:jc w:val="center"/>
              <w:rPr/>
            </w:pPr>
            <w:r>
              <w:rPr/>
            </w:r>
          </w:p>
        </w:tc>
        <w:tc>
          <w:tcPr>
            <w:tcW w:w="1203" w:type="dxa"/>
            <w:tcBorders/>
            <w:shd w:fill="auto" w:val="clear"/>
          </w:tcPr>
          <w:p>
            <w:pPr>
              <w:pStyle w:val="Normal"/>
              <w:snapToGrid w:val="false"/>
              <w:jc w:val="center"/>
              <w:rPr/>
            </w:pPr>
            <w:r>
              <w:rPr/>
            </w:r>
          </w:p>
        </w:tc>
      </w:tr>
      <w:tr>
        <w:trPr>
          <w:trHeight w:val="255" w:hRule="atLeast"/>
        </w:trPr>
        <w:tc>
          <w:tcPr>
            <w:tcW w:w="5997" w:type="dxa"/>
            <w:tcBorders/>
            <w:shd w:fill="auto" w:val="clear"/>
          </w:tcPr>
          <w:p>
            <w:pPr>
              <w:pStyle w:val="Normal"/>
              <w:tabs>
                <w:tab w:val="left" w:pos="365" w:leader="none"/>
              </w:tabs>
              <w:ind w:firstLine="180"/>
              <w:rPr/>
            </w:pPr>
            <w:r>
              <w:rPr/>
              <w:t>Admission loyalty, overall</w:t>
            </w:r>
          </w:p>
        </w:tc>
        <w:tc>
          <w:tcPr>
            <w:tcW w:w="1134" w:type="dxa"/>
            <w:tcBorders/>
            <w:shd w:fill="auto" w:val="clear"/>
          </w:tcPr>
          <w:p>
            <w:pPr>
              <w:pStyle w:val="Normal"/>
              <w:jc w:val="center"/>
              <w:rPr/>
            </w:pPr>
            <w:r>
              <w:rPr/>
              <w:t>36.0</w:t>
            </w:r>
          </w:p>
        </w:tc>
        <w:tc>
          <w:tcPr>
            <w:tcW w:w="1276" w:type="dxa"/>
            <w:tcBorders/>
            <w:shd w:fill="auto" w:val="clear"/>
          </w:tcPr>
          <w:p>
            <w:pPr>
              <w:pStyle w:val="Normal"/>
              <w:jc w:val="center"/>
              <w:rPr/>
            </w:pPr>
            <w:r>
              <w:rPr/>
              <w:t>58.7</w:t>
            </w:r>
          </w:p>
        </w:tc>
        <w:tc>
          <w:tcPr>
            <w:tcW w:w="1203" w:type="dxa"/>
            <w:tcBorders/>
            <w:shd w:fill="auto" w:val="clear"/>
          </w:tcPr>
          <w:p>
            <w:pPr>
              <w:pStyle w:val="Normal"/>
              <w:jc w:val="center"/>
              <w:rPr/>
            </w:pPr>
            <w:r>
              <w:rPr/>
              <w:t>81.3</w:t>
            </w:r>
          </w:p>
        </w:tc>
      </w:tr>
      <w:tr>
        <w:trPr>
          <w:trHeight w:val="255" w:hRule="atLeast"/>
        </w:trPr>
        <w:tc>
          <w:tcPr>
            <w:tcW w:w="5997" w:type="dxa"/>
            <w:tcBorders/>
            <w:shd w:fill="auto" w:val="clear"/>
          </w:tcPr>
          <w:p>
            <w:pPr>
              <w:pStyle w:val="Normal"/>
              <w:tabs>
                <w:tab w:val="left" w:pos="365" w:leader="none"/>
              </w:tabs>
              <w:ind w:firstLine="180"/>
              <w:rPr/>
            </w:pPr>
            <w:r>
              <w:rPr/>
              <w:t xml:space="preserve">  </w:t>
            </w:r>
            <w:r>
              <w:rPr/>
              <w:tab/>
              <w:t>Admission loyalty, RIO &lt;10 (urban)</w:t>
            </w:r>
          </w:p>
        </w:tc>
        <w:tc>
          <w:tcPr>
            <w:tcW w:w="1134" w:type="dxa"/>
            <w:tcBorders/>
            <w:shd w:fill="auto" w:val="clear"/>
          </w:tcPr>
          <w:p>
            <w:pPr>
              <w:pStyle w:val="Normal"/>
              <w:jc w:val="center"/>
              <w:rPr/>
            </w:pPr>
            <w:r>
              <w:rPr/>
              <w:t>31.3</w:t>
            </w:r>
          </w:p>
        </w:tc>
        <w:tc>
          <w:tcPr>
            <w:tcW w:w="1276" w:type="dxa"/>
            <w:tcBorders/>
            <w:shd w:fill="auto" w:val="clear"/>
          </w:tcPr>
          <w:p>
            <w:pPr>
              <w:pStyle w:val="Normal"/>
              <w:jc w:val="center"/>
              <w:rPr/>
            </w:pPr>
            <w:r>
              <w:rPr/>
              <w:t>42.5</w:t>
            </w:r>
          </w:p>
        </w:tc>
        <w:tc>
          <w:tcPr>
            <w:tcW w:w="1203" w:type="dxa"/>
            <w:tcBorders/>
            <w:shd w:fill="auto" w:val="clear"/>
          </w:tcPr>
          <w:p>
            <w:pPr>
              <w:pStyle w:val="Normal"/>
              <w:jc w:val="center"/>
              <w:rPr/>
            </w:pPr>
            <w:r>
              <w:rPr/>
              <w:t>87.9</w:t>
            </w:r>
          </w:p>
        </w:tc>
      </w:tr>
      <w:tr>
        <w:trPr>
          <w:trHeight w:val="255" w:hRule="atLeast"/>
        </w:trPr>
        <w:tc>
          <w:tcPr>
            <w:tcW w:w="5997" w:type="dxa"/>
            <w:tcBorders/>
            <w:shd w:fill="auto" w:val="clear"/>
          </w:tcPr>
          <w:p>
            <w:pPr>
              <w:pStyle w:val="Normal"/>
              <w:tabs>
                <w:tab w:val="left" w:pos="365" w:leader="none"/>
              </w:tabs>
              <w:ind w:firstLine="180"/>
              <w:rPr/>
            </w:pPr>
            <w:r>
              <w:rPr/>
              <w:t xml:space="preserve">  </w:t>
            </w:r>
            <w:r>
              <w:rPr/>
              <w:tab/>
              <w:t>Admission loyalty, RIO 10+ (rural)</w:t>
            </w:r>
          </w:p>
        </w:tc>
        <w:tc>
          <w:tcPr>
            <w:tcW w:w="1134" w:type="dxa"/>
            <w:tcBorders/>
            <w:shd w:fill="auto" w:val="clear"/>
          </w:tcPr>
          <w:p>
            <w:pPr>
              <w:pStyle w:val="Normal"/>
              <w:jc w:val="center"/>
              <w:rPr/>
            </w:pPr>
            <w:r>
              <w:rPr/>
              <w:t>55.9</w:t>
            </w:r>
          </w:p>
        </w:tc>
        <w:tc>
          <w:tcPr>
            <w:tcW w:w="1276" w:type="dxa"/>
            <w:tcBorders/>
            <w:shd w:fill="auto" w:val="clear"/>
          </w:tcPr>
          <w:p>
            <w:pPr>
              <w:pStyle w:val="Normal"/>
              <w:jc w:val="center"/>
              <w:rPr/>
            </w:pPr>
            <w:r>
              <w:rPr/>
              <w:t>69.5</w:t>
            </w:r>
          </w:p>
        </w:tc>
        <w:tc>
          <w:tcPr>
            <w:tcW w:w="1203" w:type="dxa"/>
            <w:tcBorders/>
            <w:shd w:fill="auto" w:val="clear"/>
          </w:tcPr>
          <w:p>
            <w:pPr>
              <w:pStyle w:val="Normal"/>
              <w:jc w:val="center"/>
              <w:rPr/>
            </w:pPr>
            <w:r>
              <w:rPr/>
              <w:t>81.0</w:t>
            </w:r>
          </w:p>
        </w:tc>
      </w:tr>
      <w:tr>
        <w:trPr>
          <w:trHeight w:val="255" w:hRule="atLeast"/>
        </w:trPr>
        <w:tc>
          <w:tcPr>
            <w:tcW w:w="5997" w:type="dxa"/>
            <w:tcBorders/>
            <w:shd w:fill="auto" w:val="clear"/>
          </w:tcPr>
          <w:p>
            <w:pPr>
              <w:pStyle w:val="Normal"/>
              <w:tabs>
                <w:tab w:val="left" w:pos="365" w:leader="none"/>
              </w:tabs>
              <w:ind w:firstLine="180"/>
              <w:rPr/>
            </w:pPr>
            <w:r>
              <w:rPr/>
              <w:t>Non-maternal admission loyalty, overall</w:t>
            </w:r>
          </w:p>
        </w:tc>
        <w:tc>
          <w:tcPr>
            <w:tcW w:w="1134" w:type="dxa"/>
            <w:tcBorders/>
            <w:shd w:fill="auto" w:val="clear"/>
          </w:tcPr>
          <w:p>
            <w:pPr>
              <w:pStyle w:val="Normal"/>
              <w:jc w:val="center"/>
              <w:rPr/>
            </w:pPr>
            <w:r>
              <w:rPr/>
              <w:t>34.5</w:t>
            </w:r>
          </w:p>
        </w:tc>
        <w:tc>
          <w:tcPr>
            <w:tcW w:w="1276" w:type="dxa"/>
            <w:tcBorders/>
            <w:shd w:fill="auto" w:val="clear"/>
          </w:tcPr>
          <w:p>
            <w:pPr>
              <w:pStyle w:val="Normal"/>
              <w:jc w:val="center"/>
              <w:rPr/>
            </w:pPr>
            <w:r>
              <w:rPr/>
              <w:t>67.4</w:t>
            </w:r>
          </w:p>
        </w:tc>
        <w:tc>
          <w:tcPr>
            <w:tcW w:w="1203" w:type="dxa"/>
            <w:tcBorders/>
            <w:shd w:fill="auto" w:val="clear"/>
          </w:tcPr>
          <w:p>
            <w:pPr>
              <w:pStyle w:val="Normal"/>
              <w:jc w:val="center"/>
              <w:rPr/>
            </w:pPr>
            <w:r>
              <w:rPr/>
              <w:t>88.0</w:t>
            </w:r>
          </w:p>
        </w:tc>
      </w:tr>
      <w:tr>
        <w:trPr>
          <w:trHeight w:val="255" w:hRule="atLeast"/>
        </w:trPr>
        <w:tc>
          <w:tcPr>
            <w:tcW w:w="5997" w:type="dxa"/>
            <w:tcBorders/>
            <w:shd w:fill="auto" w:val="clear"/>
          </w:tcPr>
          <w:p>
            <w:pPr>
              <w:pStyle w:val="Normal"/>
              <w:tabs>
                <w:tab w:val="left" w:pos="365" w:leader="none"/>
              </w:tabs>
              <w:rPr/>
            </w:pPr>
            <w:r>
              <w:rPr/>
              <w:t xml:space="preserve">  </w:t>
            </w:r>
            <w:r>
              <w:rPr/>
              <w:tab/>
              <w:t>Non-maternal admission loyalty, RIO &lt;10 (urban)</w:t>
            </w:r>
          </w:p>
        </w:tc>
        <w:tc>
          <w:tcPr>
            <w:tcW w:w="1134" w:type="dxa"/>
            <w:tcBorders/>
            <w:shd w:fill="auto" w:val="clear"/>
          </w:tcPr>
          <w:p>
            <w:pPr>
              <w:pStyle w:val="Normal"/>
              <w:jc w:val="center"/>
              <w:rPr/>
            </w:pPr>
            <w:r>
              <w:rPr/>
              <w:t>33.0</w:t>
            </w:r>
          </w:p>
        </w:tc>
        <w:tc>
          <w:tcPr>
            <w:tcW w:w="1276" w:type="dxa"/>
            <w:tcBorders/>
            <w:shd w:fill="auto" w:val="clear"/>
          </w:tcPr>
          <w:p>
            <w:pPr>
              <w:pStyle w:val="Normal"/>
              <w:jc w:val="center"/>
              <w:rPr/>
            </w:pPr>
            <w:r>
              <w:rPr/>
              <w:t>45.0</w:t>
            </w:r>
          </w:p>
        </w:tc>
        <w:tc>
          <w:tcPr>
            <w:tcW w:w="1203" w:type="dxa"/>
            <w:tcBorders/>
            <w:shd w:fill="auto" w:val="clear"/>
          </w:tcPr>
          <w:p>
            <w:pPr>
              <w:pStyle w:val="Normal"/>
              <w:jc w:val="center"/>
              <w:rPr/>
            </w:pPr>
            <w:r>
              <w:rPr/>
              <w:t>88.5</w:t>
            </w:r>
          </w:p>
        </w:tc>
      </w:tr>
      <w:tr>
        <w:trPr>
          <w:trHeight w:val="255" w:hRule="atLeast"/>
        </w:trPr>
        <w:tc>
          <w:tcPr>
            <w:tcW w:w="5997" w:type="dxa"/>
            <w:tcBorders/>
            <w:shd w:fill="auto" w:val="clear"/>
          </w:tcPr>
          <w:p>
            <w:pPr>
              <w:pStyle w:val="Normal"/>
              <w:tabs>
                <w:tab w:val="left" w:pos="365" w:leader="none"/>
              </w:tabs>
              <w:rPr/>
            </w:pPr>
            <w:r>
              <w:rPr/>
              <w:t xml:space="preserve">  </w:t>
            </w:r>
            <w:r>
              <w:rPr/>
              <w:tab/>
              <w:t>Non-maternal Admission loyalty, RIO 10+ (rural)</w:t>
            </w:r>
          </w:p>
        </w:tc>
        <w:tc>
          <w:tcPr>
            <w:tcW w:w="1134" w:type="dxa"/>
            <w:tcBorders/>
            <w:shd w:fill="auto" w:val="clear"/>
          </w:tcPr>
          <w:p>
            <w:pPr>
              <w:pStyle w:val="Normal"/>
              <w:jc w:val="center"/>
              <w:rPr/>
            </w:pPr>
            <w:r>
              <w:rPr/>
              <w:t>66.1</w:t>
            </w:r>
          </w:p>
        </w:tc>
        <w:tc>
          <w:tcPr>
            <w:tcW w:w="1276" w:type="dxa"/>
            <w:tcBorders/>
            <w:shd w:fill="auto" w:val="clear"/>
          </w:tcPr>
          <w:p>
            <w:pPr>
              <w:pStyle w:val="Normal"/>
              <w:jc w:val="center"/>
              <w:rPr/>
            </w:pPr>
            <w:r>
              <w:rPr/>
              <w:t>75.9</w:t>
            </w:r>
          </w:p>
        </w:tc>
        <w:tc>
          <w:tcPr>
            <w:tcW w:w="1203" w:type="dxa"/>
            <w:tcBorders/>
            <w:shd w:fill="auto" w:val="clear"/>
          </w:tcPr>
          <w:p>
            <w:pPr>
              <w:pStyle w:val="Normal"/>
              <w:jc w:val="center"/>
              <w:rPr/>
            </w:pPr>
            <w:r>
              <w:rPr/>
              <w:t>87.9</w:t>
            </w:r>
          </w:p>
        </w:tc>
      </w:tr>
      <w:tr>
        <w:trPr>
          <w:trHeight w:val="255" w:hRule="atLeast"/>
        </w:trPr>
        <w:tc>
          <w:tcPr>
            <w:tcW w:w="5997" w:type="dxa"/>
            <w:tcBorders/>
            <w:shd w:fill="auto" w:val="clear"/>
          </w:tcPr>
          <w:p>
            <w:pPr>
              <w:pStyle w:val="Normal"/>
              <w:tabs>
                <w:tab w:val="left" w:pos="365" w:leader="none"/>
              </w:tabs>
              <w:snapToGrid w:val="false"/>
              <w:rPr/>
            </w:pPr>
            <w:r>
              <w:rPr/>
            </w:r>
          </w:p>
        </w:tc>
        <w:tc>
          <w:tcPr>
            <w:tcW w:w="1134" w:type="dxa"/>
            <w:tcBorders/>
            <w:shd w:fill="auto" w:val="clear"/>
          </w:tcPr>
          <w:p>
            <w:pPr>
              <w:pStyle w:val="Normal"/>
              <w:snapToGrid w:val="false"/>
              <w:jc w:val="center"/>
              <w:rPr/>
            </w:pPr>
            <w:r>
              <w:rPr/>
            </w:r>
          </w:p>
        </w:tc>
        <w:tc>
          <w:tcPr>
            <w:tcW w:w="1276" w:type="dxa"/>
            <w:tcBorders/>
            <w:shd w:fill="auto" w:val="clear"/>
          </w:tcPr>
          <w:p>
            <w:pPr>
              <w:pStyle w:val="Normal"/>
              <w:snapToGrid w:val="false"/>
              <w:jc w:val="center"/>
              <w:rPr/>
            </w:pPr>
            <w:r>
              <w:rPr/>
            </w:r>
          </w:p>
        </w:tc>
        <w:tc>
          <w:tcPr>
            <w:tcW w:w="1203" w:type="dxa"/>
            <w:tcBorders/>
            <w:shd w:fill="auto" w:val="clear"/>
          </w:tcPr>
          <w:p>
            <w:pPr>
              <w:pStyle w:val="Normal"/>
              <w:snapToGrid w:val="false"/>
              <w:jc w:val="center"/>
              <w:rPr/>
            </w:pPr>
            <w:r>
              <w:rPr/>
            </w:r>
          </w:p>
        </w:tc>
      </w:tr>
      <w:tr>
        <w:trPr>
          <w:trHeight w:val="255" w:hRule="atLeast"/>
        </w:trPr>
        <w:tc>
          <w:tcPr>
            <w:tcW w:w="5997" w:type="dxa"/>
            <w:tcBorders/>
            <w:shd w:fill="auto" w:val="clear"/>
          </w:tcPr>
          <w:p>
            <w:pPr>
              <w:pStyle w:val="Normal"/>
              <w:tabs>
                <w:tab w:val="left" w:pos="365" w:leader="none"/>
              </w:tabs>
              <w:rPr/>
            </w:pPr>
            <w:r>
              <w:rPr/>
              <w:t>Distance between residents and UPC, 90</w:t>
            </w:r>
            <w:r>
              <w:rPr>
                <w:vertAlign w:val="superscript"/>
              </w:rPr>
              <w:t>th</w:t>
            </w:r>
            <w:r>
              <w:rPr/>
              <w:t xml:space="preserve"> percentile (km)</w:t>
            </w:r>
          </w:p>
        </w:tc>
        <w:tc>
          <w:tcPr>
            <w:tcW w:w="1134" w:type="dxa"/>
            <w:tcBorders/>
            <w:shd w:fill="auto" w:val="clear"/>
          </w:tcPr>
          <w:p>
            <w:pPr>
              <w:pStyle w:val="Normal"/>
              <w:jc w:val="center"/>
              <w:rPr/>
            </w:pPr>
            <w:r>
              <w:rPr/>
              <w:t>20.8</w:t>
            </w:r>
          </w:p>
        </w:tc>
        <w:tc>
          <w:tcPr>
            <w:tcW w:w="1276" w:type="dxa"/>
            <w:tcBorders/>
            <w:shd w:fill="auto" w:val="clear"/>
          </w:tcPr>
          <w:p>
            <w:pPr>
              <w:pStyle w:val="Normal"/>
              <w:jc w:val="center"/>
              <w:rPr/>
            </w:pPr>
            <w:r>
              <w:rPr/>
              <w:t>26.7</w:t>
            </w:r>
          </w:p>
        </w:tc>
        <w:tc>
          <w:tcPr>
            <w:tcW w:w="1203" w:type="dxa"/>
            <w:tcBorders/>
            <w:shd w:fill="auto" w:val="clear"/>
          </w:tcPr>
          <w:p>
            <w:pPr>
              <w:pStyle w:val="Normal"/>
              <w:jc w:val="center"/>
              <w:rPr/>
            </w:pPr>
            <w:r>
              <w:rPr/>
              <w:t>43.1</w:t>
            </w:r>
          </w:p>
        </w:tc>
      </w:tr>
      <w:tr>
        <w:trPr>
          <w:trHeight w:val="255" w:hRule="atLeast"/>
        </w:trPr>
        <w:tc>
          <w:tcPr>
            <w:tcW w:w="5997" w:type="dxa"/>
            <w:tcBorders/>
            <w:shd w:fill="auto" w:val="clear"/>
          </w:tcPr>
          <w:p>
            <w:pPr>
              <w:pStyle w:val="Normal"/>
              <w:tabs>
                <w:tab w:val="left" w:pos="365" w:leader="none"/>
              </w:tabs>
              <w:rPr/>
            </w:pPr>
            <w:r>
              <w:rPr/>
              <w:t>Distance between residents and provider cluster, 90</w:t>
            </w:r>
            <w:r>
              <w:rPr>
                <w:vertAlign w:val="superscript"/>
              </w:rPr>
              <w:t>th</w:t>
            </w:r>
            <w:r>
              <w:rPr/>
              <w:t xml:space="preserve"> percentile (km)</w:t>
            </w:r>
          </w:p>
        </w:tc>
        <w:tc>
          <w:tcPr>
            <w:tcW w:w="1134" w:type="dxa"/>
            <w:tcBorders/>
            <w:shd w:fill="auto" w:val="clear"/>
          </w:tcPr>
          <w:p>
            <w:pPr>
              <w:pStyle w:val="Normal"/>
              <w:jc w:val="center"/>
              <w:rPr/>
            </w:pPr>
            <w:r>
              <w:rPr/>
              <w:t>20.9</w:t>
            </w:r>
          </w:p>
        </w:tc>
        <w:tc>
          <w:tcPr>
            <w:tcW w:w="1276" w:type="dxa"/>
            <w:tcBorders/>
            <w:shd w:fill="auto" w:val="clear"/>
          </w:tcPr>
          <w:p>
            <w:pPr>
              <w:pStyle w:val="Normal"/>
              <w:jc w:val="center"/>
              <w:rPr/>
            </w:pPr>
            <w:r>
              <w:rPr/>
              <w:t>28.0</w:t>
            </w:r>
          </w:p>
        </w:tc>
        <w:tc>
          <w:tcPr>
            <w:tcW w:w="1203" w:type="dxa"/>
            <w:tcBorders/>
            <w:shd w:fill="auto" w:val="clear"/>
          </w:tcPr>
          <w:p>
            <w:pPr>
              <w:pStyle w:val="Normal"/>
              <w:jc w:val="center"/>
              <w:rPr/>
            </w:pPr>
            <w:r>
              <w:rPr/>
              <w:t>47.8</w:t>
            </w:r>
          </w:p>
        </w:tc>
      </w:tr>
      <w:tr>
        <w:trPr>
          <w:trHeight w:val="255" w:hRule="atLeast"/>
        </w:trPr>
        <w:tc>
          <w:tcPr>
            <w:tcW w:w="5997" w:type="dxa"/>
            <w:tcBorders/>
            <w:shd w:fill="auto" w:val="clear"/>
          </w:tcPr>
          <w:p>
            <w:pPr>
              <w:pStyle w:val="Normal"/>
              <w:tabs>
                <w:tab w:val="left" w:pos="365" w:leader="none"/>
              </w:tabs>
              <w:rPr/>
            </w:pPr>
            <w:r>
              <w:rPr/>
              <w:t>Distance between physicians and provider cluster, 90th percentile (km)</w:t>
            </w:r>
          </w:p>
        </w:tc>
        <w:tc>
          <w:tcPr>
            <w:tcW w:w="1134" w:type="dxa"/>
            <w:tcBorders/>
            <w:shd w:fill="auto" w:val="clear"/>
          </w:tcPr>
          <w:p>
            <w:pPr>
              <w:pStyle w:val="Normal"/>
              <w:jc w:val="center"/>
              <w:rPr/>
            </w:pPr>
            <w:r>
              <w:rPr/>
              <w:t>8.7</w:t>
            </w:r>
          </w:p>
        </w:tc>
        <w:tc>
          <w:tcPr>
            <w:tcW w:w="1276" w:type="dxa"/>
            <w:tcBorders/>
            <w:shd w:fill="auto" w:val="clear"/>
          </w:tcPr>
          <w:p>
            <w:pPr>
              <w:pStyle w:val="Normal"/>
              <w:jc w:val="center"/>
              <w:rPr/>
            </w:pPr>
            <w:r>
              <w:rPr/>
              <w:t>18.5</w:t>
            </w:r>
          </w:p>
        </w:tc>
        <w:tc>
          <w:tcPr>
            <w:tcW w:w="1203" w:type="dxa"/>
            <w:tcBorders/>
            <w:shd w:fill="auto" w:val="clear"/>
          </w:tcPr>
          <w:p>
            <w:pPr>
              <w:pStyle w:val="Normal"/>
              <w:jc w:val="center"/>
              <w:rPr/>
            </w:pPr>
            <w:r>
              <w:rPr/>
              <w:t>71.7</w:t>
            </w:r>
          </w:p>
        </w:tc>
      </w:tr>
      <w:tr>
        <w:trPr>
          <w:trHeight w:val="88" w:hRule="atLeast"/>
        </w:trPr>
        <w:tc>
          <w:tcPr>
            <w:tcW w:w="5997" w:type="dxa"/>
            <w:tcBorders>
              <w:bottom w:val="single" w:sz="4" w:space="0" w:color="000000"/>
              <w:insideH w:val="single" w:sz="4" w:space="0" w:color="000000"/>
            </w:tcBorders>
            <w:shd w:fill="auto" w:val="clear"/>
          </w:tcPr>
          <w:p>
            <w:pPr>
              <w:pStyle w:val="Normal"/>
              <w:tabs>
                <w:tab w:val="left" w:pos="365" w:leader="none"/>
              </w:tabs>
              <w:snapToGrid w:val="false"/>
              <w:rPr>
                <w:sz w:val="12"/>
                <w:szCs w:val="12"/>
              </w:rPr>
            </w:pPr>
            <w:r>
              <w:rPr>
                <w:sz w:val="12"/>
                <w:szCs w:val="12"/>
              </w:rPr>
            </w:r>
          </w:p>
        </w:tc>
        <w:tc>
          <w:tcPr>
            <w:tcW w:w="1134" w:type="dxa"/>
            <w:tcBorders>
              <w:bottom w:val="single" w:sz="4" w:space="0" w:color="000000"/>
              <w:insideH w:val="single" w:sz="4" w:space="0" w:color="000000"/>
            </w:tcBorders>
            <w:shd w:fill="auto" w:val="clear"/>
          </w:tcPr>
          <w:p>
            <w:pPr>
              <w:pStyle w:val="Normal"/>
              <w:snapToGrid w:val="false"/>
              <w:jc w:val="center"/>
              <w:rPr>
                <w:sz w:val="12"/>
                <w:szCs w:val="12"/>
              </w:rPr>
            </w:pPr>
            <w:r>
              <w:rPr>
                <w:sz w:val="12"/>
                <w:szCs w:val="12"/>
              </w:rPr>
            </w:r>
          </w:p>
        </w:tc>
        <w:tc>
          <w:tcPr>
            <w:tcW w:w="1276" w:type="dxa"/>
            <w:tcBorders>
              <w:bottom w:val="single" w:sz="4" w:space="0" w:color="000000"/>
              <w:insideH w:val="single" w:sz="4" w:space="0" w:color="000000"/>
            </w:tcBorders>
            <w:shd w:fill="auto" w:val="clear"/>
          </w:tcPr>
          <w:p>
            <w:pPr>
              <w:pStyle w:val="Normal"/>
              <w:snapToGrid w:val="false"/>
              <w:jc w:val="center"/>
              <w:rPr>
                <w:sz w:val="12"/>
                <w:szCs w:val="12"/>
              </w:rPr>
            </w:pPr>
            <w:r>
              <w:rPr>
                <w:sz w:val="12"/>
                <w:szCs w:val="12"/>
              </w:rPr>
            </w:r>
          </w:p>
        </w:tc>
        <w:tc>
          <w:tcPr>
            <w:tcW w:w="1203" w:type="dxa"/>
            <w:tcBorders>
              <w:bottom w:val="single" w:sz="4" w:space="0" w:color="000000"/>
              <w:insideH w:val="single" w:sz="4" w:space="0" w:color="000000"/>
            </w:tcBorders>
            <w:shd w:fill="auto" w:val="clear"/>
          </w:tcPr>
          <w:p>
            <w:pPr>
              <w:pStyle w:val="Normal"/>
              <w:snapToGrid w:val="false"/>
              <w:jc w:val="center"/>
              <w:rPr>
                <w:sz w:val="12"/>
                <w:szCs w:val="12"/>
              </w:rPr>
            </w:pPr>
            <w:r>
              <w:rPr>
                <w:sz w:val="12"/>
                <w:szCs w:val="12"/>
              </w:rPr>
            </w:r>
          </w:p>
        </w:tc>
      </w:tr>
    </w:tbl>
    <w:p>
      <w:pPr>
        <w:pStyle w:val="Normal"/>
        <w:numPr>
          <w:ilvl w:val="0"/>
          <w:numId w:val="3"/>
        </w:numPr>
        <w:rPr/>
      </w:pPr>
      <w:r>
        <w:rPr/>
        <w:t>Characteristics are computed at the network level, and then weighted by network population before computing the percentiles.</w:t>
      </w:r>
      <w:r>
        <w:br w:type="page"/>
      </w:r>
    </w:p>
    <w:p>
      <w:pPr>
        <w:pStyle w:val="Normal"/>
        <w:rPr/>
      </w:pPr>
      <w:r>
        <w:rPr/>
        <w:t>Table 3. Network Patient Characteristics, as of April 1, 2008</w:t>
      </w:r>
    </w:p>
    <w:p>
      <w:pPr>
        <w:pStyle w:val="Normal"/>
        <w:rPr/>
      </w:pPr>
      <w:r>
        <w:rPr/>
      </w:r>
    </w:p>
    <w:tbl>
      <w:tblPr>
        <w:tblW w:w="10123" w:type="dxa"/>
        <w:jc w:val="left"/>
        <w:tblInd w:w="0" w:type="dxa"/>
        <w:tblBorders/>
        <w:tblCellMar>
          <w:top w:w="0" w:type="dxa"/>
          <w:left w:w="43" w:type="dxa"/>
          <w:bottom w:w="0" w:type="dxa"/>
          <w:right w:w="43" w:type="dxa"/>
        </w:tblCellMar>
      </w:tblPr>
      <w:tblGrid>
        <w:gridCol w:w="4541"/>
        <w:gridCol w:w="1887"/>
        <w:gridCol w:w="1887"/>
        <w:gridCol w:w="1808"/>
      </w:tblGrid>
      <w:tr>
        <w:trPr>
          <w:trHeight w:val="80" w:hRule="atLeast"/>
        </w:trPr>
        <w:tc>
          <w:tcPr>
            <w:tcW w:w="4541" w:type="dxa"/>
            <w:tcBorders/>
            <w:shd w:fill="auto" w:val="clear"/>
          </w:tcPr>
          <w:p>
            <w:pPr>
              <w:pStyle w:val="Normal"/>
              <w:snapToGrid w:val="false"/>
              <w:rPr/>
            </w:pPr>
            <w:r>
              <w:rPr/>
            </w:r>
          </w:p>
        </w:tc>
        <w:tc>
          <w:tcPr>
            <w:tcW w:w="5582" w:type="dxa"/>
            <w:gridSpan w:val="3"/>
            <w:tcBorders>
              <w:bottom w:val="single" w:sz="4" w:space="0" w:color="000000"/>
              <w:insideH w:val="single" w:sz="4" w:space="0" w:color="000000"/>
            </w:tcBorders>
            <w:shd w:fill="auto" w:val="clear"/>
            <w:vAlign w:val="bottom"/>
          </w:tcPr>
          <w:p>
            <w:pPr>
              <w:pStyle w:val="Normal"/>
              <w:jc w:val="center"/>
              <w:rPr/>
            </w:pPr>
            <w:r>
              <w:rPr/>
              <w:t>Percentile</w:t>
            </w:r>
          </w:p>
        </w:tc>
      </w:tr>
      <w:tr>
        <w:trPr>
          <w:trHeight w:val="107" w:hRule="atLeast"/>
        </w:trPr>
        <w:tc>
          <w:tcPr>
            <w:tcW w:w="4541" w:type="dxa"/>
            <w:tcBorders>
              <w:bottom w:val="single" w:sz="4" w:space="0" w:color="000000"/>
              <w:insideH w:val="single" w:sz="4" w:space="0" w:color="000000"/>
            </w:tcBorders>
            <w:shd w:fill="auto" w:val="clear"/>
          </w:tcPr>
          <w:p>
            <w:pPr>
              <w:pStyle w:val="Normal"/>
              <w:snapToGrid w:val="false"/>
              <w:rPr/>
            </w:pPr>
            <w:r>
              <w:rPr/>
            </w:r>
          </w:p>
        </w:tc>
        <w:tc>
          <w:tcPr>
            <w:tcW w:w="1887" w:type="dxa"/>
            <w:tcBorders>
              <w:top w:val="single" w:sz="4" w:space="0" w:color="000000"/>
              <w:bottom w:val="single" w:sz="4" w:space="0" w:color="000000"/>
              <w:insideH w:val="single" w:sz="4" w:space="0" w:color="000000"/>
            </w:tcBorders>
            <w:shd w:fill="auto" w:val="clear"/>
          </w:tcPr>
          <w:p>
            <w:pPr>
              <w:pStyle w:val="Normal"/>
              <w:jc w:val="center"/>
              <w:rPr/>
            </w:pPr>
            <w:r>
              <w:rPr/>
              <w:t>10</w:t>
            </w:r>
            <w:r>
              <w:rPr>
                <w:vertAlign w:val="superscript"/>
              </w:rPr>
              <w:t>th</w:t>
            </w:r>
          </w:p>
        </w:tc>
        <w:tc>
          <w:tcPr>
            <w:tcW w:w="1887" w:type="dxa"/>
            <w:tcBorders>
              <w:top w:val="single" w:sz="4" w:space="0" w:color="000000"/>
              <w:bottom w:val="single" w:sz="4" w:space="0" w:color="000000"/>
              <w:insideH w:val="single" w:sz="4" w:space="0" w:color="000000"/>
            </w:tcBorders>
            <w:shd w:fill="auto" w:val="clear"/>
          </w:tcPr>
          <w:p>
            <w:pPr>
              <w:pStyle w:val="Normal"/>
              <w:jc w:val="center"/>
              <w:rPr/>
            </w:pPr>
            <w:r>
              <w:rPr/>
              <w:t>50</w:t>
            </w:r>
            <w:r>
              <w:rPr>
                <w:vertAlign w:val="superscript"/>
              </w:rPr>
              <w:t>th</w:t>
            </w:r>
          </w:p>
        </w:tc>
        <w:tc>
          <w:tcPr>
            <w:tcW w:w="1808" w:type="dxa"/>
            <w:tcBorders>
              <w:top w:val="single" w:sz="4" w:space="0" w:color="000000"/>
              <w:bottom w:val="single" w:sz="4" w:space="0" w:color="000000"/>
              <w:insideH w:val="single" w:sz="4" w:space="0" w:color="000000"/>
            </w:tcBorders>
            <w:shd w:fill="auto" w:val="clear"/>
          </w:tcPr>
          <w:p>
            <w:pPr>
              <w:pStyle w:val="Normal"/>
              <w:jc w:val="center"/>
              <w:rPr/>
            </w:pPr>
            <w:r>
              <w:rPr/>
              <w:t>90</w:t>
            </w:r>
            <w:r>
              <w:rPr>
                <w:vertAlign w:val="superscript"/>
              </w:rPr>
              <w:t>th</w:t>
            </w:r>
          </w:p>
        </w:tc>
      </w:tr>
      <w:tr>
        <w:trPr>
          <w:trHeight w:val="70" w:hRule="atLeast"/>
        </w:trPr>
        <w:tc>
          <w:tcPr>
            <w:tcW w:w="4541" w:type="dxa"/>
            <w:tcBorders>
              <w:top w:val="single" w:sz="4" w:space="0" w:color="000000"/>
            </w:tcBorders>
            <w:shd w:fill="auto" w:val="clear"/>
          </w:tcPr>
          <w:p>
            <w:pPr>
              <w:pStyle w:val="Normal"/>
              <w:snapToGrid w:val="false"/>
              <w:rPr>
                <w:sz w:val="12"/>
                <w:szCs w:val="12"/>
              </w:rPr>
            </w:pPr>
            <w:r>
              <w:rPr>
                <w:sz w:val="12"/>
                <w:szCs w:val="12"/>
              </w:rPr>
            </w:r>
          </w:p>
        </w:tc>
        <w:tc>
          <w:tcPr>
            <w:tcW w:w="1887" w:type="dxa"/>
            <w:tcBorders>
              <w:top w:val="single" w:sz="4" w:space="0" w:color="000000"/>
            </w:tcBorders>
            <w:shd w:fill="auto" w:val="clear"/>
          </w:tcPr>
          <w:p>
            <w:pPr>
              <w:pStyle w:val="Normal"/>
              <w:snapToGrid w:val="false"/>
              <w:jc w:val="center"/>
              <w:rPr>
                <w:sz w:val="12"/>
                <w:szCs w:val="12"/>
              </w:rPr>
            </w:pPr>
            <w:r>
              <w:rPr>
                <w:sz w:val="12"/>
                <w:szCs w:val="12"/>
              </w:rPr>
            </w:r>
          </w:p>
        </w:tc>
        <w:tc>
          <w:tcPr>
            <w:tcW w:w="1887" w:type="dxa"/>
            <w:tcBorders>
              <w:top w:val="single" w:sz="4" w:space="0" w:color="000000"/>
            </w:tcBorders>
            <w:shd w:fill="auto" w:val="clear"/>
          </w:tcPr>
          <w:p>
            <w:pPr>
              <w:pStyle w:val="Normal"/>
              <w:snapToGrid w:val="false"/>
              <w:jc w:val="center"/>
              <w:rPr>
                <w:sz w:val="12"/>
                <w:szCs w:val="12"/>
              </w:rPr>
            </w:pPr>
            <w:r>
              <w:rPr>
                <w:sz w:val="12"/>
                <w:szCs w:val="12"/>
              </w:rPr>
            </w:r>
          </w:p>
        </w:tc>
        <w:tc>
          <w:tcPr>
            <w:tcW w:w="1808" w:type="dxa"/>
            <w:tcBorders>
              <w:top w:val="single" w:sz="4" w:space="0" w:color="000000"/>
            </w:tcBorders>
            <w:shd w:fill="auto" w:val="clear"/>
          </w:tcPr>
          <w:p>
            <w:pPr>
              <w:pStyle w:val="Normal"/>
              <w:snapToGrid w:val="false"/>
              <w:jc w:val="center"/>
              <w:rPr>
                <w:sz w:val="12"/>
                <w:szCs w:val="12"/>
              </w:rPr>
            </w:pPr>
            <w:r>
              <w:rPr>
                <w:sz w:val="12"/>
                <w:szCs w:val="12"/>
              </w:rPr>
            </w:r>
          </w:p>
        </w:tc>
      </w:tr>
      <w:tr>
        <w:trPr/>
        <w:tc>
          <w:tcPr>
            <w:tcW w:w="4541" w:type="dxa"/>
            <w:tcBorders/>
            <w:shd w:fill="auto" w:val="clear"/>
          </w:tcPr>
          <w:p>
            <w:pPr>
              <w:pStyle w:val="Normal"/>
              <w:rPr/>
            </w:pPr>
            <w:r>
              <w:rPr/>
              <w:t>Population demographics</w:t>
            </w:r>
          </w:p>
        </w:tc>
        <w:tc>
          <w:tcPr>
            <w:tcW w:w="1887" w:type="dxa"/>
            <w:tcBorders/>
            <w:shd w:fill="auto" w:val="clear"/>
          </w:tcPr>
          <w:p>
            <w:pPr>
              <w:pStyle w:val="Normal"/>
              <w:snapToGrid w:val="false"/>
              <w:jc w:val="center"/>
              <w:rPr/>
            </w:pPr>
            <w:r>
              <w:rPr/>
            </w:r>
          </w:p>
        </w:tc>
        <w:tc>
          <w:tcPr>
            <w:tcW w:w="1887" w:type="dxa"/>
            <w:tcBorders/>
            <w:shd w:fill="auto" w:val="clear"/>
          </w:tcPr>
          <w:p>
            <w:pPr>
              <w:pStyle w:val="Normal"/>
              <w:snapToGrid w:val="false"/>
              <w:jc w:val="center"/>
              <w:rPr/>
            </w:pPr>
            <w:r>
              <w:rPr/>
            </w:r>
          </w:p>
        </w:tc>
        <w:tc>
          <w:tcPr>
            <w:tcW w:w="1808" w:type="dxa"/>
            <w:tcBorders/>
            <w:shd w:fill="auto" w:val="clear"/>
          </w:tcPr>
          <w:p>
            <w:pPr>
              <w:pStyle w:val="Normal"/>
              <w:snapToGrid w:val="false"/>
              <w:jc w:val="center"/>
              <w:rPr/>
            </w:pPr>
            <w:r>
              <w:rPr/>
            </w:r>
          </w:p>
        </w:tc>
      </w:tr>
      <w:tr>
        <w:trPr/>
        <w:tc>
          <w:tcPr>
            <w:tcW w:w="4541" w:type="dxa"/>
            <w:tcBorders/>
            <w:shd w:fill="auto" w:val="clear"/>
          </w:tcPr>
          <w:p>
            <w:pPr>
              <w:pStyle w:val="Normal"/>
              <w:rPr/>
            </w:pPr>
            <w:r>
              <w:rPr/>
              <w:t xml:space="preserve">  </w:t>
            </w:r>
            <w:r>
              <w:rPr/>
              <w:t>Age (mean)</w:t>
            </w:r>
          </w:p>
        </w:tc>
        <w:tc>
          <w:tcPr>
            <w:tcW w:w="1887" w:type="dxa"/>
            <w:tcBorders/>
            <w:shd w:fill="auto" w:val="clear"/>
          </w:tcPr>
          <w:p>
            <w:pPr>
              <w:pStyle w:val="Normal"/>
              <w:jc w:val="center"/>
              <w:rPr/>
            </w:pPr>
            <w:r>
              <w:rPr/>
              <w:t>34</w:t>
            </w:r>
          </w:p>
        </w:tc>
        <w:tc>
          <w:tcPr>
            <w:tcW w:w="1887" w:type="dxa"/>
            <w:tcBorders/>
            <w:shd w:fill="auto" w:val="clear"/>
          </w:tcPr>
          <w:p>
            <w:pPr>
              <w:pStyle w:val="Normal"/>
              <w:jc w:val="center"/>
              <w:rPr/>
            </w:pPr>
            <w:r>
              <w:rPr/>
              <w:t>37</w:t>
            </w:r>
          </w:p>
        </w:tc>
        <w:tc>
          <w:tcPr>
            <w:tcW w:w="1808" w:type="dxa"/>
            <w:tcBorders/>
            <w:shd w:fill="auto" w:val="clear"/>
          </w:tcPr>
          <w:p>
            <w:pPr>
              <w:pStyle w:val="Normal"/>
              <w:jc w:val="center"/>
              <w:rPr/>
            </w:pPr>
            <w:r>
              <w:rPr/>
              <w:t>41</w:t>
            </w:r>
          </w:p>
        </w:tc>
      </w:tr>
      <w:tr>
        <w:trPr/>
        <w:tc>
          <w:tcPr>
            <w:tcW w:w="4541" w:type="dxa"/>
            <w:tcBorders/>
            <w:shd w:fill="auto" w:val="clear"/>
          </w:tcPr>
          <w:p>
            <w:pPr>
              <w:pStyle w:val="Normal"/>
              <w:rPr/>
            </w:pPr>
            <w:r>
              <w:rPr/>
              <w:t xml:space="preserve">  </w:t>
            </w:r>
            <w:r>
              <w:rPr/>
              <w:t>Female, %</w:t>
            </w:r>
          </w:p>
        </w:tc>
        <w:tc>
          <w:tcPr>
            <w:tcW w:w="1887" w:type="dxa"/>
            <w:tcBorders/>
            <w:shd w:fill="auto" w:val="clear"/>
          </w:tcPr>
          <w:p>
            <w:pPr>
              <w:pStyle w:val="Normal"/>
              <w:jc w:val="center"/>
              <w:rPr/>
            </w:pPr>
            <w:r>
              <w:rPr/>
              <w:t>50.6</w:t>
            </w:r>
          </w:p>
        </w:tc>
        <w:tc>
          <w:tcPr>
            <w:tcW w:w="1887" w:type="dxa"/>
            <w:tcBorders/>
            <w:shd w:fill="auto" w:val="clear"/>
          </w:tcPr>
          <w:p>
            <w:pPr>
              <w:pStyle w:val="Normal"/>
              <w:jc w:val="center"/>
              <w:rPr/>
            </w:pPr>
            <w:r>
              <w:rPr/>
              <w:t>51.6</w:t>
            </w:r>
          </w:p>
        </w:tc>
        <w:tc>
          <w:tcPr>
            <w:tcW w:w="1808" w:type="dxa"/>
            <w:tcBorders/>
            <w:shd w:fill="auto" w:val="clear"/>
          </w:tcPr>
          <w:p>
            <w:pPr>
              <w:pStyle w:val="Normal"/>
              <w:jc w:val="center"/>
              <w:rPr/>
            </w:pPr>
            <w:r>
              <w:rPr/>
              <w:t>52.7</w:t>
            </w:r>
          </w:p>
        </w:tc>
      </w:tr>
      <w:tr>
        <w:trPr/>
        <w:tc>
          <w:tcPr>
            <w:tcW w:w="4541" w:type="dxa"/>
            <w:tcBorders/>
            <w:shd w:fill="auto" w:val="clear"/>
          </w:tcPr>
          <w:p>
            <w:pPr>
              <w:pStyle w:val="Normal"/>
              <w:rPr/>
            </w:pPr>
            <w:r>
              <w:rPr/>
              <w:t xml:space="preserve">  </w:t>
            </w:r>
            <w:r>
              <w:rPr/>
              <w:t>Mean household income,</w:t>
            </w:r>
            <w:r>
              <w:rPr>
                <w:vertAlign w:val="superscript"/>
              </w:rPr>
              <w:t xml:space="preserve"> </w:t>
            </w:r>
            <w:r>
              <w:rPr/>
              <w:t>$</w:t>
            </w:r>
          </w:p>
        </w:tc>
        <w:tc>
          <w:tcPr>
            <w:tcW w:w="1887" w:type="dxa"/>
            <w:tcBorders/>
            <w:shd w:fill="auto" w:val="clear"/>
          </w:tcPr>
          <w:p>
            <w:pPr>
              <w:pStyle w:val="Normal"/>
              <w:jc w:val="center"/>
              <w:rPr/>
            </w:pPr>
            <w:r>
              <w:rPr/>
              <w:t>55,886</w:t>
            </w:r>
          </w:p>
        </w:tc>
        <w:tc>
          <w:tcPr>
            <w:tcW w:w="1887" w:type="dxa"/>
            <w:tcBorders/>
            <w:shd w:fill="auto" w:val="clear"/>
          </w:tcPr>
          <w:p>
            <w:pPr>
              <w:pStyle w:val="Normal"/>
              <w:jc w:val="center"/>
              <w:rPr/>
            </w:pPr>
            <w:r>
              <w:rPr/>
              <w:t>67,818</w:t>
            </w:r>
          </w:p>
        </w:tc>
        <w:tc>
          <w:tcPr>
            <w:tcW w:w="1808" w:type="dxa"/>
            <w:tcBorders/>
            <w:shd w:fill="auto" w:val="clear"/>
          </w:tcPr>
          <w:p>
            <w:pPr>
              <w:pStyle w:val="Normal"/>
              <w:jc w:val="center"/>
              <w:rPr/>
            </w:pPr>
            <w:r>
              <w:rPr/>
              <w:t>80,948</w:t>
            </w:r>
          </w:p>
        </w:tc>
      </w:tr>
      <w:tr>
        <w:trPr/>
        <w:tc>
          <w:tcPr>
            <w:tcW w:w="4541" w:type="dxa"/>
            <w:tcBorders/>
            <w:shd w:fill="auto" w:val="clear"/>
          </w:tcPr>
          <w:p>
            <w:pPr>
              <w:pStyle w:val="Normal"/>
              <w:rPr/>
            </w:pPr>
            <w:r>
              <w:rPr/>
              <w:t xml:space="preserve">  </w:t>
            </w:r>
            <w:r>
              <w:rPr/>
              <w:t>RIO, %*</w:t>
            </w:r>
          </w:p>
        </w:tc>
        <w:tc>
          <w:tcPr>
            <w:tcW w:w="1887" w:type="dxa"/>
            <w:tcBorders/>
            <w:shd w:fill="auto" w:val="clear"/>
          </w:tcPr>
          <w:p>
            <w:pPr>
              <w:pStyle w:val="Normal"/>
              <w:snapToGrid w:val="false"/>
              <w:jc w:val="center"/>
              <w:rPr/>
            </w:pPr>
            <w:r>
              <w:rPr/>
            </w:r>
          </w:p>
        </w:tc>
        <w:tc>
          <w:tcPr>
            <w:tcW w:w="1887" w:type="dxa"/>
            <w:tcBorders/>
            <w:shd w:fill="auto" w:val="clear"/>
          </w:tcPr>
          <w:p>
            <w:pPr>
              <w:pStyle w:val="Normal"/>
              <w:snapToGrid w:val="false"/>
              <w:jc w:val="center"/>
              <w:rPr/>
            </w:pPr>
            <w:r>
              <w:rPr/>
            </w:r>
          </w:p>
        </w:tc>
        <w:tc>
          <w:tcPr>
            <w:tcW w:w="1808" w:type="dxa"/>
            <w:tcBorders/>
            <w:shd w:fill="auto" w:val="clear"/>
          </w:tcPr>
          <w:p>
            <w:pPr>
              <w:pStyle w:val="Normal"/>
              <w:snapToGrid w:val="false"/>
              <w:jc w:val="center"/>
              <w:rPr/>
            </w:pPr>
            <w:r>
              <w:rPr/>
            </w:r>
          </w:p>
        </w:tc>
      </w:tr>
      <w:tr>
        <w:trPr/>
        <w:tc>
          <w:tcPr>
            <w:tcW w:w="4541" w:type="dxa"/>
            <w:tcBorders/>
            <w:shd w:fill="auto" w:val="clear"/>
          </w:tcPr>
          <w:p>
            <w:pPr>
              <w:pStyle w:val="Normal"/>
              <w:rPr/>
            </w:pPr>
            <w:r>
              <w:rPr/>
              <w:t xml:space="preserve">    </w:t>
            </w:r>
            <w:r>
              <w:rPr/>
              <w:t xml:space="preserve">0 to 9 (Urban) </w:t>
            </w:r>
          </w:p>
        </w:tc>
        <w:tc>
          <w:tcPr>
            <w:tcW w:w="1887" w:type="dxa"/>
            <w:tcBorders/>
            <w:shd w:fill="auto" w:val="clear"/>
          </w:tcPr>
          <w:p>
            <w:pPr>
              <w:pStyle w:val="Normal"/>
              <w:jc w:val="center"/>
              <w:rPr/>
            </w:pPr>
            <w:r>
              <w:rPr/>
              <w:t>4.3</w:t>
            </w:r>
          </w:p>
        </w:tc>
        <w:tc>
          <w:tcPr>
            <w:tcW w:w="1887" w:type="dxa"/>
            <w:tcBorders/>
            <w:shd w:fill="auto" w:val="clear"/>
          </w:tcPr>
          <w:p>
            <w:pPr>
              <w:pStyle w:val="Normal"/>
              <w:jc w:val="center"/>
              <w:rPr/>
            </w:pPr>
            <w:r>
              <w:rPr/>
              <w:t>90.3</w:t>
            </w:r>
          </w:p>
        </w:tc>
        <w:tc>
          <w:tcPr>
            <w:tcW w:w="1808" w:type="dxa"/>
            <w:tcBorders/>
            <w:shd w:fill="auto" w:val="clear"/>
          </w:tcPr>
          <w:p>
            <w:pPr>
              <w:pStyle w:val="Normal"/>
              <w:jc w:val="center"/>
              <w:rPr/>
            </w:pPr>
            <w:r>
              <w:rPr/>
              <w:t>98.2</w:t>
            </w:r>
          </w:p>
        </w:tc>
      </w:tr>
      <w:tr>
        <w:trPr/>
        <w:tc>
          <w:tcPr>
            <w:tcW w:w="4541" w:type="dxa"/>
            <w:tcBorders/>
            <w:shd w:fill="auto" w:val="clear"/>
          </w:tcPr>
          <w:p>
            <w:pPr>
              <w:pStyle w:val="Normal"/>
              <w:rPr/>
            </w:pPr>
            <w:r>
              <w:rPr/>
              <w:t xml:space="preserve">    </w:t>
            </w:r>
            <w:r>
              <w:rPr/>
              <w:t>10-39 (Sub-urban)</w:t>
            </w:r>
          </w:p>
        </w:tc>
        <w:tc>
          <w:tcPr>
            <w:tcW w:w="1887" w:type="dxa"/>
            <w:tcBorders/>
            <w:shd w:fill="auto" w:val="clear"/>
          </w:tcPr>
          <w:p>
            <w:pPr>
              <w:pStyle w:val="Normal"/>
              <w:jc w:val="center"/>
              <w:rPr/>
            </w:pPr>
            <w:r>
              <w:rPr/>
              <w:t>1.2</w:t>
            </w:r>
          </w:p>
        </w:tc>
        <w:tc>
          <w:tcPr>
            <w:tcW w:w="1887" w:type="dxa"/>
            <w:tcBorders/>
            <w:shd w:fill="auto" w:val="clear"/>
          </w:tcPr>
          <w:p>
            <w:pPr>
              <w:pStyle w:val="Normal"/>
              <w:jc w:val="center"/>
              <w:rPr/>
            </w:pPr>
            <w:r>
              <w:rPr/>
              <w:t>5.3</w:t>
            </w:r>
          </w:p>
        </w:tc>
        <w:tc>
          <w:tcPr>
            <w:tcW w:w="1808" w:type="dxa"/>
            <w:tcBorders/>
            <w:shd w:fill="auto" w:val="clear"/>
          </w:tcPr>
          <w:p>
            <w:pPr>
              <w:pStyle w:val="Normal"/>
              <w:jc w:val="center"/>
              <w:rPr/>
            </w:pPr>
            <w:r>
              <w:rPr/>
              <w:t>50.5</w:t>
            </w:r>
          </w:p>
        </w:tc>
      </w:tr>
      <w:tr>
        <w:trPr/>
        <w:tc>
          <w:tcPr>
            <w:tcW w:w="4541" w:type="dxa"/>
            <w:tcBorders/>
            <w:shd w:fill="auto" w:val="clear"/>
          </w:tcPr>
          <w:p>
            <w:pPr>
              <w:pStyle w:val="Normal"/>
              <w:rPr/>
            </w:pPr>
            <w:r>
              <w:rPr/>
              <w:t xml:space="preserve">    </w:t>
            </w:r>
            <w:r>
              <w:rPr/>
              <w:t>40+ (Rural)</w:t>
            </w:r>
          </w:p>
        </w:tc>
        <w:tc>
          <w:tcPr>
            <w:tcW w:w="1887" w:type="dxa"/>
            <w:tcBorders/>
            <w:shd w:fill="auto" w:val="clear"/>
          </w:tcPr>
          <w:p>
            <w:pPr>
              <w:pStyle w:val="Normal"/>
              <w:jc w:val="center"/>
              <w:rPr/>
            </w:pPr>
            <w:r>
              <w:rPr/>
              <w:t>0.3</w:t>
            </w:r>
          </w:p>
        </w:tc>
        <w:tc>
          <w:tcPr>
            <w:tcW w:w="1887" w:type="dxa"/>
            <w:tcBorders/>
            <w:shd w:fill="auto" w:val="clear"/>
          </w:tcPr>
          <w:p>
            <w:pPr>
              <w:pStyle w:val="Normal"/>
              <w:jc w:val="center"/>
              <w:rPr/>
            </w:pPr>
            <w:r>
              <w:rPr/>
              <w:t>0.7</w:t>
            </w:r>
          </w:p>
        </w:tc>
        <w:tc>
          <w:tcPr>
            <w:tcW w:w="1808" w:type="dxa"/>
            <w:tcBorders/>
            <w:shd w:fill="auto" w:val="clear"/>
          </w:tcPr>
          <w:p>
            <w:pPr>
              <w:pStyle w:val="Normal"/>
              <w:jc w:val="center"/>
              <w:rPr/>
            </w:pPr>
            <w:r>
              <w:rPr/>
              <w:t>24.3</w:t>
            </w:r>
          </w:p>
        </w:tc>
      </w:tr>
      <w:tr>
        <w:trPr/>
        <w:tc>
          <w:tcPr>
            <w:tcW w:w="4541" w:type="dxa"/>
            <w:tcBorders/>
            <w:shd w:fill="auto" w:val="clear"/>
          </w:tcPr>
          <w:p>
            <w:pPr>
              <w:pStyle w:val="Normal"/>
              <w:rPr/>
            </w:pPr>
            <w:r>
              <w:rPr/>
              <w:t>UPC is a PC physician, %</w:t>
            </w:r>
          </w:p>
        </w:tc>
        <w:tc>
          <w:tcPr>
            <w:tcW w:w="1887" w:type="dxa"/>
            <w:tcBorders/>
            <w:shd w:fill="auto" w:val="clear"/>
          </w:tcPr>
          <w:p>
            <w:pPr>
              <w:pStyle w:val="Normal"/>
              <w:jc w:val="center"/>
              <w:rPr/>
            </w:pPr>
            <w:r>
              <w:rPr/>
              <w:t>94.4</w:t>
            </w:r>
          </w:p>
        </w:tc>
        <w:tc>
          <w:tcPr>
            <w:tcW w:w="1887" w:type="dxa"/>
            <w:tcBorders/>
            <w:shd w:fill="auto" w:val="clear"/>
          </w:tcPr>
          <w:p>
            <w:pPr>
              <w:pStyle w:val="Normal"/>
              <w:jc w:val="center"/>
              <w:rPr/>
            </w:pPr>
            <w:r>
              <w:rPr/>
              <w:t>98.4</w:t>
            </w:r>
          </w:p>
        </w:tc>
        <w:tc>
          <w:tcPr>
            <w:tcW w:w="1808" w:type="dxa"/>
            <w:tcBorders/>
            <w:shd w:fill="auto" w:val="clear"/>
          </w:tcPr>
          <w:p>
            <w:pPr>
              <w:pStyle w:val="Normal"/>
              <w:jc w:val="center"/>
              <w:rPr/>
            </w:pPr>
            <w:r>
              <w:rPr/>
              <w:t>99.5</w:t>
            </w:r>
          </w:p>
        </w:tc>
      </w:tr>
      <w:tr>
        <w:trPr/>
        <w:tc>
          <w:tcPr>
            <w:tcW w:w="4541" w:type="dxa"/>
            <w:tcBorders/>
            <w:shd w:fill="auto" w:val="clear"/>
          </w:tcPr>
          <w:p>
            <w:pPr>
              <w:pStyle w:val="Normal"/>
              <w:rPr>
                <w:vertAlign w:val="superscript"/>
              </w:rPr>
            </w:pPr>
            <w:r>
              <w:rPr/>
              <w:t>Patient is rostered to a PC group model, %</w:t>
            </w:r>
            <w:r>
              <w:rPr>
                <w:rStyle w:val="St"/>
                <w:sz w:val="20"/>
                <w:szCs w:val="20"/>
              </w:rPr>
              <w:t>¶</w:t>
            </w:r>
          </w:p>
        </w:tc>
        <w:tc>
          <w:tcPr>
            <w:tcW w:w="1887" w:type="dxa"/>
            <w:tcBorders/>
            <w:shd w:fill="auto" w:val="clear"/>
          </w:tcPr>
          <w:p>
            <w:pPr>
              <w:pStyle w:val="Normal"/>
              <w:jc w:val="center"/>
              <w:rPr/>
            </w:pPr>
            <w:r>
              <w:rPr/>
              <w:t>63.1</w:t>
            </w:r>
          </w:p>
        </w:tc>
        <w:tc>
          <w:tcPr>
            <w:tcW w:w="1887" w:type="dxa"/>
            <w:tcBorders/>
            <w:shd w:fill="auto" w:val="clear"/>
          </w:tcPr>
          <w:p>
            <w:pPr>
              <w:pStyle w:val="Normal"/>
              <w:jc w:val="center"/>
              <w:rPr/>
            </w:pPr>
            <w:r>
              <w:rPr/>
              <w:t>70.1</w:t>
            </w:r>
          </w:p>
        </w:tc>
        <w:tc>
          <w:tcPr>
            <w:tcW w:w="1808" w:type="dxa"/>
            <w:tcBorders/>
            <w:shd w:fill="auto" w:val="clear"/>
          </w:tcPr>
          <w:p>
            <w:pPr>
              <w:pStyle w:val="Normal"/>
              <w:jc w:val="center"/>
              <w:rPr/>
            </w:pPr>
            <w:r>
              <w:rPr/>
              <w:t>79.9</w:t>
            </w:r>
          </w:p>
        </w:tc>
      </w:tr>
      <w:tr>
        <w:trPr/>
        <w:tc>
          <w:tcPr>
            <w:tcW w:w="4541" w:type="dxa"/>
            <w:tcBorders/>
            <w:shd w:fill="auto" w:val="clear"/>
          </w:tcPr>
          <w:p>
            <w:pPr>
              <w:pStyle w:val="Normal"/>
              <w:rPr/>
            </w:pPr>
            <w:r>
              <w:rPr/>
              <w:t>Prevalence of chronic conditions, % †</w:t>
            </w:r>
          </w:p>
        </w:tc>
        <w:tc>
          <w:tcPr>
            <w:tcW w:w="1887" w:type="dxa"/>
            <w:tcBorders/>
            <w:shd w:fill="auto" w:val="clear"/>
          </w:tcPr>
          <w:p>
            <w:pPr>
              <w:pStyle w:val="Normal"/>
              <w:snapToGrid w:val="false"/>
              <w:jc w:val="center"/>
              <w:rPr/>
            </w:pPr>
            <w:r>
              <w:rPr/>
            </w:r>
          </w:p>
        </w:tc>
        <w:tc>
          <w:tcPr>
            <w:tcW w:w="1887" w:type="dxa"/>
            <w:tcBorders/>
            <w:shd w:fill="auto" w:val="clear"/>
          </w:tcPr>
          <w:p>
            <w:pPr>
              <w:pStyle w:val="Normal"/>
              <w:snapToGrid w:val="false"/>
              <w:jc w:val="center"/>
              <w:rPr/>
            </w:pPr>
            <w:r>
              <w:rPr/>
            </w:r>
          </w:p>
        </w:tc>
        <w:tc>
          <w:tcPr>
            <w:tcW w:w="1808" w:type="dxa"/>
            <w:tcBorders/>
            <w:shd w:fill="auto" w:val="clear"/>
          </w:tcPr>
          <w:p>
            <w:pPr>
              <w:pStyle w:val="Normal"/>
              <w:snapToGrid w:val="false"/>
              <w:jc w:val="center"/>
              <w:rPr/>
            </w:pPr>
            <w:r>
              <w:rPr/>
            </w:r>
          </w:p>
        </w:tc>
      </w:tr>
      <w:tr>
        <w:trPr/>
        <w:tc>
          <w:tcPr>
            <w:tcW w:w="4541" w:type="dxa"/>
            <w:tcBorders/>
            <w:shd w:fill="auto" w:val="clear"/>
          </w:tcPr>
          <w:p>
            <w:pPr>
              <w:pStyle w:val="Normal"/>
              <w:rPr/>
            </w:pPr>
            <w:r>
              <w:rPr/>
              <w:t xml:space="preserve">  </w:t>
            </w:r>
            <w:r>
              <w:rPr/>
              <w:t>None</w:t>
            </w:r>
          </w:p>
        </w:tc>
        <w:tc>
          <w:tcPr>
            <w:tcW w:w="1887" w:type="dxa"/>
            <w:tcBorders/>
            <w:shd w:fill="auto" w:val="clear"/>
          </w:tcPr>
          <w:p>
            <w:pPr>
              <w:pStyle w:val="Normal"/>
              <w:jc w:val="center"/>
              <w:rPr/>
            </w:pPr>
            <w:r>
              <w:rPr/>
              <w:t>52.6</w:t>
            </w:r>
          </w:p>
        </w:tc>
        <w:tc>
          <w:tcPr>
            <w:tcW w:w="1887" w:type="dxa"/>
            <w:tcBorders/>
            <w:shd w:fill="auto" w:val="clear"/>
          </w:tcPr>
          <w:p>
            <w:pPr>
              <w:pStyle w:val="Normal"/>
              <w:jc w:val="center"/>
              <w:rPr/>
            </w:pPr>
            <w:r>
              <w:rPr/>
              <w:t>60.4</w:t>
            </w:r>
          </w:p>
        </w:tc>
        <w:tc>
          <w:tcPr>
            <w:tcW w:w="1808" w:type="dxa"/>
            <w:tcBorders/>
            <w:shd w:fill="auto" w:val="clear"/>
          </w:tcPr>
          <w:p>
            <w:pPr>
              <w:pStyle w:val="Normal"/>
              <w:jc w:val="center"/>
              <w:rPr/>
            </w:pPr>
            <w:r>
              <w:rPr/>
              <w:t>64.5</w:t>
            </w:r>
          </w:p>
        </w:tc>
      </w:tr>
      <w:tr>
        <w:trPr/>
        <w:tc>
          <w:tcPr>
            <w:tcW w:w="4541" w:type="dxa"/>
            <w:tcBorders/>
            <w:shd w:fill="auto" w:val="clear"/>
          </w:tcPr>
          <w:p>
            <w:pPr>
              <w:pStyle w:val="Normal"/>
              <w:rPr/>
            </w:pPr>
            <w:r>
              <w:rPr/>
              <w:t xml:space="preserve">  </w:t>
            </w:r>
            <w:r>
              <w:rPr/>
              <w:t>Diabetes mellitus</w:t>
            </w:r>
          </w:p>
        </w:tc>
        <w:tc>
          <w:tcPr>
            <w:tcW w:w="1887" w:type="dxa"/>
            <w:tcBorders/>
            <w:shd w:fill="auto" w:val="clear"/>
          </w:tcPr>
          <w:p>
            <w:pPr>
              <w:pStyle w:val="Normal"/>
              <w:jc w:val="center"/>
              <w:rPr/>
            </w:pPr>
            <w:r>
              <w:rPr/>
              <w:t>6.1</w:t>
            </w:r>
          </w:p>
        </w:tc>
        <w:tc>
          <w:tcPr>
            <w:tcW w:w="1887" w:type="dxa"/>
            <w:tcBorders/>
            <w:shd w:fill="auto" w:val="clear"/>
          </w:tcPr>
          <w:p>
            <w:pPr>
              <w:pStyle w:val="Normal"/>
              <w:jc w:val="center"/>
              <w:rPr/>
            </w:pPr>
            <w:r>
              <w:rPr/>
              <w:t>7.8</w:t>
            </w:r>
          </w:p>
        </w:tc>
        <w:tc>
          <w:tcPr>
            <w:tcW w:w="1808" w:type="dxa"/>
            <w:tcBorders/>
            <w:shd w:fill="auto" w:val="clear"/>
          </w:tcPr>
          <w:p>
            <w:pPr>
              <w:pStyle w:val="Normal"/>
              <w:jc w:val="center"/>
              <w:rPr/>
            </w:pPr>
            <w:r>
              <w:rPr/>
              <w:t>9.1</w:t>
            </w:r>
          </w:p>
        </w:tc>
      </w:tr>
      <w:tr>
        <w:trPr/>
        <w:tc>
          <w:tcPr>
            <w:tcW w:w="4541" w:type="dxa"/>
            <w:tcBorders/>
            <w:shd w:fill="auto" w:val="clear"/>
          </w:tcPr>
          <w:p>
            <w:pPr>
              <w:pStyle w:val="Normal"/>
              <w:rPr/>
            </w:pPr>
            <w:r>
              <w:rPr/>
              <w:t xml:space="preserve">  </w:t>
            </w:r>
            <w:r>
              <w:rPr/>
              <w:t>Acute myocardial infarction</w:t>
            </w:r>
          </w:p>
        </w:tc>
        <w:tc>
          <w:tcPr>
            <w:tcW w:w="1887" w:type="dxa"/>
            <w:tcBorders/>
            <w:shd w:fill="auto" w:val="clear"/>
          </w:tcPr>
          <w:p>
            <w:pPr>
              <w:pStyle w:val="Normal"/>
              <w:jc w:val="center"/>
              <w:rPr/>
            </w:pPr>
            <w:r>
              <w:rPr/>
              <w:t>0.9</w:t>
            </w:r>
          </w:p>
        </w:tc>
        <w:tc>
          <w:tcPr>
            <w:tcW w:w="1887" w:type="dxa"/>
            <w:tcBorders/>
            <w:shd w:fill="auto" w:val="clear"/>
          </w:tcPr>
          <w:p>
            <w:pPr>
              <w:pStyle w:val="Normal"/>
              <w:jc w:val="center"/>
              <w:rPr/>
            </w:pPr>
            <w:r>
              <w:rPr/>
              <w:t>1.5</w:t>
            </w:r>
          </w:p>
        </w:tc>
        <w:tc>
          <w:tcPr>
            <w:tcW w:w="1808" w:type="dxa"/>
            <w:tcBorders/>
            <w:shd w:fill="auto" w:val="clear"/>
          </w:tcPr>
          <w:p>
            <w:pPr>
              <w:pStyle w:val="Normal"/>
              <w:jc w:val="center"/>
              <w:rPr/>
            </w:pPr>
            <w:r>
              <w:rPr/>
              <w:t>2.2</w:t>
            </w:r>
          </w:p>
        </w:tc>
      </w:tr>
      <w:tr>
        <w:trPr/>
        <w:tc>
          <w:tcPr>
            <w:tcW w:w="4541" w:type="dxa"/>
            <w:tcBorders/>
            <w:shd w:fill="auto" w:val="clear"/>
          </w:tcPr>
          <w:p>
            <w:pPr>
              <w:pStyle w:val="Normal"/>
              <w:rPr/>
            </w:pPr>
            <w:r>
              <w:rPr/>
              <w:t xml:space="preserve">  </w:t>
            </w:r>
            <w:r>
              <w:rPr/>
              <w:t>Congestive heart failure</w:t>
            </w:r>
          </w:p>
        </w:tc>
        <w:tc>
          <w:tcPr>
            <w:tcW w:w="1887" w:type="dxa"/>
            <w:tcBorders/>
            <w:shd w:fill="auto" w:val="clear"/>
          </w:tcPr>
          <w:p>
            <w:pPr>
              <w:pStyle w:val="Normal"/>
              <w:jc w:val="center"/>
              <w:rPr/>
            </w:pPr>
            <w:r>
              <w:rPr/>
              <w:t>2.4</w:t>
            </w:r>
          </w:p>
        </w:tc>
        <w:tc>
          <w:tcPr>
            <w:tcW w:w="1887" w:type="dxa"/>
            <w:tcBorders/>
            <w:shd w:fill="auto" w:val="clear"/>
          </w:tcPr>
          <w:p>
            <w:pPr>
              <w:pStyle w:val="Normal"/>
              <w:jc w:val="center"/>
              <w:rPr/>
            </w:pPr>
            <w:r>
              <w:rPr/>
              <w:t>3.4</w:t>
            </w:r>
          </w:p>
        </w:tc>
        <w:tc>
          <w:tcPr>
            <w:tcW w:w="1808" w:type="dxa"/>
            <w:tcBorders/>
            <w:shd w:fill="auto" w:val="clear"/>
          </w:tcPr>
          <w:p>
            <w:pPr>
              <w:pStyle w:val="Normal"/>
              <w:jc w:val="center"/>
              <w:rPr/>
            </w:pPr>
            <w:r>
              <w:rPr/>
              <w:t>4.6</w:t>
            </w:r>
          </w:p>
        </w:tc>
      </w:tr>
      <w:tr>
        <w:trPr/>
        <w:tc>
          <w:tcPr>
            <w:tcW w:w="4541" w:type="dxa"/>
            <w:tcBorders/>
            <w:shd w:fill="auto" w:val="clear"/>
          </w:tcPr>
          <w:p>
            <w:pPr>
              <w:pStyle w:val="Normal"/>
              <w:rPr/>
            </w:pPr>
            <w:r>
              <w:rPr/>
              <w:t xml:space="preserve">  </w:t>
            </w:r>
            <w:r>
              <w:rPr/>
              <w:t>Chronic obstructive pulmonary disease</w:t>
            </w:r>
          </w:p>
        </w:tc>
        <w:tc>
          <w:tcPr>
            <w:tcW w:w="1887" w:type="dxa"/>
            <w:tcBorders/>
            <w:shd w:fill="auto" w:val="clear"/>
          </w:tcPr>
          <w:p>
            <w:pPr>
              <w:pStyle w:val="Normal"/>
              <w:jc w:val="center"/>
              <w:rPr/>
            </w:pPr>
            <w:r>
              <w:rPr/>
              <w:t>6.6</w:t>
            </w:r>
          </w:p>
        </w:tc>
        <w:tc>
          <w:tcPr>
            <w:tcW w:w="1887" w:type="dxa"/>
            <w:tcBorders/>
            <w:shd w:fill="auto" w:val="clear"/>
          </w:tcPr>
          <w:p>
            <w:pPr>
              <w:pStyle w:val="Normal"/>
              <w:jc w:val="center"/>
              <w:rPr/>
            </w:pPr>
            <w:r>
              <w:rPr/>
              <w:t>10.3</w:t>
            </w:r>
          </w:p>
        </w:tc>
        <w:tc>
          <w:tcPr>
            <w:tcW w:w="1808" w:type="dxa"/>
            <w:tcBorders/>
            <w:shd w:fill="auto" w:val="clear"/>
          </w:tcPr>
          <w:p>
            <w:pPr>
              <w:pStyle w:val="Normal"/>
              <w:jc w:val="center"/>
              <w:rPr/>
            </w:pPr>
            <w:r>
              <w:rPr/>
              <w:t>15.6</w:t>
            </w:r>
          </w:p>
        </w:tc>
      </w:tr>
      <w:tr>
        <w:trPr/>
        <w:tc>
          <w:tcPr>
            <w:tcW w:w="4541" w:type="dxa"/>
            <w:tcBorders/>
            <w:shd w:fill="auto" w:val="clear"/>
          </w:tcPr>
          <w:p>
            <w:pPr>
              <w:pStyle w:val="Normal"/>
              <w:rPr/>
            </w:pPr>
            <w:r>
              <w:rPr/>
              <w:t xml:space="preserve">  </w:t>
            </w:r>
            <w:r>
              <w:rPr/>
              <w:t>Asthma</w:t>
            </w:r>
          </w:p>
        </w:tc>
        <w:tc>
          <w:tcPr>
            <w:tcW w:w="1887" w:type="dxa"/>
            <w:tcBorders/>
            <w:shd w:fill="auto" w:val="clear"/>
          </w:tcPr>
          <w:p>
            <w:pPr>
              <w:pStyle w:val="Normal"/>
              <w:jc w:val="center"/>
              <w:rPr/>
            </w:pPr>
            <w:r>
              <w:rPr/>
              <w:t>11.3</w:t>
            </w:r>
          </w:p>
        </w:tc>
        <w:tc>
          <w:tcPr>
            <w:tcW w:w="1887" w:type="dxa"/>
            <w:tcBorders/>
            <w:shd w:fill="auto" w:val="clear"/>
          </w:tcPr>
          <w:p>
            <w:pPr>
              <w:pStyle w:val="Normal"/>
              <w:jc w:val="center"/>
              <w:rPr/>
            </w:pPr>
            <w:r>
              <w:rPr/>
              <w:t>13.4</w:t>
            </w:r>
          </w:p>
        </w:tc>
        <w:tc>
          <w:tcPr>
            <w:tcW w:w="1808" w:type="dxa"/>
            <w:tcBorders/>
            <w:shd w:fill="auto" w:val="clear"/>
          </w:tcPr>
          <w:p>
            <w:pPr>
              <w:pStyle w:val="Normal"/>
              <w:jc w:val="center"/>
              <w:rPr/>
            </w:pPr>
            <w:r>
              <w:rPr/>
              <w:t>16.4</w:t>
            </w:r>
          </w:p>
        </w:tc>
      </w:tr>
      <w:tr>
        <w:trPr/>
        <w:tc>
          <w:tcPr>
            <w:tcW w:w="4541" w:type="dxa"/>
            <w:tcBorders/>
            <w:shd w:fill="auto" w:val="clear"/>
          </w:tcPr>
          <w:p>
            <w:pPr>
              <w:pStyle w:val="Normal"/>
              <w:rPr/>
            </w:pPr>
            <w:r>
              <w:rPr/>
              <w:t xml:space="preserve">  </w:t>
            </w:r>
            <w:r>
              <w:rPr/>
              <w:t>Hypertension</w:t>
            </w:r>
          </w:p>
        </w:tc>
        <w:tc>
          <w:tcPr>
            <w:tcW w:w="1887" w:type="dxa"/>
            <w:tcBorders/>
            <w:shd w:fill="auto" w:val="clear"/>
          </w:tcPr>
          <w:p>
            <w:pPr>
              <w:pStyle w:val="Normal"/>
              <w:jc w:val="center"/>
              <w:rPr/>
            </w:pPr>
            <w:r>
              <w:rPr/>
              <w:t>21.8</w:t>
            </w:r>
          </w:p>
        </w:tc>
        <w:tc>
          <w:tcPr>
            <w:tcW w:w="1887" w:type="dxa"/>
            <w:tcBorders/>
            <w:shd w:fill="auto" w:val="clear"/>
          </w:tcPr>
          <w:p>
            <w:pPr>
              <w:pStyle w:val="Normal"/>
              <w:jc w:val="center"/>
              <w:rPr/>
            </w:pPr>
            <w:r>
              <w:rPr/>
              <w:t>25.4</w:t>
            </w:r>
          </w:p>
        </w:tc>
        <w:tc>
          <w:tcPr>
            <w:tcW w:w="1808" w:type="dxa"/>
            <w:tcBorders/>
            <w:shd w:fill="auto" w:val="clear"/>
          </w:tcPr>
          <w:p>
            <w:pPr>
              <w:pStyle w:val="Normal"/>
              <w:jc w:val="center"/>
              <w:rPr/>
            </w:pPr>
            <w:r>
              <w:rPr/>
              <w:t>31.6</w:t>
            </w:r>
          </w:p>
        </w:tc>
      </w:tr>
      <w:tr>
        <w:trPr/>
        <w:tc>
          <w:tcPr>
            <w:tcW w:w="4541" w:type="dxa"/>
            <w:tcBorders/>
            <w:shd w:fill="auto" w:val="clear"/>
          </w:tcPr>
          <w:p>
            <w:pPr>
              <w:pStyle w:val="Normal"/>
              <w:rPr/>
            </w:pPr>
            <w:r>
              <w:rPr/>
              <w:t xml:space="preserve">  </w:t>
            </w:r>
            <w:r>
              <w:rPr/>
              <w:t>Cancer</w:t>
            </w:r>
          </w:p>
        </w:tc>
        <w:tc>
          <w:tcPr>
            <w:tcW w:w="1887" w:type="dxa"/>
            <w:tcBorders/>
            <w:shd w:fill="auto" w:val="clear"/>
          </w:tcPr>
          <w:p>
            <w:pPr>
              <w:pStyle w:val="Normal"/>
              <w:jc w:val="center"/>
              <w:rPr/>
            </w:pPr>
            <w:r>
              <w:rPr/>
              <w:t>2.3</w:t>
            </w:r>
          </w:p>
        </w:tc>
        <w:tc>
          <w:tcPr>
            <w:tcW w:w="1887" w:type="dxa"/>
            <w:tcBorders/>
            <w:shd w:fill="auto" w:val="clear"/>
          </w:tcPr>
          <w:p>
            <w:pPr>
              <w:pStyle w:val="Normal"/>
              <w:jc w:val="center"/>
              <w:rPr/>
            </w:pPr>
            <w:r>
              <w:rPr/>
              <w:t>3.4</w:t>
            </w:r>
          </w:p>
        </w:tc>
        <w:tc>
          <w:tcPr>
            <w:tcW w:w="1808" w:type="dxa"/>
            <w:tcBorders/>
            <w:shd w:fill="auto" w:val="clear"/>
          </w:tcPr>
          <w:p>
            <w:pPr>
              <w:pStyle w:val="Normal"/>
              <w:jc w:val="center"/>
              <w:rPr/>
            </w:pPr>
            <w:r>
              <w:rPr/>
              <w:t>4.5</w:t>
            </w:r>
          </w:p>
        </w:tc>
      </w:tr>
      <w:tr>
        <w:trPr/>
        <w:tc>
          <w:tcPr>
            <w:tcW w:w="4541" w:type="dxa"/>
            <w:tcBorders/>
            <w:shd w:fill="auto" w:val="clear"/>
          </w:tcPr>
          <w:p>
            <w:pPr>
              <w:pStyle w:val="Normal"/>
              <w:rPr/>
            </w:pPr>
            <w:r>
              <w:rPr/>
              <w:t xml:space="preserve">  </w:t>
            </w:r>
            <w:r>
              <w:rPr/>
              <w:t>3 or more chronic conditions</w:t>
            </w:r>
          </w:p>
        </w:tc>
        <w:tc>
          <w:tcPr>
            <w:tcW w:w="1887" w:type="dxa"/>
            <w:tcBorders/>
            <w:shd w:fill="auto" w:val="clear"/>
          </w:tcPr>
          <w:p>
            <w:pPr>
              <w:pStyle w:val="Normal"/>
              <w:jc w:val="center"/>
              <w:rPr/>
            </w:pPr>
            <w:r>
              <w:rPr/>
              <w:t>3.5</w:t>
            </w:r>
          </w:p>
        </w:tc>
        <w:tc>
          <w:tcPr>
            <w:tcW w:w="1887" w:type="dxa"/>
            <w:tcBorders/>
            <w:shd w:fill="auto" w:val="clear"/>
          </w:tcPr>
          <w:p>
            <w:pPr>
              <w:pStyle w:val="Normal"/>
              <w:jc w:val="center"/>
              <w:rPr/>
            </w:pPr>
            <w:r>
              <w:rPr/>
              <w:t>4.9</w:t>
            </w:r>
          </w:p>
        </w:tc>
        <w:tc>
          <w:tcPr>
            <w:tcW w:w="1808" w:type="dxa"/>
            <w:tcBorders/>
            <w:shd w:fill="auto" w:val="clear"/>
          </w:tcPr>
          <w:p>
            <w:pPr>
              <w:pStyle w:val="Normal"/>
              <w:jc w:val="center"/>
              <w:rPr/>
            </w:pPr>
            <w:r>
              <w:rPr/>
              <w:t>7.2</w:t>
            </w:r>
          </w:p>
        </w:tc>
      </w:tr>
      <w:tr>
        <w:trPr/>
        <w:tc>
          <w:tcPr>
            <w:tcW w:w="4541" w:type="dxa"/>
            <w:tcBorders/>
            <w:shd w:fill="auto" w:val="clear"/>
          </w:tcPr>
          <w:p>
            <w:pPr>
              <w:pStyle w:val="Normal"/>
              <w:rPr/>
            </w:pPr>
            <w:r>
              <w:rPr/>
              <w:t>Pre-term babies (among ≤5 years of age), %</w:t>
            </w:r>
          </w:p>
        </w:tc>
        <w:tc>
          <w:tcPr>
            <w:tcW w:w="1887" w:type="dxa"/>
            <w:tcBorders/>
            <w:shd w:fill="auto" w:val="clear"/>
          </w:tcPr>
          <w:p>
            <w:pPr>
              <w:pStyle w:val="Normal"/>
              <w:jc w:val="center"/>
              <w:rPr/>
            </w:pPr>
            <w:r>
              <w:rPr/>
              <w:t>5.2</w:t>
            </w:r>
          </w:p>
        </w:tc>
        <w:tc>
          <w:tcPr>
            <w:tcW w:w="1887" w:type="dxa"/>
            <w:tcBorders/>
            <w:shd w:fill="auto" w:val="clear"/>
          </w:tcPr>
          <w:p>
            <w:pPr>
              <w:pStyle w:val="Normal"/>
              <w:jc w:val="center"/>
              <w:rPr/>
            </w:pPr>
            <w:r>
              <w:rPr/>
              <w:t>6.1</w:t>
            </w:r>
          </w:p>
        </w:tc>
        <w:tc>
          <w:tcPr>
            <w:tcW w:w="1808" w:type="dxa"/>
            <w:tcBorders/>
            <w:shd w:fill="auto" w:val="clear"/>
          </w:tcPr>
          <w:p>
            <w:pPr>
              <w:pStyle w:val="Normal"/>
              <w:jc w:val="center"/>
              <w:rPr/>
            </w:pPr>
            <w:r>
              <w:rPr/>
              <w:t>7.2</w:t>
            </w:r>
          </w:p>
        </w:tc>
      </w:tr>
      <w:tr>
        <w:trPr/>
        <w:tc>
          <w:tcPr>
            <w:tcW w:w="4541" w:type="dxa"/>
            <w:tcBorders/>
            <w:shd w:fill="auto" w:val="clear"/>
          </w:tcPr>
          <w:p>
            <w:pPr>
              <w:pStyle w:val="Normal"/>
              <w:rPr/>
            </w:pPr>
            <w:r>
              <w:rPr/>
              <w:t xml:space="preserve">Charlson comorbidity score 3+, % </w:t>
            </w:r>
            <w:r>
              <w:rPr>
                <w:rStyle w:val="St1"/>
                <w:rFonts w:cs="Arial" w:ascii="Arial" w:hAnsi="Arial"/>
                <w:color w:val="000000"/>
                <w:sz w:val="20"/>
                <w:szCs w:val="20"/>
                <w:lang w:val="en-CA"/>
              </w:rPr>
              <w:t>§</w:t>
            </w:r>
          </w:p>
        </w:tc>
        <w:tc>
          <w:tcPr>
            <w:tcW w:w="1887" w:type="dxa"/>
            <w:tcBorders/>
            <w:shd w:fill="auto" w:val="clear"/>
          </w:tcPr>
          <w:p>
            <w:pPr>
              <w:pStyle w:val="Normal"/>
              <w:jc w:val="center"/>
              <w:rPr/>
            </w:pPr>
            <w:r>
              <w:rPr/>
              <w:t>6.0</w:t>
            </w:r>
          </w:p>
        </w:tc>
        <w:tc>
          <w:tcPr>
            <w:tcW w:w="1887" w:type="dxa"/>
            <w:tcBorders/>
            <w:shd w:fill="auto" w:val="clear"/>
          </w:tcPr>
          <w:p>
            <w:pPr>
              <w:pStyle w:val="Normal"/>
              <w:jc w:val="center"/>
              <w:rPr/>
            </w:pPr>
            <w:r>
              <w:rPr/>
              <w:t>8.1</w:t>
            </w:r>
          </w:p>
        </w:tc>
        <w:tc>
          <w:tcPr>
            <w:tcW w:w="1808" w:type="dxa"/>
            <w:tcBorders/>
            <w:shd w:fill="auto" w:val="clear"/>
          </w:tcPr>
          <w:p>
            <w:pPr>
              <w:pStyle w:val="Normal"/>
              <w:jc w:val="center"/>
              <w:rPr/>
            </w:pPr>
            <w:r>
              <w:rPr/>
              <w:t>10.5</w:t>
            </w:r>
          </w:p>
        </w:tc>
      </w:tr>
      <w:tr>
        <w:trPr>
          <w:trHeight w:val="87" w:hRule="atLeast"/>
        </w:trPr>
        <w:tc>
          <w:tcPr>
            <w:tcW w:w="4541" w:type="dxa"/>
            <w:tcBorders>
              <w:bottom w:val="single" w:sz="4" w:space="0" w:color="000000"/>
              <w:insideH w:val="single" w:sz="4" w:space="0" w:color="000000"/>
            </w:tcBorders>
            <w:shd w:fill="auto" w:val="clear"/>
          </w:tcPr>
          <w:p>
            <w:pPr>
              <w:pStyle w:val="Normal"/>
              <w:snapToGrid w:val="false"/>
              <w:rPr>
                <w:sz w:val="12"/>
                <w:szCs w:val="12"/>
              </w:rPr>
            </w:pPr>
            <w:r>
              <w:rPr>
                <w:sz w:val="12"/>
                <w:szCs w:val="12"/>
              </w:rPr>
            </w:r>
          </w:p>
        </w:tc>
        <w:tc>
          <w:tcPr>
            <w:tcW w:w="1887" w:type="dxa"/>
            <w:tcBorders>
              <w:bottom w:val="single" w:sz="4" w:space="0" w:color="000000"/>
              <w:insideH w:val="single" w:sz="4" w:space="0" w:color="000000"/>
            </w:tcBorders>
            <w:shd w:fill="auto" w:val="clear"/>
          </w:tcPr>
          <w:p>
            <w:pPr>
              <w:pStyle w:val="Normal"/>
              <w:snapToGrid w:val="false"/>
              <w:jc w:val="center"/>
              <w:rPr>
                <w:sz w:val="12"/>
                <w:szCs w:val="12"/>
              </w:rPr>
            </w:pPr>
            <w:r>
              <w:rPr>
                <w:sz w:val="12"/>
                <w:szCs w:val="12"/>
              </w:rPr>
            </w:r>
          </w:p>
        </w:tc>
        <w:tc>
          <w:tcPr>
            <w:tcW w:w="1887" w:type="dxa"/>
            <w:tcBorders>
              <w:bottom w:val="single" w:sz="4" w:space="0" w:color="000000"/>
              <w:insideH w:val="single" w:sz="4" w:space="0" w:color="000000"/>
            </w:tcBorders>
            <w:shd w:fill="auto" w:val="clear"/>
          </w:tcPr>
          <w:p>
            <w:pPr>
              <w:pStyle w:val="Normal"/>
              <w:snapToGrid w:val="false"/>
              <w:jc w:val="center"/>
              <w:rPr>
                <w:sz w:val="12"/>
                <w:szCs w:val="12"/>
              </w:rPr>
            </w:pPr>
            <w:r>
              <w:rPr>
                <w:sz w:val="12"/>
                <w:szCs w:val="12"/>
              </w:rPr>
            </w:r>
          </w:p>
        </w:tc>
        <w:tc>
          <w:tcPr>
            <w:tcW w:w="1808" w:type="dxa"/>
            <w:tcBorders>
              <w:bottom w:val="single" w:sz="4" w:space="0" w:color="000000"/>
              <w:insideH w:val="single" w:sz="4" w:space="0" w:color="000000"/>
            </w:tcBorders>
            <w:shd w:fill="auto" w:val="clear"/>
          </w:tcPr>
          <w:p>
            <w:pPr>
              <w:pStyle w:val="Normal"/>
              <w:snapToGrid w:val="false"/>
              <w:jc w:val="center"/>
              <w:rPr>
                <w:sz w:val="12"/>
                <w:szCs w:val="12"/>
              </w:rPr>
            </w:pPr>
            <w:r>
              <w:rPr>
                <w:sz w:val="12"/>
                <w:szCs w:val="12"/>
              </w:rPr>
            </w:r>
          </w:p>
        </w:tc>
      </w:tr>
      <w:tr>
        <w:trPr>
          <w:trHeight w:val="129" w:hRule="atLeast"/>
        </w:trPr>
        <w:tc>
          <w:tcPr>
            <w:tcW w:w="10123" w:type="dxa"/>
            <w:gridSpan w:val="4"/>
            <w:tcBorders>
              <w:top w:val="single" w:sz="4" w:space="0" w:color="000000"/>
              <w:bottom w:val="single" w:sz="4" w:space="0" w:color="000000"/>
              <w:insideH w:val="single" w:sz="4" w:space="0" w:color="000000"/>
            </w:tcBorders>
            <w:shd w:fill="auto" w:val="clear"/>
          </w:tcPr>
          <w:p>
            <w:pPr>
              <w:pStyle w:val="Normal"/>
              <w:rPr>
                <w:sz w:val="20"/>
                <w:szCs w:val="20"/>
              </w:rPr>
            </w:pPr>
            <w:r>
              <w:rPr>
                <w:sz w:val="20"/>
                <w:szCs w:val="20"/>
              </w:rPr>
              <w:t>* Ontario rurality index.</w:t>
            </w:r>
          </w:p>
          <w:p>
            <w:pPr>
              <w:pStyle w:val="Normal"/>
              <w:rPr>
                <w:sz w:val="20"/>
                <w:szCs w:val="20"/>
              </w:rPr>
            </w:pPr>
            <w:r>
              <w:rPr>
                <w:sz w:val="20"/>
                <w:szCs w:val="20"/>
              </w:rPr>
              <w:t>¶ Rostered as of midpoint, October 1, 2009.</w:t>
            </w:r>
          </w:p>
          <w:p>
            <w:pPr>
              <w:pStyle w:val="Normal"/>
              <w:rPr>
                <w:sz w:val="20"/>
                <w:szCs w:val="20"/>
              </w:rPr>
            </w:pPr>
            <w:r>
              <w:rPr>
                <w:sz w:val="20"/>
                <w:szCs w:val="20"/>
              </w:rPr>
              <w:t xml:space="preserve">† </w:t>
            </w:r>
            <w:r>
              <w:rPr>
                <w:sz w:val="20"/>
                <w:szCs w:val="20"/>
              </w:rPr>
              <w:t>For diabetes, asthma and cancer, based on population of all ages; for AMI and hypertension, based on population 20+ years; for COPD and CHF based on population 40+ years.</w:t>
            </w:r>
          </w:p>
          <w:p>
            <w:pPr>
              <w:pStyle w:val="Normal"/>
              <w:rPr>
                <w:sz w:val="20"/>
                <w:szCs w:val="20"/>
              </w:rPr>
            </w:pPr>
            <w:r>
              <w:rPr>
                <w:rStyle w:val="St1"/>
                <w:rFonts w:cs="Arial"/>
                <w:color w:val="000000"/>
                <w:sz w:val="20"/>
                <w:lang w:val="en-CA"/>
              </w:rPr>
              <w:t>§</w:t>
            </w:r>
            <w:r>
              <w:rPr>
                <w:sz w:val="20"/>
                <w:szCs w:val="20"/>
              </w:rPr>
              <w:t>Among those with hospitalization.</w:t>
            </w:r>
          </w:p>
        </w:tc>
      </w:tr>
    </w:tbl>
    <w:p>
      <w:pPr>
        <w:pStyle w:val="Normal"/>
        <w:spacing w:lineRule="auto" w:line="276"/>
        <w:rPr/>
      </w:pPr>
      <w:r>
        <w:rPr/>
        <w:t>Table 4: Network Health care Resource Supply</w:t>
      </w:r>
    </w:p>
    <w:p>
      <w:pPr>
        <w:pStyle w:val="Normal"/>
        <w:rPr/>
      </w:pPr>
      <w:r>
        <w:rPr/>
      </w:r>
    </w:p>
    <w:tbl>
      <w:tblPr>
        <w:tblW w:w="9583" w:type="dxa"/>
        <w:jc w:val="left"/>
        <w:tblInd w:w="0" w:type="dxa"/>
        <w:tblBorders/>
        <w:tblCellMar>
          <w:top w:w="0" w:type="dxa"/>
          <w:left w:w="43" w:type="dxa"/>
          <w:bottom w:w="0" w:type="dxa"/>
          <w:right w:w="43" w:type="dxa"/>
        </w:tblCellMar>
      </w:tblPr>
      <w:tblGrid>
        <w:gridCol w:w="4993"/>
        <w:gridCol w:w="1800"/>
        <w:gridCol w:w="1844"/>
        <w:gridCol w:w="946"/>
      </w:tblGrid>
      <w:tr>
        <w:trPr/>
        <w:tc>
          <w:tcPr>
            <w:tcW w:w="4993" w:type="dxa"/>
            <w:tcBorders/>
            <w:shd w:fill="auto" w:val="clear"/>
          </w:tcPr>
          <w:p>
            <w:pPr>
              <w:pStyle w:val="Normal"/>
              <w:snapToGrid w:val="false"/>
              <w:rPr/>
            </w:pPr>
            <w:r>
              <w:rPr/>
            </w:r>
          </w:p>
        </w:tc>
        <w:tc>
          <w:tcPr>
            <w:tcW w:w="4590" w:type="dxa"/>
            <w:gridSpan w:val="3"/>
            <w:tcBorders>
              <w:bottom w:val="single" w:sz="4" w:space="0" w:color="000000"/>
              <w:insideH w:val="single" w:sz="4" w:space="0" w:color="000000"/>
            </w:tcBorders>
            <w:shd w:fill="auto" w:val="clear"/>
            <w:vAlign w:val="bottom"/>
          </w:tcPr>
          <w:p>
            <w:pPr>
              <w:pStyle w:val="Normal"/>
              <w:jc w:val="center"/>
              <w:rPr/>
            </w:pPr>
            <w:r>
              <w:rPr/>
              <w:t>Percentile</w:t>
            </w:r>
          </w:p>
        </w:tc>
      </w:tr>
      <w:tr>
        <w:trPr/>
        <w:tc>
          <w:tcPr>
            <w:tcW w:w="4993" w:type="dxa"/>
            <w:tcBorders>
              <w:bottom w:val="single" w:sz="4" w:space="0" w:color="000000"/>
              <w:insideH w:val="single" w:sz="4" w:space="0" w:color="000000"/>
            </w:tcBorders>
            <w:shd w:fill="auto" w:val="clear"/>
          </w:tcPr>
          <w:p>
            <w:pPr>
              <w:pStyle w:val="Normal"/>
              <w:snapToGrid w:val="false"/>
              <w:rPr/>
            </w:pPr>
            <w:r>
              <w:rPr/>
            </w:r>
          </w:p>
        </w:tc>
        <w:tc>
          <w:tcPr>
            <w:tcW w:w="1800" w:type="dxa"/>
            <w:tcBorders>
              <w:top w:val="single" w:sz="4" w:space="0" w:color="000000"/>
              <w:bottom w:val="single" w:sz="4" w:space="0" w:color="000000"/>
              <w:insideH w:val="single" w:sz="4" w:space="0" w:color="000000"/>
            </w:tcBorders>
            <w:shd w:fill="auto" w:val="clear"/>
          </w:tcPr>
          <w:p>
            <w:pPr>
              <w:pStyle w:val="Normal"/>
              <w:jc w:val="center"/>
              <w:rPr/>
            </w:pPr>
            <w:r>
              <w:rPr/>
              <w:t>10</w:t>
            </w:r>
            <w:r>
              <w:rPr>
                <w:vertAlign w:val="superscript"/>
              </w:rPr>
              <w:t>th</w:t>
            </w:r>
          </w:p>
        </w:tc>
        <w:tc>
          <w:tcPr>
            <w:tcW w:w="1844" w:type="dxa"/>
            <w:tcBorders>
              <w:top w:val="single" w:sz="4" w:space="0" w:color="000000"/>
              <w:bottom w:val="single" w:sz="4" w:space="0" w:color="000000"/>
              <w:insideH w:val="single" w:sz="4" w:space="0" w:color="000000"/>
            </w:tcBorders>
            <w:shd w:fill="auto" w:val="clear"/>
          </w:tcPr>
          <w:p>
            <w:pPr>
              <w:pStyle w:val="Normal"/>
              <w:jc w:val="center"/>
              <w:rPr/>
            </w:pPr>
            <w:r>
              <w:rPr/>
              <w:t>50</w:t>
            </w:r>
            <w:r>
              <w:rPr>
                <w:vertAlign w:val="superscript"/>
              </w:rPr>
              <w:t>th</w:t>
            </w:r>
          </w:p>
        </w:tc>
        <w:tc>
          <w:tcPr>
            <w:tcW w:w="946" w:type="dxa"/>
            <w:tcBorders>
              <w:top w:val="single" w:sz="4" w:space="0" w:color="000000"/>
              <w:bottom w:val="single" w:sz="4" w:space="0" w:color="000000"/>
              <w:insideH w:val="single" w:sz="4" w:space="0" w:color="000000"/>
            </w:tcBorders>
            <w:shd w:fill="auto" w:val="clear"/>
          </w:tcPr>
          <w:p>
            <w:pPr>
              <w:pStyle w:val="Normal"/>
              <w:jc w:val="center"/>
              <w:rPr/>
            </w:pPr>
            <w:r>
              <w:rPr/>
              <w:t>90</w:t>
            </w:r>
            <w:r>
              <w:rPr>
                <w:vertAlign w:val="superscript"/>
              </w:rPr>
              <w:t>th</w:t>
            </w:r>
          </w:p>
        </w:tc>
      </w:tr>
      <w:tr>
        <w:trPr/>
        <w:tc>
          <w:tcPr>
            <w:tcW w:w="4993" w:type="dxa"/>
            <w:tcBorders>
              <w:top w:val="single" w:sz="4" w:space="0" w:color="000000"/>
            </w:tcBorders>
            <w:shd w:fill="auto" w:val="clear"/>
          </w:tcPr>
          <w:p>
            <w:pPr>
              <w:pStyle w:val="Normal"/>
              <w:snapToGrid w:val="false"/>
              <w:rPr>
                <w:sz w:val="8"/>
                <w:szCs w:val="8"/>
              </w:rPr>
            </w:pPr>
            <w:r>
              <w:rPr>
                <w:sz w:val="8"/>
                <w:szCs w:val="8"/>
              </w:rPr>
            </w:r>
          </w:p>
        </w:tc>
        <w:tc>
          <w:tcPr>
            <w:tcW w:w="1800" w:type="dxa"/>
            <w:tcBorders>
              <w:top w:val="single" w:sz="4" w:space="0" w:color="000000"/>
            </w:tcBorders>
            <w:shd w:fill="auto" w:val="clear"/>
          </w:tcPr>
          <w:p>
            <w:pPr>
              <w:pStyle w:val="Normal"/>
              <w:snapToGrid w:val="false"/>
              <w:jc w:val="center"/>
              <w:rPr>
                <w:sz w:val="8"/>
                <w:szCs w:val="8"/>
              </w:rPr>
            </w:pPr>
            <w:r>
              <w:rPr>
                <w:sz w:val="8"/>
                <w:szCs w:val="8"/>
              </w:rPr>
            </w:r>
          </w:p>
        </w:tc>
        <w:tc>
          <w:tcPr>
            <w:tcW w:w="1844" w:type="dxa"/>
            <w:tcBorders>
              <w:top w:val="single" w:sz="4" w:space="0" w:color="000000"/>
            </w:tcBorders>
            <w:shd w:fill="auto" w:val="clear"/>
          </w:tcPr>
          <w:p>
            <w:pPr>
              <w:pStyle w:val="Normal"/>
              <w:snapToGrid w:val="false"/>
              <w:jc w:val="center"/>
              <w:rPr>
                <w:sz w:val="8"/>
                <w:szCs w:val="8"/>
              </w:rPr>
            </w:pPr>
            <w:r>
              <w:rPr>
                <w:sz w:val="8"/>
                <w:szCs w:val="8"/>
              </w:rPr>
            </w:r>
          </w:p>
        </w:tc>
        <w:tc>
          <w:tcPr>
            <w:tcW w:w="946" w:type="dxa"/>
            <w:tcBorders>
              <w:top w:val="single" w:sz="4" w:space="0" w:color="000000"/>
            </w:tcBorders>
            <w:shd w:fill="auto" w:val="clear"/>
          </w:tcPr>
          <w:p>
            <w:pPr>
              <w:pStyle w:val="Normal"/>
              <w:snapToGrid w:val="false"/>
              <w:jc w:val="center"/>
              <w:rPr>
                <w:sz w:val="8"/>
                <w:szCs w:val="8"/>
              </w:rPr>
            </w:pPr>
            <w:r>
              <w:rPr>
                <w:sz w:val="8"/>
                <w:szCs w:val="8"/>
              </w:rPr>
            </w:r>
          </w:p>
        </w:tc>
      </w:tr>
      <w:tr>
        <w:trPr/>
        <w:tc>
          <w:tcPr>
            <w:tcW w:w="9583" w:type="dxa"/>
            <w:gridSpan w:val="4"/>
            <w:tcBorders/>
            <w:shd w:fill="auto" w:val="clear"/>
          </w:tcPr>
          <w:p>
            <w:pPr>
              <w:pStyle w:val="Normal"/>
              <w:rPr>
                <w:b/>
                <w:b/>
              </w:rPr>
            </w:pPr>
            <w:r>
              <w:rPr/>
              <w:t>Physician Supply (FTEs per 100,000 population)</w:t>
            </w:r>
          </w:p>
        </w:tc>
      </w:tr>
      <w:tr>
        <w:trPr/>
        <w:tc>
          <w:tcPr>
            <w:tcW w:w="4993" w:type="dxa"/>
            <w:tcBorders/>
            <w:shd w:fill="auto" w:val="clear"/>
          </w:tcPr>
          <w:p>
            <w:pPr>
              <w:pStyle w:val="Normal"/>
              <w:rPr/>
            </w:pPr>
            <w:r>
              <w:rPr/>
              <w:t xml:space="preserve">    </w:t>
            </w:r>
            <w:r>
              <w:rPr/>
              <w:t>PC physician FTEs</w:t>
            </w:r>
          </w:p>
        </w:tc>
        <w:tc>
          <w:tcPr>
            <w:tcW w:w="1800" w:type="dxa"/>
            <w:tcBorders/>
            <w:shd w:fill="auto" w:val="clear"/>
          </w:tcPr>
          <w:p>
            <w:pPr>
              <w:pStyle w:val="Normal"/>
              <w:jc w:val="center"/>
              <w:rPr/>
            </w:pPr>
            <w:r>
              <w:rPr/>
              <w:t>70.2</w:t>
            </w:r>
          </w:p>
        </w:tc>
        <w:tc>
          <w:tcPr>
            <w:tcW w:w="1844" w:type="dxa"/>
            <w:tcBorders/>
            <w:shd w:fill="auto" w:val="clear"/>
          </w:tcPr>
          <w:p>
            <w:pPr>
              <w:pStyle w:val="Normal"/>
              <w:jc w:val="center"/>
              <w:rPr/>
            </w:pPr>
            <w:r>
              <w:rPr/>
              <w:t>80.4</w:t>
            </w:r>
          </w:p>
        </w:tc>
        <w:tc>
          <w:tcPr>
            <w:tcW w:w="946" w:type="dxa"/>
            <w:tcBorders/>
            <w:shd w:fill="auto" w:val="clear"/>
          </w:tcPr>
          <w:p>
            <w:pPr>
              <w:pStyle w:val="Normal"/>
              <w:jc w:val="center"/>
              <w:rPr/>
            </w:pPr>
            <w:r>
              <w:rPr/>
              <w:t>103.0</w:t>
            </w:r>
          </w:p>
        </w:tc>
      </w:tr>
      <w:tr>
        <w:trPr/>
        <w:tc>
          <w:tcPr>
            <w:tcW w:w="4993" w:type="dxa"/>
            <w:tcBorders/>
            <w:shd w:fill="auto" w:val="clear"/>
          </w:tcPr>
          <w:p>
            <w:pPr>
              <w:pStyle w:val="Normal"/>
              <w:rPr/>
            </w:pPr>
            <w:r>
              <w:rPr/>
              <w:t xml:space="preserve">    </w:t>
            </w:r>
            <w:r>
              <w:rPr/>
              <w:t>Specialist physician FTEs</w:t>
            </w:r>
          </w:p>
        </w:tc>
        <w:tc>
          <w:tcPr>
            <w:tcW w:w="1800" w:type="dxa"/>
            <w:tcBorders/>
            <w:shd w:fill="auto" w:val="clear"/>
          </w:tcPr>
          <w:p>
            <w:pPr>
              <w:pStyle w:val="Normal"/>
              <w:jc w:val="center"/>
              <w:rPr/>
            </w:pPr>
            <w:r>
              <w:rPr/>
              <w:t>45.7</w:t>
            </w:r>
          </w:p>
        </w:tc>
        <w:tc>
          <w:tcPr>
            <w:tcW w:w="1844" w:type="dxa"/>
            <w:tcBorders/>
            <w:shd w:fill="auto" w:val="clear"/>
          </w:tcPr>
          <w:p>
            <w:pPr>
              <w:pStyle w:val="Normal"/>
              <w:jc w:val="center"/>
              <w:rPr/>
            </w:pPr>
            <w:r>
              <w:rPr/>
              <w:t>69.7</w:t>
            </w:r>
          </w:p>
        </w:tc>
        <w:tc>
          <w:tcPr>
            <w:tcW w:w="946" w:type="dxa"/>
            <w:tcBorders/>
            <w:shd w:fill="auto" w:val="clear"/>
          </w:tcPr>
          <w:p>
            <w:pPr>
              <w:pStyle w:val="Normal"/>
              <w:jc w:val="center"/>
              <w:rPr/>
            </w:pPr>
            <w:r>
              <w:rPr/>
              <w:t>193.8</w:t>
            </w:r>
          </w:p>
        </w:tc>
      </w:tr>
      <w:tr>
        <w:trPr/>
        <w:tc>
          <w:tcPr>
            <w:tcW w:w="4993" w:type="dxa"/>
            <w:tcBorders/>
            <w:shd w:fill="auto" w:val="clear"/>
          </w:tcPr>
          <w:p>
            <w:pPr>
              <w:pStyle w:val="Normal"/>
              <w:rPr/>
            </w:pPr>
            <w:r>
              <w:rPr/>
              <w:t>PC physicians</w:t>
            </w:r>
          </w:p>
        </w:tc>
        <w:tc>
          <w:tcPr>
            <w:tcW w:w="1800" w:type="dxa"/>
            <w:tcBorders/>
            <w:shd w:fill="auto" w:val="clear"/>
            <w:vAlign w:val="center"/>
          </w:tcPr>
          <w:p>
            <w:pPr>
              <w:pStyle w:val="Normal"/>
              <w:snapToGrid w:val="false"/>
              <w:jc w:val="center"/>
              <w:rPr/>
            </w:pPr>
            <w:r>
              <w:rPr/>
            </w:r>
          </w:p>
        </w:tc>
        <w:tc>
          <w:tcPr>
            <w:tcW w:w="1844" w:type="dxa"/>
            <w:tcBorders/>
            <w:shd w:fill="auto" w:val="clear"/>
            <w:vAlign w:val="center"/>
          </w:tcPr>
          <w:p>
            <w:pPr>
              <w:pStyle w:val="Normal"/>
              <w:snapToGrid w:val="false"/>
              <w:jc w:val="center"/>
              <w:rPr/>
            </w:pPr>
            <w:r>
              <w:rPr/>
            </w:r>
          </w:p>
        </w:tc>
        <w:tc>
          <w:tcPr>
            <w:tcW w:w="946" w:type="dxa"/>
            <w:tcBorders/>
            <w:shd w:fill="auto" w:val="clear"/>
            <w:vAlign w:val="center"/>
          </w:tcPr>
          <w:p>
            <w:pPr>
              <w:pStyle w:val="Normal"/>
              <w:snapToGrid w:val="false"/>
              <w:jc w:val="center"/>
              <w:rPr/>
            </w:pPr>
            <w:r>
              <w:rPr/>
            </w:r>
          </w:p>
        </w:tc>
      </w:tr>
      <w:tr>
        <w:trPr/>
        <w:tc>
          <w:tcPr>
            <w:tcW w:w="4993" w:type="dxa"/>
            <w:tcBorders/>
            <w:shd w:fill="auto" w:val="clear"/>
          </w:tcPr>
          <w:p>
            <w:pPr>
              <w:pStyle w:val="Normal"/>
              <w:rPr/>
            </w:pPr>
            <w:r>
              <w:rPr/>
              <w:t xml:space="preserve">    </w:t>
            </w:r>
            <w:r>
              <w:rPr/>
              <w:t>UPC Panel size, mean</w:t>
            </w:r>
          </w:p>
        </w:tc>
        <w:tc>
          <w:tcPr>
            <w:tcW w:w="1800" w:type="dxa"/>
            <w:tcBorders/>
            <w:shd w:fill="auto" w:val="clear"/>
            <w:vAlign w:val="center"/>
          </w:tcPr>
          <w:p>
            <w:pPr>
              <w:pStyle w:val="Normal"/>
              <w:jc w:val="center"/>
              <w:rPr/>
            </w:pPr>
            <w:r>
              <w:rPr/>
              <w:t>923</w:t>
            </w:r>
          </w:p>
        </w:tc>
        <w:tc>
          <w:tcPr>
            <w:tcW w:w="1844" w:type="dxa"/>
            <w:tcBorders/>
            <w:shd w:fill="auto" w:val="clear"/>
            <w:vAlign w:val="center"/>
          </w:tcPr>
          <w:p>
            <w:pPr>
              <w:pStyle w:val="Normal"/>
              <w:jc w:val="center"/>
              <w:rPr/>
            </w:pPr>
            <w:r>
              <w:rPr/>
              <w:t>1,358</w:t>
            </w:r>
          </w:p>
        </w:tc>
        <w:tc>
          <w:tcPr>
            <w:tcW w:w="946" w:type="dxa"/>
            <w:tcBorders/>
            <w:shd w:fill="auto" w:val="clear"/>
            <w:vAlign w:val="center"/>
          </w:tcPr>
          <w:p>
            <w:pPr>
              <w:pStyle w:val="Normal"/>
              <w:jc w:val="center"/>
              <w:rPr/>
            </w:pPr>
            <w:r>
              <w:rPr/>
              <w:t>1,773</w:t>
            </w:r>
          </w:p>
        </w:tc>
      </w:tr>
      <w:tr>
        <w:trPr/>
        <w:tc>
          <w:tcPr>
            <w:tcW w:w="4993" w:type="dxa"/>
            <w:tcBorders/>
            <w:shd w:fill="auto" w:val="clear"/>
          </w:tcPr>
          <w:p>
            <w:pPr>
              <w:pStyle w:val="Normal"/>
              <w:rPr/>
            </w:pPr>
            <w:r>
              <w:rPr/>
              <w:t xml:space="preserve">    </w:t>
            </w:r>
            <w:r>
              <w:rPr/>
              <w:t>Continuity of care, %</w:t>
            </w:r>
          </w:p>
        </w:tc>
        <w:tc>
          <w:tcPr>
            <w:tcW w:w="1800" w:type="dxa"/>
            <w:tcBorders/>
            <w:shd w:fill="auto" w:val="clear"/>
            <w:vAlign w:val="center"/>
          </w:tcPr>
          <w:p>
            <w:pPr>
              <w:pStyle w:val="Normal"/>
              <w:jc w:val="center"/>
              <w:rPr/>
            </w:pPr>
            <w:r>
              <w:rPr/>
              <w:t>88.8</w:t>
            </w:r>
          </w:p>
        </w:tc>
        <w:tc>
          <w:tcPr>
            <w:tcW w:w="1844" w:type="dxa"/>
            <w:tcBorders/>
            <w:shd w:fill="auto" w:val="clear"/>
            <w:vAlign w:val="center"/>
          </w:tcPr>
          <w:p>
            <w:pPr>
              <w:pStyle w:val="Normal"/>
              <w:jc w:val="center"/>
              <w:rPr/>
            </w:pPr>
            <w:r>
              <w:rPr/>
              <w:t>92.6</w:t>
            </w:r>
          </w:p>
        </w:tc>
        <w:tc>
          <w:tcPr>
            <w:tcW w:w="946" w:type="dxa"/>
            <w:tcBorders/>
            <w:shd w:fill="auto" w:val="clear"/>
            <w:vAlign w:val="center"/>
          </w:tcPr>
          <w:p>
            <w:pPr>
              <w:pStyle w:val="Normal"/>
              <w:jc w:val="center"/>
              <w:rPr/>
            </w:pPr>
            <w:r>
              <w:rPr/>
              <w:t>94.9</w:t>
            </w:r>
          </w:p>
        </w:tc>
      </w:tr>
      <w:tr>
        <w:trPr/>
        <w:tc>
          <w:tcPr>
            <w:tcW w:w="4993" w:type="dxa"/>
            <w:tcBorders/>
            <w:shd w:fill="auto" w:val="clear"/>
          </w:tcPr>
          <w:p>
            <w:pPr>
              <w:pStyle w:val="Normal"/>
              <w:rPr/>
            </w:pPr>
            <w:r>
              <w:rPr/>
              <w:t xml:space="preserve">    </w:t>
            </w:r>
            <w:r>
              <w:rPr/>
              <w:t xml:space="preserve">Belong to a PC group model, % * </w:t>
            </w:r>
          </w:p>
        </w:tc>
        <w:tc>
          <w:tcPr>
            <w:tcW w:w="1800" w:type="dxa"/>
            <w:tcBorders/>
            <w:shd w:fill="auto" w:val="clear"/>
          </w:tcPr>
          <w:p>
            <w:pPr>
              <w:pStyle w:val="Normal"/>
              <w:jc w:val="center"/>
              <w:rPr/>
            </w:pPr>
            <w:r>
              <w:rPr/>
              <w:t>70.8</w:t>
            </w:r>
          </w:p>
        </w:tc>
        <w:tc>
          <w:tcPr>
            <w:tcW w:w="1844" w:type="dxa"/>
            <w:tcBorders/>
            <w:shd w:fill="auto" w:val="clear"/>
          </w:tcPr>
          <w:p>
            <w:pPr>
              <w:pStyle w:val="Normal"/>
              <w:jc w:val="center"/>
              <w:rPr/>
            </w:pPr>
            <w:r>
              <w:rPr/>
              <w:t>78.0</w:t>
            </w:r>
          </w:p>
        </w:tc>
        <w:tc>
          <w:tcPr>
            <w:tcW w:w="946" w:type="dxa"/>
            <w:tcBorders/>
            <w:shd w:fill="auto" w:val="clear"/>
          </w:tcPr>
          <w:p>
            <w:pPr>
              <w:pStyle w:val="Normal"/>
              <w:jc w:val="center"/>
              <w:rPr/>
            </w:pPr>
            <w:r>
              <w:rPr/>
              <w:t>87.5</w:t>
            </w:r>
          </w:p>
        </w:tc>
      </w:tr>
      <w:tr>
        <w:trPr/>
        <w:tc>
          <w:tcPr>
            <w:tcW w:w="4993" w:type="dxa"/>
            <w:tcBorders/>
            <w:shd w:fill="auto" w:val="clear"/>
          </w:tcPr>
          <w:p>
            <w:pPr>
              <w:pStyle w:val="Normal"/>
              <w:snapToGrid w:val="false"/>
              <w:rPr>
                <w:sz w:val="8"/>
                <w:szCs w:val="8"/>
              </w:rPr>
            </w:pPr>
            <w:r>
              <w:rPr>
                <w:sz w:val="8"/>
                <w:szCs w:val="8"/>
              </w:rPr>
            </w:r>
          </w:p>
        </w:tc>
        <w:tc>
          <w:tcPr>
            <w:tcW w:w="1800" w:type="dxa"/>
            <w:tcBorders/>
            <w:shd w:fill="auto" w:val="clear"/>
          </w:tcPr>
          <w:p>
            <w:pPr>
              <w:pStyle w:val="Normal"/>
              <w:snapToGrid w:val="false"/>
              <w:jc w:val="center"/>
              <w:rPr>
                <w:sz w:val="8"/>
                <w:szCs w:val="8"/>
              </w:rPr>
            </w:pPr>
            <w:r>
              <w:rPr>
                <w:sz w:val="8"/>
                <w:szCs w:val="8"/>
              </w:rPr>
            </w:r>
          </w:p>
        </w:tc>
        <w:tc>
          <w:tcPr>
            <w:tcW w:w="1844" w:type="dxa"/>
            <w:tcBorders/>
            <w:shd w:fill="auto" w:val="clear"/>
          </w:tcPr>
          <w:p>
            <w:pPr>
              <w:pStyle w:val="Normal"/>
              <w:snapToGrid w:val="false"/>
              <w:jc w:val="center"/>
              <w:rPr>
                <w:sz w:val="8"/>
                <w:szCs w:val="8"/>
              </w:rPr>
            </w:pPr>
            <w:r>
              <w:rPr>
                <w:sz w:val="8"/>
                <w:szCs w:val="8"/>
              </w:rPr>
            </w:r>
          </w:p>
        </w:tc>
        <w:tc>
          <w:tcPr>
            <w:tcW w:w="946" w:type="dxa"/>
            <w:tcBorders/>
            <w:shd w:fill="auto" w:val="clear"/>
          </w:tcPr>
          <w:p>
            <w:pPr>
              <w:pStyle w:val="Normal"/>
              <w:snapToGrid w:val="false"/>
              <w:jc w:val="center"/>
              <w:rPr>
                <w:sz w:val="8"/>
                <w:szCs w:val="8"/>
              </w:rPr>
            </w:pPr>
            <w:r>
              <w:rPr>
                <w:sz w:val="8"/>
                <w:szCs w:val="8"/>
              </w:rPr>
            </w:r>
          </w:p>
        </w:tc>
      </w:tr>
      <w:tr>
        <w:trPr/>
        <w:tc>
          <w:tcPr>
            <w:tcW w:w="4993" w:type="dxa"/>
            <w:tcBorders/>
            <w:shd w:fill="auto" w:val="clear"/>
          </w:tcPr>
          <w:p>
            <w:pPr>
              <w:pStyle w:val="Normal"/>
              <w:snapToGrid w:val="false"/>
              <w:rPr>
                <w:sz w:val="8"/>
                <w:szCs w:val="8"/>
              </w:rPr>
            </w:pPr>
            <w:r>
              <w:rPr>
                <w:sz w:val="8"/>
                <w:szCs w:val="8"/>
              </w:rPr>
            </w:r>
          </w:p>
        </w:tc>
        <w:tc>
          <w:tcPr>
            <w:tcW w:w="1800" w:type="dxa"/>
            <w:tcBorders/>
            <w:shd w:fill="auto" w:val="clear"/>
          </w:tcPr>
          <w:p>
            <w:pPr>
              <w:pStyle w:val="Normal"/>
              <w:snapToGrid w:val="false"/>
              <w:jc w:val="center"/>
              <w:rPr>
                <w:sz w:val="8"/>
                <w:szCs w:val="8"/>
              </w:rPr>
            </w:pPr>
            <w:r>
              <w:rPr>
                <w:sz w:val="8"/>
                <w:szCs w:val="8"/>
              </w:rPr>
            </w:r>
          </w:p>
        </w:tc>
        <w:tc>
          <w:tcPr>
            <w:tcW w:w="1844" w:type="dxa"/>
            <w:tcBorders/>
            <w:shd w:fill="auto" w:val="clear"/>
          </w:tcPr>
          <w:p>
            <w:pPr>
              <w:pStyle w:val="Normal"/>
              <w:snapToGrid w:val="false"/>
              <w:jc w:val="center"/>
              <w:rPr>
                <w:sz w:val="8"/>
                <w:szCs w:val="8"/>
              </w:rPr>
            </w:pPr>
            <w:r>
              <w:rPr>
                <w:sz w:val="8"/>
                <w:szCs w:val="8"/>
              </w:rPr>
            </w:r>
          </w:p>
        </w:tc>
        <w:tc>
          <w:tcPr>
            <w:tcW w:w="946" w:type="dxa"/>
            <w:tcBorders/>
            <w:shd w:fill="auto" w:val="clear"/>
          </w:tcPr>
          <w:p>
            <w:pPr>
              <w:pStyle w:val="Normal"/>
              <w:snapToGrid w:val="false"/>
              <w:jc w:val="center"/>
              <w:rPr>
                <w:sz w:val="8"/>
                <w:szCs w:val="8"/>
              </w:rPr>
            </w:pPr>
            <w:r>
              <w:rPr>
                <w:sz w:val="8"/>
                <w:szCs w:val="8"/>
              </w:rPr>
            </w:r>
          </w:p>
        </w:tc>
      </w:tr>
      <w:tr>
        <w:trPr/>
        <w:tc>
          <w:tcPr>
            <w:tcW w:w="4993" w:type="dxa"/>
            <w:tcBorders/>
            <w:shd w:fill="auto" w:val="clear"/>
          </w:tcPr>
          <w:p>
            <w:pPr>
              <w:pStyle w:val="Normal"/>
              <w:rPr/>
            </w:pPr>
            <w:r>
              <w:rPr/>
              <w:t>Hospital Resource Supply</w:t>
            </w:r>
          </w:p>
        </w:tc>
        <w:tc>
          <w:tcPr>
            <w:tcW w:w="1800" w:type="dxa"/>
            <w:tcBorders/>
            <w:shd w:fill="auto" w:val="clear"/>
          </w:tcPr>
          <w:p>
            <w:pPr>
              <w:pStyle w:val="Normal"/>
              <w:snapToGrid w:val="false"/>
              <w:jc w:val="center"/>
              <w:rPr>
                <w:b/>
                <w:b/>
              </w:rPr>
            </w:pPr>
            <w:r>
              <w:rPr>
                <w:b/>
              </w:rPr>
            </w:r>
          </w:p>
        </w:tc>
        <w:tc>
          <w:tcPr>
            <w:tcW w:w="1844" w:type="dxa"/>
            <w:tcBorders/>
            <w:shd w:fill="auto" w:val="clear"/>
          </w:tcPr>
          <w:p>
            <w:pPr>
              <w:pStyle w:val="Normal"/>
              <w:snapToGrid w:val="false"/>
              <w:jc w:val="center"/>
              <w:rPr>
                <w:b/>
                <w:b/>
              </w:rPr>
            </w:pPr>
            <w:r>
              <w:rPr>
                <w:b/>
              </w:rPr>
            </w:r>
          </w:p>
        </w:tc>
        <w:tc>
          <w:tcPr>
            <w:tcW w:w="946" w:type="dxa"/>
            <w:tcBorders/>
            <w:shd w:fill="auto" w:val="clear"/>
          </w:tcPr>
          <w:p>
            <w:pPr>
              <w:pStyle w:val="Normal"/>
              <w:snapToGrid w:val="false"/>
              <w:jc w:val="center"/>
              <w:rPr>
                <w:b/>
                <w:b/>
              </w:rPr>
            </w:pPr>
            <w:r>
              <w:rPr>
                <w:b/>
              </w:rPr>
            </w:r>
          </w:p>
        </w:tc>
      </w:tr>
      <w:tr>
        <w:trPr/>
        <w:tc>
          <w:tcPr>
            <w:tcW w:w="4993" w:type="dxa"/>
            <w:tcBorders/>
            <w:shd w:fill="auto" w:val="clear"/>
          </w:tcPr>
          <w:p>
            <w:pPr>
              <w:pStyle w:val="Normal"/>
              <w:rPr/>
            </w:pPr>
            <w:r>
              <w:rPr/>
              <w:t xml:space="preserve">    </w:t>
            </w:r>
            <w:r>
              <w:rPr/>
              <w:t>Acute care beds per 1000</w:t>
            </w:r>
          </w:p>
        </w:tc>
        <w:tc>
          <w:tcPr>
            <w:tcW w:w="1800" w:type="dxa"/>
            <w:tcBorders/>
            <w:shd w:fill="auto" w:val="clear"/>
          </w:tcPr>
          <w:p>
            <w:pPr>
              <w:pStyle w:val="Normal"/>
              <w:jc w:val="center"/>
              <w:rPr/>
            </w:pPr>
            <w:r>
              <w:rPr/>
              <w:t>0.8</w:t>
            </w:r>
          </w:p>
        </w:tc>
        <w:tc>
          <w:tcPr>
            <w:tcW w:w="1844" w:type="dxa"/>
            <w:tcBorders/>
            <w:shd w:fill="auto" w:val="clear"/>
          </w:tcPr>
          <w:p>
            <w:pPr>
              <w:pStyle w:val="Normal"/>
              <w:jc w:val="center"/>
              <w:rPr/>
            </w:pPr>
            <w:r>
              <w:rPr/>
              <w:t>1.2</w:t>
            </w:r>
          </w:p>
        </w:tc>
        <w:tc>
          <w:tcPr>
            <w:tcW w:w="946" w:type="dxa"/>
            <w:tcBorders/>
            <w:shd w:fill="auto" w:val="clear"/>
          </w:tcPr>
          <w:p>
            <w:pPr>
              <w:pStyle w:val="Normal"/>
              <w:jc w:val="center"/>
              <w:rPr/>
            </w:pPr>
            <w:r>
              <w:rPr/>
              <w:t>2.4</w:t>
            </w:r>
          </w:p>
        </w:tc>
      </w:tr>
      <w:tr>
        <w:trPr/>
        <w:tc>
          <w:tcPr>
            <w:tcW w:w="4993" w:type="dxa"/>
            <w:tcBorders/>
            <w:shd w:fill="auto" w:val="clear"/>
          </w:tcPr>
          <w:p>
            <w:pPr>
              <w:pStyle w:val="Normal"/>
              <w:rPr/>
            </w:pPr>
            <w:r>
              <w:rPr/>
              <w:t xml:space="preserve">    </w:t>
            </w:r>
            <w:r>
              <w:rPr/>
              <w:t xml:space="preserve">ICU beds per 10,000 </w:t>
            </w:r>
          </w:p>
        </w:tc>
        <w:tc>
          <w:tcPr>
            <w:tcW w:w="1800" w:type="dxa"/>
            <w:tcBorders/>
            <w:shd w:fill="auto" w:val="clear"/>
          </w:tcPr>
          <w:p>
            <w:pPr>
              <w:pStyle w:val="Normal"/>
              <w:jc w:val="center"/>
              <w:rPr/>
            </w:pPr>
            <w:r>
              <w:rPr/>
              <w:t>0.5</w:t>
            </w:r>
          </w:p>
        </w:tc>
        <w:tc>
          <w:tcPr>
            <w:tcW w:w="1844" w:type="dxa"/>
            <w:tcBorders/>
            <w:shd w:fill="auto" w:val="clear"/>
          </w:tcPr>
          <w:p>
            <w:pPr>
              <w:pStyle w:val="Normal"/>
              <w:jc w:val="center"/>
              <w:rPr/>
            </w:pPr>
            <w:r>
              <w:rPr/>
              <w:t>1.0</w:t>
            </w:r>
          </w:p>
        </w:tc>
        <w:tc>
          <w:tcPr>
            <w:tcW w:w="946" w:type="dxa"/>
            <w:tcBorders/>
            <w:shd w:fill="auto" w:val="clear"/>
          </w:tcPr>
          <w:p>
            <w:pPr>
              <w:pStyle w:val="Normal"/>
              <w:jc w:val="center"/>
              <w:rPr/>
            </w:pPr>
            <w:r>
              <w:rPr/>
              <w:t>2.3</w:t>
            </w:r>
          </w:p>
        </w:tc>
      </w:tr>
      <w:tr>
        <w:trPr/>
        <w:tc>
          <w:tcPr>
            <w:tcW w:w="4993" w:type="dxa"/>
            <w:tcBorders>
              <w:bottom w:val="single" w:sz="4" w:space="0" w:color="000000"/>
              <w:insideH w:val="single" w:sz="4" w:space="0" w:color="000000"/>
            </w:tcBorders>
            <w:shd w:fill="auto" w:val="clear"/>
          </w:tcPr>
          <w:p>
            <w:pPr>
              <w:pStyle w:val="Normal"/>
              <w:snapToGrid w:val="false"/>
              <w:rPr>
                <w:sz w:val="8"/>
                <w:szCs w:val="8"/>
              </w:rPr>
            </w:pPr>
            <w:r>
              <w:rPr>
                <w:sz w:val="8"/>
                <w:szCs w:val="8"/>
              </w:rPr>
            </w:r>
          </w:p>
        </w:tc>
        <w:tc>
          <w:tcPr>
            <w:tcW w:w="1800" w:type="dxa"/>
            <w:tcBorders>
              <w:bottom w:val="single" w:sz="4" w:space="0" w:color="000000"/>
              <w:insideH w:val="single" w:sz="4" w:space="0" w:color="000000"/>
            </w:tcBorders>
            <w:shd w:fill="auto" w:val="clear"/>
          </w:tcPr>
          <w:p>
            <w:pPr>
              <w:pStyle w:val="Normal"/>
              <w:snapToGrid w:val="false"/>
              <w:jc w:val="center"/>
              <w:rPr>
                <w:sz w:val="8"/>
                <w:szCs w:val="8"/>
              </w:rPr>
            </w:pPr>
            <w:r>
              <w:rPr>
                <w:sz w:val="8"/>
                <w:szCs w:val="8"/>
              </w:rPr>
            </w:r>
          </w:p>
        </w:tc>
        <w:tc>
          <w:tcPr>
            <w:tcW w:w="1844" w:type="dxa"/>
            <w:tcBorders>
              <w:bottom w:val="single" w:sz="4" w:space="0" w:color="000000"/>
              <w:insideH w:val="single" w:sz="4" w:space="0" w:color="000000"/>
            </w:tcBorders>
            <w:shd w:fill="auto" w:val="clear"/>
          </w:tcPr>
          <w:p>
            <w:pPr>
              <w:pStyle w:val="Normal"/>
              <w:snapToGrid w:val="false"/>
              <w:jc w:val="center"/>
              <w:rPr>
                <w:sz w:val="8"/>
                <w:szCs w:val="8"/>
              </w:rPr>
            </w:pPr>
            <w:r>
              <w:rPr>
                <w:sz w:val="8"/>
                <w:szCs w:val="8"/>
              </w:rPr>
            </w:r>
          </w:p>
        </w:tc>
        <w:tc>
          <w:tcPr>
            <w:tcW w:w="946" w:type="dxa"/>
            <w:tcBorders>
              <w:bottom w:val="single" w:sz="4" w:space="0" w:color="000000"/>
              <w:insideH w:val="single" w:sz="4" w:space="0" w:color="000000"/>
            </w:tcBorders>
            <w:shd w:fill="auto" w:val="clear"/>
          </w:tcPr>
          <w:p>
            <w:pPr>
              <w:pStyle w:val="Normal"/>
              <w:snapToGrid w:val="false"/>
              <w:jc w:val="center"/>
              <w:rPr>
                <w:sz w:val="8"/>
                <w:szCs w:val="8"/>
              </w:rPr>
            </w:pPr>
            <w:r>
              <w:rPr>
                <w:sz w:val="8"/>
                <w:szCs w:val="8"/>
              </w:rPr>
            </w:r>
          </w:p>
        </w:tc>
      </w:tr>
      <w:tr>
        <w:trPr/>
        <w:tc>
          <w:tcPr>
            <w:tcW w:w="9583" w:type="dxa"/>
            <w:gridSpan w:val="4"/>
            <w:tcBorders>
              <w:top w:val="single" w:sz="4" w:space="0" w:color="000000"/>
              <w:bottom w:val="single" w:sz="4" w:space="0" w:color="000000"/>
              <w:insideH w:val="single" w:sz="4" w:space="0" w:color="000000"/>
            </w:tcBorders>
            <w:shd w:fill="auto" w:val="clear"/>
          </w:tcPr>
          <w:p>
            <w:pPr>
              <w:pStyle w:val="Normal"/>
              <w:rPr/>
            </w:pPr>
            <w:r>
              <w:rPr>
                <w:sz w:val="16"/>
                <w:szCs w:val="16"/>
              </w:rPr>
              <w:t>*</w:t>
            </w:r>
            <w:r>
              <w:rPr>
                <w:sz w:val="20"/>
                <w:szCs w:val="20"/>
              </w:rPr>
              <w:t xml:space="preserve"> As of midpoint, October 1, 2009.</w:t>
            </w:r>
          </w:p>
        </w:tc>
      </w:tr>
    </w:tbl>
    <w:p>
      <w:pPr>
        <w:pStyle w:val="Normal"/>
        <w:numPr>
          <w:ilvl w:val="0"/>
          <w:numId w:val="0"/>
        </w:numPr>
        <w:tabs>
          <w:tab w:val="right" w:pos="360" w:leader="none"/>
          <w:tab w:val="left" w:pos="540" w:leader="none"/>
        </w:tabs>
        <w:jc w:val="center"/>
        <w:rPr/>
      </w:pPr>
      <w:r>
        <w:rPr/>
      </w:r>
      <w:r>
        <w:br w:type="page"/>
      </w:r>
    </w:p>
    <w:p>
      <w:pPr>
        <w:pStyle w:val="Normal"/>
        <w:tabs>
          <w:tab w:val="right" w:pos="360" w:leader="none"/>
          <w:tab w:val="left" w:pos="540" w:leader="none"/>
        </w:tabs>
        <w:rPr>
          <w:lang w:val="en-CA"/>
        </w:rPr>
      </w:pPr>
      <w:r>
        <w:rPr>
          <w:lang w:val="en-CA"/>
        </w:rPr>
        <w:t>Appendix A</w:t>
      </w:r>
    </w:p>
    <w:p>
      <w:pPr>
        <w:pStyle w:val="Normal"/>
        <w:autoSpaceDE w:val="false"/>
        <w:rPr/>
      </w:pPr>
      <w:bookmarkStart w:id="28" w:name="OLE_LINK3"/>
      <w:bookmarkStart w:id="29" w:name="OLE_LINK2"/>
      <w:bookmarkStart w:id="30" w:name="OLE_LINK1"/>
      <w:bookmarkStart w:id="31" w:name="OLE_LINK3"/>
      <w:bookmarkStart w:id="32" w:name="OLE_LINK2"/>
      <w:bookmarkStart w:id="33" w:name="OLE_LINK1"/>
      <w:bookmarkEnd w:id="31"/>
      <w:bookmarkEnd w:id="32"/>
      <w:bookmarkEnd w:id="33"/>
      <w:r>
        <w:rPr/>
      </w:r>
    </w:p>
    <w:p>
      <w:pPr>
        <w:pStyle w:val="Normal"/>
        <w:autoSpaceDE w:val="false"/>
        <w:rPr/>
      </w:pPr>
      <w:r>
        <w:rPr/>
        <w:t>The 18 adult and 21 child comprehensive primary care codes:</w:t>
      </w:r>
    </w:p>
    <w:tbl>
      <w:tblPr>
        <w:tblW w:w="10080" w:type="dxa"/>
        <w:jc w:val="left"/>
        <w:tblInd w:w="108" w:type="dxa"/>
        <w:tblBorders>
          <w:bottom w:val="single" w:sz="4" w:space="0" w:color="000000"/>
          <w:insideH w:val="single" w:sz="4" w:space="0" w:color="000000"/>
        </w:tblBorders>
        <w:tblCellMar>
          <w:top w:w="0" w:type="dxa"/>
          <w:left w:w="108" w:type="dxa"/>
          <w:bottom w:w="0" w:type="dxa"/>
          <w:right w:w="108" w:type="dxa"/>
        </w:tblCellMar>
      </w:tblPr>
      <w:tblGrid>
        <w:gridCol w:w="5040"/>
        <w:gridCol w:w="5040"/>
      </w:tblGrid>
      <w:tr>
        <w:trPr>
          <w:trHeight w:val="315" w:hRule="atLeast"/>
        </w:trPr>
        <w:tc>
          <w:tcPr>
            <w:tcW w:w="5040" w:type="dxa"/>
            <w:tcBorders>
              <w:bottom w:val="single" w:sz="4" w:space="0" w:color="000000"/>
              <w:insideH w:val="single" w:sz="4" w:space="0" w:color="000000"/>
            </w:tcBorders>
            <w:shd w:fill="auto" w:val="clear"/>
            <w:vAlign w:val="bottom"/>
          </w:tcPr>
          <w:p>
            <w:pPr>
              <w:pStyle w:val="Normal"/>
              <w:jc w:val="center"/>
              <w:rPr>
                <w:rFonts w:eastAsia="MS Mincho;ＭＳ 明朝"/>
                <w:lang w:eastAsia="ja-JP"/>
              </w:rPr>
            </w:pPr>
            <w:r>
              <w:rPr>
                <w:rFonts w:eastAsia="MS Mincho;ＭＳ 明朝"/>
                <w:lang w:eastAsia="ja-JP"/>
              </w:rPr>
              <w:t>ADULT</w:t>
            </w:r>
          </w:p>
        </w:tc>
        <w:tc>
          <w:tcPr>
            <w:tcW w:w="50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center"/>
              <w:rPr>
                <w:rFonts w:eastAsia="MS Mincho;ＭＳ 明朝"/>
                <w:lang w:eastAsia="ja-JP"/>
              </w:rPr>
            </w:pPr>
            <w:r>
              <w:rPr>
                <w:rFonts w:eastAsia="MS Mincho;ＭＳ 明朝"/>
                <w:lang w:eastAsia="ja-JP"/>
              </w:rPr>
              <w:t>CHILD</w:t>
            </w:r>
          </w:p>
        </w:tc>
      </w:tr>
      <w:tr>
        <w:trPr>
          <w:trHeight w:val="315" w:hRule="atLeast"/>
        </w:trPr>
        <w:tc>
          <w:tcPr>
            <w:tcW w:w="5040" w:type="dxa"/>
            <w:tcBorders>
              <w:top w:val="single" w:sz="4" w:space="0" w:color="000000"/>
            </w:tcBorders>
            <w:shd w:fill="auto" w:val="clear"/>
            <w:vAlign w:val="bottom"/>
          </w:tcPr>
          <w:p>
            <w:pPr>
              <w:pStyle w:val="Normal"/>
              <w:rPr>
                <w:rFonts w:eastAsia="MS Mincho;ＭＳ 明朝"/>
                <w:lang w:eastAsia="ja-JP"/>
              </w:rPr>
            </w:pPr>
            <w:r>
              <w:rPr>
                <w:rFonts w:eastAsia="MS Mincho;ＭＳ 明朝"/>
                <w:lang w:eastAsia="ja-JP"/>
              </w:rPr>
              <w:t>A001 – Minor Assessment</w:t>
            </w:r>
          </w:p>
        </w:tc>
        <w:tc>
          <w:tcPr>
            <w:tcW w:w="5040" w:type="dxa"/>
            <w:tcBorders>
              <w:top w:val="single" w:sz="4" w:space="0" w:color="000000"/>
              <w:left w:val="single" w:sz="4" w:space="0" w:color="000000"/>
            </w:tcBorders>
            <w:shd w:fill="auto" w:val="clear"/>
            <w:tcMar>
              <w:left w:w="103" w:type="dxa"/>
            </w:tcMar>
            <w:vAlign w:val="bottom"/>
          </w:tcPr>
          <w:p>
            <w:pPr>
              <w:pStyle w:val="Normal"/>
              <w:rPr>
                <w:rFonts w:eastAsia="MS Mincho;ＭＳ 明朝"/>
                <w:lang w:eastAsia="ja-JP"/>
              </w:rPr>
            </w:pPr>
            <w:r>
              <w:rPr>
                <w:rFonts w:eastAsia="MS Mincho;ＭＳ 明朝"/>
                <w:lang w:eastAsia="ja-JP"/>
              </w:rPr>
              <w:t>A001 – Minor Assessment</w:t>
            </w:r>
          </w:p>
        </w:tc>
      </w:tr>
      <w:tr>
        <w:trPr>
          <w:trHeight w:val="315" w:hRule="atLeast"/>
        </w:trPr>
        <w:tc>
          <w:tcPr>
            <w:tcW w:w="5040" w:type="dxa"/>
            <w:tcBorders/>
            <w:shd w:fill="auto" w:val="clear"/>
            <w:vAlign w:val="bottom"/>
          </w:tcPr>
          <w:p>
            <w:pPr>
              <w:pStyle w:val="Normal"/>
              <w:rPr>
                <w:rFonts w:eastAsia="MS Mincho;ＭＳ 明朝"/>
                <w:lang w:eastAsia="ja-JP"/>
              </w:rPr>
            </w:pPr>
            <w:r>
              <w:rPr>
                <w:rFonts w:eastAsia="MS Mincho;ＭＳ 明朝"/>
                <w:lang w:eastAsia="ja-JP"/>
              </w:rPr>
              <w:t>A003 – General Assessment</w:t>
            </w:r>
          </w:p>
        </w:tc>
        <w:tc>
          <w:tcPr>
            <w:tcW w:w="5040" w:type="dxa"/>
            <w:tcBorders>
              <w:left w:val="single" w:sz="4" w:space="0" w:color="000000"/>
            </w:tcBorders>
            <w:shd w:fill="auto" w:val="clear"/>
            <w:tcMar>
              <w:left w:w="103" w:type="dxa"/>
            </w:tcMar>
            <w:vAlign w:val="bottom"/>
          </w:tcPr>
          <w:p>
            <w:pPr>
              <w:pStyle w:val="Normal"/>
              <w:rPr>
                <w:rFonts w:eastAsia="MS Mincho;ＭＳ 明朝"/>
                <w:lang w:eastAsia="ja-JP"/>
              </w:rPr>
            </w:pPr>
            <w:r>
              <w:rPr>
                <w:rFonts w:eastAsia="MS Mincho;ＭＳ 明朝"/>
                <w:lang w:eastAsia="ja-JP"/>
              </w:rPr>
              <w:t>A261 – Minor Assessment - paediatric</w:t>
            </w:r>
          </w:p>
        </w:tc>
      </w:tr>
      <w:tr>
        <w:trPr>
          <w:trHeight w:val="315" w:hRule="atLeast"/>
        </w:trPr>
        <w:tc>
          <w:tcPr>
            <w:tcW w:w="5040" w:type="dxa"/>
            <w:tcBorders/>
            <w:shd w:fill="auto" w:val="clear"/>
            <w:vAlign w:val="bottom"/>
          </w:tcPr>
          <w:p>
            <w:pPr>
              <w:pStyle w:val="Normal"/>
              <w:rPr>
                <w:rFonts w:eastAsia="MS Mincho;ＭＳ 明朝"/>
                <w:lang w:eastAsia="ja-JP"/>
              </w:rPr>
            </w:pPr>
            <w:r>
              <w:rPr>
                <w:rFonts w:eastAsia="MS Mincho;ＭＳ 明朝"/>
                <w:lang w:eastAsia="ja-JP"/>
              </w:rPr>
              <w:t>A007 – Intermediate Assessment</w:t>
            </w:r>
          </w:p>
        </w:tc>
        <w:tc>
          <w:tcPr>
            <w:tcW w:w="5040" w:type="dxa"/>
            <w:tcBorders>
              <w:left w:val="single" w:sz="4" w:space="0" w:color="000000"/>
            </w:tcBorders>
            <w:shd w:fill="auto" w:val="clear"/>
            <w:tcMar>
              <w:left w:w="103" w:type="dxa"/>
            </w:tcMar>
            <w:vAlign w:val="bottom"/>
          </w:tcPr>
          <w:p>
            <w:pPr>
              <w:pStyle w:val="Normal"/>
              <w:rPr>
                <w:rFonts w:eastAsia="MS Mincho;ＭＳ 明朝"/>
                <w:lang w:eastAsia="ja-JP"/>
              </w:rPr>
            </w:pPr>
            <w:r>
              <w:rPr>
                <w:rFonts w:eastAsia="MS Mincho;ＭＳ 明朝"/>
                <w:lang w:eastAsia="ja-JP"/>
              </w:rPr>
              <w:t>A003 – General Assessment</w:t>
            </w:r>
          </w:p>
        </w:tc>
      </w:tr>
      <w:tr>
        <w:trPr>
          <w:trHeight w:val="315" w:hRule="atLeast"/>
        </w:trPr>
        <w:tc>
          <w:tcPr>
            <w:tcW w:w="5040" w:type="dxa"/>
            <w:tcBorders/>
            <w:shd w:fill="auto" w:val="clear"/>
            <w:vAlign w:val="bottom"/>
          </w:tcPr>
          <w:p>
            <w:pPr>
              <w:pStyle w:val="Normal"/>
              <w:rPr>
                <w:rFonts w:eastAsia="MS Mincho;ＭＳ 明朝"/>
                <w:color w:val="000000"/>
                <w:lang w:eastAsia="ja-JP"/>
              </w:rPr>
            </w:pPr>
            <w:r>
              <w:rPr>
                <w:rFonts w:eastAsia="MS Mincho;ＭＳ 明朝"/>
                <w:color w:val="000000"/>
                <w:lang w:val="en-CA" w:eastAsia="ja-JP"/>
              </w:rPr>
              <w:t xml:space="preserve">A903 – </w:t>
            </w:r>
            <w:r>
              <w:rPr>
                <w:rFonts w:eastAsia="MS Mincho;ＭＳ 明朝"/>
                <w:lang w:val="en-CA" w:eastAsia="ja-JP"/>
              </w:rPr>
              <w:t>Pre-operative Assessment</w:t>
            </w:r>
          </w:p>
        </w:tc>
        <w:tc>
          <w:tcPr>
            <w:tcW w:w="5040" w:type="dxa"/>
            <w:tcBorders>
              <w:left w:val="single" w:sz="4" w:space="0" w:color="000000"/>
            </w:tcBorders>
            <w:shd w:fill="auto" w:val="clear"/>
            <w:tcMar>
              <w:left w:w="103" w:type="dxa"/>
            </w:tcMar>
            <w:vAlign w:val="bottom"/>
          </w:tcPr>
          <w:p>
            <w:pPr>
              <w:pStyle w:val="Normal"/>
              <w:rPr>
                <w:rFonts w:eastAsia="MS Mincho;ＭＳ 明朝"/>
                <w:lang w:eastAsia="ja-JP"/>
              </w:rPr>
            </w:pPr>
            <w:r>
              <w:rPr>
                <w:rFonts w:eastAsia="MS Mincho;ＭＳ 明朝"/>
                <w:lang w:eastAsia="ja-JP"/>
              </w:rPr>
              <w:t>A007 – Intermediate Assessment*</w:t>
            </w:r>
          </w:p>
        </w:tc>
      </w:tr>
      <w:tr>
        <w:trPr>
          <w:trHeight w:val="315" w:hRule="atLeast"/>
        </w:trPr>
        <w:tc>
          <w:tcPr>
            <w:tcW w:w="5040" w:type="dxa"/>
            <w:tcBorders/>
            <w:shd w:fill="auto" w:val="clear"/>
            <w:vAlign w:val="bottom"/>
          </w:tcPr>
          <w:p>
            <w:pPr>
              <w:pStyle w:val="Normal"/>
              <w:rPr>
                <w:rFonts w:eastAsia="MS Mincho;ＭＳ 明朝"/>
                <w:lang w:eastAsia="ja-JP"/>
              </w:rPr>
            </w:pPr>
            <w:r>
              <w:rPr>
                <w:rFonts w:eastAsia="MS Mincho;ＭＳ 明朝"/>
                <w:lang w:eastAsia="ja-JP"/>
              </w:rPr>
              <w:t>E075 – Geriatric General Assessment Premium</w:t>
            </w:r>
          </w:p>
        </w:tc>
        <w:tc>
          <w:tcPr>
            <w:tcW w:w="5040" w:type="dxa"/>
            <w:tcBorders>
              <w:left w:val="single" w:sz="4" w:space="0" w:color="000000"/>
            </w:tcBorders>
            <w:shd w:fill="auto" w:val="clear"/>
            <w:tcMar>
              <w:left w:w="103" w:type="dxa"/>
            </w:tcMar>
            <w:vAlign w:val="bottom"/>
          </w:tcPr>
          <w:p>
            <w:pPr>
              <w:pStyle w:val="Normal"/>
              <w:rPr>
                <w:rFonts w:eastAsia="MS Mincho;ＭＳ 明朝"/>
                <w:color w:val="000000"/>
                <w:lang w:eastAsia="ja-JP"/>
              </w:rPr>
            </w:pPr>
            <w:r>
              <w:rPr>
                <w:rFonts w:eastAsia="MS Mincho;ＭＳ 明朝"/>
                <w:color w:val="000000"/>
                <w:lang w:val="en-CA" w:eastAsia="ja-JP"/>
              </w:rPr>
              <w:t xml:space="preserve">A903 – </w:t>
            </w:r>
            <w:r>
              <w:rPr>
                <w:rFonts w:eastAsia="MS Mincho;ＭＳ 明朝"/>
                <w:lang w:val="en-CA" w:eastAsia="ja-JP"/>
              </w:rPr>
              <w:t>Pre-operative Assessment</w:t>
            </w:r>
          </w:p>
        </w:tc>
      </w:tr>
      <w:tr>
        <w:trPr>
          <w:trHeight w:val="315" w:hRule="atLeast"/>
        </w:trPr>
        <w:tc>
          <w:tcPr>
            <w:tcW w:w="5040" w:type="dxa"/>
            <w:tcBorders/>
            <w:shd w:fill="auto" w:val="clear"/>
            <w:vAlign w:val="bottom"/>
          </w:tcPr>
          <w:p>
            <w:pPr>
              <w:pStyle w:val="Normal"/>
              <w:rPr>
                <w:rFonts w:eastAsia="MS Mincho;ＭＳ 明朝"/>
                <w:color w:val="000000"/>
                <w:lang w:eastAsia="ja-JP"/>
              </w:rPr>
            </w:pPr>
            <w:r>
              <w:rPr>
                <w:rFonts w:eastAsia="MS Mincho;ＭＳ 明朝"/>
                <w:color w:val="000000"/>
                <w:lang w:eastAsia="ja-JP"/>
              </w:rPr>
              <w:t>G212 – Allergy injection alone</w:t>
            </w:r>
          </w:p>
        </w:tc>
        <w:tc>
          <w:tcPr>
            <w:tcW w:w="5040" w:type="dxa"/>
            <w:tcBorders>
              <w:left w:val="single" w:sz="4" w:space="0" w:color="000000"/>
            </w:tcBorders>
            <w:shd w:fill="auto" w:val="clear"/>
            <w:tcMar>
              <w:left w:w="103" w:type="dxa"/>
            </w:tcMar>
            <w:vAlign w:val="bottom"/>
          </w:tcPr>
          <w:p>
            <w:pPr>
              <w:pStyle w:val="Normal"/>
              <w:rPr>
                <w:rFonts w:eastAsia="MS Mincho;ＭＳ 明朝"/>
                <w:color w:val="000000"/>
                <w:lang w:eastAsia="ja-JP"/>
              </w:rPr>
            </w:pPr>
            <w:r>
              <w:rPr>
                <w:rFonts w:eastAsia="MS Mincho;ＭＳ 明朝"/>
                <w:color w:val="000000"/>
                <w:lang w:eastAsia="ja-JP"/>
              </w:rPr>
              <w:t>G212 – Allergy injection alone</w:t>
            </w:r>
          </w:p>
        </w:tc>
      </w:tr>
      <w:tr>
        <w:trPr>
          <w:trHeight w:val="315" w:hRule="atLeast"/>
        </w:trPr>
        <w:tc>
          <w:tcPr>
            <w:tcW w:w="5040" w:type="dxa"/>
            <w:tcBorders/>
            <w:shd w:fill="auto" w:val="clear"/>
            <w:vAlign w:val="bottom"/>
          </w:tcPr>
          <w:p>
            <w:pPr>
              <w:pStyle w:val="Normal"/>
              <w:rPr>
                <w:rFonts w:eastAsia="MS Mincho;ＭＳ 明朝"/>
                <w:color w:val="000000"/>
                <w:lang w:eastAsia="ja-JP"/>
              </w:rPr>
            </w:pPr>
            <w:r>
              <w:rPr>
                <w:rFonts w:eastAsia="MS Mincho;ＭＳ 明朝"/>
                <w:color w:val="000000"/>
                <w:lang w:val="en-CA" w:eastAsia="ja-JP"/>
              </w:rPr>
              <w:t>G271 – Anticoagulant supervision</w:t>
            </w:r>
          </w:p>
        </w:tc>
        <w:tc>
          <w:tcPr>
            <w:tcW w:w="5040" w:type="dxa"/>
            <w:tcBorders>
              <w:left w:val="single" w:sz="4" w:space="0" w:color="000000"/>
            </w:tcBorders>
            <w:shd w:fill="auto" w:val="clear"/>
            <w:tcMar>
              <w:left w:w="103" w:type="dxa"/>
            </w:tcMar>
            <w:vAlign w:val="bottom"/>
          </w:tcPr>
          <w:p>
            <w:pPr>
              <w:pStyle w:val="Normal"/>
              <w:rPr>
                <w:rFonts w:eastAsia="MS Mincho;ＭＳ 明朝"/>
                <w:color w:val="000000"/>
                <w:lang w:eastAsia="ja-JP"/>
              </w:rPr>
            </w:pPr>
            <w:r>
              <w:rPr>
                <w:rFonts w:eastAsia="MS Mincho;ＭＳ 明朝"/>
                <w:color w:val="000000"/>
                <w:lang w:val="en-CA" w:eastAsia="ja-JP"/>
              </w:rPr>
              <w:t>G271 – Anticoagulant supervision</w:t>
            </w:r>
          </w:p>
        </w:tc>
      </w:tr>
      <w:tr>
        <w:trPr>
          <w:trHeight w:val="315" w:hRule="atLeast"/>
        </w:trPr>
        <w:tc>
          <w:tcPr>
            <w:tcW w:w="5040" w:type="dxa"/>
            <w:tcBorders/>
            <w:shd w:fill="auto" w:val="clear"/>
            <w:vAlign w:val="bottom"/>
          </w:tcPr>
          <w:p>
            <w:pPr>
              <w:pStyle w:val="Normal"/>
              <w:rPr>
                <w:rFonts w:eastAsia="MS Mincho;ＭＳ 明朝"/>
                <w:color w:val="000000"/>
                <w:lang w:eastAsia="ja-JP"/>
              </w:rPr>
            </w:pPr>
            <w:r>
              <w:rPr>
                <w:rFonts w:eastAsia="MS Mincho;ＭＳ 明朝"/>
                <w:color w:val="000000"/>
                <w:lang w:eastAsia="ja-JP"/>
              </w:rPr>
              <w:t>G372 – Injection with visit</w:t>
            </w:r>
          </w:p>
        </w:tc>
        <w:tc>
          <w:tcPr>
            <w:tcW w:w="5040" w:type="dxa"/>
            <w:tcBorders>
              <w:left w:val="single" w:sz="4" w:space="0" w:color="000000"/>
            </w:tcBorders>
            <w:shd w:fill="auto" w:val="clear"/>
            <w:tcMar>
              <w:left w:w="103" w:type="dxa"/>
            </w:tcMar>
            <w:vAlign w:val="bottom"/>
          </w:tcPr>
          <w:p>
            <w:pPr>
              <w:pStyle w:val="Normal"/>
              <w:rPr>
                <w:rFonts w:eastAsia="MS Mincho;ＭＳ 明朝"/>
                <w:color w:val="000000"/>
                <w:lang w:eastAsia="ja-JP"/>
              </w:rPr>
            </w:pPr>
            <w:r>
              <w:rPr>
                <w:rFonts w:eastAsia="MS Mincho;ＭＳ 明朝"/>
                <w:color w:val="000000"/>
                <w:lang w:eastAsia="ja-JP"/>
              </w:rPr>
              <w:t>G372 – Injection with visit</w:t>
            </w:r>
          </w:p>
        </w:tc>
      </w:tr>
      <w:tr>
        <w:trPr>
          <w:trHeight w:val="315" w:hRule="atLeast"/>
        </w:trPr>
        <w:tc>
          <w:tcPr>
            <w:tcW w:w="5040" w:type="dxa"/>
            <w:tcBorders/>
            <w:shd w:fill="auto" w:val="clear"/>
            <w:vAlign w:val="bottom"/>
          </w:tcPr>
          <w:p>
            <w:pPr>
              <w:pStyle w:val="Normal"/>
              <w:rPr>
                <w:rFonts w:eastAsia="MS Mincho;ＭＳ 明朝"/>
                <w:color w:val="000000"/>
                <w:lang w:eastAsia="ja-JP"/>
              </w:rPr>
            </w:pPr>
            <w:r>
              <w:rPr>
                <w:rFonts w:eastAsia="MS Mincho;ＭＳ 明朝"/>
                <w:color w:val="000000"/>
                <w:lang w:eastAsia="ja-JP"/>
              </w:rPr>
              <w:t>G373 – Injection sole reason</w:t>
            </w:r>
          </w:p>
        </w:tc>
        <w:tc>
          <w:tcPr>
            <w:tcW w:w="5040" w:type="dxa"/>
            <w:tcBorders>
              <w:left w:val="single" w:sz="4" w:space="0" w:color="000000"/>
            </w:tcBorders>
            <w:shd w:fill="auto" w:val="clear"/>
            <w:tcMar>
              <w:left w:w="103" w:type="dxa"/>
            </w:tcMar>
            <w:vAlign w:val="bottom"/>
          </w:tcPr>
          <w:p>
            <w:pPr>
              <w:pStyle w:val="Normal"/>
              <w:rPr>
                <w:rFonts w:eastAsia="MS Mincho;ＭＳ 明朝"/>
                <w:color w:val="000000"/>
                <w:lang w:eastAsia="ja-JP"/>
              </w:rPr>
            </w:pPr>
            <w:r>
              <w:rPr>
                <w:rFonts w:eastAsia="MS Mincho;ＭＳ 明朝"/>
                <w:color w:val="000000"/>
                <w:lang w:eastAsia="ja-JP"/>
              </w:rPr>
              <w:t>G373 – Injection sole reason</w:t>
            </w:r>
          </w:p>
        </w:tc>
      </w:tr>
      <w:tr>
        <w:trPr>
          <w:trHeight w:val="315" w:hRule="atLeast"/>
        </w:trPr>
        <w:tc>
          <w:tcPr>
            <w:tcW w:w="5040" w:type="dxa"/>
            <w:tcBorders/>
            <w:shd w:fill="auto" w:val="clear"/>
            <w:vAlign w:val="bottom"/>
          </w:tcPr>
          <w:p>
            <w:pPr>
              <w:pStyle w:val="Normal"/>
              <w:rPr>
                <w:rFonts w:eastAsia="MS Mincho;ＭＳ 明朝"/>
                <w:lang w:eastAsia="ja-JP"/>
              </w:rPr>
            </w:pPr>
            <w:r>
              <w:rPr>
                <w:rFonts w:eastAsia="MS Mincho;ＭＳ 明朝"/>
                <w:lang w:eastAsia="ja-JP"/>
              </w:rPr>
              <w:t>G365 – Pap Test</w:t>
            </w:r>
          </w:p>
        </w:tc>
        <w:tc>
          <w:tcPr>
            <w:tcW w:w="5040" w:type="dxa"/>
            <w:tcBorders>
              <w:left w:val="single" w:sz="4" w:space="0" w:color="000000"/>
            </w:tcBorders>
            <w:shd w:fill="auto" w:val="clear"/>
            <w:tcMar>
              <w:left w:w="103" w:type="dxa"/>
            </w:tcMar>
            <w:vAlign w:val="bottom"/>
          </w:tcPr>
          <w:p>
            <w:pPr>
              <w:pStyle w:val="Normal"/>
              <w:rPr>
                <w:rFonts w:eastAsia="MS Mincho;ＭＳ 明朝"/>
                <w:lang w:eastAsia="ja-JP"/>
              </w:rPr>
            </w:pPr>
            <w:r>
              <w:rPr>
                <w:rFonts w:eastAsia="MS Mincho;ＭＳ 明朝"/>
                <w:lang w:eastAsia="ja-JP"/>
              </w:rPr>
              <w:t>G365 – Pap Test</w:t>
            </w:r>
          </w:p>
        </w:tc>
      </w:tr>
      <w:tr>
        <w:trPr>
          <w:trHeight w:val="315" w:hRule="atLeast"/>
        </w:trPr>
        <w:tc>
          <w:tcPr>
            <w:tcW w:w="5040" w:type="dxa"/>
            <w:tcBorders/>
            <w:shd w:fill="auto" w:val="clear"/>
            <w:vAlign w:val="bottom"/>
          </w:tcPr>
          <w:p>
            <w:pPr>
              <w:pStyle w:val="Normal"/>
              <w:rPr>
                <w:rFonts w:eastAsia="MS Mincho;ＭＳ 明朝"/>
                <w:lang w:eastAsia="ja-JP"/>
              </w:rPr>
            </w:pPr>
            <w:r>
              <w:rPr>
                <w:rFonts w:eastAsia="MS Mincho;ＭＳ 明朝"/>
                <w:lang w:eastAsia="ja-JP"/>
              </w:rPr>
              <w:t>G538 – Immunization with visit</w:t>
            </w:r>
          </w:p>
        </w:tc>
        <w:tc>
          <w:tcPr>
            <w:tcW w:w="5040" w:type="dxa"/>
            <w:tcBorders>
              <w:left w:val="single" w:sz="4" w:space="0" w:color="000000"/>
            </w:tcBorders>
            <w:shd w:fill="auto" w:val="clear"/>
            <w:tcMar>
              <w:left w:w="103" w:type="dxa"/>
            </w:tcMar>
            <w:vAlign w:val="bottom"/>
          </w:tcPr>
          <w:p>
            <w:pPr>
              <w:pStyle w:val="Normal"/>
              <w:rPr>
                <w:rFonts w:eastAsia="MS Mincho;ＭＳ 明朝"/>
                <w:lang w:eastAsia="ja-JP"/>
              </w:rPr>
            </w:pPr>
            <w:r>
              <w:rPr>
                <w:rFonts w:eastAsia="MS Mincho;ＭＳ 明朝"/>
                <w:lang w:eastAsia="ja-JP"/>
              </w:rPr>
              <w:t>G538 – Immunization with visit</w:t>
            </w:r>
          </w:p>
        </w:tc>
      </w:tr>
      <w:tr>
        <w:trPr>
          <w:trHeight w:val="315" w:hRule="atLeast"/>
        </w:trPr>
        <w:tc>
          <w:tcPr>
            <w:tcW w:w="5040" w:type="dxa"/>
            <w:tcBorders/>
            <w:shd w:fill="auto" w:val="clear"/>
            <w:vAlign w:val="bottom"/>
          </w:tcPr>
          <w:p>
            <w:pPr>
              <w:pStyle w:val="Normal"/>
              <w:rPr>
                <w:rFonts w:eastAsia="MS Mincho;ＭＳ 明朝"/>
                <w:lang w:eastAsia="ja-JP"/>
              </w:rPr>
            </w:pPr>
            <w:r>
              <w:rPr>
                <w:rFonts w:eastAsia="MS Mincho;ＭＳ 明朝"/>
                <w:lang w:eastAsia="ja-JP"/>
              </w:rPr>
              <w:t>G539 – Immunization - sole reason</w:t>
            </w:r>
          </w:p>
        </w:tc>
        <w:tc>
          <w:tcPr>
            <w:tcW w:w="5040" w:type="dxa"/>
            <w:tcBorders>
              <w:left w:val="single" w:sz="4" w:space="0" w:color="000000"/>
            </w:tcBorders>
            <w:shd w:fill="auto" w:val="clear"/>
            <w:tcMar>
              <w:left w:w="103" w:type="dxa"/>
            </w:tcMar>
            <w:vAlign w:val="bottom"/>
          </w:tcPr>
          <w:p>
            <w:pPr>
              <w:pStyle w:val="Normal"/>
              <w:rPr>
                <w:rFonts w:eastAsia="MS Mincho;ＭＳ 明朝"/>
                <w:lang w:eastAsia="ja-JP"/>
              </w:rPr>
            </w:pPr>
            <w:r>
              <w:rPr>
                <w:rFonts w:eastAsia="MS Mincho;ＭＳ 明朝"/>
                <w:lang w:eastAsia="ja-JP"/>
              </w:rPr>
              <w:t>G539 – Immunization - sole reason</w:t>
            </w:r>
          </w:p>
        </w:tc>
      </w:tr>
      <w:tr>
        <w:trPr>
          <w:trHeight w:val="315" w:hRule="atLeast"/>
        </w:trPr>
        <w:tc>
          <w:tcPr>
            <w:tcW w:w="5040" w:type="dxa"/>
            <w:tcBorders/>
            <w:shd w:fill="auto" w:val="clear"/>
            <w:vAlign w:val="bottom"/>
          </w:tcPr>
          <w:p>
            <w:pPr>
              <w:pStyle w:val="Normal"/>
              <w:rPr>
                <w:rFonts w:eastAsia="MS Mincho;ＭＳ 明朝"/>
                <w:lang w:eastAsia="ja-JP"/>
              </w:rPr>
            </w:pPr>
            <w:r>
              <w:rPr>
                <w:rFonts w:eastAsia="MS Mincho;ＭＳ 明朝"/>
                <w:lang w:eastAsia="ja-JP"/>
              </w:rPr>
              <w:t>G590 – Influenza immunization - with visit</w:t>
            </w:r>
          </w:p>
        </w:tc>
        <w:tc>
          <w:tcPr>
            <w:tcW w:w="5040" w:type="dxa"/>
            <w:tcBorders>
              <w:left w:val="single" w:sz="4" w:space="0" w:color="000000"/>
            </w:tcBorders>
            <w:shd w:fill="auto" w:val="clear"/>
            <w:tcMar>
              <w:left w:w="103" w:type="dxa"/>
            </w:tcMar>
            <w:vAlign w:val="bottom"/>
          </w:tcPr>
          <w:p>
            <w:pPr>
              <w:pStyle w:val="Normal"/>
              <w:rPr>
                <w:rFonts w:eastAsia="MS Mincho;ＭＳ 明朝"/>
                <w:lang w:eastAsia="ja-JP"/>
              </w:rPr>
            </w:pPr>
            <w:r>
              <w:rPr>
                <w:rFonts w:eastAsia="MS Mincho;ＭＳ 明朝"/>
                <w:lang w:eastAsia="ja-JP"/>
              </w:rPr>
              <w:t>G590 – Influenza immunization - with visit</w:t>
            </w:r>
          </w:p>
        </w:tc>
      </w:tr>
      <w:tr>
        <w:trPr>
          <w:trHeight w:val="315" w:hRule="atLeast"/>
        </w:trPr>
        <w:tc>
          <w:tcPr>
            <w:tcW w:w="5040" w:type="dxa"/>
            <w:tcBorders/>
            <w:shd w:fill="auto" w:val="clear"/>
            <w:vAlign w:val="bottom"/>
          </w:tcPr>
          <w:p>
            <w:pPr>
              <w:pStyle w:val="Normal"/>
              <w:rPr>
                <w:rFonts w:eastAsia="MS Mincho;ＭＳ 明朝"/>
                <w:lang w:eastAsia="ja-JP"/>
              </w:rPr>
            </w:pPr>
            <w:r>
              <w:rPr>
                <w:rFonts w:eastAsia="MS Mincho;ＭＳ 明朝"/>
                <w:lang w:eastAsia="ja-JP"/>
              </w:rPr>
              <w:t>G591 – Influenza immunization - sole reason</w:t>
            </w:r>
          </w:p>
        </w:tc>
        <w:tc>
          <w:tcPr>
            <w:tcW w:w="5040" w:type="dxa"/>
            <w:tcBorders>
              <w:left w:val="single" w:sz="4" w:space="0" w:color="000000"/>
            </w:tcBorders>
            <w:shd w:fill="auto" w:val="clear"/>
            <w:tcMar>
              <w:left w:w="103" w:type="dxa"/>
            </w:tcMar>
            <w:vAlign w:val="bottom"/>
          </w:tcPr>
          <w:p>
            <w:pPr>
              <w:pStyle w:val="Normal"/>
              <w:rPr>
                <w:rFonts w:eastAsia="MS Mincho;ＭＳ 明朝"/>
                <w:lang w:eastAsia="ja-JP"/>
              </w:rPr>
            </w:pPr>
            <w:r>
              <w:rPr>
                <w:rFonts w:eastAsia="MS Mincho;ＭＳ 明朝"/>
                <w:lang w:eastAsia="ja-JP"/>
              </w:rPr>
              <w:t>G591 – Influenza immunization - sole reason</w:t>
            </w:r>
          </w:p>
        </w:tc>
      </w:tr>
      <w:tr>
        <w:trPr>
          <w:trHeight w:val="315" w:hRule="atLeast"/>
        </w:trPr>
        <w:tc>
          <w:tcPr>
            <w:tcW w:w="5040" w:type="dxa"/>
            <w:tcBorders/>
            <w:shd w:fill="auto" w:val="clear"/>
            <w:vAlign w:val="bottom"/>
          </w:tcPr>
          <w:p>
            <w:pPr>
              <w:pStyle w:val="Normal"/>
              <w:rPr>
                <w:rFonts w:eastAsia="MS Mincho;ＭＳ 明朝"/>
                <w:lang w:eastAsia="ja-JP"/>
              </w:rPr>
            </w:pPr>
            <w:r>
              <w:rPr>
                <w:rFonts w:eastAsia="MS Mincho;ＭＳ 明朝"/>
                <w:lang w:eastAsia="ja-JP"/>
              </w:rPr>
              <w:t>K005 – Primary Mental Health Care</w:t>
            </w:r>
          </w:p>
        </w:tc>
        <w:tc>
          <w:tcPr>
            <w:tcW w:w="5040" w:type="dxa"/>
            <w:tcBorders>
              <w:left w:val="single" w:sz="4" w:space="0" w:color="000000"/>
            </w:tcBorders>
            <w:shd w:fill="auto" w:val="clear"/>
            <w:tcMar>
              <w:left w:w="103" w:type="dxa"/>
            </w:tcMar>
            <w:vAlign w:val="bottom"/>
          </w:tcPr>
          <w:p>
            <w:pPr>
              <w:pStyle w:val="Normal"/>
              <w:rPr>
                <w:rFonts w:eastAsia="MS Mincho;ＭＳ 明朝"/>
                <w:lang w:eastAsia="ja-JP"/>
              </w:rPr>
            </w:pPr>
            <w:r>
              <w:rPr>
                <w:rFonts w:eastAsia="MS Mincho;ＭＳ 明朝"/>
                <w:lang w:eastAsia="ja-JP"/>
              </w:rPr>
              <w:t>K005 – Primary Mental Health Care</w:t>
            </w:r>
          </w:p>
        </w:tc>
      </w:tr>
      <w:tr>
        <w:trPr>
          <w:trHeight w:val="315" w:hRule="atLeast"/>
        </w:trPr>
        <w:tc>
          <w:tcPr>
            <w:tcW w:w="5040" w:type="dxa"/>
            <w:tcBorders/>
            <w:shd w:fill="auto" w:val="clear"/>
            <w:vAlign w:val="bottom"/>
          </w:tcPr>
          <w:p>
            <w:pPr>
              <w:pStyle w:val="Normal"/>
              <w:rPr>
                <w:rFonts w:eastAsia="MS Mincho;ＭＳ 明朝"/>
                <w:lang w:eastAsia="ja-JP"/>
              </w:rPr>
            </w:pPr>
            <w:r>
              <w:rPr>
                <w:rFonts w:eastAsia="MS Mincho;ＭＳ 明朝"/>
                <w:lang w:eastAsia="ja-JP"/>
              </w:rPr>
              <w:t>K013 – Counseling – Individual Care</w:t>
            </w:r>
          </w:p>
        </w:tc>
        <w:tc>
          <w:tcPr>
            <w:tcW w:w="5040" w:type="dxa"/>
            <w:tcBorders>
              <w:left w:val="single" w:sz="4" w:space="0" w:color="000000"/>
            </w:tcBorders>
            <w:shd w:fill="auto" w:val="clear"/>
            <w:tcMar>
              <w:left w:w="103" w:type="dxa"/>
            </w:tcMar>
            <w:vAlign w:val="bottom"/>
          </w:tcPr>
          <w:p>
            <w:pPr>
              <w:pStyle w:val="Normal"/>
              <w:rPr>
                <w:rFonts w:eastAsia="MS Mincho;ＭＳ 明朝"/>
                <w:lang w:eastAsia="ja-JP"/>
              </w:rPr>
            </w:pPr>
            <w:r>
              <w:rPr>
                <w:rFonts w:eastAsia="MS Mincho;ＭＳ 明朝"/>
                <w:lang w:eastAsia="ja-JP"/>
              </w:rPr>
              <w:t>K013 – Counseling – Individual Care</w:t>
            </w:r>
          </w:p>
        </w:tc>
      </w:tr>
      <w:tr>
        <w:trPr>
          <w:trHeight w:val="468" w:hRule="atLeast"/>
        </w:trPr>
        <w:tc>
          <w:tcPr>
            <w:tcW w:w="5040" w:type="dxa"/>
            <w:tcBorders/>
            <w:shd w:fill="auto" w:val="clear"/>
            <w:vAlign w:val="bottom"/>
          </w:tcPr>
          <w:p>
            <w:pPr>
              <w:pStyle w:val="Normal"/>
              <w:rPr>
                <w:rFonts w:eastAsia="MS Mincho;ＭＳ 明朝"/>
                <w:lang w:eastAsia="ja-JP"/>
              </w:rPr>
            </w:pPr>
            <w:r>
              <w:rPr>
                <w:rFonts w:eastAsia="MS Mincho;ＭＳ 明朝"/>
                <w:lang w:eastAsia="ja-JP"/>
              </w:rPr>
              <w:t>K017 – Annual Health Exam – Child after second birthday</w:t>
            </w:r>
          </w:p>
        </w:tc>
        <w:tc>
          <w:tcPr>
            <w:tcW w:w="5040" w:type="dxa"/>
            <w:tcBorders>
              <w:left w:val="single" w:sz="4" w:space="0" w:color="000000"/>
            </w:tcBorders>
            <w:shd w:fill="auto" w:val="clear"/>
            <w:tcMar>
              <w:left w:w="103" w:type="dxa"/>
            </w:tcMar>
            <w:vAlign w:val="bottom"/>
          </w:tcPr>
          <w:p>
            <w:pPr>
              <w:pStyle w:val="Normal"/>
              <w:rPr>
                <w:rFonts w:eastAsia="MS Mincho;ＭＳ 明朝"/>
                <w:lang w:eastAsia="ja-JP"/>
              </w:rPr>
            </w:pPr>
            <w:r>
              <w:rPr>
                <w:rFonts w:eastAsia="MS Mincho;ＭＳ 明朝"/>
                <w:lang w:eastAsia="ja-JP"/>
              </w:rPr>
              <w:t>K017 – Annual Health Exam – Child after second birthday*</w:t>
            </w:r>
          </w:p>
        </w:tc>
      </w:tr>
      <w:tr>
        <w:trPr>
          <w:trHeight w:val="315" w:hRule="atLeast"/>
        </w:trPr>
        <w:tc>
          <w:tcPr>
            <w:tcW w:w="5040" w:type="dxa"/>
            <w:tcBorders/>
            <w:shd w:fill="auto" w:val="clear"/>
          </w:tcPr>
          <w:p>
            <w:pPr>
              <w:pStyle w:val="Normal"/>
              <w:rPr>
                <w:rFonts w:eastAsia="MS Mincho;ＭＳ 明朝"/>
                <w:color w:val="000000"/>
                <w:lang w:eastAsia="ja-JP"/>
              </w:rPr>
            </w:pPr>
            <w:r>
              <w:rPr>
                <w:rFonts w:eastAsia="MS Mincho;ＭＳ 明朝"/>
                <w:color w:val="000000"/>
                <w:lang w:val="en-CA" w:eastAsia="ja-JP"/>
              </w:rPr>
              <w:t>P004 – Minor prenatal assessment</w:t>
            </w:r>
          </w:p>
        </w:tc>
        <w:tc>
          <w:tcPr>
            <w:tcW w:w="5040" w:type="dxa"/>
            <w:tcBorders>
              <w:left w:val="single" w:sz="4" w:space="0" w:color="000000"/>
            </w:tcBorders>
            <w:shd w:fill="auto" w:val="clear"/>
            <w:tcMar>
              <w:left w:w="103" w:type="dxa"/>
            </w:tcMar>
            <w:vAlign w:val="bottom"/>
          </w:tcPr>
          <w:p>
            <w:pPr>
              <w:pStyle w:val="Normal"/>
              <w:rPr>
                <w:rFonts w:eastAsia="MS Mincho;ＭＳ 明朝"/>
                <w:lang w:eastAsia="ja-JP"/>
              </w:rPr>
            </w:pPr>
            <w:r>
              <w:rPr>
                <w:rFonts w:eastAsia="MS Mincho;ＭＳ 明朝"/>
                <w:lang w:eastAsia="ja-JP"/>
              </w:rPr>
              <w:t>K267 – Annual Health Exam – Child after second birthday (billed by pediatrician)*</w:t>
            </w:r>
          </w:p>
        </w:tc>
      </w:tr>
      <w:tr>
        <w:trPr>
          <w:trHeight w:val="315" w:hRule="atLeast"/>
        </w:trPr>
        <w:tc>
          <w:tcPr>
            <w:tcW w:w="5040" w:type="dxa"/>
            <w:tcBorders/>
            <w:shd w:fill="auto" w:val="clear"/>
            <w:vAlign w:val="bottom"/>
          </w:tcPr>
          <w:p>
            <w:pPr>
              <w:pStyle w:val="Normal"/>
              <w:snapToGrid w:val="false"/>
              <w:rPr>
                <w:rFonts w:ascii="Arial" w:hAnsi="Arial" w:eastAsia="MS Mincho;ＭＳ 明朝" w:cs="Arial"/>
                <w:sz w:val="20"/>
                <w:szCs w:val="20"/>
                <w:lang w:eastAsia="ja-JP"/>
              </w:rPr>
            </w:pPr>
            <w:r>
              <w:rPr>
                <w:rFonts w:eastAsia="MS Mincho;ＭＳ 明朝" w:cs="Arial" w:ascii="Arial" w:hAnsi="Arial"/>
                <w:sz w:val="20"/>
                <w:szCs w:val="20"/>
                <w:lang w:eastAsia="ja-JP"/>
              </w:rPr>
            </w:r>
          </w:p>
        </w:tc>
        <w:tc>
          <w:tcPr>
            <w:tcW w:w="5040" w:type="dxa"/>
            <w:tcBorders>
              <w:left w:val="single" w:sz="4" w:space="0" w:color="000000"/>
            </w:tcBorders>
            <w:shd w:fill="auto" w:val="clear"/>
            <w:tcMar>
              <w:left w:w="103" w:type="dxa"/>
            </w:tcMar>
            <w:vAlign w:val="bottom"/>
          </w:tcPr>
          <w:p>
            <w:pPr>
              <w:pStyle w:val="Normal"/>
              <w:rPr>
                <w:rFonts w:eastAsia="MS Mincho;ＭＳ 明朝"/>
                <w:lang w:eastAsia="ja-JP"/>
              </w:rPr>
            </w:pPr>
            <w:r>
              <w:rPr>
                <w:rFonts w:eastAsia="MS Mincho;ＭＳ 明朝"/>
                <w:lang w:eastAsia="ja-JP"/>
              </w:rPr>
              <w:t>K269 – Annual Adolescent Health Exam (billed by pediatrician)*</w:t>
            </w:r>
          </w:p>
        </w:tc>
      </w:tr>
      <w:tr>
        <w:trPr>
          <w:trHeight w:val="315" w:hRule="atLeast"/>
        </w:trPr>
        <w:tc>
          <w:tcPr>
            <w:tcW w:w="5040" w:type="dxa"/>
            <w:tcBorders>
              <w:bottom w:val="single" w:sz="4" w:space="0" w:color="000000"/>
              <w:insideH w:val="single" w:sz="4" w:space="0" w:color="000000"/>
            </w:tcBorders>
            <w:shd w:fill="auto" w:val="clear"/>
            <w:vAlign w:val="bottom"/>
          </w:tcPr>
          <w:p>
            <w:pPr>
              <w:pStyle w:val="Normal"/>
              <w:snapToGrid w:val="false"/>
              <w:rPr>
                <w:rFonts w:ascii="Arial" w:hAnsi="Arial" w:eastAsia="MS Mincho;ＭＳ 明朝" w:cs="Arial"/>
                <w:sz w:val="20"/>
                <w:szCs w:val="20"/>
                <w:lang w:eastAsia="ja-JP"/>
              </w:rPr>
            </w:pPr>
            <w:r>
              <w:rPr>
                <w:rFonts w:eastAsia="MS Mincho;ＭＳ 明朝" w:cs="Arial" w:ascii="Arial" w:hAnsi="Arial"/>
                <w:sz w:val="20"/>
                <w:szCs w:val="20"/>
                <w:lang w:eastAsia="ja-JP"/>
              </w:rPr>
            </w:r>
          </w:p>
        </w:tc>
        <w:tc>
          <w:tcPr>
            <w:tcW w:w="504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rFonts w:eastAsia="MS Mincho;ＭＳ 明朝"/>
                <w:color w:val="000000"/>
                <w:lang w:eastAsia="ja-JP"/>
              </w:rPr>
            </w:pPr>
            <w:r>
              <w:rPr>
                <w:rFonts w:eastAsia="MS Mincho;ＭＳ 明朝"/>
                <w:color w:val="000000"/>
                <w:lang w:val="en-CA" w:eastAsia="ja-JP"/>
              </w:rPr>
              <w:t>P004 – Minor prenatal assessment</w:t>
            </w:r>
          </w:p>
        </w:tc>
      </w:tr>
    </w:tbl>
    <w:p>
      <w:pPr>
        <w:pStyle w:val="Normal"/>
        <w:tabs>
          <w:tab w:val="right" w:pos="360" w:leader="none"/>
          <w:tab w:val="left" w:pos="540" w:leader="none"/>
        </w:tabs>
        <w:ind w:left="540" w:hanging="540"/>
        <w:rPr>
          <w:color w:val="000000"/>
          <w:lang w:val="en-CA"/>
        </w:rPr>
      </w:pPr>
      <w:bookmarkStart w:id="34" w:name="OLE_LINK3"/>
      <w:bookmarkStart w:id="35" w:name="OLE_LINK2"/>
      <w:bookmarkStart w:id="36" w:name="OLE_LINK1"/>
      <w:bookmarkEnd w:id="34"/>
      <w:bookmarkEnd w:id="35"/>
      <w:bookmarkEnd w:id="36"/>
      <w:r>
        <w:rPr>
          <w:color w:val="000000"/>
          <w:lang w:val="en-CA"/>
        </w:rPr>
        <w:t>*PC codes used to identify PC paediatricians.</w:t>
      </w:r>
      <w:r>
        <w:br w:type="page"/>
      </w:r>
    </w:p>
    <w:p>
      <w:pPr>
        <w:pStyle w:val="Normal"/>
        <w:rPr/>
      </w:pPr>
      <w:r>
        <w:rPr/>
        <w:t>Appendix B - Glossary of terms</w:t>
      </w:r>
    </w:p>
    <w:p>
      <w:pPr>
        <w:pStyle w:val="Normal"/>
        <w:rPr/>
      </w:pPr>
      <w:r>
        <w:rPr/>
      </w:r>
    </w:p>
    <w:p>
      <w:pPr>
        <w:pStyle w:val="Normal"/>
        <w:rPr/>
      </w:pPr>
      <w:r>
        <w:rPr/>
        <w:t>Network Terms</w:t>
      </w:r>
    </w:p>
    <w:p>
      <w:pPr>
        <w:pStyle w:val="Normal"/>
        <w:rPr/>
      </w:pPr>
      <w:r>
        <w:rPr/>
      </w:r>
    </w:p>
    <w:p>
      <w:pPr>
        <w:pStyle w:val="ListParagraph"/>
        <w:numPr>
          <w:ilvl w:val="0"/>
          <w:numId w:val="2"/>
        </w:numPr>
        <w:ind w:left="360" w:hanging="360"/>
        <w:rPr/>
      </w:pPr>
      <w:r>
        <w:rPr>
          <w:rFonts w:cs="Times New Roman" w:ascii="Times New Roman" w:hAnsi="Times New Roman"/>
          <w:sz w:val="24"/>
          <w:szCs w:val="24"/>
        </w:rPr>
        <w:t xml:space="preserve">A </w:t>
      </w:r>
      <w:r>
        <w:rPr>
          <w:rFonts w:cs="Times New Roman" w:ascii="Times New Roman" w:hAnsi="Times New Roman"/>
          <w:sz w:val="24"/>
          <w:szCs w:val="24"/>
          <w:u w:val="single"/>
        </w:rPr>
        <w:t>provider cluster</w:t>
      </w:r>
      <w:r>
        <w:rPr>
          <w:rFonts w:cs="Times New Roman" w:ascii="Times New Roman" w:hAnsi="Times New Roman"/>
          <w:sz w:val="24"/>
          <w:szCs w:val="24"/>
        </w:rPr>
        <w:t xml:space="preserve"> comprised the population and physicians, both PC and specialists, linked to a particular hospital. This was the first step in the process.</w:t>
      </w:r>
    </w:p>
    <w:p>
      <w:pPr>
        <w:pStyle w:val="ListParagraph"/>
        <w:numPr>
          <w:ilvl w:val="0"/>
          <w:numId w:val="2"/>
        </w:numPr>
        <w:ind w:left="360" w:hanging="360"/>
        <w:rPr/>
      </w:pPr>
      <w:r>
        <w:rPr>
          <w:rFonts w:cs="Times New Roman" w:ascii="Times New Roman" w:hAnsi="Times New Roman"/>
          <w:sz w:val="24"/>
          <w:szCs w:val="24"/>
        </w:rPr>
        <w:t xml:space="preserve">A </w:t>
      </w:r>
      <w:r>
        <w:rPr>
          <w:rFonts w:cs="Times New Roman" w:ascii="Times New Roman" w:hAnsi="Times New Roman"/>
          <w:sz w:val="24"/>
          <w:szCs w:val="24"/>
          <w:u w:val="single"/>
        </w:rPr>
        <w:t>network</w:t>
      </w:r>
      <w:r>
        <w:rPr>
          <w:rFonts w:cs="Times New Roman" w:ascii="Times New Roman" w:hAnsi="Times New Roman"/>
          <w:sz w:val="24"/>
          <w:szCs w:val="24"/>
        </w:rPr>
        <w:t xml:space="preserve"> was an aggregation of provider clusters based on </w:t>
      </w:r>
      <w:r>
        <w:rPr>
          <w:rFonts w:cs="Times New Roman" w:ascii="Times New Roman" w:hAnsi="Times New Roman"/>
          <w:sz w:val="24"/>
          <w:szCs w:val="24"/>
          <w:lang w:val="en-US"/>
        </w:rPr>
        <w:t>high admission and physician loyalty, close geographic proximity and GIS mapping</w:t>
      </w:r>
      <w:r>
        <w:rPr>
          <w:rFonts w:cs="Times New Roman" w:ascii="Times New Roman" w:hAnsi="Times New Roman"/>
          <w:sz w:val="24"/>
          <w:szCs w:val="24"/>
        </w:rPr>
        <w:t xml:space="preserve"> with a minimum population of 50,000 residents. A network consisted of the combined population, physicians and hospitals linked to its component provider clusters.</w:t>
      </w:r>
    </w:p>
    <w:p>
      <w:pPr>
        <w:pStyle w:val="ListParagraph"/>
        <w:numPr>
          <w:ilvl w:val="0"/>
          <w:numId w:val="2"/>
        </w:numPr>
        <w:ind w:left="360" w:hanging="360"/>
        <w:rPr>
          <w:rFonts w:ascii="Times New Roman" w:hAnsi="Times New Roman" w:cs="Times New Roman"/>
          <w:sz w:val="24"/>
          <w:szCs w:val="24"/>
        </w:rPr>
      </w:pPr>
      <w:r>
        <w:rPr>
          <w:rFonts w:cs="Times New Roman" w:ascii="Times New Roman" w:hAnsi="Times New Roman"/>
          <w:sz w:val="24"/>
          <w:szCs w:val="24"/>
        </w:rPr>
        <w:t xml:space="preserve">A </w:t>
      </w:r>
      <w:r>
        <w:rPr>
          <w:rFonts w:cs="Times New Roman" w:ascii="Times New Roman" w:hAnsi="Times New Roman"/>
          <w:sz w:val="24"/>
          <w:szCs w:val="24"/>
          <w:u w:val="single"/>
        </w:rPr>
        <w:t>satellite network</w:t>
      </w:r>
      <w:r>
        <w:rPr>
          <w:rFonts w:cs="Times New Roman" w:ascii="Times New Roman" w:hAnsi="Times New Roman"/>
          <w:sz w:val="24"/>
          <w:szCs w:val="24"/>
        </w:rPr>
        <w:t xml:space="preserve"> was a collection of small rural provider clusters that were geographically distinct from the large hospital upon which they depended for complex services. T</w:t>
      </w:r>
      <w:r>
        <w:rPr>
          <w:rFonts w:cs="Times New Roman" w:ascii="Times New Roman" w:hAnsi="Times New Roman"/>
          <w:sz w:val="24"/>
          <w:szCs w:val="24"/>
          <w:lang w:val="en-US"/>
        </w:rPr>
        <w:t>he population served and the local services provided were very different from that in the nearest large provider cluster.</w:t>
      </w:r>
    </w:p>
    <w:p>
      <w:pPr>
        <w:pStyle w:val="Normal"/>
        <w:rPr>
          <w:rFonts w:ascii="Times New Roman" w:hAnsi="Times New Roman" w:cs="Times New Roman"/>
          <w:sz w:val="24"/>
          <w:szCs w:val="24"/>
        </w:rPr>
      </w:pPr>
      <w:r>
        <w:rPr>
          <w:rFonts w:cs="Times New Roman"/>
          <w:sz w:val="24"/>
          <w:szCs w:val="24"/>
        </w:rPr>
      </w:r>
    </w:p>
    <w:p>
      <w:pPr>
        <w:pStyle w:val="Normal"/>
        <w:rPr/>
      </w:pPr>
      <w:r>
        <w:rPr/>
        <w:t>Loyalty</w:t>
      </w:r>
    </w:p>
    <w:p>
      <w:pPr>
        <w:pStyle w:val="Normal"/>
        <w:rPr/>
      </w:pPr>
      <w:r>
        <w:rPr/>
      </w:r>
    </w:p>
    <w:p>
      <w:pPr>
        <w:pStyle w:val="Normal"/>
        <w:rPr/>
      </w:pPr>
      <w:r>
        <w:rPr/>
      </w:r>
    </w:p>
    <w:p>
      <w:pPr>
        <w:pStyle w:val="ListParagraph"/>
        <w:numPr>
          <w:ilvl w:val="0"/>
          <w:numId w:val="2"/>
        </w:numPr>
        <w:ind w:left="360" w:hanging="360"/>
        <w:rPr>
          <w:rFonts w:ascii="Times New Roman" w:hAnsi="Times New Roman" w:cs="Times New Roman"/>
          <w:sz w:val="24"/>
          <w:szCs w:val="24"/>
        </w:rPr>
      </w:pPr>
      <w:r>
        <w:rPr>
          <w:rFonts w:cs="Times New Roman" w:ascii="Times New Roman" w:hAnsi="Times New Roman"/>
          <w:sz w:val="24"/>
          <w:szCs w:val="24"/>
          <w:u w:val="single"/>
          <w:lang w:val="en-US"/>
        </w:rPr>
        <w:t>Physician loyalty</w:t>
      </w:r>
      <w:r>
        <w:rPr>
          <w:rFonts w:cs="Times New Roman" w:ascii="Times New Roman" w:hAnsi="Times New Roman"/>
          <w:sz w:val="24"/>
          <w:szCs w:val="24"/>
          <w:lang w:val="en-US"/>
        </w:rPr>
        <w:t xml:space="preserve"> is defined as the percent of a provider cluster (or network) population’s ambulatory visits that were with physicians linked to the cluster (or network)</w:t>
      </w:r>
    </w:p>
    <w:p>
      <w:pPr>
        <w:pStyle w:val="ListParagraph"/>
        <w:numPr>
          <w:ilvl w:val="0"/>
          <w:numId w:val="2"/>
        </w:numPr>
        <w:ind w:left="360" w:hanging="360"/>
        <w:rPr>
          <w:rFonts w:ascii="Times New Roman" w:hAnsi="Times New Roman" w:cs="Times New Roman"/>
          <w:sz w:val="24"/>
          <w:szCs w:val="24"/>
        </w:rPr>
      </w:pPr>
      <w:r>
        <w:rPr>
          <w:rFonts w:cs="Times New Roman" w:ascii="Times New Roman" w:hAnsi="Times New Roman"/>
          <w:sz w:val="24"/>
          <w:szCs w:val="24"/>
          <w:u w:val="single"/>
          <w:lang w:val="en-US"/>
        </w:rPr>
        <w:t>PC loyalty</w:t>
      </w:r>
      <w:r>
        <w:rPr>
          <w:rFonts w:cs="Times New Roman" w:ascii="Times New Roman" w:hAnsi="Times New Roman"/>
          <w:sz w:val="24"/>
          <w:szCs w:val="24"/>
          <w:lang w:val="en-US"/>
        </w:rPr>
        <w:t xml:space="preserve"> is defined as the percent of a provider cluster (or network) population’s ambulatory PC visits that were with PC physicians linked to the cluster (or network).</w:t>
      </w:r>
    </w:p>
    <w:p>
      <w:pPr>
        <w:pStyle w:val="ListParagraph"/>
        <w:numPr>
          <w:ilvl w:val="0"/>
          <w:numId w:val="2"/>
        </w:numPr>
        <w:ind w:left="360" w:hanging="360"/>
        <w:rPr>
          <w:rFonts w:ascii="Times New Roman" w:hAnsi="Times New Roman" w:cs="Times New Roman"/>
          <w:sz w:val="24"/>
          <w:szCs w:val="24"/>
        </w:rPr>
      </w:pPr>
      <w:r>
        <w:rPr>
          <w:rFonts w:cs="Times New Roman" w:ascii="Times New Roman" w:hAnsi="Times New Roman"/>
          <w:sz w:val="24"/>
          <w:szCs w:val="24"/>
          <w:u w:val="single"/>
          <w:lang w:val="en-US"/>
        </w:rPr>
        <w:t>Admission loyalty</w:t>
      </w:r>
      <w:r>
        <w:rPr>
          <w:rFonts w:cs="Times New Roman" w:ascii="Times New Roman" w:hAnsi="Times New Roman"/>
          <w:sz w:val="24"/>
          <w:szCs w:val="24"/>
          <w:lang w:val="en-US"/>
        </w:rPr>
        <w:t xml:space="preserve"> is defined as the percent of a provider cluster (or network) population’s total admissions that were to the linked hospital (or network hospitals)</w:t>
      </w:r>
    </w:p>
    <w:p>
      <w:pPr>
        <w:pStyle w:val="ListParagraph"/>
        <w:numPr>
          <w:ilvl w:val="0"/>
          <w:numId w:val="2"/>
        </w:numPr>
        <w:ind w:left="360" w:hanging="360"/>
        <w:rPr>
          <w:rFonts w:ascii="Times New Roman" w:hAnsi="Times New Roman" w:cs="Times New Roman"/>
          <w:sz w:val="24"/>
          <w:szCs w:val="24"/>
        </w:rPr>
      </w:pPr>
      <w:r>
        <w:rPr>
          <w:rFonts w:cs="Times New Roman" w:ascii="Times New Roman" w:hAnsi="Times New Roman"/>
          <w:sz w:val="24"/>
          <w:szCs w:val="24"/>
          <w:lang w:val="en-US"/>
        </w:rPr>
        <w:t>Similar loyalty measures were computed using network populations.</w:t>
      </w:r>
    </w:p>
    <w:p>
      <w:pPr>
        <w:pStyle w:val="Normal"/>
        <w:rPr>
          <w:rFonts w:ascii="Times New Roman" w:hAnsi="Times New Roman" w:cs="Times New Roman"/>
          <w:sz w:val="24"/>
          <w:szCs w:val="24"/>
        </w:rPr>
      </w:pPr>
      <w:r>
        <w:rPr>
          <w:rFonts w:cs="Times New Roman"/>
          <w:sz w:val="24"/>
          <w:szCs w:val="24"/>
        </w:rPr>
      </w:r>
    </w:p>
    <w:p>
      <w:pPr>
        <w:pStyle w:val="Normal"/>
        <w:rPr/>
      </w:pPr>
      <w:r>
        <w:rPr/>
        <w:t>For the population in network A, network loyalty is computed as:</w:t>
      </w:r>
    </w:p>
    <w:p>
      <w:pPr>
        <w:pStyle w:val="Normal"/>
        <w:rPr>
          <w:lang w:val="en-CA" w:eastAsia="en-CA"/>
        </w:rPr>
      </w:pPr>
      <w:r>
        <w:rPr>
          <w:lang w:val="en-CA" w:eastAsia="en-CA"/>
        </w:rPr>
        <mc:AlternateContent>
          <mc:Choice Requires="wpg">
            <w:drawing>
              <wp:anchor behindDoc="0" distT="0" distB="0" distL="114935" distR="114935" simplePos="0" locked="0" layoutInCell="1" allowOverlap="1" relativeHeight="3">
                <wp:simplePos x="0" y="0"/>
                <wp:positionH relativeFrom="column">
                  <wp:posOffset>-85725</wp:posOffset>
                </wp:positionH>
                <wp:positionV relativeFrom="paragraph">
                  <wp:posOffset>145415</wp:posOffset>
                </wp:positionV>
                <wp:extent cx="6229985" cy="688975"/>
                <wp:effectExtent l="0" t="0" r="0" b="0"/>
                <wp:wrapNone/>
                <wp:docPr id="2" name="Group 7"/>
                <a:graphic xmlns:a="http://schemas.openxmlformats.org/drawingml/2006/main">
                  <a:graphicData uri="http://schemas.microsoft.com/office/word/2010/wordprocessingGroup">
                    <wpg:wgp>
                      <wpg:cNvGrpSpPr/>
                      <wpg:grpSpPr>
                        <a:xfrm>
                          <a:off x="0" y="0"/>
                          <a:ext cx="6229440" cy="688320"/>
                        </a:xfrm>
                      </wpg:grpSpPr>
                      <wps:wsp>
                        <wps:cNvSpPr txBox="1"/>
                        <wps:spPr>
                          <a:xfrm>
                            <a:off x="1860480" y="0"/>
                            <a:ext cx="4368960" cy="688320"/>
                          </a:xfrm>
                          <a:prstGeom prst="rect">
                            <a:avLst/>
                          </a:prstGeom>
                          <a:noFill/>
                          <a:ln>
                            <a:noFill/>
                          </a:ln>
                        </wps:spPr>
                        <wps:txbx>
                          <w:txbxContent>
                            <w:p>
                              <w:pPr>
                                <w:bidi w:val="0"/>
                                <w:spacing w:before="240" w:after="0"/>
                                <w:rPr/>
                              </w:pPr>
                              <w:r>
                                <w:rPr>
                                  <w:sz w:val="20"/>
                                  <w:szCs w:val="20"/>
                                  <w:rFonts w:ascii="Times New Roman" w:hAnsi="Times New Roman" w:eastAsia="MS PGothic" w:cs="Times New Roman"/>
                                  <w:color w:val="000000"/>
                                  <w:lang w:val="en-US" w:bidi="ar-SA"/>
                                </w:rPr>
                                <w:t xml:space="preserve">    No. of  ambulatory visits to physicians in network A</w:t>
                              </w:r>
                            </w:p>
                            <w:p>
                              <w:pPr>
                                <w:bidi w:val="0"/>
                                <w:spacing w:before="240" w:after="0"/>
                                <w:rPr/>
                              </w:pPr>
                              <w:r>
                                <w:rPr>
                                  <w:sz w:val="20"/>
                                  <w:szCs w:val="20"/>
                                  <w:rFonts w:ascii="Times New Roman" w:hAnsi="Times New Roman" w:eastAsia="MS PGothic" w:cs="Times New Roman"/>
                                  <w:color w:val="000000"/>
                                  <w:lang w:val="en-US" w:bidi="ar-SA"/>
                                </w:rPr>
                                <w:t xml:space="preserve">                        No. of  ambulatory visits</w:t>
                              </w:r>
                            </w:p>
                          </w:txbxContent>
                        </wps:txbx>
                        <wps:bodyPr wrap="square">
                          <a:noAutofit/>
                        </wps:bodyPr>
                      </wps:wsp>
                      <wps:wsp>
                        <wps:cNvSpPr/>
                        <wps:spPr>
                          <a:xfrm>
                            <a:off x="1965240" y="412920"/>
                            <a:ext cx="2902680" cy="0"/>
                          </a:xfrm>
                          <a:prstGeom prst="line">
                            <a:avLst/>
                          </a:prstGeom>
                          <a:ln w="9360">
                            <a:solidFill>
                              <a:srgbClr val="000000"/>
                            </a:solidFill>
                            <a:miter/>
                          </a:ln>
                        </wps:spPr>
                        <wps:bodyPr/>
                      </wps:wsp>
                      <wps:wsp>
                        <wps:cNvSpPr txBox="1"/>
                        <wps:spPr>
                          <a:xfrm>
                            <a:off x="0" y="138960"/>
                            <a:ext cx="1859760" cy="539280"/>
                          </a:xfrm>
                          <a:prstGeom prst="rect">
                            <a:avLst/>
                          </a:prstGeom>
                          <a:noFill/>
                          <a:ln>
                            <a:noFill/>
                          </a:ln>
                        </wps:spPr>
                        <wps:txbx>
                          <w:txbxContent>
                            <w:p>
                              <w:pPr>
                                <w:bidi w:val="0"/>
                                <w:spacing w:before="264" w:after="0"/>
                                <w:rPr/>
                              </w:pPr>
                              <w:r>
                                <w:rPr>
                                  <w:sz w:val="20"/>
                                  <w:szCs w:val="20"/>
                                  <w:rFonts w:ascii="Times New Roman" w:hAnsi="Times New Roman" w:eastAsia="MS PGothic" w:cs="Times New Roman"/>
                                  <w:color w:val="000000"/>
                                  <w:lang w:val="en-US" w:bidi="ar-SA"/>
                                </w:rPr>
                                <w:t xml:space="preserve">  Network Physician Loyalty   =     </w:t>
                              </w:r>
                            </w:p>
                          </w:txbxContent>
                        </wps:txbx>
                        <wps:bodyPr wrap="square">
                          <a:noAutofit/>
                        </wps:bodyPr>
                      </wps:wsp>
                    </wpg:wgp>
                  </a:graphicData>
                </a:graphic>
              </wp:anchor>
            </w:drawing>
          </mc:Choice>
          <mc:Fallback>
            <w:pict>
              <v:group id="shape_0" alt="Group 7" style="position:absolute;margin-left:-6.75pt;margin-top:11.45pt;width:490.5pt;height:54.2pt" coordorigin="-135,229" coordsize="9810,1084">
                <v:shapetype id="shapetype_202" coordsize="21600,21600" o:spt="202" path="m,l,21600l21600,21600l21600,xe">
                  <v:stroke joinstyle="miter"/>
                  <v:path gradientshapeok="t" o:connecttype="rect"/>
                </v:shapetype>
                <v:shape id="shape_0" stroked="f" style="position:absolute;left:2795;top:229;width:6879;height:1083" type="shapetype_202">
                  <v:textbox>
                    <w:txbxContent>
                      <w:p>
                        <w:pPr>
                          <w:bidi w:val="0"/>
                          <w:spacing w:before="240" w:after="0"/>
                          <w:rPr/>
                        </w:pPr>
                        <w:r>
                          <w:rPr>
                            <w:sz w:val="20"/>
                            <w:szCs w:val="20"/>
                            <w:rFonts w:ascii="Times New Roman" w:hAnsi="Times New Roman" w:eastAsia="MS PGothic" w:cs="Times New Roman"/>
                            <w:color w:val="000000"/>
                            <w:lang w:val="en-US" w:bidi="ar-SA"/>
                          </w:rPr>
                          <w:t xml:space="preserve">    No. of  ambulatory visits to physicians in network A</w:t>
                        </w:r>
                      </w:p>
                      <w:p>
                        <w:pPr>
                          <w:bidi w:val="0"/>
                          <w:spacing w:before="240" w:after="0"/>
                          <w:rPr/>
                        </w:pPr>
                        <w:r>
                          <w:rPr>
                            <w:sz w:val="20"/>
                            <w:szCs w:val="20"/>
                            <w:rFonts w:ascii="Times New Roman" w:hAnsi="Times New Roman" w:eastAsia="MS PGothic" w:cs="Times New Roman"/>
                            <w:color w:val="000000"/>
                            <w:lang w:val="en-US" w:bidi="ar-SA"/>
                          </w:rPr>
                          <w:t xml:space="preserve">                        No. of  ambulatory visits</w:t>
                        </w:r>
                      </w:p>
                    </w:txbxContent>
                  </v:textbox>
                  <w10:wrap type="square"/>
                  <v:fill on="false" o:detectmouseclick="t"/>
                  <v:stroke color="#3465a4" joinstyle="round" endcap="flat"/>
                </v:shape>
                <v:line id="shape_0" from="2960,879" to="7530,879" ID="Line 6" stroked="t" style="position:absolute">
                  <v:stroke color="black" weight="9360" joinstyle="miter" endcap="square"/>
                  <v:fill on="false" o:detectmouseclick="t"/>
                </v:line>
                <v:shape id="shape_0" stroked="f" style="position:absolute;left:-135;top:448;width:2928;height:848" type="shapetype_202">
                  <v:textbox>
                    <w:txbxContent>
                      <w:p>
                        <w:pPr>
                          <w:bidi w:val="0"/>
                          <w:spacing w:before="264" w:after="0"/>
                          <w:rPr/>
                        </w:pPr>
                        <w:r>
                          <w:rPr>
                            <w:sz w:val="20"/>
                            <w:szCs w:val="20"/>
                            <w:rFonts w:ascii="Times New Roman" w:hAnsi="Times New Roman" w:eastAsia="MS PGothic" w:cs="Times New Roman"/>
                            <w:color w:val="000000"/>
                            <w:lang w:val="en-US" w:bidi="ar-SA"/>
                          </w:rPr>
                          <w:t xml:space="preserve">  Network Physician Loyalty   =     </w:t>
                        </w:r>
                      </w:p>
                    </w:txbxContent>
                  </v:textbox>
                  <w10:wrap type="square"/>
                  <v:fill on="false" o:detectmouseclick="t"/>
                  <v:stroke color="#3465a4" joinstyle="round" endcap="flat"/>
                </v:shape>
              </v:group>
            </w:pict>
          </mc:Fallback>
        </mc:AlternateContent>
      </w:r>
    </w:p>
    <w:p>
      <w:pPr>
        <w:pStyle w:val="Normal"/>
        <w:rPr/>
      </w:pPr>
      <w:r>
        <w:rPr/>
      </w:r>
    </w:p>
    <w:p>
      <w:pPr>
        <w:pStyle w:val="Normal"/>
        <w:rPr/>
      </w:pPr>
      <w:r>
        <w:rPr/>
      </w:r>
    </w:p>
    <w:p>
      <w:pPr>
        <w:pStyle w:val="Normal"/>
        <w:rPr/>
      </w:pPr>
      <w:r>
        <w:rPr/>
      </w:r>
    </w:p>
    <w:p>
      <w:pPr>
        <w:pStyle w:val="Normal"/>
        <w:rPr>
          <w:lang w:val="en-CA" w:eastAsia="en-CA"/>
        </w:rPr>
      </w:pPr>
      <w:r>
        <w:rPr>
          <w:lang w:val="en-CA" w:eastAsia="en-CA"/>
        </w:rPr>
        <mc:AlternateContent>
          <mc:Choice Requires="wpg">
            <w:drawing>
              <wp:anchor behindDoc="0" distT="0" distB="0" distL="114935" distR="114935" simplePos="0" locked="0" layoutInCell="1" allowOverlap="1" relativeHeight="4">
                <wp:simplePos x="0" y="0"/>
                <wp:positionH relativeFrom="column">
                  <wp:posOffset>-28575</wp:posOffset>
                </wp:positionH>
                <wp:positionV relativeFrom="paragraph">
                  <wp:posOffset>413385</wp:posOffset>
                </wp:positionV>
                <wp:extent cx="5346700" cy="688975"/>
                <wp:effectExtent l="0" t="0" r="0" b="0"/>
                <wp:wrapNone/>
                <wp:docPr id="3" name="Group 1"/>
                <a:graphic xmlns:a="http://schemas.openxmlformats.org/drawingml/2006/main">
                  <a:graphicData uri="http://schemas.microsoft.com/office/word/2010/wordprocessingGroup">
                    <wpg:wgp>
                      <wpg:cNvGrpSpPr/>
                      <wpg:grpSpPr>
                        <a:xfrm>
                          <a:off x="0" y="0"/>
                          <a:ext cx="5346000" cy="688320"/>
                        </a:xfrm>
                      </wpg:grpSpPr>
                      <wps:wsp>
                        <wps:cNvSpPr txBox="1"/>
                        <wps:spPr>
                          <a:xfrm>
                            <a:off x="1303560" y="0"/>
                            <a:ext cx="4042440" cy="688320"/>
                          </a:xfrm>
                          <a:prstGeom prst="rect">
                            <a:avLst/>
                          </a:prstGeom>
                          <a:noFill/>
                          <a:ln>
                            <a:noFill/>
                          </a:ln>
                        </wps:spPr>
                        <wps:txbx>
                          <w:txbxContent>
                            <w:p>
                              <w:pPr>
                                <w:bidi w:val="0"/>
                                <w:spacing w:before="240" w:after="0"/>
                                <w:jc w:val="center"/>
                                <w:rPr/>
                              </w:pPr>
                              <w:r>
                                <w:rPr>
                                  <w:sz w:val="20"/>
                                  <w:szCs w:val="20"/>
                                  <w:rFonts w:ascii="Times New Roman" w:hAnsi="Times New Roman" w:eastAsia="MS PGothic" w:cs="Times New Roman"/>
                                  <w:color w:val="000000"/>
                                  <w:lang w:val="en-US" w:bidi="ar-SA"/>
                                </w:rPr>
                                <w:t>No. of ambulatory visits to PC physicians in network A</w:t>
                              </w:r>
                            </w:p>
                            <w:p>
                              <w:pPr>
                                <w:bidi w:val="0"/>
                                <w:spacing w:before="240" w:after="0"/>
                                <w:jc w:val="center"/>
                                <w:rPr/>
                              </w:pPr>
                              <w:r>
                                <w:rPr>
                                  <w:sz w:val="20"/>
                                  <w:szCs w:val="20"/>
                                  <w:rFonts w:ascii="Times New Roman" w:hAnsi="Times New Roman" w:eastAsia="MS PGothic" w:cs="Times New Roman"/>
                                  <w:color w:val="000000"/>
                                  <w:lang w:val="en-US" w:bidi="ar-SA"/>
                                </w:rPr>
                                <w:t>No. of ambulatory visits to PC physicians</w:t>
                              </w:r>
                            </w:p>
                          </w:txbxContent>
                        </wps:txbx>
                        <wps:bodyPr wrap="square">
                          <a:noAutofit/>
                        </wps:bodyPr>
                      </wps:wsp>
                      <wps:wsp>
                        <wps:cNvSpPr/>
                        <wps:spPr>
                          <a:xfrm>
                            <a:off x="1838160" y="412920"/>
                            <a:ext cx="2919600" cy="0"/>
                          </a:xfrm>
                          <a:prstGeom prst="line">
                            <a:avLst/>
                          </a:prstGeom>
                          <a:ln w="9360">
                            <a:solidFill>
                              <a:srgbClr val="000000"/>
                            </a:solidFill>
                            <a:miter/>
                          </a:ln>
                        </wps:spPr>
                        <wps:bodyPr/>
                      </wps:wsp>
                      <wps:wsp>
                        <wps:cNvSpPr txBox="1"/>
                        <wps:spPr>
                          <a:xfrm>
                            <a:off x="0" y="138960"/>
                            <a:ext cx="1752480" cy="539280"/>
                          </a:xfrm>
                          <a:prstGeom prst="rect">
                            <a:avLst/>
                          </a:prstGeom>
                          <a:noFill/>
                          <a:ln>
                            <a:noFill/>
                          </a:ln>
                        </wps:spPr>
                        <wps:txbx>
                          <w:txbxContent>
                            <w:p>
                              <w:pPr>
                                <w:bidi w:val="0"/>
                                <w:spacing w:before="264" w:after="0"/>
                                <w:rPr/>
                              </w:pPr>
                              <w:r>
                                <w:rPr>
                                  <w:sz w:val="20"/>
                                  <w:szCs w:val="20"/>
                                  <w:rFonts w:ascii="Times New Roman" w:hAnsi="Times New Roman" w:eastAsia="MS PGothic" w:cs="Times New Roman"/>
                                  <w:color w:val="000000"/>
                                  <w:lang w:val="en-US" w:bidi="ar-SA"/>
                                </w:rPr>
                                <w:t xml:space="preserve">         Network PC Loyalty    =</w:t>
                              </w:r>
                            </w:p>
                          </w:txbxContent>
                        </wps:txbx>
                        <wps:bodyPr wrap="square">
                          <a:noAutofit/>
                        </wps:bodyPr>
                      </wps:wsp>
                    </wpg:wgp>
                  </a:graphicData>
                </a:graphic>
              </wp:anchor>
            </w:drawing>
          </mc:Choice>
          <mc:Fallback>
            <w:pict>
              <v:group id="shape_0" alt="Group 1" style="position:absolute;margin-left:-2.25pt;margin-top:32.55pt;width:420.95pt;height:54.2pt" coordorigin="-45,651" coordsize="8419,1084">
                <v:shape id="shape_0" stroked="f" style="position:absolute;left:2008;top:651;width:6365;height:1083" type="shapetype_202">
                  <v:textbox>
                    <w:txbxContent>
                      <w:p>
                        <w:pPr>
                          <w:bidi w:val="0"/>
                          <w:spacing w:before="240" w:after="0"/>
                          <w:jc w:val="center"/>
                          <w:rPr/>
                        </w:pPr>
                        <w:r>
                          <w:rPr>
                            <w:sz w:val="20"/>
                            <w:szCs w:val="20"/>
                            <w:rFonts w:ascii="Times New Roman" w:hAnsi="Times New Roman" w:eastAsia="MS PGothic" w:cs="Times New Roman"/>
                            <w:color w:val="000000"/>
                            <w:lang w:val="en-US" w:bidi="ar-SA"/>
                          </w:rPr>
                          <w:t>No. of ambulatory visits to PC physicians in network A</w:t>
                        </w:r>
                      </w:p>
                      <w:p>
                        <w:pPr>
                          <w:bidi w:val="0"/>
                          <w:spacing w:before="240" w:after="0"/>
                          <w:jc w:val="center"/>
                          <w:rPr/>
                        </w:pPr>
                        <w:r>
                          <w:rPr>
                            <w:sz w:val="20"/>
                            <w:szCs w:val="20"/>
                            <w:rFonts w:ascii="Times New Roman" w:hAnsi="Times New Roman" w:eastAsia="MS PGothic" w:cs="Times New Roman"/>
                            <w:color w:val="000000"/>
                            <w:lang w:val="en-US" w:bidi="ar-SA"/>
                          </w:rPr>
                          <w:t>No. of ambulatory visits to PC physicians</w:t>
                        </w:r>
                      </w:p>
                    </w:txbxContent>
                  </v:textbox>
                  <w10:wrap type="square"/>
                  <v:fill on="false" o:detectmouseclick="t"/>
                  <v:stroke color="#3465a4" joinstyle="round" endcap="flat"/>
                </v:shape>
                <v:line id="shape_0" from="2850,1301" to="7447,1301" ID="Line 6" stroked="t" style="position:absolute">
                  <v:stroke color="black" weight="9360" joinstyle="miter" endcap="square"/>
                  <v:fill on="false" o:detectmouseclick="t"/>
                </v:line>
                <v:shape id="shape_0" stroked="f" style="position:absolute;left:-45;top:870;width:2759;height:848" type="shapetype_202">
                  <v:textbox>
                    <w:txbxContent>
                      <w:p>
                        <w:pPr>
                          <w:bidi w:val="0"/>
                          <w:spacing w:before="264" w:after="0"/>
                          <w:rPr/>
                        </w:pPr>
                        <w:r>
                          <w:rPr>
                            <w:sz w:val="20"/>
                            <w:szCs w:val="20"/>
                            <w:rFonts w:ascii="Times New Roman" w:hAnsi="Times New Roman" w:eastAsia="MS PGothic" w:cs="Times New Roman"/>
                            <w:color w:val="000000"/>
                            <w:lang w:val="en-US" w:bidi="ar-SA"/>
                          </w:rPr>
                          <w:t xml:space="preserve">         Network PC Loyalty    =</w:t>
                        </w:r>
                      </w:p>
                    </w:txbxContent>
                  </v:textbox>
                  <w10:wrap type="square"/>
                  <v:fill on="false" o:detectmouseclick="t"/>
                  <v:stroke color="#3465a4" joinstyle="round" endcap="flat"/>
                </v:shape>
              </v:group>
            </w:pict>
          </mc:Fallback>
        </mc:AlternateContent>
        <mc:AlternateContent>
          <mc:Choice Requires="wpg">
            <w:drawing>
              <wp:anchor behindDoc="0" distT="0" distB="0" distL="114935" distR="114935" simplePos="0" locked="0" layoutInCell="1" allowOverlap="1" relativeHeight="5">
                <wp:simplePos x="0" y="0"/>
                <wp:positionH relativeFrom="column">
                  <wp:posOffset>-28575</wp:posOffset>
                </wp:positionH>
                <wp:positionV relativeFrom="paragraph">
                  <wp:posOffset>1422400</wp:posOffset>
                </wp:positionV>
                <wp:extent cx="5347335" cy="688975"/>
                <wp:effectExtent l="0" t="0" r="0" b="0"/>
                <wp:wrapNone/>
                <wp:docPr id="4" name="Group 9"/>
                <a:graphic xmlns:a="http://schemas.openxmlformats.org/drawingml/2006/main">
                  <a:graphicData uri="http://schemas.microsoft.com/office/word/2010/wordprocessingGroup">
                    <wpg:wgp>
                      <wpg:cNvGrpSpPr/>
                      <wpg:grpSpPr>
                        <a:xfrm>
                          <a:off x="0" y="0"/>
                          <a:ext cx="5346720" cy="688320"/>
                        </a:xfrm>
                      </wpg:grpSpPr>
                      <wps:wsp>
                        <wps:cNvSpPr txBox="1"/>
                        <wps:spPr>
                          <a:xfrm>
                            <a:off x="1838880" y="0"/>
                            <a:ext cx="3507840" cy="688320"/>
                          </a:xfrm>
                          <a:prstGeom prst="rect">
                            <a:avLst/>
                          </a:prstGeom>
                          <a:noFill/>
                          <a:ln>
                            <a:noFill/>
                          </a:ln>
                        </wps:spPr>
                        <wps:txbx>
                          <w:txbxContent>
                            <w:p>
                              <w:pPr>
                                <w:bidi w:val="0"/>
                                <w:spacing w:before="240" w:after="0"/>
                                <w:rPr/>
                              </w:pPr>
                              <w:r>
                                <w:rPr>
                                  <w:sz w:val="20"/>
                                  <w:szCs w:val="20"/>
                                  <w:rFonts w:ascii="Times New Roman" w:hAnsi="Times New Roman" w:eastAsia="MS PGothic" w:cs="Times New Roman"/>
                                  <w:color w:val="000000"/>
                                  <w:lang w:val="en-US" w:bidi="ar-SA"/>
                                </w:rPr>
                                <w:t xml:space="preserve">         No. of admissions to hospitals in network A</w:t>
                              </w:r>
                            </w:p>
                            <w:p>
                              <w:pPr>
                                <w:bidi w:val="0"/>
                                <w:spacing w:before="240" w:after="0"/>
                                <w:rPr/>
                              </w:pPr>
                              <w:r>
                                <w:rPr>
                                  <w:sz w:val="20"/>
                                  <w:szCs w:val="20"/>
                                  <w:rFonts w:ascii="Times New Roman" w:hAnsi="Times New Roman" w:eastAsia="MS PGothic" w:cs="Times New Roman"/>
                                  <w:color w:val="000000"/>
                                  <w:lang w:val="en-US" w:bidi="ar-SA"/>
                                </w:rPr>
                                <w:t xml:space="preserve">                            No. of admissions</w:t>
                              </w:r>
                            </w:p>
                          </w:txbxContent>
                        </wps:txbx>
                        <wps:bodyPr wrap="square">
                          <a:noAutofit/>
                        </wps:bodyPr>
                      </wps:wsp>
                      <wps:wsp>
                        <wps:cNvSpPr/>
                        <wps:spPr>
                          <a:xfrm>
                            <a:off x="1870560" y="412920"/>
                            <a:ext cx="2844720" cy="0"/>
                          </a:xfrm>
                          <a:prstGeom prst="line">
                            <a:avLst/>
                          </a:prstGeom>
                          <a:ln w="9360">
                            <a:solidFill>
                              <a:srgbClr val="000000"/>
                            </a:solidFill>
                            <a:miter/>
                          </a:ln>
                        </wps:spPr>
                        <wps:bodyPr/>
                      </wps:wsp>
                      <wps:wsp>
                        <wps:cNvSpPr txBox="1"/>
                        <wps:spPr>
                          <a:xfrm>
                            <a:off x="0" y="138960"/>
                            <a:ext cx="1743120" cy="539280"/>
                          </a:xfrm>
                          <a:prstGeom prst="rect">
                            <a:avLst/>
                          </a:prstGeom>
                          <a:noFill/>
                          <a:ln>
                            <a:noFill/>
                          </a:ln>
                        </wps:spPr>
                        <wps:txbx>
                          <w:txbxContent>
                            <w:p>
                              <w:pPr>
                                <w:bidi w:val="0"/>
                                <w:spacing w:before="264" w:after="0"/>
                                <w:jc w:val="center"/>
                                <w:rPr/>
                              </w:pPr>
                              <w:r>
                                <w:rPr>
                                  <w:sz w:val="20"/>
                                  <w:szCs w:val="20"/>
                                  <w:rFonts w:ascii="Times New Roman" w:hAnsi="Times New Roman" w:eastAsia="MS PGothic" w:cs="Times New Roman"/>
                                  <w:color w:val="000000"/>
                                  <w:lang w:val="en-US" w:bidi="ar-SA"/>
                                </w:rPr>
                                <w:t xml:space="preserve">          Admission Loyalty    =</w:t>
                              </w:r>
                            </w:p>
                          </w:txbxContent>
                        </wps:txbx>
                        <wps:bodyPr wrap="square">
                          <a:noAutofit/>
                        </wps:bodyPr>
                      </wps:wsp>
                    </wpg:wgp>
                  </a:graphicData>
                </a:graphic>
              </wp:anchor>
            </w:drawing>
          </mc:Choice>
          <mc:Fallback>
            <w:pict>
              <v:group id="shape_0" alt="Group 9" style="position:absolute;margin-left:-2.25pt;margin-top:112pt;width:421pt;height:54.2pt" coordorigin="-45,2240" coordsize="8420,1084">
                <v:shape id="shape_0" stroked="f" style="position:absolute;left:2851;top:2240;width:5523;height:1083" type="shapetype_202">
                  <v:textbox>
                    <w:txbxContent>
                      <w:p>
                        <w:pPr>
                          <w:bidi w:val="0"/>
                          <w:spacing w:before="240" w:after="0"/>
                          <w:rPr/>
                        </w:pPr>
                        <w:r>
                          <w:rPr>
                            <w:sz w:val="20"/>
                            <w:szCs w:val="20"/>
                            <w:rFonts w:ascii="Times New Roman" w:hAnsi="Times New Roman" w:eastAsia="MS PGothic" w:cs="Times New Roman"/>
                            <w:color w:val="000000"/>
                            <w:lang w:val="en-US" w:bidi="ar-SA"/>
                          </w:rPr>
                          <w:t xml:space="preserve">         No. of admissions to hospitals in network A</w:t>
                        </w:r>
                      </w:p>
                      <w:p>
                        <w:pPr>
                          <w:bidi w:val="0"/>
                          <w:spacing w:before="240" w:after="0"/>
                          <w:rPr/>
                        </w:pPr>
                        <w:r>
                          <w:rPr>
                            <w:sz w:val="20"/>
                            <w:szCs w:val="20"/>
                            <w:rFonts w:ascii="Times New Roman" w:hAnsi="Times New Roman" w:eastAsia="MS PGothic" w:cs="Times New Roman"/>
                            <w:color w:val="000000"/>
                            <w:lang w:val="en-US" w:bidi="ar-SA"/>
                          </w:rPr>
                          <w:t xml:space="preserve">                            No. of admissions</w:t>
                        </w:r>
                      </w:p>
                    </w:txbxContent>
                  </v:textbox>
                  <w10:wrap type="square"/>
                  <v:fill on="false" o:detectmouseclick="t"/>
                  <v:stroke color="#3465a4" joinstyle="round" endcap="flat"/>
                </v:shape>
                <v:line id="shape_0" from="2901,2890" to="7380,2890" ID="Line 6" stroked="t" style="position:absolute">
                  <v:stroke color="black" weight="9360" joinstyle="miter" endcap="square"/>
                  <v:fill on="false" o:detectmouseclick="t"/>
                </v:line>
                <v:shape id="shape_0" stroked="f" style="position:absolute;left:-45;top:2459;width:2744;height:848" type="shapetype_202">
                  <v:textbox>
                    <w:txbxContent>
                      <w:p>
                        <w:pPr>
                          <w:bidi w:val="0"/>
                          <w:spacing w:before="264" w:after="0"/>
                          <w:jc w:val="center"/>
                          <w:rPr/>
                        </w:pPr>
                        <w:r>
                          <w:rPr>
                            <w:sz w:val="20"/>
                            <w:szCs w:val="20"/>
                            <w:rFonts w:ascii="Times New Roman" w:hAnsi="Times New Roman" w:eastAsia="MS PGothic" w:cs="Times New Roman"/>
                            <w:color w:val="000000"/>
                            <w:lang w:val="en-US" w:bidi="ar-SA"/>
                          </w:rPr>
                          <w:t xml:space="preserve">          Admission Loyalty    =</w:t>
                        </w:r>
                      </w:p>
                    </w:txbxContent>
                  </v:textbox>
                  <w10:wrap type="square"/>
                  <v:fill on="false" o:detectmouseclick="t"/>
                  <v:stroke color="#3465a4" joinstyle="round" endcap="flat"/>
                </v:shape>
              </v:group>
            </w:pict>
          </mc:Fallback>
        </mc:AlternateContent>
      </w:r>
    </w:p>
    <w:sectPr>
      <w:footerReference w:type="default" r:id="rId6"/>
      <w:type w:val="nextPage"/>
      <w:pgSz w:w="12240" w:h="15840"/>
      <w:pgMar w:left="1080" w:right="1080" w:header="0" w:top="720" w:footer="72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AGaramond">
    <w:altName w:val="Times New Roman"/>
    <w:charset w:val="00"/>
    <w:family w:val="roman"/>
    <w:pitch w:val="default"/>
  </w:font>
  <w:font w:name="Garamond">
    <w:charset w:val="00"/>
    <w:family w:val="roman"/>
    <w:pitch w:val="variable"/>
  </w:font>
  <w:font w:name="Calibri">
    <w:charset w:val="00"/>
    <w:family w:val="swiss"/>
    <w:pitch w:val="variable"/>
  </w:font>
  <w:font w:name="Lucida Sans Unicode">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w:t>
    </w:r>
    <w:r>
      <w:fldChar w:fldCharType="end"/>
    </w:r>
  </w:p>
  <w:p>
    <w:pPr>
      <w:pStyle w:val="Footer"/>
      <w:rPr>
        <w:sz w:val="20"/>
        <w:szCs w:val="20"/>
      </w:rPr>
    </w:pPr>
    <w:r>
      <w:rPr>
        <w:sz w:val="20"/>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12</w:t>
    </w:r>
    <w:r>
      <w:fldChar w:fldCharType="end"/>
    </w:r>
  </w:p>
  <w:p>
    <w:pPr>
      <w:pStyle w:val="Footer"/>
      <w:rPr>
        <w:sz w:val="20"/>
        <w:szCs w:val="20"/>
      </w:rPr>
    </w:pPr>
    <w:r>
      <w:rPr>
        <w:sz w:val="20"/>
        <w:szCs w:val="2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13</w:t>
    </w:r>
    <w:r>
      <w:fldChar w:fldCharType="end"/>
    </w:r>
  </w:p>
  <w:p>
    <w:pPr>
      <w:pStyle w:val="Footer"/>
      <w:rPr>
        <w:sz w:val="20"/>
        <w:szCs w:val="20"/>
      </w:rPr>
    </w:pPr>
    <w:r>
      <w:rPr>
        <w:sz w:val="20"/>
        <w:szCs w:val="2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16</w:t>
    </w:r>
    <w:r>
      <w:fldChar w:fldCharType="end"/>
    </w:r>
  </w:p>
  <w:p>
    <w:pPr>
      <w:pStyle w:val="Footer"/>
      <w:rPr>
        <w:sz w:val="20"/>
        <w:szCs w:val="20"/>
      </w:rPr>
    </w:pPr>
    <w:r>
      <w:rPr>
        <w:sz w:val="20"/>
        <w:szCs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Arial" w:hAnsi="Arial" w:cs="Arial" w:hint="default"/>
        <w:sz w:val="24"/>
        <w:szCs w:val="24"/>
      </w:rPr>
    </w:lvl>
  </w:abstractNum>
  <w:abstractNum w:abstractNumId="3">
    <w:lvl w:ilvl="0">
      <w:start w:val="2"/>
      <w:numFmt w:val="bullet"/>
      <w:lvlText w:val=""/>
      <w:lvlJc w:val="left"/>
      <w:pPr>
        <w:ind w:left="72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numPr>
        <w:ilvl w:val="0"/>
        <w:numId w:val="1"/>
      </w:numPr>
      <w:spacing w:before="140" w:after="0"/>
      <w:outlineLvl w:val="0"/>
      <w:outlineLvl w:val="0"/>
    </w:pPr>
    <w:rPr>
      <w:b/>
    </w:rPr>
  </w:style>
  <w:style w:type="paragraph" w:styleId="Heading7">
    <w:name w:val="Heading 7"/>
    <w:basedOn w:val="Normal"/>
    <w:next w:val="Normal"/>
    <w:qFormat/>
    <w:pPr>
      <w:numPr>
        <w:ilvl w:val="6"/>
        <w:numId w:val="1"/>
      </w:numPr>
      <w:spacing w:before="240" w:after="60"/>
      <w:outlineLvl w:val="6"/>
      <w:outlineLvl w:val="6"/>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Times New Roman" w:hAnsi="Times New Roman" w:eastAsia="Times New Roman" w:cs="Times New Roman"/>
      <w:color w:val="000000"/>
      <w:sz w:val="24"/>
    </w:rPr>
  </w:style>
  <w:style w:type="character" w:styleId="WW8Num2z1">
    <w:name w:val="WW8Num2z1"/>
    <w:qFormat/>
    <w:rPr>
      <w:rFonts w:ascii="Courier New" w:hAnsi="Courier New" w:cs="Wingdings"/>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Lucida Sans Unicode"/>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Times New Roman" w:cs="Times New Roman"/>
      <w:color w:val="000000"/>
      <w:sz w:val="24"/>
    </w:rPr>
  </w:style>
  <w:style w:type="character" w:styleId="WW8Num4z1">
    <w:name w:val="WW8Num4z1"/>
    <w:qFormat/>
    <w:rPr>
      <w:rFonts w:ascii="Courier New" w:hAnsi="Courier New" w:cs="Wingdings"/>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color w:val="000000"/>
      <w:sz w:val="24"/>
    </w:rPr>
  </w:style>
  <w:style w:type="character" w:styleId="WW8Num5z1">
    <w:name w:val="WW8Num5z1"/>
    <w:qFormat/>
    <w:rPr>
      <w:rFonts w:ascii="Courier New" w:hAnsi="Courier New" w:cs="Wingdings"/>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color w:val="000000"/>
      <w:sz w:val="24"/>
    </w:rPr>
  </w:style>
  <w:style w:type="character" w:styleId="WW8Num6z1">
    <w:name w:val="WW8Num6z1"/>
    <w:qFormat/>
    <w:rPr>
      <w:rFonts w:ascii="Courier New" w:hAnsi="Courier New" w:cs="Wingdings"/>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color w:val="000000"/>
      <w:sz w:val="24"/>
    </w:rPr>
  </w:style>
  <w:style w:type="character" w:styleId="WW8Num7z1">
    <w:name w:val="WW8Num7z1"/>
    <w:qFormat/>
    <w:rPr>
      <w:rFonts w:ascii="Courier New" w:hAnsi="Courier New" w:cs="Wingdings"/>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color w:val="000000"/>
      <w:sz w:val="24"/>
    </w:rPr>
  </w:style>
  <w:style w:type="character" w:styleId="WW8Num9z1">
    <w:name w:val="WW8Num9z1"/>
    <w:qFormat/>
    <w:rPr>
      <w:rFonts w:ascii="Courier New" w:hAnsi="Courier New" w:cs="Wingdings"/>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b w:val="false"/>
      <w:i w:val="false"/>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Times New Roman" w:hAnsi="Times New Roman" w:eastAsia="Times New Roman" w:cs="Times New Roman"/>
      <w:color w:val="000000"/>
      <w:sz w:val="24"/>
    </w:rPr>
  </w:style>
  <w:style w:type="character" w:styleId="WW8Num11z1">
    <w:name w:val="WW8Num11z1"/>
    <w:qFormat/>
    <w:rPr>
      <w:rFonts w:ascii="Courier New" w:hAnsi="Courier New" w:cs="Wingdings"/>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color w:val="000000"/>
      <w:sz w:val="24"/>
    </w:rPr>
  </w:style>
  <w:style w:type="character" w:styleId="WW8Num12z1">
    <w:name w:val="WW8Num12z1"/>
    <w:qFormat/>
    <w:rPr>
      <w:rFonts w:ascii="Courier New" w:hAnsi="Courier New" w:cs="Wingdings"/>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Times New Roman" w:cs="Times New Roman"/>
      <w:color w:val="000000"/>
      <w:sz w:val="24"/>
    </w:rPr>
  </w:style>
  <w:style w:type="character" w:styleId="WW8Num14z1">
    <w:name w:val="WW8Num14z1"/>
    <w:qFormat/>
    <w:rPr>
      <w:rFonts w:ascii="Courier New" w:hAnsi="Courier New" w:cs="Wingdings"/>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Wingdings"/>
    </w:rPr>
  </w:style>
  <w:style w:type="character" w:styleId="WW8Num15z2">
    <w:name w:val="WW8Num15z2"/>
    <w:qFormat/>
    <w:rPr>
      <w:rFonts w:ascii="Wingdings" w:hAnsi="Wingdings" w:cs="Wingdings"/>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Wingdings"/>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Times New Roman" w:cs="Times New Roman"/>
      <w:color w:val="000000"/>
      <w:sz w:val="24"/>
    </w:rPr>
  </w:style>
  <w:style w:type="character" w:styleId="WW8Num17z1">
    <w:name w:val="WW8Num17z1"/>
    <w:qFormat/>
    <w:rPr>
      <w:rFonts w:ascii="Courier New" w:hAnsi="Courier New" w:cs="Wingdings"/>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Times New Roman" w:cs="Times New Roman"/>
      <w:color w:val="000000"/>
      <w:sz w:val="24"/>
    </w:rPr>
  </w:style>
  <w:style w:type="character" w:styleId="WW8Num18z1">
    <w:name w:val="WW8Num18z1"/>
    <w:qFormat/>
    <w:rPr>
      <w:rFonts w:ascii="Courier New" w:hAnsi="Courier New" w:cs="Wingdings"/>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Arial" w:hAnsi="Arial" w:eastAsia="Calibri" w:cs="Arial"/>
      <w:sz w:val="24"/>
      <w:szCs w:val="24"/>
      <w:lang w:val="en-US"/>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Times New Roman" w:cs="Times New Roman"/>
      <w:color w:val="000000"/>
      <w:sz w:val="24"/>
    </w:rPr>
  </w:style>
  <w:style w:type="character" w:styleId="WW8Num20z1">
    <w:name w:val="WW8Num20z1"/>
    <w:qFormat/>
    <w:rPr>
      <w:rFonts w:ascii="Courier New" w:hAnsi="Courier New" w:cs="Wingdings"/>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eastAsia="Times New Roman" w:cs="Times New Roman"/>
      <w:color w:val="000000"/>
      <w:sz w:val="24"/>
    </w:rPr>
  </w:style>
  <w:style w:type="character" w:styleId="WW8Num21z1">
    <w:name w:val="WW8Num21z1"/>
    <w:qFormat/>
    <w:rPr>
      <w:rFonts w:ascii="Courier New" w:hAnsi="Courier New" w:cs="Wingdings"/>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Wingdings"/>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Times New Roman" w:hAnsi="Times New Roman" w:eastAsia="Times New Roman" w:cs="Times New Roman"/>
      <w:color w:val="000000"/>
      <w:sz w:val="24"/>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3z4">
    <w:name w:val="WW8Num23z4"/>
    <w:qFormat/>
    <w:rPr>
      <w:rFonts w:ascii="Courier New" w:hAnsi="Courier New" w:cs="Wingdings"/>
    </w:rPr>
  </w:style>
  <w:style w:type="character" w:styleId="WW8Num24z0">
    <w:name w:val="WW8Num24z0"/>
    <w:qFormat/>
    <w:rPr>
      <w:rFonts w:ascii="Times New Roman" w:hAnsi="Times New Roman" w:eastAsia="Times New Roman" w:cs="Times New Roman"/>
      <w:color w:val="000000"/>
      <w:sz w:val="24"/>
    </w:rPr>
  </w:style>
  <w:style w:type="character" w:styleId="WW8Num24z1">
    <w:name w:val="WW8Num24z1"/>
    <w:qFormat/>
    <w:rPr>
      <w:rFonts w:ascii="Courier New" w:hAnsi="Courier New" w:cs="Wingdings"/>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Wingdings"/>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DefaultParagraphFont">
    <w:name w:val="Default Paragraph Font"/>
    <w:qFormat/>
    <w:rPr/>
  </w:style>
  <w:style w:type="character" w:styleId="Sensecontent1">
    <w:name w:val="sense_content1"/>
    <w:qFormat/>
    <w:rPr>
      <w:rFonts w:ascii="Times New Roman" w:hAnsi="Times New Roman" w:cs="Times New Roman"/>
      <w:b w:val="false"/>
      <w:bCs w:val="false"/>
    </w:rPr>
  </w:style>
  <w:style w:type="character" w:styleId="PageNumber">
    <w:name w:val="Page Number"/>
    <w:basedOn w:val="DefaultParagraphFont"/>
    <w:rPr/>
  </w:style>
  <w:style w:type="character" w:styleId="InternetLink">
    <w:name w:val="Internet Link"/>
    <w:rPr>
      <w:color w:val="0000FF"/>
      <w:u w:val="single"/>
    </w:rPr>
  </w:style>
  <w:style w:type="character" w:styleId="Ccontent14sans1">
    <w:name w:val="ccontent14sans1"/>
    <w:basedOn w:val="DefaultParagraphFont"/>
    <w:qFormat/>
    <w:rPr/>
  </w:style>
  <w:style w:type="character" w:styleId="Emphasis">
    <w:name w:val="Emphasis"/>
    <w:qFormat/>
    <w:rPr>
      <w:i/>
      <w:iCs/>
    </w:rPr>
  </w:style>
  <w:style w:type="character" w:styleId="A8">
    <w:name w:val="A8"/>
    <w:qFormat/>
    <w:rPr>
      <w:rFonts w:cs="AGaramond;Times New Roman"/>
      <w:color w:val="000000"/>
      <w:sz w:val="13"/>
      <w:szCs w:val="13"/>
    </w:rPr>
  </w:style>
  <w:style w:type="character" w:styleId="StrongEmphasis">
    <w:name w:val="Strong Emphasis"/>
    <w:rPr>
      <w:b/>
      <w:bCs/>
    </w:rPr>
  </w:style>
  <w:style w:type="character" w:styleId="FooterChar">
    <w:name w:val="Footer Char"/>
    <w:qFormat/>
    <w:rPr>
      <w:sz w:val="24"/>
      <w:szCs w:val="24"/>
    </w:rPr>
  </w:style>
  <w:style w:type="character" w:styleId="BalloonTextChar">
    <w:name w:val="Balloon Text Char"/>
    <w:qFormat/>
    <w:rPr>
      <w:rFonts w:ascii="Tahoma" w:hAnsi="Tahoma" w:cs="Tahoma"/>
      <w:sz w:val="16"/>
      <w:szCs w:val="16"/>
    </w:rPr>
  </w:style>
  <w:style w:type="character" w:styleId="St1">
    <w:name w:val="st1"/>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St">
    <w:name w:val="st"/>
    <w:basedOn w:val="DefaultParagraphFont"/>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Footer">
    <w:name w:val="Footer"/>
    <w:basedOn w:val="Normal"/>
    <w:pPr>
      <w:tabs>
        <w:tab w:val="center" w:pos="4320" w:leader="none"/>
        <w:tab w:val="right" w:pos="8640" w:leader="none"/>
      </w:tabs>
    </w:pPr>
    <w:rPr>
      <w:lang w:val="en-CA"/>
    </w:rPr>
  </w:style>
  <w:style w:type="paragraph" w:styleId="Header">
    <w:name w:val="Header"/>
    <w:basedOn w:val="Normal"/>
    <w:pPr>
      <w:tabs>
        <w:tab w:val="center" w:pos="4320" w:leader="none"/>
        <w:tab w:val="right" w:pos="8640" w:leader="none"/>
      </w:tabs>
    </w:pPr>
    <w:rPr/>
  </w:style>
  <w:style w:type="paragraph" w:styleId="NormalWeb">
    <w:name w:val="Normal (Web)"/>
    <w:basedOn w:val="Normal"/>
    <w:qFormat/>
    <w:pPr>
      <w:spacing w:before="280" w:after="280"/>
    </w:pPr>
    <w:rPr/>
  </w:style>
  <w:style w:type="paragraph" w:styleId="Pa16">
    <w:name w:val="Pa16"/>
    <w:basedOn w:val="Normal"/>
    <w:next w:val="Normal"/>
    <w:qFormat/>
    <w:pPr>
      <w:autoSpaceDE w:val="false"/>
      <w:spacing w:lineRule="atLeast" w:line="211" w:before="0" w:after="180"/>
    </w:pPr>
    <w:rPr>
      <w:rFonts w:ascii="AGaramond;Times New Roman" w:hAnsi="AGaramond;Times New Roman" w:cs="AGaramond;Times New Roman"/>
    </w:rPr>
  </w:style>
  <w:style w:type="paragraph" w:styleId="CommentText">
    <w:name w:val="Comment Text"/>
    <w:basedOn w:val="Normal"/>
    <w:qFormat/>
    <w:pPr/>
    <w:rPr>
      <w:sz w:val="20"/>
      <w:szCs w:val="20"/>
    </w:rPr>
  </w:style>
  <w:style w:type="paragraph" w:styleId="MediumShading1Accent11">
    <w:name w:val="Medium Shading 1 - Accent 11"/>
    <w:qFormat/>
    <w:pPr>
      <w:widowControl/>
      <w:suppressAutoHyphens w:val="true"/>
    </w:pPr>
    <w:rPr>
      <w:rFonts w:ascii="Garamond" w:hAnsi="Garamond" w:eastAsia="Times New Roman" w:cs="Garamond"/>
      <w:color w:val="auto"/>
      <w:sz w:val="24"/>
      <w:szCs w:val="20"/>
      <w:lang w:val="en-CA" w:bidi="en-US" w:eastAsia="zh-CN"/>
    </w:rPr>
  </w:style>
  <w:style w:type="paragraph" w:styleId="PlainText">
    <w:name w:val="Plain Text"/>
    <w:basedOn w:val="Normal"/>
    <w:qFormat/>
    <w:pPr/>
    <w:rPr>
      <w:rFonts w:ascii="Courier New" w:hAnsi="Courier New" w:cs="Courier New"/>
      <w:sz w:val="20"/>
      <w:szCs w:val="20"/>
    </w:rPr>
  </w:style>
  <w:style w:type="paragraph" w:styleId="Text">
    <w:name w:val="Text"/>
    <w:basedOn w:val="Normal"/>
    <w:qFormat/>
    <w:pPr>
      <w:spacing w:before="120" w:after="0"/>
    </w:pPr>
    <w:rPr>
      <w:lang w:val="en-CA"/>
    </w:rPr>
  </w:style>
  <w:style w:type="paragraph" w:styleId="BalloonText">
    <w:name w:val="Balloon Text"/>
    <w:basedOn w:val="Normal"/>
    <w:qFormat/>
    <w:pPr/>
    <w:rPr>
      <w:rFonts w:ascii="Tahoma" w:hAnsi="Tahoma" w:cs="Tahoma"/>
      <w:sz w:val="16"/>
      <w:szCs w:val="16"/>
      <w:lang w:val="en-CA"/>
    </w:rPr>
  </w:style>
  <w:style w:type="paragraph" w:styleId="CommentSubject">
    <w:name w:val="Comment Subject"/>
    <w:basedOn w:val="CommentText"/>
    <w:next w:val="CommentText"/>
    <w:qFormat/>
    <w:pPr/>
    <w:rPr>
      <w:b/>
      <w:bCs/>
      <w:lang w:val="en-CA"/>
    </w:rPr>
  </w:style>
  <w:style w:type="paragraph" w:styleId="ColorfulShadingAccent1">
    <w:name w:val="Colorful Shading - Accent 1"/>
    <w:qFormat/>
    <w:pPr>
      <w:widowControl/>
      <w:suppressAutoHyphens w:val="true"/>
    </w:pPr>
    <w:rPr>
      <w:rFonts w:ascii="Times New Roman" w:hAnsi="Times New Roman" w:eastAsia="Times New Roman" w:cs="Times New Roman"/>
      <w:color w:val="auto"/>
      <w:sz w:val="24"/>
      <w:szCs w:val="24"/>
      <w:lang w:val="en-US" w:bidi="ar-SA" w:eastAsia="zh-CN"/>
    </w:rPr>
  </w:style>
  <w:style w:type="paragraph" w:styleId="ListParagraph">
    <w:name w:val="List Paragraph"/>
    <w:basedOn w:val="Normal"/>
    <w:qFormat/>
    <w:pPr>
      <w:spacing w:lineRule="auto" w:line="276" w:before="0" w:after="200"/>
      <w:ind w:left="720" w:hanging="0"/>
      <w:contextualSpacing/>
    </w:pPr>
    <w:rPr>
      <w:rFonts w:ascii="Calibri" w:hAnsi="Calibri" w:eastAsia="Calibri" w:cs="Times New Roman"/>
      <w:sz w:val="22"/>
      <w:szCs w:val="22"/>
      <w:lang w:val="en-C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2012-12-20T14:57:00Z</dcterms:created>
  <dc:creator>Therese</dc:creator>
  <dc:language>en-CA</dc:language>
  <cp:lastModifiedBy>Nancy</cp:lastModifiedBy>
  <cp:lastPrinted>2012-12-20T16:35:00Z</cp:lastPrinted>
  <dcterms:modified xsi:type="dcterms:W3CDTF">2012-12-20T14:58:00Z</dcterms:modified>
  <cp:revision>5</cp:revision>
  <dc:title>Health Care Sustainability through Efficient Management of Clinical Resources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&lt;InstantFormat&gt;&lt;Enabled&gt;1&lt;/Enabled&gt;&lt;ScanUnformatted&gt;1&lt;/ScanUnformatted&gt;&lt;ScanChanges&gt;1&lt;/ScanChanges&gt;&lt;/InstantFormat&gt;</vt:lpwstr>
  </property>
  <property fmtid="{D5CDD505-2E9C-101B-9397-08002B2CF9AE}" pid="3" name="REFMGR.Layout">
    <vt:lpwstr>&lt;Layout&gt;&lt;StartingRefnum&gt;nlm - JAMA&lt;/StartingRefnum&gt;&lt;FontName&gt;Times New Roman&lt;/FontName&gt;&lt;FontSize&gt;12&lt;/FontSize&gt;&lt;ReflistTitle&gt;REFERENCES&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vt:lpwstr>
  </property>
  <property fmtid="{D5CDD505-2E9C-101B-9397-08002B2CF9AE}" pid="4" name="REFMGR.Libraries">
    <vt:lpwstr>&lt;Databases&gt;&lt;Libraries&gt;&lt;item&gt;Biostatistics&lt;/item&gt;&lt;/Libraries&gt;&lt;/Databases&gt;</vt:lpwstr>
  </property>
</Properties>
</file>