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Herpes zoster as a marker of an underlying malignancy</w:t>
      </w:r>
    </w:p>
    <w:p>
      <w:pPr>
        <w:pStyle w:val="Normal"/>
        <w:spacing w:lineRule="auto" w:line="480"/>
        <w:rPr>
          <w:b/>
          <w:b/>
          <w:bCs/>
        </w:rPr>
      </w:pPr>
      <w:r>
        <w:rPr>
          <w:b/>
          <w:bCs/>
        </w:rPr>
      </w:r>
    </w:p>
    <w:p>
      <w:pPr>
        <w:pStyle w:val="Normal"/>
        <w:spacing w:lineRule="auto" w:line="480"/>
        <w:rPr/>
      </w:pPr>
      <w:r>
        <w:rPr/>
        <w:t>Running title: Herpes zoster marker of malignancy</w:t>
      </w:r>
    </w:p>
    <w:p>
      <w:pPr>
        <w:pStyle w:val="Normal"/>
        <w:spacing w:lineRule="auto" w:line="480"/>
        <w:rPr/>
      </w:pPr>
      <w:r>
        <w:rPr/>
      </w:r>
    </w:p>
    <w:p>
      <w:pPr>
        <w:pStyle w:val="Normal"/>
        <w:spacing w:lineRule="auto" w:line="480"/>
        <w:rPr/>
      </w:pPr>
      <w:r>
        <w:rPr/>
        <w:t>Karl Iglar MD CCFP</w:t>
      </w:r>
      <w:r>
        <w:rPr>
          <w:vertAlign w:val="superscript"/>
        </w:rPr>
        <w:t>1,2</w:t>
      </w:r>
      <w:r>
        <w:rPr/>
        <w:t>, Alexander Kopp BA</w:t>
      </w:r>
      <w:r>
        <w:rPr>
          <w:vertAlign w:val="superscript"/>
        </w:rPr>
        <w:t>3</w:t>
      </w:r>
      <w:r>
        <w:rPr/>
        <w:t>, Richard H. Glazier MD MPH CCFP FCFP</w:t>
      </w:r>
      <w:r>
        <w:rPr>
          <w:vertAlign w:val="superscript"/>
        </w:rPr>
        <w:t>1,2,3,4</w:t>
      </w:r>
    </w:p>
    <w:p>
      <w:pPr>
        <w:pStyle w:val="ListParagraph"/>
        <w:numPr>
          <w:ilvl w:val="0"/>
          <w:numId w:val="2"/>
        </w:numPr>
        <w:spacing w:lineRule="auto" w:line="480"/>
        <w:rPr/>
      </w:pPr>
      <w:r>
        <w:rPr/>
        <w:t>Department of Family and Community Medicine, St. Michael’s Hospital</w:t>
      </w:r>
    </w:p>
    <w:p>
      <w:pPr>
        <w:pStyle w:val="ListParagraph"/>
        <w:numPr>
          <w:ilvl w:val="0"/>
          <w:numId w:val="2"/>
        </w:numPr>
        <w:spacing w:lineRule="auto" w:line="480"/>
        <w:rPr/>
      </w:pPr>
      <w:r>
        <w:rPr/>
        <w:t>Department of Family and Community Medicine, University of Toronto</w:t>
      </w:r>
    </w:p>
    <w:p>
      <w:pPr>
        <w:pStyle w:val="ListParagraph"/>
        <w:numPr>
          <w:ilvl w:val="0"/>
          <w:numId w:val="2"/>
        </w:numPr>
        <w:spacing w:lineRule="auto" w:line="480"/>
        <w:rPr>
          <w:color w:val="000000"/>
          <w:lang w:eastAsia="en-CA"/>
        </w:rPr>
      </w:pPr>
      <w:r>
        <w:rPr>
          <w:color w:val="000000"/>
          <w:lang w:eastAsia="en-CA"/>
        </w:rPr>
        <w:t>Institute for Clinical Evaluative Sciences</w:t>
      </w:r>
    </w:p>
    <w:p>
      <w:pPr>
        <w:pStyle w:val="ListParagraph"/>
        <w:numPr>
          <w:ilvl w:val="0"/>
          <w:numId w:val="2"/>
        </w:numPr>
        <w:spacing w:lineRule="auto" w:line="480"/>
        <w:rPr>
          <w:color w:val="000000"/>
          <w:lang w:eastAsia="en-CA"/>
        </w:rPr>
      </w:pPr>
      <w:r>
        <w:rPr>
          <w:color w:val="000000"/>
          <w:lang w:eastAsia="en-CA"/>
        </w:rPr>
        <w:t>Centre for Research on Inner City Health in the Keenan Research Centre at the Li Ka Shing Knowledge Institute of St. Michael’s Hospital</w:t>
      </w:r>
    </w:p>
    <w:p>
      <w:pPr>
        <w:pStyle w:val="Normal"/>
        <w:spacing w:lineRule="auto" w:line="480"/>
        <w:rPr>
          <w:b/>
          <w:b/>
          <w:color w:val="000000"/>
        </w:rPr>
      </w:pPr>
      <w:r>
        <w:rPr>
          <w:b/>
          <w:color w:val="000000"/>
        </w:rPr>
      </w:r>
    </w:p>
    <w:p>
      <w:pPr>
        <w:pStyle w:val="Normal"/>
        <w:spacing w:lineRule="auto" w:line="480"/>
        <w:rPr/>
      </w:pPr>
      <w:r>
        <w:rPr>
          <w:b/>
        </w:rPr>
        <w:t>Dr. Karl Iglar</w:t>
      </w:r>
      <w:r>
        <w:rPr/>
        <w:t xml:space="preserve"> (</w:t>
      </w:r>
      <w:hyperlink r:id="rId2">
        <w:r>
          <w:rPr>
            <w:rStyle w:val="InternetLink"/>
          </w:rPr>
          <w:t>iglark@smh.ca</w:t>
        </w:r>
      </w:hyperlink>
      <w:r>
        <w:rPr/>
        <w:t xml:space="preserve">) is a Family Physician with the Department of Family and Community Medicine at St. Michael’s Hospital (Toronto, Ontario) and an Associate Professor in the Department of Family and Community Medicine at the University of Toronto (Toronto, Ontario).  </w:t>
      </w:r>
      <w:r>
        <w:rPr>
          <w:b/>
        </w:rPr>
        <w:t>Alexander Kopp</w:t>
      </w:r>
      <w:r>
        <w:rPr/>
        <w:t xml:space="preserve"> (</w:t>
      </w:r>
      <w:hyperlink r:id="rId3">
        <w:r>
          <w:rPr>
            <w:rStyle w:val="InternetLink"/>
          </w:rPr>
          <w:t>alexander.kopp@ices.on.ca</w:t>
        </w:r>
      </w:hyperlink>
      <w:r>
        <w:rPr/>
        <w:t xml:space="preserve">) is a Senior Analyst with the Institute for Clinical Evaluative Sciences in Toronto, Ontario.  </w:t>
      </w:r>
      <w:r>
        <w:rPr>
          <w:b/>
        </w:rPr>
        <w:t>Dr. Richard Glazier</w:t>
      </w:r>
      <w:r>
        <w:rPr/>
        <w:t xml:space="preserve"> (</w:t>
      </w:r>
      <w:hyperlink r:id="rId4">
        <w:r>
          <w:rPr>
            <w:rStyle w:val="InternetLink"/>
          </w:rPr>
          <w:t>glazier@smh.ca</w:t>
        </w:r>
      </w:hyperlink>
      <w:r>
        <w:rPr/>
        <w:t>) is Family Physician and Research Director with the Department of Family and Community Medicine at St. Michael’s Hospital, a Professor and Research Scholar in the Department of Family and Community Medicine at the University of Toronto, a Senior Scientist and Program Lead for Primary Care and Population Health with the Institute for Clinical Evaluative Sciences, and a Core Scientist with the Centre for Research on Inner City Health in the Keenan Research Centre at the Li Ka Shing Knowledge Institute of St. Michael’s Hospital, Toronto, Ontario.</w:t>
      </w:r>
    </w:p>
    <w:p>
      <w:pPr>
        <w:pStyle w:val="Normal"/>
        <w:spacing w:lineRule="auto" w:line="480"/>
        <w:rPr/>
      </w:pPr>
      <w:r>
        <w:rPr/>
      </w:r>
    </w:p>
    <w:p>
      <w:pPr>
        <w:pStyle w:val="Normal"/>
        <w:spacing w:lineRule="auto" w:line="480"/>
        <w:rPr/>
      </w:pPr>
      <w:r>
        <w:rPr/>
        <w:t xml:space="preserve">Corresponding author: </w:t>
      </w:r>
    </w:p>
    <w:p>
      <w:pPr>
        <w:pStyle w:val="Normal"/>
        <w:spacing w:lineRule="auto" w:line="480"/>
        <w:rPr/>
      </w:pPr>
      <w:r>
        <w:rPr/>
        <w:t>Dr. Karl Iglar</w:t>
      </w:r>
    </w:p>
    <w:p>
      <w:pPr>
        <w:pStyle w:val="Normal"/>
        <w:spacing w:lineRule="auto" w:line="480"/>
        <w:rPr/>
      </w:pPr>
      <w:r>
        <w:rPr/>
        <w:t>Department of Family and Community Medicine, St. Michael’s Hospital</w:t>
      </w:r>
    </w:p>
    <w:p>
      <w:pPr>
        <w:pStyle w:val="Normal"/>
        <w:spacing w:lineRule="auto" w:line="480"/>
        <w:rPr/>
      </w:pPr>
      <w:r>
        <w:rPr/>
        <w:t xml:space="preserve">30 Bond Street, Toronto, Ontario, M5B 1W8, </w:t>
      </w:r>
    </w:p>
    <w:p>
      <w:pPr>
        <w:pStyle w:val="Normal"/>
        <w:spacing w:lineRule="auto" w:line="480"/>
        <w:rPr/>
      </w:pPr>
      <w:r>
        <w:rPr/>
        <w:t>Phone: (416) 867-7428</w:t>
      </w:r>
    </w:p>
    <w:p>
      <w:pPr>
        <w:pStyle w:val="Normal"/>
        <w:spacing w:lineRule="auto" w:line="480"/>
        <w:rPr/>
      </w:pPr>
      <w:r>
        <w:rPr/>
        <w:t>Fax: (416) 867-7498</w:t>
      </w:r>
    </w:p>
    <w:p>
      <w:pPr>
        <w:pStyle w:val="Normal"/>
        <w:spacing w:lineRule="auto" w:line="480"/>
        <w:rPr>
          <w:rStyle w:val="InternetLink"/>
        </w:rPr>
      </w:pPr>
      <w:hyperlink r:id="rId5">
        <w:r>
          <w:rPr>
            <w:rStyle w:val="InternetLink"/>
          </w:rPr>
          <w:t>iglark@smh.ca</w:t>
        </w:r>
      </w:hyperlink>
    </w:p>
    <w:p>
      <w:pPr>
        <w:pStyle w:val="Normal"/>
        <w:spacing w:lineRule="auto" w:line="480"/>
        <w:rPr/>
      </w:pPr>
      <w:r>
        <w:rPr/>
        <w:t>Requests for reprints should be sent to the above address.</w:t>
      </w:r>
    </w:p>
    <w:p>
      <w:pPr>
        <w:pStyle w:val="Normal"/>
        <w:spacing w:lineRule="auto" w:line="480"/>
        <w:rPr/>
      </w:pPr>
      <w:r>
        <w:rPr/>
      </w:r>
    </w:p>
    <w:p>
      <w:pPr>
        <w:pStyle w:val="Normal"/>
        <w:spacing w:lineRule="auto" w:line="480"/>
        <w:rPr/>
      </w:pPr>
      <w:r>
        <w:rPr/>
        <w:t>Contributors:  Karl Iglar, Richard Glazier and Alexander Kopp designed the study protocol. Karl Iglar, Richard Glazier and Alexander Kopp were involved with the analysis and interpretation of the data. Karl Iglar wrote the first draft of the manuscript. All authors contributed to drafting and critically revising the manuscript. Karl Iglar is guarantor for the manuscript and takes responsibility for the contents and appropriateness of the reference list.</w:t>
      </w:r>
    </w:p>
    <w:p>
      <w:pPr>
        <w:pStyle w:val="Normal"/>
        <w:spacing w:lineRule="auto" w:line="480"/>
        <w:rPr/>
      </w:pPr>
      <w:r>
        <w:rPr/>
      </w:r>
    </w:p>
    <w:p>
      <w:pPr>
        <w:pStyle w:val="Normal"/>
        <w:spacing w:lineRule="auto" w:line="480"/>
        <w:rPr/>
      </w:pPr>
      <w:r>
        <w:rPr/>
        <w:t>Sources of financial support: None.</w:t>
      </w:r>
    </w:p>
    <w:p>
      <w:pPr>
        <w:pStyle w:val="Normal"/>
        <w:spacing w:lineRule="auto" w:line="480"/>
        <w:rPr/>
      </w:pPr>
      <w:r>
        <w:rPr/>
      </w:r>
    </w:p>
    <w:p>
      <w:pPr>
        <w:pStyle w:val="Normal"/>
        <w:spacing w:lineRule="auto" w:line="480"/>
        <w:rPr/>
      </w:pPr>
      <w:r>
        <w:rPr/>
        <w:t>Competing interests: None declared.</w:t>
      </w:r>
    </w:p>
    <w:p>
      <w:pPr>
        <w:pStyle w:val="Normal"/>
        <w:spacing w:lineRule="auto" w:line="480"/>
        <w:rPr/>
      </w:pPr>
      <w:r>
        <w:rPr/>
      </w:r>
    </w:p>
    <w:p>
      <w:pPr>
        <w:pStyle w:val="Normal"/>
        <w:spacing w:lineRule="auto" w:line="480"/>
        <w:rPr/>
      </w:pPr>
      <w:r>
        <w:rPr/>
        <w:t>Acknowledgement: The authors would like to thank Morgan Slater for her assistance with editing and preparation for journal submission.</w:t>
      </w:r>
    </w:p>
    <w:p>
      <w:pPr>
        <w:pStyle w:val="Normal"/>
        <w:spacing w:lineRule="auto" w:line="480"/>
        <w:rPr/>
      </w:pPr>
      <w:r>
        <w:rPr/>
      </w:r>
    </w:p>
    <w:p>
      <w:pPr>
        <w:pStyle w:val="Normal"/>
        <w:spacing w:lineRule="auto" w:line="480"/>
        <w:rPr/>
      </w:pPr>
      <w:r>
        <w:rPr/>
        <w:t>Word count: 1866</w:t>
      </w:r>
      <w:r>
        <w:br w:type="page"/>
      </w:r>
    </w:p>
    <w:p>
      <w:pPr>
        <w:pStyle w:val="Normal"/>
        <w:spacing w:lineRule="auto" w:line="480" w:before="0" w:after="200"/>
        <w:rPr>
          <w:b/>
          <w:b/>
          <w:bCs/>
        </w:rPr>
      </w:pPr>
      <w:r>
        <w:rPr>
          <w:b/>
          <w:bCs/>
        </w:rPr>
        <w:t>Abstract</w:t>
      </w:r>
    </w:p>
    <w:p>
      <w:pPr>
        <w:pStyle w:val="Normal"/>
        <w:spacing w:lineRule="auto" w:line="480"/>
        <w:rPr/>
      </w:pPr>
      <w:r>
        <w:rPr>
          <w:b/>
        </w:rPr>
        <w:t>Background</w:t>
      </w:r>
      <w:r>
        <w:rPr/>
        <w:t>: Both herpes zoster and malignancy are associated with an immunosuppressed state. However, the association between herpes zoster and the subsequent development of a malignancy is unclear. This study aimed to assess if a diagnosis of herpes zoster is a risk factor for subsequent malignancy.</w:t>
      </w:r>
    </w:p>
    <w:p>
      <w:pPr>
        <w:pStyle w:val="Normal"/>
        <w:spacing w:lineRule="auto" w:line="480"/>
        <w:rPr/>
      </w:pPr>
      <w:r>
        <w:rPr/>
      </w:r>
    </w:p>
    <w:p>
      <w:pPr>
        <w:pStyle w:val="Normal"/>
        <w:spacing w:lineRule="auto" w:line="480"/>
        <w:rPr/>
      </w:pPr>
      <w:r>
        <w:rPr>
          <w:b/>
        </w:rPr>
        <w:t>Methods</w:t>
      </w:r>
      <w:r>
        <w:rPr/>
        <w:t>: Utilizing a physician billing database, individuals 18 years of age and older with a diagnosis of herpes zoster and without a prior cancer diagnosis or human immunodeficiency virus infection were included in the study. Individuals with a herpes zoster diagnosis were matched one-to-one to those without a herpes zoster diagnosis, and both were examined for the development of cancer.</w:t>
      </w:r>
    </w:p>
    <w:p>
      <w:pPr>
        <w:pStyle w:val="Normal"/>
        <w:spacing w:lineRule="auto" w:line="480"/>
        <w:rPr/>
      </w:pPr>
      <w:r>
        <w:rPr/>
      </w:r>
    </w:p>
    <w:p>
      <w:pPr>
        <w:pStyle w:val="Normal"/>
        <w:spacing w:lineRule="auto" w:line="480"/>
        <w:rPr/>
      </w:pPr>
      <w:r>
        <w:rPr>
          <w:b/>
        </w:rPr>
        <w:t>Results</w:t>
      </w:r>
      <w:r>
        <w:rPr/>
        <w:t xml:space="preserve">: There were 542,575 individuals diagnosed with herpes zoster. Compared with controls, they were more likely (p&lt; 0.001) to have a history of myocardial infarction, asthma, congestive heart failure, chronic obstructive pulmonary disease, diabetes mellitus, and hypertension.  The incidence of cancer was significantly greater in individuals with herpes zoster compared to those without  in both men and women and across all time intervals studied. The greatest adjusted hazard ratio was seen 180 days after a herpes zoster diagnosis (1.19, CI 1.12-1.25); this decreased as the time from herpes zoster diagnosis increased. The greatest relative increase in cancer incidence following a herpes zoster diagnosis occurred in individuals diagnosed with lymphoma. </w:t>
      </w:r>
    </w:p>
    <w:p>
      <w:pPr>
        <w:pStyle w:val="Normal"/>
        <w:spacing w:lineRule="auto" w:line="480"/>
        <w:rPr/>
      </w:pPr>
      <w:r>
        <w:rPr/>
      </w:r>
    </w:p>
    <w:p>
      <w:pPr>
        <w:pStyle w:val="Normal"/>
        <w:spacing w:lineRule="auto" w:line="480"/>
        <w:rPr/>
      </w:pPr>
      <w:r>
        <w:rPr>
          <w:b/>
        </w:rPr>
        <w:t>Interpretation</w:t>
      </w:r>
      <w:r>
        <w:rPr/>
        <w:t xml:space="preserve">: There is a risk of developing a malignancy following an episode of herpes zoster in both men and women and in all age groups 18 years and over. The risk is greatest in the first 180 days following a herpes zoster diagnosis. </w:t>
      </w:r>
      <w:r>
        <w:br w:type="page"/>
      </w:r>
    </w:p>
    <w:p>
      <w:pPr>
        <w:pStyle w:val="Normal"/>
        <w:spacing w:lineRule="auto" w:line="480"/>
        <w:rPr>
          <w:b/>
          <w:b/>
          <w:bCs/>
        </w:rPr>
      </w:pPr>
      <w:r>
        <w:rPr>
          <w:b/>
          <w:bCs/>
        </w:rPr>
        <w:t>Introduction:</w:t>
      </w:r>
    </w:p>
    <w:p>
      <w:pPr>
        <w:pStyle w:val="Normal"/>
        <w:spacing w:lineRule="auto" w:line="480"/>
        <w:rPr/>
      </w:pPr>
      <w:r>
        <w:rPr/>
        <w:t>Herpes zoster presents as a painful vesicular rash in a dermatomal distribution resulting from the reactivation of the varicella zoster virus in the dorsal root ganglia</w:t>
      </w:r>
      <w:r>
        <w:rPr>
          <w:vertAlign w:val="superscript"/>
        </w:rPr>
        <w:t>. 1,2</w:t>
      </w:r>
      <w:r>
        <w:rPr/>
        <w:t xml:space="preserve"> The rash is self-limited and resolves in 2 to 4 weeks</w:t>
      </w:r>
      <w:r>
        <w:rPr>
          <w:vertAlign w:val="superscript"/>
        </w:rPr>
        <w:t>. 3</w:t>
      </w:r>
      <w:r>
        <w:rPr/>
        <w:t xml:space="preserve"> Age appears to be the key risk factor for the development of herpes zoster. </w:t>
      </w:r>
      <w:r>
        <w:rPr>
          <w:vertAlign w:val="superscript"/>
        </w:rPr>
        <w:t>4</w:t>
      </w:r>
      <w:r>
        <w:rPr/>
        <w:t xml:space="preserve"> A decrease in </w:t>
      </w:r>
      <w:r>
        <w:rPr>
          <w:color w:val="000000"/>
        </w:rPr>
        <w:t>cell-mediated immunity is thought to be responsible for the increased incidence of varicella-zoster virus reactivation seen in older individuals.</w:t>
      </w:r>
      <w:r>
        <w:rPr>
          <w:color w:val="000000"/>
          <w:vertAlign w:val="superscript"/>
        </w:rPr>
        <w:t>5</w:t>
      </w:r>
      <w:r>
        <w:rPr>
          <w:color w:val="000000"/>
        </w:rPr>
        <w:t xml:space="preserve">   Patients with conditions resulting in impaired cell-mediated immunity such as lymphoma, human immunodeficiency virus (HIV) infection and those receiving chemotherapy and steroids</w:t>
      </w:r>
      <w:r>
        <w:rPr>
          <w:color w:val="000000"/>
          <w:vertAlign w:val="superscript"/>
        </w:rPr>
        <w:t>6</w:t>
      </w:r>
      <w:r>
        <w:rPr>
          <w:color w:val="000000"/>
        </w:rPr>
        <w:t xml:space="preserve"> are at increased risk of developing herpes zoster. </w:t>
      </w:r>
    </w:p>
    <w:p>
      <w:pPr>
        <w:pStyle w:val="Normal"/>
        <w:spacing w:lineRule="auto" w:line="480"/>
        <w:rPr>
          <w:color w:val="000000"/>
        </w:rPr>
      </w:pPr>
      <w:r>
        <w:rPr>
          <w:color w:val="000000"/>
        </w:rPr>
      </w:r>
    </w:p>
    <w:p>
      <w:pPr>
        <w:pStyle w:val="Normal"/>
        <w:spacing w:lineRule="auto" w:line="480"/>
        <w:rPr/>
      </w:pPr>
      <w:r>
        <w:rPr/>
        <w:t>Although it is known that both herpes zoster and malignancy are associated with an immunosuppressed state</w:t>
      </w:r>
      <w:r>
        <w:rPr>
          <w:vertAlign w:val="superscript"/>
        </w:rPr>
        <w:t>7</w:t>
      </w:r>
      <w:r>
        <w:rPr/>
        <w:t>, studies examining the association between herpes zoster and a subsequent diagnosis of cancer have shown discordant results</w:t>
      </w:r>
      <w:r>
        <w:rPr>
          <w:vertAlign w:val="superscript"/>
        </w:rPr>
        <w:t>8-13</w:t>
      </w:r>
      <w:r>
        <w:rPr/>
        <w:t>. Two studies showing an association were those examining the risk of hematological malignancies following herpes zoster</w:t>
      </w:r>
      <w:r>
        <w:rPr>
          <w:vertAlign w:val="superscript"/>
        </w:rPr>
        <w:t>8,9</w:t>
      </w:r>
      <w:r>
        <w:rPr/>
        <w:t>. A study by Buntinx et al examining a database of over 300,000 patients found an increased incidence of cancer following a herpes zoster diagnosis in patients over 65 years of age overall and in females older than 65 years of age but not in males</w:t>
      </w:r>
      <w:r>
        <w:rPr>
          <w:vertAlign w:val="superscript"/>
        </w:rPr>
        <w:t>12</w:t>
      </w:r>
      <w:r>
        <w:rPr/>
        <w:t>. There was no difference in the incidence in the first year after herpes zoster diagnosis which was interpreted that a diagnosis of herpes zoster was not a marker of undiagnosed malignancy. Hence, the authors recommended against screening patients with herpes zoster for an underlying malignancy. A recent retrospective cohort study by Wang et al found no difference in overall cancer incidence in patients with herpes zoster when compared to expected rates in a population</w:t>
      </w:r>
      <w:r>
        <w:rPr>
          <w:vertAlign w:val="superscript"/>
        </w:rPr>
        <w:t>13</w:t>
      </w:r>
      <w:r>
        <w:rPr/>
        <w:t xml:space="preserve">. </w:t>
      </w:r>
    </w:p>
    <w:p>
      <w:pPr>
        <w:pStyle w:val="Normal"/>
        <w:spacing w:lineRule="auto" w:line="480"/>
        <w:rPr/>
      </w:pPr>
      <w:r>
        <w:rPr/>
        <w:t xml:space="preserve">This article will report on the largest study to date to examine whether a diagnosis of herpes zoster is a risk factor for a subsequent cancer diagnosis. It will describe the risk of cancer following a herpes zoster diagnosis based on age, sex and type of malignancy. </w:t>
      </w:r>
    </w:p>
    <w:p>
      <w:pPr>
        <w:pStyle w:val="Normal"/>
        <w:spacing w:lineRule="auto" w:line="480"/>
        <w:rPr/>
      </w:pPr>
      <w:r>
        <w:rPr/>
      </w:r>
    </w:p>
    <w:p>
      <w:pPr>
        <w:pStyle w:val="Normal"/>
        <w:spacing w:lineRule="auto" w:line="480"/>
        <w:rPr>
          <w:b/>
          <w:b/>
          <w:bCs/>
        </w:rPr>
      </w:pPr>
      <w:r>
        <w:rPr>
          <w:b/>
          <w:bCs/>
        </w:rPr>
        <w:t>Methods:</w:t>
      </w:r>
    </w:p>
    <w:p>
      <w:pPr>
        <w:pStyle w:val="PlainText"/>
        <w:spacing w:lineRule="auto" w:line="480"/>
        <w:rPr>
          <w:rFonts w:ascii="Times New Roman" w:hAnsi="Times New Roman" w:cs="Times New Roman"/>
          <w:sz w:val="24"/>
          <w:szCs w:val="24"/>
        </w:rPr>
      </w:pPr>
      <w:r>
        <w:rPr>
          <w:rFonts w:cs="Times New Roman" w:ascii="Times New Roman" w:hAnsi="Times New Roman"/>
          <w:sz w:val="24"/>
          <w:szCs w:val="24"/>
        </w:rPr>
        <w:t>A matched cohort design was used to study the development of cancer in patients with a diagnosis of herpes zoster. Exposed subjects had herpes zoster and unexposed controls did not. Study control subjects were matched by age and sex.  Multivariate Cox proportional hazards models were used to compare rates of cancer between study groups while controlling for potential confounders. Cases were identified from April 1</w:t>
      </w:r>
      <w:r>
        <w:rPr>
          <w:rFonts w:cs="Times New Roman" w:ascii="Times New Roman" w:hAnsi="Times New Roman"/>
          <w:sz w:val="24"/>
          <w:szCs w:val="24"/>
          <w:vertAlign w:val="superscript"/>
        </w:rPr>
        <w:t>st</w:t>
      </w:r>
      <w:r>
        <w:rPr>
          <w:rFonts w:cs="Times New Roman" w:ascii="Times New Roman" w:hAnsi="Times New Roman"/>
          <w:sz w:val="24"/>
          <w:szCs w:val="24"/>
        </w:rPr>
        <w:t>, 1993 to March 31</w:t>
      </w:r>
      <w:r>
        <w:rPr>
          <w:rFonts w:cs="Times New Roman" w:ascii="Times New Roman" w:hAnsi="Times New Roman"/>
          <w:sz w:val="24"/>
          <w:szCs w:val="24"/>
          <w:vertAlign w:val="superscript"/>
        </w:rPr>
        <w:t>st</w:t>
      </w:r>
      <w:r>
        <w:rPr>
          <w:rFonts w:cs="Times New Roman" w:ascii="Times New Roman" w:hAnsi="Times New Roman"/>
          <w:sz w:val="24"/>
          <w:szCs w:val="24"/>
        </w:rPr>
        <w:t>, 2010 and cancer outcomes were identified until December 31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2010. </w:t>
      </w:r>
    </w:p>
    <w:p>
      <w:pPr>
        <w:pStyle w:val="PlainText"/>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t xml:space="preserve">Patients 18 years of age and older were included in the study. However, patients with a history of human immunodeficiency virus (HIV) infection and pre-existing cancer were excluded from the analysis. </w:t>
      </w:r>
    </w:p>
    <w:p>
      <w:pPr>
        <w:pStyle w:val="Normal"/>
        <w:spacing w:lineRule="auto" w:line="480"/>
        <w:rPr/>
      </w:pPr>
      <w:r>
        <w:rPr/>
      </w:r>
    </w:p>
    <w:p>
      <w:pPr>
        <w:pStyle w:val="Normal"/>
        <w:spacing w:lineRule="auto" w:line="480"/>
        <w:rPr/>
      </w:pPr>
      <w:r>
        <w:rPr/>
        <w:t xml:space="preserve">Data relating to a diagnosis of herpes zoster was derived from the physician billings database in the universal Ontario Health Insurance Plan (OHIP) and obtained through a comprehensive research agreement with the Ontario Ministry of Health and Long-Term Care. The OHIP covers physician and hospital services for Ontario residents and includes approximately 94% of ambulatory physician visits in the province. The diagnosis of herpes zoster has a unique diagnostic code in the OHIP billing system (053). The exposed subjects were those individuals for whom a first billing code for herpes zoster was submitted, while the unexposed controls were those individuals for whom a billing code for herpes zoster was not submitted. </w:t>
      </w:r>
    </w:p>
    <w:p>
      <w:pPr>
        <w:pStyle w:val="Normal"/>
        <w:spacing w:lineRule="auto" w:line="480"/>
        <w:rPr/>
      </w:pPr>
      <w:r>
        <w:rPr/>
      </w:r>
    </w:p>
    <w:p>
      <w:pPr>
        <w:pStyle w:val="Normal"/>
        <w:spacing w:lineRule="auto" w:line="480"/>
        <w:rPr/>
      </w:pPr>
      <w:r>
        <w:rPr/>
        <w:t xml:space="preserve">The Ontario Cancer Registry (OCR) was used to determine which patients were diagnosed with cancer and if the same patient also had a diagnosis of herpes zoster whether the cancer diagnosis preceded or followed the herpes zoster diagnosis. </w:t>
      </w:r>
      <w:bookmarkStart w:id="0" w:name="Data_Sources"/>
      <w:r>
        <w:rPr/>
        <w:t xml:space="preserve">The process of cancer registration in Ontario relies on records collected for other purposes including hospital discharge and day surgery summaries which include a diagnosis of cancer; pathology reports with any mention of cancer; records of patients referred to eight regional cancer centres or the Princess Margaret Hospital, the specialized institutions treating cancer patients in Ontario; and death certificates with cancer recorded as the underlying cause of death. Approximately 400, 000 records are submitted to OCR each year. </w:t>
      </w:r>
    </w:p>
    <w:p>
      <w:pPr>
        <w:pStyle w:val="Normal"/>
        <w:spacing w:lineRule="auto" w:line="480"/>
        <w:rPr>
          <w:rFonts w:ascii="Arial" w:hAnsi="Arial" w:cs="Arial"/>
          <w:color w:val="000000"/>
          <w:sz w:val="20"/>
          <w:szCs w:val="20"/>
        </w:rPr>
      </w:pPr>
      <w:bookmarkEnd w:id="0"/>
      <w:r>
        <w:rPr/>
        <w:t xml:space="preserve">  </w:t>
      </w:r>
    </w:p>
    <w:p>
      <w:pPr>
        <w:pStyle w:val="Normal"/>
        <w:spacing w:lineRule="auto" w:line="480"/>
        <w:rPr/>
      </w:pPr>
      <w:r>
        <w:rPr>
          <w:lang w:val="en-CA" w:eastAsia="en-CA"/>
        </w:rPr>
        <w:t>Simple proportions and means were used to compare the characteristics of exposed subjects and unexposed controls. Time periods of 180 days, 1 year, 2 years, 3 years, 4 years and 5 years were used to examine the relationship between cases and controls for the outcome of a cancer diagnosis using Cox proportional hazard models that controlled for urban-rural setting, area-level income and co-morbidities including acute myocardial infarction</w:t>
      </w:r>
      <w:r>
        <w:rPr>
          <w:vertAlign w:val="superscript"/>
          <w:lang w:val="en-CA" w:eastAsia="en-CA"/>
        </w:rPr>
        <w:t>14</w:t>
      </w:r>
      <w:r>
        <w:rPr>
          <w:lang w:val="en-CA" w:eastAsia="en-CA"/>
        </w:rPr>
        <w:t>, asthma</w:t>
      </w:r>
      <w:r>
        <w:rPr>
          <w:vertAlign w:val="superscript"/>
          <w:lang w:val="en-CA" w:eastAsia="en-CA"/>
        </w:rPr>
        <w:t>15</w:t>
      </w:r>
      <w:r>
        <w:rPr>
          <w:lang w:val="en-CA" w:eastAsia="en-CA"/>
        </w:rPr>
        <w:t>, congestive heart failure</w:t>
      </w:r>
      <w:r>
        <w:rPr>
          <w:vertAlign w:val="superscript"/>
          <w:lang w:val="en-CA" w:eastAsia="en-CA"/>
        </w:rPr>
        <w:t>16</w:t>
      </w:r>
      <w:r>
        <w:rPr>
          <w:lang w:val="en-CA" w:eastAsia="en-CA"/>
        </w:rPr>
        <w:t>, chronic obstructive pulmonary disease</w:t>
      </w:r>
      <w:r>
        <w:rPr>
          <w:vertAlign w:val="superscript"/>
          <w:lang w:val="en-CA" w:eastAsia="en-CA"/>
        </w:rPr>
        <w:t>17</w:t>
      </w:r>
      <w:r>
        <w:rPr>
          <w:lang w:val="en-CA" w:eastAsia="en-CA"/>
        </w:rPr>
        <w:t>, diabetes mellitus</w:t>
      </w:r>
      <w:r>
        <w:rPr>
          <w:vertAlign w:val="superscript"/>
          <w:lang w:val="en-CA" w:eastAsia="en-CA"/>
        </w:rPr>
        <w:t>18</w:t>
      </w:r>
      <w:r>
        <w:rPr>
          <w:lang w:val="en-CA" w:eastAsia="en-CA"/>
        </w:rPr>
        <w:t xml:space="preserve"> and hypertension</w:t>
      </w:r>
      <w:r>
        <w:rPr>
          <w:vertAlign w:val="superscript"/>
          <w:lang w:val="en-CA" w:eastAsia="en-CA"/>
        </w:rPr>
        <w:t>19</w:t>
      </w:r>
      <w:r>
        <w:rPr>
          <w:lang w:val="en-CA" w:eastAsia="en-CA"/>
        </w:rPr>
        <w:t>.</w:t>
      </w:r>
    </w:p>
    <w:p>
      <w:pPr>
        <w:pStyle w:val="Normal"/>
        <w:spacing w:lineRule="auto" w:line="480"/>
        <w:rPr>
          <w:lang w:val="en-CA" w:eastAsia="en-CA"/>
        </w:rPr>
      </w:pPr>
      <w:r>
        <w:rPr>
          <w:lang w:val="en-CA" w:eastAsia="en-CA"/>
        </w:rPr>
      </w:r>
    </w:p>
    <w:p>
      <w:pPr>
        <w:pStyle w:val="Normal"/>
        <w:spacing w:lineRule="auto" w:line="480"/>
        <w:rPr>
          <w:lang w:val="en-CA" w:eastAsia="en-CA"/>
        </w:rPr>
      </w:pPr>
      <w:r>
        <w:rPr>
          <w:lang w:val="en-CA" w:eastAsia="en-CA"/>
        </w:rPr>
        <w:t xml:space="preserve">The study was approved by the Research Ethics Boards of St. Michael’s Hospital and Sunnybrook Health Sciences Centre in Toronto. </w:t>
      </w:r>
    </w:p>
    <w:p>
      <w:pPr>
        <w:pStyle w:val="Normal"/>
        <w:spacing w:lineRule="auto" w:line="480"/>
        <w:rPr>
          <w:rFonts w:ascii="Arial" w:hAnsi="Arial" w:cs="Arial"/>
          <w:color w:val="000000"/>
          <w:sz w:val="20"/>
          <w:szCs w:val="20"/>
          <w:lang w:val="en-CA" w:eastAsia="en-CA"/>
        </w:rPr>
      </w:pPr>
      <w:r>
        <w:rPr>
          <w:rFonts w:cs="Arial" w:ascii="Arial" w:hAnsi="Arial"/>
          <w:color w:val="000000"/>
          <w:sz w:val="20"/>
          <w:szCs w:val="20"/>
          <w:lang w:val="en-CA" w:eastAsia="en-CA"/>
        </w:rPr>
      </w:r>
    </w:p>
    <w:p>
      <w:pPr>
        <w:pStyle w:val="Normal"/>
        <w:spacing w:lineRule="auto" w:line="480"/>
        <w:rPr>
          <w:rFonts w:ascii="Tahoma" w:hAnsi="Tahoma" w:cs="Tahoma"/>
          <w:color w:val="000000"/>
          <w:sz w:val="20"/>
          <w:szCs w:val="20"/>
        </w:rPr>
      </w:pPr>
      <w:r>
        <w:rPr>
          <w:rFonts w:cs="Tahoma" w:ascii="Tahoma" w:hAnsi="Tahoma"/>
          <w:color w:val="000000"/>
          <w:sz w:val="20"/>
          <w:szCs w:val="20"/>
        </w:rPr>
      </w:r>
    </w:p>
    <w:p>
      <w:pPr>
        <w:pStyle w:val="Normal"/>
        <w:spacing w:lineRule="auto" w:line="480"/>
        <w:rPr>
          <w:b/>
          <w:b/>
          <w:bCs/>
        </w:rPr>
      </w:pPr>
      <w:r>
        <w:rPr>
          <w:b/>
          <w:bCs/>
        </w:rPr>
        <w:t>Results:</w:t>
      </w:r>
    </w:p>
    <w:p>
      <w:pPr>
        <w:pStyle w:val="Normal"/>
        <w:spacing w:lineRule="auto" w:line="480"/>
        <w:rPr/>
      </w:pPr>
      <w:r>
        <w:rPr/>
        <w:t>Table 1 shows the demographics of the exposed subjects and unexposed controls studied. There were 542,575 individuals diagnosed with herpes zoster from 1993 to 2010 and included in the study. The mean age of cases was 54.08 years with the majority of cases (59.7%) occurring after age 50. The two groups were very similar in terms of urban/ rural location of residence and income quintiles. Even though they reached statistical significance, the differences were very small.  The cases were slightly more likely to have a history of myocardial infarction, asthma, congestive heart failure, chronic obstructive pulmonary disease, diabetes mellitus, and hypertension (p&lt; 0.001).</w:t>
      </w:r>
    </w:p>
    <w:p>
      <w:pPr>
        <w:pStyle w:val="Normal"/>
        <w:spacing w:lineRule="auto" w:line="480"/>
        <w:rPr/>
      </w:pPr>
      <w:r>
        <w:rPr/>
      </w:r>
    </w:p>
    <w:p>
      <w:pPr>
        <w:pStyle w:val="Normal"/>
        <w:spacing w:lineRule="auto" w:line="480"/>
        <w:rPr/>
      </w:pPr>
      <w:r>
        <w:rPr/>
        <w:t>Table 2 shows the cumulative incidence and unadjusted and adjusted hazard ratios for cancer from the time of diagnosis of herpes zoster in the exposed subjects. The incidence of cancer was significantly greater in exposed subjects when compared to unexposed controls across all of the time intervals studied. The greatest adjusted hazard ratio at 1.19 (CI 1.12-1.25) was seen at 180 days after a herpes zoster diagnosis. It tended to decrease as the time from herpes zoster diagnosis increased.</w:t>
      </w:r>
    </w:p>
    <w:p>
      <w:pPr>
        <w:pStyle w:val="Normal"/>
        <w:spacing w:lineRule="auto" w:line="480"/>
        <w:rPr/>
      </w:pPr>
      <w:r>
        <w:rPr/>
        <w:t xml:space="preserve">There was an increase in the number of malignancies in both males and females who had a prior diagnosis of herpes zoster. There was also an increased risk of malignancy in individuals who had a prior episode of herpes zoster across all age ranges studied (data not shown). </w:t>
      </w:r>
    </w:p>
    <w:p>
      <w:pPr>
        <w:pStyle w:val="Normal"/>
        <w:spacing w:lineRule="auto" w:line="480"/>
        <w:rPr/>
      </w:pPr>
      <w:r>
        <w:rPr/>
      </w:r>
    </w:p>
    <w:p>
      <w:pPr>
        <w:pStyle w:val="Normal"/>
        <w:spacing w:lineRule="auto" w:line="480"/>
        <w:rPr/>
      </w:pPr>
      <w:r>
        <w:rPr/>
        <w:t xml:space="preserve">Table 3 shows the number and types of cancers per 1000 years of person time from the time of diagnosis of herpes zoster in exposed subjects and unexposed controls. There were more cancers diagnosed per 1000 years of person time in all of the time intervals and all cancer types except colorectal cancer at 180 days, 4 years and overall.  The greatest relative increase in cancer incidence (68%) following a herpes zoster diagnosis occurred in those individuals diagnosed with lymphoma. This risk was greatest (112%) at 180 days. The greatest absolute increases in risk of malignancy following a herpes zoster diagnosis occurred for ‘Other’ cancer types followed by lymphoma, lung, prostate and leukemia. </w:t>
      </w:r>
    </w:p>
    <w:p>
      <w:pPr>
        <w:pStyle w:val="Normal"/>
        <w:spacing w:lineRule="auto" w:line="480"/>
        <w:rPr/>
      </w:pPr>
      <w:r>
        <w:rPr/>
      </w:r>
    </w:p>
    <w:p>
      <w:pPr>
        <w:pStyle w:val="Normal"/>
        <w:spacing w:lineRule="auto" w:line="480"/>
        <w:rPr/>
      </w:pPr>
      <w:r>
        <w:rPr>
          <w:b/>
          <w:bCs/>
        </w:rPr>
        <w:t>Interpretation:</w:t>
      </w:r>
    </w:p>
    <w:p>
      <w:pPr>
        <w:pStyle w:val="Normal"/>
        <w:spacing w:lineRule="auto" w:line="480"/>
        <w:rPr/>
      </w:pPr>
      <w:r>
        <w:rPr/>
        <w:t xml:space="preserve">This matched cohort study examining the risk of malignancy following a diagnosis of herpes zoster is the largest published to date. The results demonstrate an association between herpes zoster and subsequent development of a malignancy in both men and women as well as across all age categories studied. The greatest adjusted and unadjusted hazard ratios for cancer diagnosis following herpes zoster was seen at 180 days with a persisting but declining ratio over subsequent years. There was an 18.6% increase in adjusted cancer risk following a herpes zoster diagnosis within the first 180 days and an 11.4% adjusted increase at one year. Although a risk is demonstrated, the absolute increase in risk is modest at 1.34 per 1000 years of person time at 1 year and 0.84 per 1000 years of person time at 5 years. The greatest relative increase in specific cancer types was in lymphoma and leukemia. </w:t>
      </w:r>
    </w:p>
    <w:p>
      <w:pPr>
        <w:pStyle w:val="Normal"/>
        <w:spacing w:lineRule="auto" w:line="480"/>
        <w:rPr/>
      </w:pPr>
      <w:r>
        <w:rPr/>
      </w:r>
    </w:p>
    <w:p>
      <w:pPr>
        <w:pStyle w:val="Normal"/>
        <w:spacing w:lineRule="auto" w:line="480"/>
        <w:rPr/>
      </w:pPr>
      <w:r>
        <w:rPr/>
        <w:t>Our study also noted an association between the development of herpes zoster and the presence of co-morbidities, namely, myocardial infarction, congestive heart failure, chronic obstructive lung disease (COPD), asthma, diabetes and hypertension. This finding had been noted in previously conducted studies for diabetes</w:t>
      </w:r>
      <w:r>
        <w:rPr>
          <w:vertAlign w:val="superscript"/>
        </w:rPr>
        <w:t xml:space="preserve">20, 21 </w:t>
      </w:r>
      <w:r>
        <w:rPr/>
        <w:t>hypertension</w:t>
      </w:r>
      <w:r>
        <w:rPr>
          <w:vertAlign w:val="superscript"/>
        </w:rPr>
        <w:t>21</w:t>
      </w:r>
      <w:r>
        <w:rPr/>
        <w:t xml:space="preserve"> and COPD</w:t>
      </w:r>
      <w:r>
        <w:rPr>
          <w:vertAlign w:val="superscript"/>
        </w:rPr>
        <w:t>22</w:t>
      </w:r>
      <w:r>
        <w:rPr/>
        <w:t>.  Another study</w:t>
      </w:r>
      <w:r>
        <w:rPr>
          <w:vertAlign w:val="superscript"/>
        </w:rPr>
        <w:t>23</w:t>
      </w:r>
      <w:r>
        <w:rPr/>
        <w:t xml:space="preserve"> found an increased risk of undiagnosed diabetes mellitus (OR 2.28 CI 1.28-4.06) in patients presenting with a herpes zoster infection. </w:t>
      </w:r>
    </w:p>
    <w:p>
      <w:pPr>
        <w:pStyle w:val="Normal"/>
        <w:spacing w:lineRule="auto" w:line="480"/>
        <w:rPr/>
      </w:pPr>
      <w:r>
        <w:rPr/>
      </w:r>
    </w:p>
    <w:p>
      <w:pPr>
        <w:pStyle w:val="Normal"/>
        <w:spacing w:lineRule="auto" w:line="480"/>
        <w:rPr/>
      </w:pPr>
      <w:r>
        <w:rPr/>
        <w:t>A review of the literature has revealed three studies documenting an association between a diagnosis of herpes zoster and a subsequent diagnosis of a malignancy. Sorensen et al</w:t>
      </w:r>
      <w:r>
        <w:rPr>
          <w:vertAlign w:val="superscript"/>
        </w:rPr>
        <w:t>24</w:t>
      </w:r>
      <w:r>
        <w:rPr/>
        <w:t xml:space="preserve"> compared the incidence of malignancy in patients hospitalized with herpes zoster to the expected rate. The relative risk was reported to be 1.2 (CI 1.1-1.2) with the risk being substantially elevated during the first year of follow-up (1.3, CI 1.1-1.5) and especially for hematological cancers (3.4, CI 2.3-4.9), namely non- Hodgkin’s lymphoma, multiple myeloma and leukemia. </w:t>
      </w:r>
    </w:p>
    <w:p>
      <w:pPr>
        <w:pStyle w:val="Normal"/>
        <w:spacing w:lineRule="auto" w:line="480"/>
        <w:rPr/>
      </w:pPr>
      <w:r>
        <w:rPr/>
        <w:t>Buntinx et al</w:t>
      </w:r>
      <w:r>
        <w:rPr>
          <w:vertAlign w:val="superscript"/>
        </w:rPr>
        <w:t>12</w:t>
      </w:r>
      <w:r>
        <w:rPr/>
        <w:t xml:space="preserve"> conducted a retrospective cohort study utilizing a patient registry of 37 general practices in Belgium and found a statistically significant increase in cancer risk following a herpes zoster diagnosis in all patients over the age of 65 with a relative risk of 1.85 (CI 1.18-2.90). When the data were stratified by sex, the increase was only significant for females (2.65, CI 1.43- 4.90). There was no increased risk in the first year following a herpes zoster diagnosis (1.75, CI 0.82- 3.75). Another retrospective cohort study</w:t>
      </w:r>
      <w:r>
        <w:rPr>
          <w:vertAlign w:val="superscript"/>
        </w:rPr>
        <w:t xml:space="preserve">25 </w:t>
      </w:r>
      <w:r>
        <w:rPr/>
        <w:t xml:space="preserve">examined the risk of malignancy following an episode of herpes zoster ophthalmicus and found a 9.25 fold increase (CI 5.51-15.55) in malignancy risk within the first year of a diagnosis of herpes zoster ophthalmicus. There was no significant difference in cancer type demonstrated. </w:t>
      </w:r>
    </w:p>
    <w:p>
      <w:pPr>
        <w:pStyle w:val="Normal"/>
        <w:spacing w:lineRule="auto" w:line="480"/>
        <w:rPr>
          <w:rFonts w:ascii="Tahoma" w:hAnsi="Tahoma" w:cs="Tahoma"/>
          <w:color w:val="000000"/>
          <w:sz w:val="20"/>
          <w:szCs w:val="20"/>
        </w:rPr>
      </w:pPr>
      <w:r>
        <w:rPr>
          <w:rFonts w:cs="Tahoma" w:ascii="Tahoma" w:hAnsi="Tahoma"/>
          <w:color w:val="000000"/>
          <w:sz w:val="20"/>
          <w:szCs w:val="20"/>
        </w:rPr>
      </w:r>
    </w:p>
    <w:p>
      <w:pPr>
        <w:pStyle w:val="Normal"/>
        <w:spacing w:lineRule="auto" w:line="480"/>
        <w:rPr/>
      </w:pPr>
      <w:r>
        <w:rPr>
          <w:color w:val="000000"/>
        </w:rPr>
        <w:t>A recent retrospective cohort study</w:t>
      </w:r>
      <w:r>
        <w:rPr>
          <w:color w:val="000000"/>
          <w:vertAlign w:val="superscript"/>
        </w:rPr>
        <w:t>13</w:t>
      </w:r>
      <w:r>
        <w:rPr>
          <w:color w:val="000000"/>
        </w:rPr>
        <w:t xml:space="preserve"> utilizing a National Health Insurance Research Database in Taiwan examined the incidence of cancer in 35,871 patients with herpes zoster. Patients with cancer were identified through an application for a catastrophic illness certificate and the rates of cancer in the study population were compared to national incidence rates of cancer. The study concluded that a diagnosis of herpes zoster does not increase the risk of cancer overall (0.99 CI 0.93- 1.06) but did increase the risk of multiple myeloma (2.03, CI 1.01- 3.63) and bone and soft tissue cancers (2.03, CI 1.11- 3.41).  </w:t>
      </w:r>
    </w:p>
    <w:p>
      <w:pPr>
        <w:pStyle w:val="Normal"/>
        <w:spacing w:lineRule="auto" w:line="480"/>
        <w:rPr>
          <w:color w:val="000000"/>
        </w:rPr>
      </w:pPr>
      <w:r>
        <w:rPr>
          <w:color w:val="000000"/>
        </w:rPr>
      </w:r>
    </w:p>
    <w:p>
      <w:pPr>
        <w:pStyle w:val="Normal"/>
        <w:spacing w:lineRule="auto" w:line="480"/>
        <w:rPr/>
      </w:pPr>
      <w:r>
        <w:rPr/>
        <w:t>Our study is among the first to use a population-based approach.  It supports previous work showing that cancer occurs early after herpes zoster and that hematological cancers are most implicated.  Unlike other previous work, it did not find sex differences in cancer occurrence.  This study was able to examine a five year period; although the risk diminished over time, it persisted up to five years after herpes zoster.</w:t>
      </w:r>
    </w:p>
    <w:p>
      <w:pPr>
        <w:pStyle w:val="Normal"/>
        <w:spacing w:lineRule="auto" w:line="480"/>
        <w:rPr/>
      </w:pPr>
      <w:r>
        <w:rPr/>
        <w:t>There are limitations to this research.  The data used in this study were collected for purposes other than research and the diagnostic code for shingles has not been validated.  However, the Ontario cancer registry has undergone extensive validation.</w:t>
      </w:r>
      <w:r>
        <w:rPr>
          <w:vertAlign w:val="superscript"/>
        </w:rPr>
        <w:t>26</w:t>
      </w:r>
      <w:r>
        <w:rPr/>
        <w:t xml:space="preserve"> The large number of exposed subjects and controls means that statistical significance may have been found even for small absolute differences.  The main results do show clinically important increases in cancer risk following herpes zoster infection. </w:t>
      </w:r>
    </w:p>
    <w:p>
      <w:pPr>
        <w:pStyle w:val="Normal"/>
        <w:spacing w:lineRule="auto" w:line="480"/>
        <w:rPr/>
      </w:pPr>
      <w:r>
        <w:rPr/>
      </w:r>
    </w:p>
    <w:p>
      <w:pPr>
        <w:pStyle w:val="Normal"/>
        <w:spacing w:lineRule="auto" w:line="480"/>
        <w:rPr/>
      </w:pPr>
      <w:r>
        <w:rPr/>
        <w:t xml:space="preserve">In conclusion, there is a risk of developing a malignancy following an episode of herpes zoster which is present in both men and women and in all age groups 18 years and over. The risk is greatest in the first 180 days following a herpes zoster diagnosis but persists for at least five years. Clinicians are encouraged to be vigilant for malignancy in patients presenting with herpes zoster; however, screening cannot be recommended due to the modest increase in risk and lack of specificity with respect to cancer type. </w:t>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 xml:space="preserve">Acknowledgements: </w:t>
      </w:r>
    </w:p>
    <w:p>
      <w:pPr>
        <w:pStyle w:val="Normal"/>
        <w:spacing w:lineRule="auto" w:line="480"/>
        <w:rPr/>
      </w:pPr>
      <w:r>
        <w:rPr/>
        <w:t xml:space="preserve">This study was supported by the Institute for Clinical Evaluative Sciences (ICES), which is funded by an annual grant from the Ontario Ministry of Health and Long-Term Care (MOHLTC). The opinions, results and conclusions reported in this paper are those of the authors and are independent from the funding sources. No endorsement by ICES or the Ontario MOHLTC is intended or should be inferred.  </w:t>
      </w:r>
      <w:r>
        <w:rPr>
          <w:color w:val="000000"/>
        </w:rPr>
        <w:t>The authors had full access to all the data in the study and take responsibility for the integrity of the data and the accuracy of the data analysis.</w:t>
      </w:r>
    </w:p>
    <w:p>
      <w:pPr>
        <w:pStyle w:val="Normal"/>
        <w:spacing w:lineRule="auto" w:line="480"/>
        <w:rPr/>
      </w:pPr>
      <w:r>
        <w:rPr/>
      </w:r>
    </w:p>
    <w:p>
      <w:pPr>
        <w:pStyle w:val="Normal"/>
        <w:spacing w:lineRule="auto" w:line="480"/>
        <w:rPr>
          <w:b/>
          <w:b/>
          <w:bCs/>
        </w:rPr>
      </w:pPr>
      <w:r>
        <w:rPr>
          <w:b/>
          <w:bCs/>
        </w:rPr>
        <w:t>References:</w:t>
      </w:r>
    </w:p>
    <w:p>
      <w:pPr>
        <w:pStyle w:val="ListParagraph"/>
        <w:numPr>
          <w:ilvl w:val="0"/>
          <w:numId w:val="1"/>
        </w:numPr>
        <w:spacing w:lineRule="auto" w:line="480"/>
        <w:rPr/>
      </w:pPr>
      <w:r>
        <w:rPr/>
        <w:t xml:space="preserve">Mounsey AL, Matthew LG, Slawson DC. Herpes Zoster and Postherpetic Neuralgia: Prevention and Management. Am Fam Phys. 2005; 72: 1075-80. </w:t>
      </w:r>
    </w:p>
    <w:p>
      <w:pPr>
        <w:pStyle w:val="ListParagraph"/>
        <w:numPr>
          <w:ilvl w:val="0"/>
          <w:numId w:val="1"/>
        </w:numPr>
        <w:spacing w:lineRule="auto" w:line="480"/>
        <w:rPr/>
      </w:pPr>
      <w:r>
        <w:rPr/>
        <w:t xml:space="preserve">High KP. Preventing herpes zoster and postherpetic neuralgia through vaccination. J Fam Pract. 2007; 56 (10A): 51a- 57a. </w:t>
      </w:r>
    </w:p>
    <w:p>
      <w:pPr>
        <w:pStyle w:val="ListParagraph"/>
        <w:numPr>
          <w:ilvl w:val="0"/>
          <w:numId w:val="1"/>
        </w:numPr>
        <w:spacing w:lineRule="auto" w:line="480"/>
        <w:rPr/>
      </w:pPr>
      <w:r>
        <w:rPr/>
        <w:t xml:space="preserve">Whitley RJ. A 70- Year-Old Woman With Shingles: Review of Herpes Zoster. JAMA. 2009; 302: 73-80. </w:t>
      </w:r>
    </w:p>
    <w:p>
      <w:pPr>
        <w:pStyle w:val="ListParagraph"/>
        <w:numPr>
          <w:ilvl w:val="0"/>
          <w:numId w:val="1"/>
        </w:numPr>
        <w:spacing w:lineRule="auto" w:line="480"/>
        <w:rPr>
          <w:lang w:val="de-DE"/>
        </w:rPr>
      </w:pPr>
      <w:r>
        <w:rPr>
          <w:lang w:val="de-DE"/>
        </w:rPr>
        <w:t xml:space="preserve">Gnann JW, Whitley RJ. Herpes Zoster. NEJM. 2002; 347: 340-46. </w:t>
      </w:r>
    </w:p>
    <w:p>
      <w:pPr>
        <w:pStyle w:val="ListParagraph"/>
        <w:numPr>
          <w:ilvl w:val="0"/>
          <w:numId w:val="1"/>
        </w:numPr>
        <w:spacing w:lineRule="auto" w:line="480"/>
        <w:rPr/>
      </w:pPr>
      <w:r>
        <w:rPr/>
        <w:t xml:space="preserve">Stankus SJ, Dlugopolski M, Packer D. Management of Herpes Zoster (Shingles) and Postherpetic Neuralgia. Am Fam Phys. 2000; 61: 2437-44. </w:t>
      </w:r>
    </w:p>
    <w:p>
      <w:pPr>
        <w:pStyle w:val="ListParagraph"/>
        <w:numPr>
          <w:ilvl w:val="0"/>
          <w:numId w:val="1"/>
        </w:numPr>
        <w:spacing w:lineRule="auto" w:line="480"/>
        <w:rPr/>
      </w:pPr>
      <w:r>
        <w:rPr>
          <w:lang w:val="de-DE"/>
        </w:rPr>
        <w:t xml:space="preserve">Wareham DW, Breuer J. Herpes Zoster. </w:t>
      </w:r>
      <w:r>
        <w:rPr/>
        <w:t xml:space="preserve">BMJ. 2007; 334: 1211-15. </w:t>
      </w:r>
    </w:p>
    <w:p>
      <w:pPr>
        <w:pStyle w:val="Normal"/>
        <w:numPr>
          <w:ilvl w:val="0"/>
          <w:numId w:val="1"/>
        </w:numPr>
        <w:spacing w:lineRule="auto" w:line="480"/>
        <w:rPr/>
      </w:pPr>
      <w:r>
        <w:rPr/>
        <w:t>Smith JB, Fenske NA. Herpes Zoster and Internal Malignancy. Southern Medical Journal. 1995; 88: 1089-92.</w:t>
      </w:r>
    </w:p>
    <w:p>
      <w:pPr>
        <w:pStyle w:val="Normal"/>
        <w:numPr>
          <w:ilvl w:val="0"/>
          <w:numId w:val="1"/>
        </w:numPr>
        <w:spacing w:lineRule="auto" w:line="480"/>
        <w:rPr/>
      </w:pPr>
      <w:r>
        <w:rPr>
          <w:lang w:val="fr-CA"/>
        </w:rPr>
        <w:t xml:space="preserve">Anderson LA, Landgren O, Engels EA. </w:t>
      </w:r>
      <w:r>
        <w:rPr/>
        <w:t xml:space="preserve">Common community acquired infections and subsequent risk of chronic lymphocytic leukaemia. Br J Haematol. 2009; 147: 444-9. </w:t>
      </w:r>
    </w:p>
    <w:p>
      <w:pPr>
        <w:pStyle w:val="Normal"/>
        <w:numPr>
          <w:ilvl w:val="0"/>
          <w:numId w:val="1"/>
        </w:numPr>
        <w:spacing w:lineRule="auto" w:line="480"/>
        <w:rPr/>
      </w:pPr>
      <w:r>
        <w:rPr/>
        <w:t xml:space="preserve">Doody MM, Linet MS, Glass AG, Friedman GD, Pottern LM, Boice JD, Fraumeni JF. Leukemia, lymphoma, and multiple myeloma following selected medical conditions. Cancer Causes Control. 1992; 3: 449-56. </w:t>
      </w:r>
    </w:p>
    <w:p>
      <w:pPr>
        <w:pStyle w:val="Normal"/>
        <w:numPr>
          <w:ilvl w:val="0"/>
          <w:numId w:val="1"/>
        </w:numPr>
        <w:spacing w:lineRule="auto" w:line="480"/>
        <w:rPr/>
      </w:pPr>
      <w:r>
        <w:rPr/>
        <w:t>Ragozzino MW, Melton LJ, Kurland LT, Chu CP, Perry HO. Risk of cancer after herpes zoster: A population-based study. NEJM. 1982; 307: 393-7.</w:t>
      </w:r>
    </w:p>
    <w:p>
      <w:pPr>
        <w:pStyle w:val="Normal"/>
        <w:numPr>
          <w:ilvl w:val="0"/>
          <w:numId w:val="1"/>
        </w:numPr>
        <w:spacing w:lineRule="auto" w:line="480"/>
        <w:rPr/>
      </w:pPr>
      <w:r>
        <w:rPr/>
        <w:t>Fueyo MA, Lookingbill DP. Herpes zoster and occult malignancy. J Am Acad Dermatol. 1985; 11: 480-2.</w:t>
      </w:r>
    </w:p>
    <w:p>
      <w:pPr>
        <w:pStyle w:val="Normal"/>
        <w:numPr>
          <w:ilvl w:val="0"/>
          <w:numId w:val="1"/>
        </w:numPr>
        <w:spacing w:lineRule="auto" w:line="480"/>
        <w:rPr/>
      </w:pPr>
      <w:r>
        <w:rPr/>
        <w:t>Buntinx F, Wachana R, Bartholomeeusen S, Sweldens K, Geys H. Is herpes zoster a marker for occult or subsequent malignancy? British Journal of General Practice. 2005; 55: 102-7.</w:t>
      </w:r>
    </w:p>
    <w:p>
      <w:pPr>
        <w:pStyle w:val="Normal"/>
        <w:numPr>
          <w:ilvl w:val="0"/>
          <w:numId w:val="1"/>
        </w:numPr>
        <w:spacing w:lineRule="auto" w:line="480"/>
        <w:rPr/>
      </w:pPr>
      <w:r>
        <w:rPr/>
        <w:t xml:space="preserve">Wang YP, Liu CJ, Hu YW, Chen TJ, Lin YT, Fung CP. Risk of cancer among patients with herpes zoster infection: a population-based study. CMAJ. 2012; 184: E804- E809.   </w:t>
      </w:r>
    </w:p>
    <w:p>
      <w:pPr>
        <w:pStyle w:val="Normal"/>
        <w:numPr>
          <w:ilvl w:val="0"/>
          <w:numId w:val="1"/>
        </w:numPr>
        <w:spacing w:lineRule="auto" w:line="480" w:before="0" w:after="200"/>
        <w:ind w:left="714" w:hanging="357"/>
        <w:rPr>
          <w:color w:val="000000"/>
        </w:rPr>
      </w:pPr>
      <w:r>
        <w:rPr>
          <w:color w:val="000000"/>
        </w:rPr>
        <w:t xml:space="preserve">Tu JV, Austin PC, Walld R, Roos L, Agras J, McDonald KM. Development and validation of the Ontario acute myocardial infarction mortality prediction rules. J Am Coll Cardiol. 2001;37(4):992-997. </w:t>
      </w:r>
    </w:p>
    <w:p>
      <w:pPr>
        <w:pStyle w:val="Normal"/>
        <w:numPr>
          <w:ilvl w:val="0"/>
          <w:numId w:val="1"/>
        </w:numPr>
        <w:spacing w:lineRule="auto" w:line="480" w:before="0" w:after="200"/>
        <w:ind w:left="714" w:hanging="357"/>
        <w:rPr>
          <w:color w:val="000000"/>
        </w:rPr>
      </w:pPr>
      <w:r>
        <w:rPr>
          <w:color w:val="000000"/>
        </w:rPr>
        <w:t>Gershon AS, Wang C, Vasilevska-Ristovska J, Cicutto L, To T. Identifying patients with physician diagnosed asthma in health administrative databases. Can Respir J. 2009; 16(6):183–8.</w:t>
      </w:r>
    </w:p>
    <w:p>
      <w:pPr>
        <w:pStyle w:val="Normal"/>
        <w:numPr>
          <w:ilvl w:val="0"/>
          <w:numId w:val="1"/>
        </w:numPr>
        <w:spacing w:lineRule="auto" w:line="480" w:before="0" w:after="200"/>
        <w:ind w:left="714" w:hanging="357"/>
        <w:rPr>
          <w:color w:val="000000"/>
        </w:rPr>
      </w:pPr>
      <w:r>
        <w:rPr>
          <w:color w:val="000000"/>
        </w:rPr>
        <w:t>Yeung DF, Boom NK, Guo H, Lee DS, Schultz SE, Tu JV. Trends in the incidence and outcomes of heart failure in Ontario, Canada: 1997 to 2007. CMAJ 2012;184(14):E765-73.</w:t>
      </w:r>
    </w:p>
    <w:p>
      <w:pPr>
        <w:pStyle w:val="Normal"/>
        <w:numPr>
          <w:ilvl w:val="0"/>
          <w:numId w:val="1"/>
        </w:numPr>
        <w:spacing w:lineRule="auto" w:line="480" w:before="0" w:after="200"/>
        <w:ind w:left="714" w:hanging="357"/>
        <w:rPr>
          <w:color w:val="000000"/>
        </w:rPr>
      </w:pPr>
      <w:r>
        <w:rPr>
          <w:color w:val="000000"/>
        </w:rPr>
        <w:t>Gershon AS, Wang C, Guan J, Vasilevska- Ristovska J, Cicutto L, To T. Identifying individuals with physician diagnosed COPD in health administrative databases. COPD. 2009; 6(5):388–94.</w:t>
      </w:r>
    </w:p>
    <w:p>
      <w:pPr>
        <w:pStyle w:val="Normal"/>
        <w:numPr>
          <w:ilvl w:val="0"/>
          <w:numId w:val="1"/>
        </w:numPr>
        <w:spacing w:lineRule="auto" w:line="480" w:before="0" w:after="200"/>
        <w:ind w:left="714" w:hanging="357"/>
        <w:rPr>
          <w:color w:val="000000"/>
        </w:rPr>
      </w:pPr>
      <w:r>
        <w:rPr>
          <w:color w:val="000000"/>
        </w:rPr>
        <w:t>Hux JE, Ivis F, Flintoft V, Bica A. Diabetes in Ontario: determination of prevalence and incidence using a validated administrative data algorithm. Diabetes Care. 2002; 25(3):512–6.</w:t>
      </w:r>
    </w:p>
    <w:p>
      <w:pPr>
        <w:pStyle w:val="Normal"/>
        <w:numPr>
          <w:ilvl w:val="0"/>
          <w:numId w:val="1"/>
        </w:numPr>
        <w:spacing w:lineRule="auto" w:line="480" w:before="0" w:after="200"/>
        <w:ind w:left="714" w:hanging="357"/>
        <w:rPr>
          <w:color w:val="000000"/>
        </w:rPr>
      </w:pPr>
      <w:r>
        <w:rPr>
          <w:color w:val="000000"/>
        </w:rPr>
        <w:t>Tu K, Campbell N, Chen X, Cauch-Dudek K, McCalister F. Accuracy of administrative databases in identifying patients with hypertension. Open Medicine, North America, 1, April. 2007. Available at: http://www.openmedicine.ca/article/view/17/23. Date accessed: 25 Nov. 2012.</w:t>
      </w:r>
    </w:p>
    <w:p>
      <w:pPr>
        <w:pStyle w:val="Normal"/>
        <w:numPr>
          <w:ilvl w:val="0"/>
          <w:numId w:val="1"/>
        </w:numPr>
        <w:spacing w:lineRule="auto" w:line="480"/>
        <w:rPr/>
      </w:pPr>
      <w:r>
        <w:rPr>
          <w:lang w:val="de-DE"/>
        </w:rPr>
        <w:t xml:space="preserve">Heymann AD, Chodick G, Karpati T, Kamer L, Kremer E, Green MS, et al. </w:t>
      </w:r>
      <w:r>
        <w:rPr/>
        <w:t>Diabetes as a Risk Factor for Herpes Zoster Infection: Results of a Population-Based Study in Israel. Infection. 2008; 36 (3): 226-30.</w:t>
      </w:r>
    </w:p>
    <w:p>
      <w:pPr>
        <w:pStyle w:val="Normal"/>
        <w:numPr>
          <w:ilvl w:val="0"/>
          <w:numId w:val="1"/>
        </w:numPr>
        <w:spacing w:lineRule="auto" w:line="480"/>
        <w:rPr/>
      </w:pPr>
      <w:r>
        <w:rPr/>
        <w:t xml:space="preserve">Hata A, Kuniyoshi M, Ohkusa Y. Risk of Herpes zoster in patients with underlying diseases: a retrospective hospital-based cohort study. Infection. 2011; 39 (6): 537-44.  </w:t>
      </w:r>
    </w:p>
    <w:p>
      <w:pPr>
        <w:pStyle w:val="Normal"/>
        <w:numPr>
          <w:ilvl w:val="0"/>
          <w:numId w:val="1"/>
        </w:numPr>
        <w:spacing w:lineRule="auto" w:line="480"/>
        <w:rPr/>
      </w:pPr>
      <w:r>
        <w:rPr/>
        <w:t xml:space="preserve">Yang Y, Chen Y, Wang K, Wang C, Lin H. Risk of herpes zoster among patients with chronic obstructive pulmonary disease: a population-based study. CMAJ. 2011; 183 (5): E275-80. </w:t>
      </w:r>
    </w:p>
    <w:p>
      <w:pPr>
        <w:pStyle w:val="Normal"/>
        <w:numPr>
          <w:ilvl w:val="0"/>
          <w:numId w:val="1"/>
        </w:numPr>
        <w:spacing w:lineRule="auto" w:line="480"/>
        <w:rPr/>
      </w:pPr>
      <w:r>
        <w:rPr/>
        <w:t>Nassaji-Zavareh M, Taheri R, Ghorbani R, Aminian M. Undiagnosed Diabetes Mellitus in Patients with Herpes Zoster. Ind J Dermatol. 2008; 53 (3): 119-21.</w:t>
      </w:r>
    </w:p>
    <w:p>
      <w:pPr>
        <w:pStyle w:val="Normal"/>
        <w:numPr>
          <w:ilvl w:val="0"/>
          <w:numId w:val="1"/>
        </w:numPr>
        <w:spacing w:lineRule="auto" w:line="480"/>
        <w:rPr/>
      </w:pPr>
      <w:r>
        <w:rPr/>
        <w:t>Sorensen HT, Olsen JH, Jepsen P, Johnsen SP, Schonheyder HC, Mellemkjaer L. The risk and prognosis of cancer after hospitalization for herpes zoster: a population-based follow-up study. Br J Cancer. 2004; 91: 1275-79.</w:t>
      </w:r>
    </w:p>
    <w:p>
      <w:pPr>
        <w:pStyle w:val="Normal"/>
        <w:numPr>
          <w:ilvl w:val="0"/>
          <w:numId w:val="1"/>
        </w:numPr>
        <w:spacing w:lineRule="auto" w:line="480"/>
        <w:rPr/>
      </w:pPr>
      <w:r>
        <w:rPr/>
        <w:t xml:space="preserve">Ho JD, Xirasagar S, Lin HC. Increased Risk of a Cancer Diagnosis after Herpes Zoster Ophthalmicus: A Nationwide Population-Based Study. Opth. 2011; 118 (6): 1076-81. </w:t>
      </w:r>
    </w:p>
    <w:p>
      <w:pPr>
        <w:pStyle w:val="Normal"/>
        <w:numPr>
          <w:ilvl w:val="0"/>
          <w:numId w:val="1"/>
        </w:numPr>
        <w:spacing w:lineRule="auto" w:line="480"/>
        <w:rPr/>
      </w:pPr>
      <w:r>
        <w:rPr/>
        <w:t>Hall S, Schulze K, Groome P, Mackillop W, Holowaty E. Using cancer registry data for survival studies: the example of the Ontario Cancer Registry. J Clin Epidemiol. 2006;59:67-76.</w:t>
      </w:r>
    </w:p>
    <w:p>
      <w:pPr>
        <w:pStyle w:val="Normal"/>
        <w:spacing w:lineRule="auto" w:line="480"/>
        <w:rPr/>
      </w:pPr>
      <w:r>
        <w:rPr/>
        <w:t xml:space="preserve"> </w:t>
      </w:r>
      <w:r>
        <w:br w:type="page"/>
      </w:r>
    </w:p>
    <w:p>
      <w:pPr>
        <w:pStyle w:val="Normal"/>
        <w:spacing w:lineRule="auto" w:line="480"/>
        <w:rPr/>
      </w:pPr>
      <w:r>
        <w:rPr>
          <w:b/>
          <w:bCs/>
        </w:rPr>
        <w:t xml:space="preserve">Table 1: Demographic characteristics of individuals with a Herpes Zoster diagnosis and controls. </w:t>
      </w:r>
    </w:p>
    <w:tbl>
      <w:tblPr>
        <w:tblW w:w="7662" w:type="dxa"/>
        <w:jc w:val="left"/>
        <w:tblInd w:w="-106" w:type="dxa"/>
        <w:tblBorders>
          <w:bottom w:val="single" w:sz="4" w:space="0" w:color="000000"/>
          <w:insideH w:val="single" w:sz="4" w:space="0" w:color="000000"/>
        </w:tblBorders>
        <w:tblCellMar>
          <w:top w:w="0" w:type="dxa"/>
          <w:left w:w="108" w:type="dxa"/>
          <w:bottom w:w="0" w:type="dxa"/>
          <w:right w:w="108" w:type="dxa"/>
        </w:tblCellMar>
      </w:tblPr>
      <w:tblGrid>
        <w:gridCol w:w="1390"/>
        <w:gridCol w:w="2358"/>
        <w:gridCol w:w="1911"/>
        <w:gridCol w:w="2003"/>
      </w:tblGrid>
      <w:tr>
        <w:trPr/>
        <w:tc>
          <w:tcPr>
            <w:tcW w:w="1390" w:type="dxa"/>
            <w:tcBorders>
              <w:bottom w:val="single" w:sz="4" w:space="0" w:color="000000"/>
              <w:insideH w:val="single" w:sz="4" w:space="0" w:color="000000"/>
            </w:tcBorders>
            <w:shd w:fill="auto" w:val="clear"/>
          </w:tcPr>
          <w:p>
            <w:pPr>
              <w:pStyle w:val="Normal"/>
              <w:jc w:val="center"/>
              <w:rPr>
                <w:b/>
                <w:b/>
                <w:bCs/>
              </w:rPr>
            </w:pPr>
            <w:r>
              <w:rPr>
                <w:b/>
                <w:bCs/>
              </w:rPr>
              <w:t>Variable</w:t>
            </w:r>
          </w:p>
        </w:tc>
        <w:tc>
          <w:tcPr>
            <w:tcW w:w="2358" w:type="dxa"/>
            <w:tcBorders>
              <w:bottom w:val="single" w:sz="4" w:space="0" w:color="000000"/>
              <w:insideH w:val="single" w:sz="4" w:space="0" w:color="000000"/>
            </w:tcBorders>
            <w:shd w:fill="auto" w:val="clear"/>
          </w:tcPr>
          <w:p>
            <w:pPr>
              <w:pStyle w:val="Normal"/>
              <w:snapToGrid w:val="false"/>
              <w:rPr>
                <w:b/>
                <w:b/>
                <w:bCs/>
              </w:rPr>
            </w:pPr>
            <w:r>
              <w:rPr>
                <w:b/>
                <w:bCs/>
              </w:rPr>
            </w:r>
          </w:p>
        </w:tc>
        <w:tc>
          <w:tcPr>
            <w:tcW w:w="1911" w:type="dxa"/>
            <w:tcBorders>
              <w:bottom w:val="single" w:sz="4" w:space="0" w:color="000000"/>
              <w:insideH w:val="single" w:sz="4" w:space="0" w:color="000000"/>
            </w:tcBorders>
            <w:shd w:fill="auto" w:val="clear"/>
          </w:tcPr>
          <w:p>
            <w:pPr>
              <w:pStyle w:val="Normal"/>
              <w:jc w:val="center"/>
              <w:rPr>
                <w:b/>
                <w:b/>
                <w:bCs/>
              </w:rPr>
            </w:pPr>
            <w:r>
              <w:rPr>
                <w:b/>
                <w:bCs/>
              </w:rPr>
              <w:t>Patients with Herpes Zoster</w:t>
            </w:r>
          </w:p>
        </w:tc>
        <w:tc>
          <w:tcPr>
            <w:tcW w:w="2003" w:type="dxa"/>
            <w:tcBorders>
              <w:bottom w:val="single" w:sz="4" w:space="0" w:color="000000"/>
              <w:insideH w:val="single" w:sz="4" w:space="0" w:color="000000"/>
            </w:tcBorders>
            <w:shd w:fill="auto" w:val="clear"/>
          </w:tcPr>
          <w:p>
            <w:pPr>
              <w:pStyle w:val="Normal"/>
              <w:jc w:val="center"/>
              <w:rPr>
                <w:b/>
                <w:b/>
                <w:bCs/>
              </w:rPr>
            </w:pPr>
            <w:r>
              <w:rPr>
                <w:b/>
                <w:bCs/>
              </w:rPr>
              <w:t>Patients without Herpes Zoster</w:t>
            </w:r>
          </w:p>
        </w:tc>
      </w:tr>
      <w:tr>
        <w:trPr/>
        <w:tc>
          <w:tcPr>
            <w:tcW w:w="1390" w:type="dxa"/>
            <w:tcBorders>
              <w:top w:val="single" w:sz="4" w:space="0" w:color="000000"/>
            </w:tcBorders>
            <w:shd w:fill="auto" w:val="clear"/>
          </w:tcPr>
          <w:p>
            <w:pPr>
              <w:pStyle w:val="Normal"/>
              <w:jc w:val="center"/>
              <w:rPr>
                <w:b/>
                <w:b/>
                <w:bCs/>
              </w:rPr>
            </w:pPr>
            <w:r>
              <w:rPr>
                <w:b/>
                <w:bCs/>
              </w:rPr>
              <w:t>Sex</w:t>
            </w:r>
          </w:p>
        </w:tc>
        <w:tc>
          <w:tcPr>
            <w:tcW w:w="2358" w:type="dxa"/>
            <w:tcBorders>
              <w:top w:val="single" w:sz="4" w:space="0" w:color="000000"/>
            </w:tcBorders>
            <w:shd w:fill="auto" w:val="clear"/>
          </w:tcPr>
          <w:p>
            <w:pPr>
              <w:pStyle w:val="Normal"/>
              <w:rPr>
                <w:b/>
                <w:b/>
                <w:bCs/>
              </w:rPr>
            </w:pPr>
            <w:r>
              <w:rPr>
                <w:b/>
                <w:bCs/>
              </w:rPr>
              <w:t>Female</w:t>
            </w:r>
          </w:p>
        </w:tc>
        <w:tc>
          <w:tcPr>
            <w:tcW w:w="1911" w:type="dxa"/>
            <w:tcBorders>
              <w:top w:val="single" w:sz="4" w:space="0" w:color="000000"/>
            </w:tcBorders>
            <w:shd w:fill="auto" w:val="clear"/>
          </w:tcPr>
          <w:p>
            <w:pPr>
              <w:pStyle w:val="Normal"/>
              <w:jc w:val="center"/>
              <w:rPr>
                <w:b/>
                <w:b/>
                <w:bCs/>
              </w:rPr>
            </w:pPr>
            <w:r>
              <w:rPr>
                <w:color w:val="000000"/>
              </w:rPr>
              <w:t>319,935 (59.0%)</w:t>
            </w:r>
          </w:p>
        </w:tc>
        <w:tc>
          <w:tcPr>
            <w:tcW w:w="2003" w:type="dxa"/>
            <w:tcBorders>
              <w:top w:val="single" w:sz="4" w:space="0" w:color="000000"/>
            </w:tcBorders>
            <w:shd w:fill="auto" w:val="clear"/>
          </w:tcPr>
          <w:p>
            <w:pPr>
              <w:pStyle w:val="Normal"/>
              <w:jc w:val="center"/>
              <w:rPr>
                <w:b/>
                <w:b/>
                <w:bCs/>
              </w:rPr>
            </w:pPr>
            <w:r>
              <w:rPr>
                <w:color w:val="000000"/>
              </w:rPr>
              <w:t>319,935 (59.0%)</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Male</w:t>
            </w:r>
          </w:p>
        </w:tc>
        <w:tc>
          <w:tcPr>
            <w:tcW w:w="1911" w:type="dxa"/>
            <w:tcBorders/>
            <w:shd w:fill="auto" w:val="clear"/>
          </w:tcPr>
          <w:p>
            <w:pPr>
              <w:pStyle w:val="Normal"/>
              <w:jc w:val="center"/>
              <w:rPr>
                <w:b/>
                <w:b/>
                <w:bCs/>
              </w:rPr>
            </w:pPr>
            <w:r>
              <w:rPr>
                <w:color w:val="000000"/>
              </w:rPr>
              <w:t>222,640 (41.0%)</w:t>
            </w:r>
          </w:p>
        </w:tc>
        <w:tc>
          <w:tcPr>
            <w:tcW w:w="2003" w:type="dxa"/>
            <w:tcBorders/>
            <w:shd w:fill="auto" w:val="clear"/>
          </w:tcPr>
          <w:p>
            <w:pPr>
              <w:pStyle w:val="Normal"/>
              <w:jc w:val="center"/>
              <w:rPr>
                <w:b/>
                <w:b/>
                <w:bCs/>
              </w:rPr>
            </w:pPr>
            <w:r>
              <w:rPr>
                <w:color w:val="000000"/>
              </w:rPr>
              <w:t>222,640 (41.0%)</w:t>
            </w:r>
          </w:p>
        </w:tc>
      </w:tr>
      <w:tr>
        <w:trPr/>
        <w:tc>
          <w:tcPr>
            <w:tcW w:w="1390" w:type="dxa"/>
            <w:tcBorders/>
            <w:shd w:fill="auto" w:val="clear"/>
          </w:tcPr>
          <w:p>
            <w:pPr>
              <w:pStyle w:val="Normal"/>
              <w:jc w:val="center"/>
              <w:rPr>
                <w:b/>
                <w:b/>
                <w:bCs/>
              </w:rPr>
            </w:pPr>
            <w:r>
              <w:rPr>
                <w:b/>
                <w:bCs/>
              </w:rPr>
              <w:t>Total</w:t>
            </w:r>
          </w:p>
        </w:tc>
        <w:tc>
          <w:tcPr>
            <w:tcW w:w="2358" w:type="dxa"/>
            <w:tcBorders/>
            <w:shd w:fill="auto" w:val="clear"/>
          </w:tcPr>
          <w:p>
            <w:pPr>
              <w:pStyle w:val="Normal"/>
              <w:snapToGrid w:val="false"/>
              <w:rPr>
                <w:b/>
                <w:b/>
                <w:bCs/>
              </w:rPr>
            </w:pPr>
            <w:r>
              <w:rPr>
                <w:b/>
                <w:bCs/>
              </w:rPr>
            </w:r>
          </w:p>
        </w:tc>
        <w:tc>
          <w:tcPr>
            <w:tcW w:w="1911" w:type="dxa"/>
            <w:tcBorders/>
            <w:shd w:fill="auto" w:val="clear"/>
          </w:tcPr>
          <w:p>
            <w:pPr>
              <w:pStyle w:val="Normal"/>
              <w:jc w:val="center"/>
              <w:rPr>
                <w:color w:val="000000"/>
              </w:rPr>
            </w:pPr>
            <w:r>
              <w:rPr>
                <w:color w:val="000000"/>
              </w:rPr>
              <w:t>542, 575</w:t>
            </w:r>
          </w:p>
        </w:tc>
        <w:tc>
          <w:tcPr>
            <w:tcW w:w="2003" w:type="dxa"/>
            <w:tcBorders/>
            <w:shd w:fill="auto" w:val="clear"/>
          </w:tcPr>
          <w:p>
            <w:pPr>
              <w:pStyle w:val="Normal"/>
              <w:jc w:val="center"/>
              <w:rPr>
                <w:color w:val="000000"/>
              </w:rPr>
            </w:pPr>
            <w:r>
              <w:rPr>
                <w:color w:val="000000"/>
              </w:rPr>
              <w:t>542, 575</w:t>
            </w:r>
          </w:p>
        </w:tc>
      </w:tr>
      <w:tr>
        <w:trPr/>
        <w:tc>
          <w:tcPr>
            <w:tcW w:w="1390" w:type="dxa"/>
            <w:tcBorders/>
            <w:shd w:fill="auto" w:val="clear"/>
          </w:tcPr>
          <w:p>
            <w:pPr>
              <w:pStyle w:val="Normal"/>
              <w:jc w:val="center"/>
              <w:rPr>
                <w:b/>
                <w:b/>
                <w:bCs/>
              </w:rPr>
            </w:pPr>
            <w:r>
              <w:rPr>
                <w:b/>
                <w:bCs/>
              </w:rPr>
              <w:t>Age</w:t>
            </w:r>
          </w:p>
        </w:tc>
        <w:tc>
          <w:tcPr>
            <w:tcW w:w="2358" w:type="dxa"/>
            <w:tcBorders/>
            <w:shd w:fill="auto" w:val="clear"/>
          </w:tcPr>
          <w:p>
            <w:pPr>
              <w:pStyle w:val="Normal"/>
              <w:rPr>
                <w:b/>
                <w:b/>
                <w:bCs/>
              </w:rPr>
            </w:pPr>
            <w:r>
              <w:rPr>
                <w:b/>
                <w:bCs/>
              </w:rPr>
              <w:t>Years (mean)</w:t>
            </w:r>
          </w:p>
        </w:tc>
        <w:tc>
          <w:tcPr>
            <w:tcW w:w="1911" w:type="dxa"/>
            <w:tcBorders/>
            <w:shd w:fill="auto" w:val="clear"/>
          </w:tcPr>
          <w:p>
            <w:pPr>
              <w:pStyle w:val="Normal"/>
              <w:jc w:val="center"/>
              <w:rPr>
                <w:b/>
                <w:b/>
                <w:bCs/>
              </w:rPr>
            </w:pPr>
            <w:r>
              <w:rPr>
                <w:color w:val="000000"/>
              </w:rPr>
              <w:t xml:space="preserve">54.08 </w:t>
            </w:r>
          </w:p>
        </w:tc>
        <w:tc>
          <w:tcPr>
            <w:tcW w:w="2003" w:type="dxa"/>
            <w:tcBorders/>
            <w:shd w:fill="auto" w:val="clear"/>
          </w:tcPr>
          <w:p>
            <w:pPr>
              <w:pStyle w:val="Normal"/>
              <w:jc w:val="center"/>
              <w:rPr>
                <w:b/>
                <w:b/>
                <w:bCs/>
              </w:rPr>
            </w:pPr>
            <w:r>
              <w:rPr>
                <w:color w:val="000000"/>
              </w:rPr>
              <w:t xml:space="preserve">54.08 </w:t>
            </w:r>
          </w:p>
        </w:tc>
      </w:tr>
      <w:tr>
        <w:trPr/>
        <w:tc>
          <w:tcPr>
            <w:tcW w:w="1390" w:type="dxa"/>
            <w:tcBorders/>
            <w:shd w:fill="auto" w:val="clear"/>
          </w:tcPr>
          <w:p>
            <w:pPr>
              <w:pStyle w:val="Normal"/>
              <w:jc w:val="center"/>
              <w:rPr>
                <w:b/>
                <w:b/>
                <w:bCs/>
              </w:rPr>
            </w:pPr>
            <w:r>
              <w:rPr>
                <w:b/>
                <w:bCs/>
              </w:rPr>
              <w:t>Age Group</w:t>
            </w:r>
          </w:p>
        </w:tc>
        <w:tc>
          <w:tcPr>
            <w:tcW w:w="2358" w:type="dxa"/>
            <w:tcBorders/>
            <w:shd w:fill="auto" w:val="clear"/>
          </w:tcPr>
          <w:p>
            <w:pPr>
              <w:pStyle w:val="Normal"/>
              <w:rPr>
                <w:b/>
                <w:b/>
                <w:bCs/>
              </w:rPr>
            </w:pPr>
            <w:r>
              <w:rPr>
                <w:b/>
                <w:bCs/>
              </w:rPr>
              <w:t>18-49</w:t>
            </w:r>
          </w:p>
        </w:tc>
        <w:tc>
          <w:tcPr>
            <w:tcW w:w="1911" w:type="dxa"/>
            <w:tcBorders/>
            <w:shd w:fill="auto" w:val="clear"/>
          </w:tcPr>
          <w:p>
            <w:pPr>
              <w:pStyle w:val="Normal"/>
              <w:jc w:val="center"/>
              <w:rPr>
                <w:b/>
                <w:b/>
                <w:bCs/>
              </w:rPr>
            </w:pPr>
            <w:r>
              <w:rPr>
                <w:color w:val="000000"/>
              </w:rPr>
              <w:t>218,530 (40.3%)</w:t>
            </w:r>
          </w:p>
        </w:tc>
        <w:tc>
          <w:tcPr>
            <w:tcW w:w="2003" w:type="dxa"/>
            <w:tcBorders/>
            <w:shd w:fill="auto" w:val="clear"/>
          </w:tcPr>
          <w:p>
            <w:pPr>
              <w:pStyle w:val="Normal"/>
              <w:jc w:val="center"/>
              <w:rPr>
                <w:b/>
                <w:b/>
                <w:bCs/>
              </w:rPr>
            </w:pPr>
            <w:r>
              <w:rPr>
                <w:color w:val="000000"/>
              </w:rPr>
              <w:t>218,530 (40.3%)</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50-64</w:t>
            </w:r>
          </w:p>
        </w:tc>
        <w:tc>
          <w:tcPr>
            <w:tcW w:w="1911" w:type="dxa"/>
            <w:tcBorders/>
            <w:shd w:fill="auto" w:val="clear"/>
          </w:tcPr>
          <w:p>
            <w:pPr>
              <w:pStyle w:val="Normal"/>
              <w:jc w:val="center"/>
              <w:rPr>
                <w:b/>
                <w:b/>
                <w:bCs/>
              </w:rPr>
            </w:pPr>
            <w:r>
              <w:rPr>
                <w:color w:val="000000"/>
              </w:rPr>
              <w:t>148,897 (27.4%)</w:t>
            </w:r>
          </w:p>
        </w:tc>
        <w:tc>
          <w:tcPr>
            <w:tcW w:w="2003" w:type="dxa"/>
            <w:tcBorders/>
            <w:shd w:fill="auto" w:val="clear"/>
          </w:tcPr>
          <w:p>
            <w:pPr>
              <w:pStyle w:val="Normal"/>
              <w:jc w:val="center"/>
              <w:rPr>
                <w:b/>
                <w:b/>
                <w:bCs/>
              </w:rPr>
            </w:pPr>
            <w:r>
              <w:rPr>
                <w:color w:val="000000"/>
              </w:rPr>
              <w:t>148,897 (27.4%)</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65-74</w:t>
            </w:r>
          </w:p>
        </w:tc>
        <w:tc>
          <w:tcPr>
            <w:tcW w:w="1911" w:type="dxa"/>
            <w:tcBorders/>
            <w:shd w:fill="auto" w:val="clear"/>
          </w:tcPr>
          <w:p>
            <w:pPr>
              <w:pStyle w:val="Normal"/>
              <w:jc w:val="center"/>
              <w:rPr>
                <w:b/>
                <w:b/>
                <w:bCs/>
              </w:rPr>
            </w:pPr>
            <w:r>
              <w:rPr>
                <w:color w:val="000000"/>
              </w:rPr>
              <w:t>91,847 (16.9%)</w:t>
            </w:r>
          </w:p>
        </w:tc>
        <w:tc>
          <w:tcPr>
            <w:tcW w:w="2003" w:type="dxa"/>
            <w:tcBorders/>
            <w:shd w:fill="auto" w:val="clear"/>
          </w:tcPr>
          <w:p>
            <w:pPr>
              <w:pStyle w:val="Normal"/>
              <w:jc w:val="center"/>
              <w:rPr>
                <w:b/>
                <w:b/>
                <w:bCs/>
              </w:rPr>
            </w:pPr>
            <w:r>
              <w:rPr>
                <w:color w:val="000000"/>
              </w:rPr>
              <w:t>91,847 (16.9%)</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75+</w:t>
            </w:r>
          </w:p>
        </w:tc>
        <w:tc>
          <w:tcPr>
            <w:tcW w:w="1911" w:type="dxa"/>
            <w:tcBorders/>
            <w:shd w:fill="auto" w:val="clear"/>
          </w:tcPr>
          <w:p>
            <w:pPr>
              <w:pStyle w:val="Normal"/>
              <w:jc w:val="center"/>
              <w:rPr>
                <w:b/>
                <w:b/>
                <w:bCs/>
              </w:rPr>
            </w:pPr>
            <w:r>
              <w:rPr>
                <w:color w:val="000000"/>
              </w:rPr>
              <w:t>83,301 (15.4%)</w:t>
            </w:r>
          </w:p>
        </w:tc>
        <w:tc>
          <w:tcPr>
            <w:tcW w:w="2003" w:type="dxa"/>
            <w:tcBorders/>
            <w:shd w:fill="auto" w:val="clear"/>
          </w:tcPr>
          <w:p>
            <w:pPr>
              <w:pStyle w:val="Normal"/>
              <w:jc w:val="center"/>
              <w:rPr>
                <w:b/>
                <w:b/>
                <w:bCs/>
              </w:rPr>
            </w:pPr>
            <w:r>
              <w:rPr>
                <w:color w:val="000000"/>
              </w:rPr>
              <w:t>83,301 (15.4%)</w:t>
            </w:r>
          </w:p>
        </w:tc>
      </w:tr>
      <w:tr>
        <w:trPr/>
        <w:tc>
          <w:tcPr>
            <w:tcW w:w="1390" w:type="dxa"/>
            <w:tcBorders/>
            <w:shd w:fill="auto" w:val="clear"/>
          </w:tcPr>
          <w:p>
            <w:pPr>
              <w:pStyle w:val="Normal"/>
              <w:jc w:val="center"/>
              <w:rPr>
                <w:b/>
                <w:b/>
                <w:bCs/>
              </w:rPr>
            </w:pPr>
            <w:r>
              <w:rPr>
                <w:b/>
                <w:bCs/>
              </w:rPr>
              <w:t>Setting</w:t>
            </w:r>
          </w:p>
        </w:tc>
        <w:tc>
          <w:tcPr>
            <w:tcW w:w="2358" w:type="dxa"/>
            <w:tcBorders/>
            <w:shd w:fill="auto" w:val="clear"/>
          </w:tcPr>
          <w:p>
            <w:pPr>
              <w:pStyle w:val="Normal"/>
              <w:rPr>
                <w:b/>
                <w:b/>
                <w:bCs/>
              </w:rPr>
            </w:pPr>
            <w:r>
              <w:rPr>
                <w:b/>
                <w:bCs/>
              </w:rPr>
              <w:t>Rural</w:t>
            </w:r>
          </w:p>
        </w:tc>
        <w:tc>
          <w:tcPr>
            <w:tcW w:w="1911" w:type="dxa"/>
            <w:tcBorders/>
            <w:shd w:fill="auto" w:val="clear"/>
          </w:tcPr>
          <w:p>
            <w:pPr>
              <w:pStyle w:val="Normal"/>
              <w:jc w:val="center"/>
              <w:rPr>
                <w:b/>
                <w:b/>
                <w:bCs/>
              </w:rPr>
            </w:pPr>
            <w:r>
              <w:rPr>
                <w:color w:val="000000"/>
              </w:rPr>
              <w:t>70,863 (13.1%)</w:t>
            </w:r>
          </w:p>
        </w:tc>
        <w:tc>
          <w:tcPr>
            <w:tcW w:w="2003" w:type="dxa"/>
            <w:tcBorders/>
            <w:shd w:fill="auto" w:val="clear"/>
          </w:tcPr>
          <w:p>
            <w:pPr>
              <w:pStyle w:val="Normal"/>
              <w:rPr>
                <w:b/>
                <w:b/>
                <w:bCs/>
              </w:rPr>
            </w:pPr>
            <w:r>
              <w:rPr>
                <w:color w:val="000000"/>
              </w:rPr>
              <w:t>73,229 (13.5%)</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Urban</w:t>
            </w:r>
          </w:p>
        </w:tc>
        <w:tc>
          <w:tcPr>
            <w:tcW w:w="1911" w:type="dxa"/>
            <w:tcBorders/>
            <w:shd w:fill="auto" w:val="clear"/>
          </w:tcPr>
          <w:p>
            <w:pPr>
              <w:pStyle w:val="Normal"/>
              <w:jc w:val="center"/>
              <w:rPr>
                <w:b/>
                <w:b/>
                <w:bCs/>
              </w:rPr>
            </w:pPr>
            <w:r>
              <w:rPr>
                <w:color w:val="000000"/>
              </w:rPr>
              <w:t>465,755 (85.8%)</w:t>
            </w:r>
          </w:p>
        </w:tc>
        <w:tc>
          <w:tcPr>
            <w:tcW w:w="2003" w:type="dxa"/>
            <w:tcBorders/>
            <w:shd w:fill="auto" w:val="clear"/>
          </w:tcPr>
          <w:p>
            <w:pPr>
              <w:pStyle w:val="Normal"/>
              <w:rPr>
                <w:b/>
                <w:b/>
                <w:bCs/>
              </w:rPr>
            </w:pPr>
            <w:r>
              <w:rPr>
                <w:color w:val="000000"/>
              </w:rPr>
              <w:t>467,947 (86.2%)</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Unknown</w:t>
            </w:r>
          </w:p>
        </w:tc>
        <w:tc>
          <w:tcPr>
            <w:tcW w:w="1911" w:type="dxa"/>
            <w:tcBorders/>
            <w:shd w:fill="auto" w:val="clear"/>
          </w:tcPr>
          <w:p>
            <w:pPr>
              <w:pStyle w:val="Normal"/>
              <w:jc w:val="center"/>
              <w:rPr>
                <w:b/>
                <w:b/>
                <w:bCs/>
              </w:rPr>
            </w:pPr>
            <w:r>
              <w:rPr>
                <w:color w:val="000000"/>
              </w:rPr>
              <w:t>5,957 (1.1%)</w:t>
            </w:r>
          </w:p>
        </w:tc>
        <w:tc>
          <w:tcPr>
            <w:tcW w:w="2003" w:type="dxa"/>
            <w:tcBorders/>
            <w:shd w:fill="auto" w:val="clear"/>
          </w:tcPr>
          <w:p>
            <w:pPr>
              <w:pStyle w:val="Normal"/>
              <w:rPr>
                <w:b/>
                <w:b/>
                <w:bCs/>
              </w:rPr>
            </w:pPr>
            <w:r>
              <w:rPr>
                <w:color w:val="000000"/>
              </w:rPr>
              <w:t xml:space="preserve">1,399 (0.3%) </w:t>
            </w:r>
          </w:p>
        </w:tc>
      </w:tr>
      <w:tr>
        <w:trPr/>
        <w:tc>
          <w:tcPr>
            <w:tcW w:w="1390" w:type="dxa"/>
            <w:tcBorders/>
            <w:shd w:fill="auto" w:val="clear"/>
          </w:tcPr>
          <w:p>
            <w:pPr>
              <w:pStyle w:val="Normal"/>
              <w:jc w:val="center"/>
              <w:rPr>
                <w:b/>
                <w:b/>
                <w:bCs/>
              </w:rPr>
            </w:pPr>
            <w:r>
              <w:rPr>
                <w:b/>
                <w:bCs/>
              </w:rPr>
              <w:t>Income Quintile</w:t>
            </w:r>
          </w:p>
        </w:tc>
        <w:tc>
          <w:tcPr>
            <w:tcW w:w="2358" w:type="dxa"/>
            <w:tcBorders/>
            <w:shd w:fill="auto" w:val="clear"/>
          </w:tcPr>
          <w:p>
            <w:pPr>
              <w:pStyle w:val="Normal"/>
              <w:rPr>
                <w:b/>
                <w:b/>
                <w:bCs/>
              </w:rPr>
            </w:pPr>
            <w:r>
              <w:rPr>
                <w:b/>
                <w:bCs/>
              </w:rPr>
              <w:t>1 (Low)</w:t>
            </w:r>
          </w:p>
        </w:tc>
        <w:tc>
          <w:tcPr>
            <w:tcW w:w="1911" w:type="dxa"/>
            <w:tcBorders/>
            <w:shd w:fill="auto" w:val="clear"/>
          </w:tcPr>
          <w:p>
            <w:pPr>
              <w:pStyle w:val="Normal"/>
              <w:jc w:val="center"/>
              <w:rPr>
                <w:b/>
                <w:b/>
                <w:bCs/>
              </w:rPr>
            </w:pPr>
            <w:r>
              <w:rPr>
                <w:color w:val="000000"/>
              </w:rPr>
              <w:t>107,049 (19.7%)</w:t>
            </w:r>
          </w:p>
        </w:tc>
        <w:tc>
          <w:tcPr>
            <w:tcW w:w="2003" w:type="dxa"/>
            <w:tcBorders/>
            <w:shd w:fill="auto" w:val="clear"/>
          </w:tcPr>
          <w:p>
            <w:pPr>
              <w:pStyle w:val="Normal"/>
              <w:jc w:val="center"/>
              <w:rPr>
                <w:b/>
                <w:b/>
                <w:bCs/>
              </w:rPr>
            </w:pPr>
            <w:r>
              <w:rPr>
                <w:color w:val="000000"/>
              </w:rPr>
              <w:t>101,181 (18.6%)</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2</w:t>
            </w:r>
          </w:p>
        </w:tc>
        <w:tc>
          <w:tcPr>
            <w:tcW w:w="1911" w:type="dxa"/>
            <w:tcBorders/>
            <w:shd w:fill="auto" w:val="clear"/>
          </w:tcPr>
          <w:p>
            <w:pPr>
              <w:pStyle w:val="Normal"/>
              <w:jc w:val="center"/>
              <w:rPr>
                <w:b/>
                <w:b/>
                <w:bCs/>
              </w:rPr>
            </w:pPr>
            <w:r>
              <w:rPr>
                <w:color w:val="000000"/>
              </w:rPr>
              <w:t>109,277 (20.1%)</w:t>
            </w:r>
          </w:p>
        </w:tc>
        <w:tc>
          <w:tcPr>
            <w:tcW w:w="2003" w:type="dxa"/>
            <w:tcBorders/>
            <w:shd w:fill="auto" w:val="clear"/>
          </w:tcPr>
          <w:p>
            <w:pPr>
              <w:pStyle w:val="Normal"/>
              <w:jc w:val="center"/>
              <w:rPr>
                <w:b/>
                <w:b/>
                <w:bCs/>
              </w:rPr>
            </w:pPr>
            <w:r>
              <w:rPr>
                <w:color w:val="000000"/>
              </w:rPr>
              <w:t>109,404 (20.2%)</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3</w:t>
            </w:r>
          </w:p>
        </w:tc>
        <w:tc>
          <w:tcPr>
            <w:tcW w:w="1911" w:type="dxa"/>
            <w:tcBorders/>
            <w:shd w:fill="auto" w:val="clear"/>
          </w:tcPr>
          <w:p>
            <w:pPr>
              <w:pStyle w:val="Normal"/>
              <w:jc w:val="center"/>
              <w:rPr>
                <w:b/>
                <w:b/>
                <w:bCs/>
              </w:rPr>
            </w:pPr>
            <w:r>
              <w:rPr>
                <w:color w:val="000000"/>
              </w:rPr>
              <w:t>106,163 (19.6%)</w:t>
            </w:r>
          </w:p>
        </w:tc>
        <w:tc>
          <w:tcPr>
            <w:tcW w:w="2003" w:type="dxa"/>
            <w:tcBorders/>
            <w:shd w:fill="auto" w:val="clear"/>
          </w:tcPr>
          <w:p>
            <w:pPr>
              <w:pStyle w:val="Normal"/>
              <w:jc w:val="center"/>
              <w:rPr>
                <w:b/>
                <w:b/>
                <w:bCs/>
              </w:rPr>
            </w:pPr>
            <w:r>
              <w:rPr>
                <w:color w:val="000000"/>
              </w:rPr>
              <w:t>108,457 (20.0%)</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4</w:t>
            </w:r>
          </w:p>
        </w:tc>
        <w:tc>
          <w:tcPr>
            <w:tcW w:w="1911" w:type="dxa"/>
            <w:tcBorders/>
            <w:shd w:fill="auto" w:val="clear"/>
          </w:tcPr>
          <w:p>
            <w:pPr>
              <w:pStyle w:val="Normal"/>
              <w:jc w:val="center"/>
              <w:rPr>
                <w:b/>
                <w:b/>
                <w:bCs/>
              </w:rPr>
            </w:pPr>
            <w:r>
              <w:rPr>
                <w:color w:val="000000"/>
              </w:rPr>
              <w:t>104,872 (19.3%)</w:t>
            </w:r>
          </w:p>
        </w:tc>
        <w:tc>
          <w:tcPr>
            <w:tcW w:w="2003" w:type="dxa"/>
            <w:tcBorders/>
            <w:shd w:fill="auto" w:val="clear"/>
          </w:tcPr>
          <w:p>
            <w:pPr>
              <w:pStyle w:val="Normal"/>
              <w:jc w:val="center"/>
              <w:rPr>
                <w:b/>
                <w:b/>
                <w:bCs/>
              </w:rPr>
            </w:pPr>
            <w:r>
              <w:rPr>
                <w:color w:val="000000"/>
              </w:rPr>
              <w:t>108,879 (20.1%)</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5 (High)</w:t>
            </w:r>
          </w:p>
        </w:tc>
        <w:tc>
          <w:tcPr>
            <w:tcW w:w="1911" w:type="dxa"/>
            <w:tcBorders/>
            <w:shd w:fill="auto" w:val="clear"/>
          </w:tcPr>
          <w:p>
            <w:pPr>
              <w:pStyle w:val="Normal"/>
              <w:jc w:val="center"/>
              <w:rPr>
                <w:b/>
                <w:b/>
                <w:bCs/>
              </w:rPr>
            </w:pPr>
            <w:r>
              <w:rPr>
                <w:color w:val="000000"/>
              </w:rPr>
              <w:t>107,338 (19.8%)</w:t>
            </w:r>
          </w:p>
        </w:tc>
        <w:tc>
          <w:tcPr>
            <w:tcW w:w="2003" w:type="dxa"/>
            <w:tcBorders/>
            <w:shd w:fill="auto" w:val="clear"/>
          </w:tcPr>
          <w:p>
            <w:pPr>
              <w:pStyle w:val="Normal"/>
              <w:jc w:val="center"/>
              <w:rPr>
                <w:b/>
                <w:b/>
                <w:bCs/>
              </w:rPr>
            </w:pPr>
            <w:r>
              <w:rPr>
                <w:color w:val="000000"/>
              </w:rPr>
              <w:t>111,611 (20.6%)</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Unknown</w:t>
            </w:r>
          </w:p>
        </w:tc>
        <w:tc>
          <w:tcPr>
            <w:tcW w:w="1911" w:type="dxa"/>
            <w:tcBorders/>
            <w:shd w:fill="auto" w:val="clear"/>
          </w:tcPr>
          <w:p>
            <w:pPr>
              <w:pStyle w:val="Normal"/>
              <w:jc w:val="center"/>
              <w:rPr>
                <w:b/>
                <w:b/>
                <w:bCs/>
              </w:rPr>
            </w:pPr>
            <w:r>
              <w:rPr>
                <w:color w:val="000000"/>
              </w:rPr>
              <w:t>7,876 (1.5%)</w:t>
            </w:r>
          </w:p>
        </w:tc>
        <w:tc>
          <w:tcPr>
            <w:tcW w:w="2003" w:type="dxa"/>
            <w:tcBorders/>
            <w:shd w:fill="auto" w:val="clear"/>
          </w:tcPr>
          <w:p>
            <w:pPr>
              <w:pStyle w:val="Normal"/>
              <w:jc w:val="center"/>
              <w:rPr>
                <w:b/>
                <w:b/>
                <w:bCs/>
              </w:rPr>
            </w:pPr>
            <w:r>
              <w:rPr>
                <w:color w:val="000000"/>
              </w:rPr>
              <w:t>3,043 (0.6%)</w:t>
            </w:r>
          </w:p>
        </w:tc>
      </w:tr>
      <w:tr>
        <w:trPr/>
        <w:tc>
          <w:tcPr>
            <w:tcW w:w="1390" w:type="dxa"/>
            <w:tcBorders/>
            <w:shd w:fill="auto" w:val="clear"/>
          </w:tcPr>
          <w:p>
            <w:pPr>
              <w:pStyle w:val="Normal"/>
              <w:jc w:val="center"/>
              <w:rPr>
                <w:b/>
                <w:b/>
                <w:bCs/>
              </w:rPr>
            </w:pPr>
            <w:r>
              <w:rPr>
                <w:b/>
                <w:bCs/>
              </w:rPr>
              <w:t>Co-morbidities</w:t>
            </w:r>
          </w:p>
        </w:tc>
        <w:tc>
          <w:tcPr>
            <w:tcW w:w="2358" w:type="dxa"/>
            <w:tcBorders/>
            <w:shd w:fill="auto" w:val="clear"/>
          </w:tcPr>
          <w:p>
            <w:pPr>
              <w:pStyle w:val="Normal"/>
              <w:rPr>
                <w:b/>
                <w:b/>
                <w:bCs/>
              </w:rPr>
            </w:pPr>
            <w:r>
              <w:rPr>
                <w:b/>
                <w:bCs/>
              </w:rPr>
              <w:t>Acute myocardial infarction</w:t>
            </w:r>
          </w:p>
        </w:tc>
        <w:tc>
          <w:tcPr>
            <w:tcW w:w="1911" w:type="dxa"/>
            <w:tcBorders/>
            <w:shd w:fill="auto" w:val="clear"/>
          </w:tcPr>
          <w:p>
            <w:pPr>
              <w:pStyle w:val="Normal"/>
              <w:jc w:val="center"/>
              <w:rPr>
                <w:b/>
                <w:b/>
                <w:bCs/>
              </w:rPr>
            </w:pPr>
            <w:r>
              <w:rPr>
                <w:color w:val="000000"/>
              </w:rPr>
              <w:t>10,027 (1.8%)</w:t>
            </w:r>
          </w:p>
        </w:tc>
        <w:tc>
          <w:tcPr>
            <w:tcW w:w="2003" w:type="dxa"/>
            <w:tcBorders/>
            <w:shd w:fill="auto" w:val="clear"/>
          </w:tcPr>
          <w:p>
            <w:pPr>
              <w:pStyle w:val="Normal"/>
              <w:jc w:val="center"/>
              <w:rPr>
                <w:b/>
                <w:b/>
                <w:bCs/>
              </w:rPr>
            </w:pPr>
            <w:r>
              <w:rPr>
                <w:color w:val="000000"/>
              </w:rPr>
              <w:t>8,597 (1.6%)</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Asthma</w:t>
            </w:r>
          </w:p>
        </w:tc>
        <w:tc>
          <w:tcPr>
            <w:tcW w:w="1911" w:type="dxa"/>
            <w:tcBorders/>
            <w:shd w:fill="auto" w:val="clear"/>
          </w:tcPr>
          <w:p>
            <w:pPr>
              <w:pStyle w:val="Normal"/>
              <w:jc w:val="center"/>
              <w:rPr>
                <w:b/>
                <w:b/>
                <w:bCs/>
              </w:rPr>
            </w:pPr>
            <w:r>
              <w:rPr>
                <w:color w:val="000000"/>
              </w:rPr>
              <w:t>61,734 (11.4%)</w:t>
            </w:r>
          </w:p>
        </w:tc>
        <w:tc>
          <w:tcPr>
            <w:tcW w:w="2003" w:type="dxa"/>
            <w:tcBorders/>
            <w:shd w:fill="auto" w:val="clear"/>
          </w:tcPr>
          <w:p>
            <w:pPr>
              <w:pStyle w:val="Normal"/>
              <w:jc w:val="center"/>
              <w:rPr>
                <w:b/>
                <w:b/>
                <w:bCs/>
              </w:rPr>
            </w:pPr>
            <w:r>
              <w:rPr>
                <w:color w:val="000000"/>
              </w:rPr>
              <w:t>47,245 (8.7%)</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Congestive Heart Failure</w:t>
            </w:r>
          </w:p>
        </w:tc>
        <w:tc>
          <w:tcPr>
            <w:tcW w:w="1911" w:type="dxa"/>
            <w:tcBorders/>
            <w:shd w:fill="auto" w:val="clear"/>
          </w:tcPr>
          <w:p>
            <w:pPr>
              <w:pStyle w:val="Normal"/>
              <w:jc w:val="center"/>
              <w:rPr>
                <w:b/>
                <w:b/>
                <w:bCs/>
              </w:rPr>
            </w:pPr>
            <w:r>
              <w:rPr>
                <w:color w:val="000000"/>
              </w:rPr>
              <w:t>22,138 (4.1%)</w:t>
            </w:r>
          </w:p>
        </w:tc>
        <w:tc>
          <w:tcPr>
            <w:tcW w:w="2003" w:type="dxa"/>
            <w:tcBorders/>
            <w:shd w:fill="auto" w:val="clear"/>
          </w:tcPr>
          <w:p>
            <w:pPr>
              <w:pStyle w:val="Normal"/>
              <w:jc w:val="center"/>
              <w:rPr>
                <w:b/>
                <w:b/>
                <w:bCs/>
              </w:rPr>
            </w:pPr>
            <w:r>
              <w:rPr>
                <w:color w:val="000000"/>
              </w:rPr>
              <w:t>18,390 (3.4%)</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Chronic Obstructive Pulmonary Disease</w:t>
            </w:r>
          </w:p>
        </w:tc>
        <w:tc>
          <w:tcPr>
            <w:tcW w:w="1911" w:type="dxa"/>
            <w:tcBorders/>
            <w:shd w:fill="auto" w:val="clear"/>
          </w:tcPr>
          <w:p>
            <w:pPr>
              <w:pStyle w:val="Normal"/>
              <w:jc w:val="center"/>
              <w:rPr>
                <w:b/>
                <w:b/>
                <w:bCs/>
              </w:rPr>
            </w:pPr>
            <w:r>
              <w:rPr>
                <w:color w:val="000000"/>
              </w:rPr>
              <w:t>54,989 (10.1%)</w:t>
            </w:r>
          </w:p>
        </w:tc>
        <w:tc>
          <w:tcPr>
            <w:tcW w:w="2003" w:type="dxa"/>
            <w:tcBorders/>
            <w:shd w:fill="auto" w:val="clear"/>
          </w:tcPr>
          <w:p>
            <w:pPr>
              <w:pStyle w:val="Normal"/>
              <w:jc w:val="center"/>
              <w:rPr>
                <w:b/>
                <w:b/>
                <w:bCs/>
              </w:rPr>
            </w:pPr>
            <w:r>
              <w:rPr>
                <w:color w:val="000000"/>
              </w:rPr>
              <w:t>45,808 (8.4%)</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Diabetes Mellitus</w:t>
            </w:r>
          </w:p>
        </w:tc>
        <w:tc>
          <w:tcPr>
            <w:tcW w:w="1911" w:type="dxa"/>
            <w:tcBorders/>
            <w:shd w:fill="auto" w:val="clear"/>
          </w:tcPr>
          <w:p>
            <w:pPr>
              <w:pStyle w:val="Normal"/>
              <w:jc w:val="center"/>
              <w:rPr>
                <w:b/>
                <w:b/>
                <w:bCs/>
              </w:rPr>
            </w:pPr>
            <w:r>
              <w:rPr>
                <w:color w:val="000000"/>
              </w:rPr>
              <w:t>82,200 (15.1%)</w:t>
            </w:r>
          </w:p>
        </w:tc>
        <w:tc>
          <w:tcPr>
            <w:tcW w:w="2003" w:type="dxa"/>
            <w:tcBorders/>
            <w:shd w:fill="auto" w:val="clear"/>
          </w:tcPr>
          <w:p>
            <w:pPr>
              <w:pStyle w:val="Normal"/>
              <w:jc w:val="center"/>
              <w:rPr>
                <w:b/>
                <w:b/>
                <w:bCs/>
              </w:rPr>
            </w:pPr>
            <w:r>
              <w:rPr>
                <w:color w:val="000000"/>
              </w:rPr>
              <w:t>78,461 (14.5%)</w:t>
            </w:r>
          </w:p>
        </w:tc>
      </w:tr>
      <w:tr>
        <w:trPr/>
        <w:tc>
          <w:tcPr>
            <w:tcW w:w="1390" w:type="dxa"/>
            <w:tcBorders/>
            <w:shd w:fill="auto" w:val="clear"/>
          </w:tcPr>
          <w:p>
            <w:pPr>
              <w:pStyle w:val="Normal"/>
              <w:snapToGrid w:val="false"/>
              <w:jc w:val="center"/>
              <w:rPr>
                <w:b/>
                <w:b/>
                <w:bCs/>
              </w:rPr>
            </w:pPr>
            <w:r>
              <w:rPr>
                <w:b/>
                <w:bCs/>
              </w:rPr>
            </w:r>
          </w:p>
        </w:tc>
        <w:tc>
          <w:tcPr>
            <w:tcW w:w="2358" w:type="dxa"/>
            <w:tcBorders/>
            <w:shd w:fill="auto" w:val="clear"/>
          </w:tcPr>
          <w:p>
            <w:pPr>
              <w:pStyle w:val="Normal"/>
              <w:rPr>
                <w:b/>
                <w:b/>
                <w:bCs/>
              </w:rPr>
            </w:pPr>
            <w:r>
              <w:rPr>
                <w:b/>
                <w:bCs/>
              </w:rPr>
              <w:t>Hypertension</w:t>
            </w:r>
          </w:p>
        </w:tc>
        <w:tc>
          <w:tcPr>
            <w:tcW w:w="1911" w:type="dxa"/>
            <w:tcBorders/>
            <w:shd w:fill="auto" w:val="clear"/>
          </w:tcPr>
          <w:p>
            <w:pPr>
              <w:pStyle w:val="Normal"/>
              <w:jc w:val="center"/>
              <w:rPr>
                <w:b/>
                <w:b/>
                <w:bCs/>
              </w:rPr>
            </w:pPr>
            <w:r>
              <w:rPr>
                <w:color w:val="000000"/>
              </w:rPr>
              <w:t>171,769 (31.7%)</w:t>
            </w:r>
          </w:p>
        </w:tc>
        <w:tc>
          <w:tcPr>
            <w:tcW w:w="2003" w:type="dxa"/>
            <w:tcBorders/>
            <w:shd w:fill="auto" w:val="clear"/>
          </w:tcPr>
          <w:p>
            <w:pPr>
              <w:pStyle w:val="Normal"/>
              <w:jc w:val="center"/>
              <w:rPr>
                <w:b/>
                <w:b/>
                <w:bCs/>
              </w:rPr>
            </w:pPr>
            <w:r>
              <w:rPr>
                <w:color w:val="000000"/>
              </w:rPr>
              <w:t>158,849 (29.3%)</w:t>
            </w:r>
          </w:p>
        </w:tc>
      </w:tr>
    </w:tbl>
    <w:p>
      <w:pPr>
        <w:pStyle w:val="Normal"/>
        <w:rPr/>
      </w:pPr>
      <w:r>
        <w:rPr/>
      </w:r>
      <w:r>
        <w:br w:type="page"/>
      </w:r>
    </w:p>
    <w:p>
      <w:pPr>
        <w:pStyle w:val="Normal"/>
        <w:spacing w:lineRule="auto" w:line="480"/>
        <w:rPr>
          <w:b/>
          <w:b/>
          <w:bCs/>
        </w:rPr>
      </w:pPr>
      <w:r>
        <w:rPr>
          <w:b/>
          <w:bCs/>
        </w:rPr>
        <w:t>Table 2: Cumulative incidence of cancer from time of diagnosis of Herpes Zoster in affected subjects and unaffected controls.</w:t>
      </w:r>
    </w:p>
    <w:tbl>
      <w:tblPr>
        <w:tblW w:w="9682" w:type="dxa"/>
        <w:jc w:val="left"/>
        <w:tblInd w:w="-106" w:type="dxa"/>
        <w:tblBorders>
          <w:bottom w:val="single" w:sz="4" w:space="0" w:color="000000"/>
          <w:insideH w:val="single" w:sz="4" w:space="0" w:color="000000"/>
        </w:tblBorders>
        <w:tblCellMar>
          <w:top w:w="0" w:type="dxa"/>
          <w:left w:w="108" w:type="dxa"/>
          <w:bottom w:w="0" w:type="dxa"/>
          <w:right w:w="108" w:type="dxa"/>
        </w:tblCellMar>
      </w:tblPr>
      <w:tblGrid>
        <w:gridCol w:w="1543"/>
        <w:gridCol w:w="1543"/>
        <w:gridCol w:w="1543"/>
        <w:gridCol w:w="1964"/>
        <w:gridCol w:w="1848"/>
        <w:gridCol w:w="1241"/>
      </w:tblGrid>
      <w:tr>
        <w:trPr/>
        <w:tc>
          <w:tcPr>
            <w:tcW w:w="1543"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Time from Diagnosis of Herpes Zoster</w:t>
            </w:r>
          </w:p>
        </w:tc>
        <w:tc>
          <w:tcPr>
            <w:tcW w:w="1543"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Cancer Diagnosis in Patients with herpes zoster</w:t>
            </w:r>
          </w:p>
        </w:tc>
        <w:tc>
          <w:tcPr>
            <w:tcW w:w="1543"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Cancer Diagnosis in Patients without herpes zoster</w:t>
            </w:r>
          </w:p>
        </w:tc>
        <w:tc>
          <w:tcPr>
            <w:tcW w:w="1964"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Unadjusted Hazard Ratio</w:t>
            </w:r>
          </w:p>
          <w:p>
            <w:pPr>
              <w:pStyle w:val="Normal"/>
              <w:jc w:val="center"/>
              <w:rPr>
                <w:b/>
                <w:b/>
                <w:bCs/>
                <w:sz w:val="20"/>
                <w:szCs w:val="20"/>
              </w:rPr>
            </w:pPr>
            <w:r>
              <w:rPr>
                <w:b/>
                <w:bCs/>
                <w:sz w:val="20"/>
                <w:szCs w:val="20"/>
              </w:rPr>
              <w:t>(Confidence Interval)</w:t>
            </w:r>
          </w:p>
        </w:tc>
        <w:tc>
          <w:tcPr>
            <w:tcW w:w="1848"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Adjusted Hazard Ratio*</w:t>
            </w:r>
          </w:p>
          <w:p>
            <w:pPr>
              <w:pStyle w:val="Normal"/>
              <w:jc w:val="center"/>
              <w:rPr>
                <w:b/>
                <w:b/>
                <w:bCs/>
                <w:sz w:val="20"/>
                <w:szCs w:val="20"/>
              </w:rPr>
            </w:pPr>
            <w:r>
              <w:rPr>
                <w:b/>
                <w:bCs/>
                <w:sz w:val="20"/>
                <w:szCs w:val="20"/>
              </w:rPr>
              <w:t>(Confidence Interval)</w:t>
            </w:r>
          </w:p>
        </w:tc>
        <w:tc>
          <w:tcPr>
            <w:tcW w:w="1241" w:type="dxa"/>
            <w:tcBorders>
              <w:bottom w:val="single" w:sz="4" w:space="0" w:color="000000"/>
              <w:insideH w:val="single" w:sz="4" w:space="0" w:color="000000"/>
            </w:tcBorders>
            <w:shd w:fill="auto" w:val="clear"/>
          </w:tcPr>
          <w:p>
            <w:pPr>
              <w:pStyle w:val="Normal"/>
              <w:jc w:val="center"/>
              <w:rPr>
                <w:b/>
                <w:b/>
                <w:bCs/>
                <w:sz w:val="20"/>
                <w:szCs w:val="20"/>
              </w:rPr>
            </w:pPr>
            <w:r>
              <w:rPr>
                <w:b/>
                <w:bCs/>
                <w:sz w:val="20"/>
                <w:szCs w:val="20"/>
              </w:rPr>
              <w:t>P-Value</w:t>
            </w:r>
          </w:p>
        </w:tc>
      </w:tr>
      <w:tr>
        <w:trPr/>
        <w:tc>
          <w:tcPr>
            <w:tcW w:w="1543" w:type="dxa"/>
            <w:tcBorders>
              <w:top w:val="single" w:sz="4" w:space="0" w:color="000000"/>
            </w:tcBorders>
            <w:shd w:fill="auto" w:val="clear"/>
          </w:tcPr>
          <w:p>
            <w:pPr>
              <w:pStyle w:val="Normal"/>
              <w:jc w:val="center"/>
              <w:rPr>
                <w:b/>
                <w:b/>
                <w:bCs/>
                <w:sz w:val="20"/>
                <w:szCs w:val="20"/>
              </w:rPr>
            </w:pPr>
            <w:r>
              <w:rPr>
                <w:b/>
                <w:bCs/>
                <w:sz w:val="20"/>
                <w:szCs w:val="20"/>
              </w:rPr>
              <w:t>180 days</w:t>
            </w:r>
          </w:p>
        </w:tc>
        <w:tc>
          <w:tcPr>
            <w:tcW w:w="1543" w:type="dxa"/>
            <w:tcBorders>
              <w:top w:val="single" w:sz="4" w:space="0" w:color="000000"/>
            </w:tcBorders>
            <w:shd w:fill="auto" w:val="clear"/>
          </w:tcPr>
          <w:p>
            <w:pPr>
              <w:pStyle w:val="Normal"/>
              <w:jc w:val="center"/>
              <w:rPr>
                <w:b/>
                <w:b/>
                <w:bCs/>
                <w:sz w:val="20"/>
                <w:szCs w:val="20"/>
              </w:rPr>
            </w:pPr>
            <w:r>
              <w:rPr>
                <w:color w:val="000000"/>
                <w:sz w:val="22"/>
                <w:szCs w:val="22"/>
              </w:rPr>
              <w:t>2,875 (0.5%)</w:t>
            </w:r>
          </w:p>
        </w:tc>
        <w:tc>
          <w:tcPr>
            <w:tcW w:w="1543" w:type="dxa"/>
            <w:tcBorders>
              <w:top w:val="single" w:sz="4" w:space="0" w:color="000000"/>
            </w:tcBorders>
            <w:shd w:fill="auto" w:val="clear"/>
          </w:tcPr>
          <w:p>
            <w:pPr>
              <w:pStyle w:val="Normal"/>
              <w:rPr>
                <w:color w:val="000000"/>
                <w:sz w:val="22"/>
                <w:szCs w:val="22"/>
              </w:rPr>
            </w:pPr>
            <w:r>
              <w:rPr>
                <w:color w:val="000000"/>
                <w:sz w:val="22"/>
                <w:szCs w:val="22"/>
              </w:rPr>
              <w:t>2,403 (0.4%)</w:t>
            </w:r>
          </w:p>
          <w:p>
            <w:pPr>
              <w:pStyle w:val="Normal"/>
              <w:jc w:val="center"/>
              <w:rPr>
                <w:b/>
                <w:b/>
                <w:bCs/>
                <w:color w:val="000000"/>
                <w:sz w:val="20"/>
                <w:szCs w:val="20"/>
              </w:rPr>
            </w:pPr>
            <w:r>
              <w:rPr>
                <w:b/>
                <w:bCs/>
                <w:color w:val="000000"/>
                <w:sz w:val="20"/>
                <w:szCs w:val="20"/>
              </w:rPr>
            </w:r>
          </w:p>
        </w:tc>
        <w:tc>
          <w:tcPr>
            <w:tcW w:w="1964" w:type="dxa"/>
            <w:tcBorders>
              <w:top w:val="single" w:sz="4" w:space="0" w:color="000000"/>
            </w:tcBorders>
            <w:shd w:fill="auto" w:val="clear"/>
          </w:tcPr>
          <w:p>
            <w:pPr>
              <w:pStyle w:val="Normal"/>
              <w:jc w:val="center"/>
              <w:rPr>
                <w:color w:val="000000"/>
                <w:sz w:val="22"/>
                <w:szCs w:val="22"/>
              </w:rPr>
            </w:pPr>
            <w:r>
              <w:rPr>
                <w:color w:val="000000"/>
                <w:sz w:val="22"/>
                <w:szCs w:val="22"/>
              </w:rPr>
              <w:t>1.203</w:t>
            </w:r>
          </w:p>
          <w:p>
            <w:pPr>
              <w:pStyle w:val="Normal"/>
              <w:jc w:val="center"/>
              <w:rPr>
                <w:sz w:val="20"/>
                <w:szCs w:val="20"/>
              </w:rPr>
            </w:pPr>
            <w:r>
              <w:rPr>
                <w:sz w:val="20"/>
                <w:szCs w:val="20"/>
              </w:rPr>
              <w:t>(1.139- 1.271)</w:t>
            </w:r>
          </w:p>
        </w:tc>
        <w:tc>
          <w:tcPr>
            <w:tcW w:w="1848" w:type="dxa"/>
            <w:tcBorders>
              <w:top w:val="single" w:sz="4" w:space="0" w:color="000000"/>
            </w:tcBorders>
            <w:shd w:fill="auto" w:val="clear"/>
          </w:tcPr>
          <w:p>
            <w:pPr>
              <w:pStyle w:val="Normal"/>
              <w:jc w:val="center"/>
              <w:rPr>
                <w:sz w:val="20"/>
                <w:szCs w:val="20"/>
              </w:rPr>
            </w:pPr>
            <w:r>
              <w:rPr>
                <w:sz w:val="20"/>
                <w:szCs w:val="20"/>
              </w:rPr>
              <w:t>1.186</w:t>
            </w:r>
          </w:p>
          <w:p>
            <w:pPr>
              <w:pStyle w:val="Normal"/>
              <w:jc w:val="center"/>
              <w:rPr>
                <w:sz w:val="20"/>
                <w:szCs w:val="20"/>
              </w:rPr>
            </w:pPr>
            <w:r>
              <w:rPr>
                <w:sz w:val="20"/>
                <w:szCs w:val="20"/>
              </w:rPr>
              <w:t>(1.122- 1.253)</w:t>
            </w:r>
          </w:p>
        </w:tc>
        <w:tc>
          <w:tcPr>
            <w:tcW w:w="1241" w:type="dxa"/>
            <w:tcBorders>
              <w:top w:val="single" w:sz="4" w:space="0" w:color="000000"/>
            </w:tcBorders>
            <w:shd w:fill="auto" w:val="clear"/>
          </w:tcPr>
          <w:p>
            <w:pPr>
              <w:pStyle w:val="Normal"/>
              <w:jc w:val="center"/>
              <w:rPr>
                <w:sz w:val="20"/>
                <w:szCs w:val="20"/>
              </w:rPr>
            </w:pPr>
            <w:r>
              <w:rPr>
                <w:sz w:val="20"/>
                <w:szCs w:val="20"/>
              </w:rPr>
              <w:t>&lt;0.001</w:t>
            </w:r>
          </w:p>
        </w:tc>
      </w:tr>
      <w:tr>
        <w:trPr/>
        <w:tc>
          <w:tcPr>
            <w:tcW w:w="1543" w:type="dxa"/>
            <w:tcBorders/>
            <w:shd w:fill="auto" w:val="clear"/>
          </w:tcPr>
          <w:p>
            <w:pPr>
              <w:pStyle w:val="Normal"/>
              <w:jc w:val="center"/>
              <w:rPr>
                <w:b/>
                <w:b/>
                <w:bCs/>
                <w:sz w:val="20"/>
                <w:szCs w:val="20"/>
              </w:rPr>
            </w:pPr>
            <w:r>
              <w:rPr>
                <w:b/>
                <w:bCs/>
                <w:sz w:val="20"/>
                <w:szCs w:val="20"/>
              </w:rPr>
              <w:t>1 year</w:t>
            </w:r>
          </w:p>
        </w:tc>
        <w:tc>
          <w:tcPr>
            <w:tcW w:w="1543" w:type="dxa"/>
            <w:tcBorders/>
            <w:shd w:fill="auto" w:val="clear"/>
          </w:tcPr>
          <w:p>
            <w:pPr>
              <w:pStyle w:val="Normal"/>
              <w:rPr>
                <w:color w:val="000000"/>
                <w:sz w:val="22"/>
                <w:szCs w:val="22"/>
              </w:rPr>
            </w:pPr>
            <w:r>
              <w:rPr>
                <w:color w:val="000000"/>
                <w:sz w:val="22"/>
                <w:szCs w:val="22"/>
              </w:rPr>
              <w:t>5,615 (1.0%)</w:t>
            </w:r>
          </w:p>
          <w:p>
            <w:pPr>
              <w:pStyle w:val="Normal"/>
              <w:jc w:val="center"/>
              <w:rPr>
                <w:b/>
                <w:b/>
                <w:bCs/>
                <w:color w:val="000000"/>
                <w:sz w:val="20"/>
                <w:szCs w:val="20"/>
              </w:rPr>
            </w:pPr>
            <w:r>
              <w:rPr>
                <w:b/>
                <w:bCs/>
                <w:color w:val="000000"/>
                <w:sz w:val="20"/>
                <w:szCs w:val="20"/>
              </w:rPr>
            </w:r>
          </w:p>
        </w:tc>
        <w:tc>
          <w:tcPr>
            <w:tcW w:w="1543" w:type="dxa"/>
            <w:tcBorders/>
            <w:shd w:fill="auto" w:val="clear"/>
          </w:tcPr>
          <w:p>
            <w:pPr>
              <w:pStyle w:val="Normal"/>
              <w:rPr>
                <w:color w:val="000000"/>
                <w:sz w:val="22"/>
                <w:szCs w:val="22"/>
              </w:rPr>
            </w:pPr>
            <w:r>
              <w:rPr>
                <w:color w:val="000000"/>
                <w:sz w:val="22"/>
                <w:szCs w:val="22"/>
              </w:rPr>
              <w:t>4,911 (0.9%)</w:t>
            </w:r>
          </w:p>
          <w:p>
            <w:pPr>
              <w:pStyle w:val="Normal"/>
              <w:jc w:val="center"/>
              <w:rPr>
                <w:b/>
                <w:b/>
                <w:bCs/>
                <w:color w:val="000000"/>
                <w:sz w:val="20"/>
                <w:szCs w:val="20"/>
              </w:rPr>
            </w:pPr>
            <w:r>
              <w:rPr>
                <w:b/>
                <w:bCs/>
                <w:color w:val="000000"/>
                <w:sz w:val="20"/>
                <w:szCs w:val="20"/>
              </w:rPr>
            </w:r>
          </w:p>
        </w:tc>
        <w:tc>
          <w:tcPr>
            <w:tcW w:w="1964" w:type="dxa"/>
            <w:tcBorders/>
            <w:shd w:fill="auto" w:val="clear"/>
          </w:tcPr>
          <w:p>
            <w:pPr>
              <w:pStyle w:val="Normal"/>
              <w:jc w:val="center"/>
              <w:rPr>
                <w:color w:val="000000"/>
                <w:sz w:val="22"/>
                <w:szCs w:val="22"/>
              </w:rPr>
            </w:pPr>
            <w:r>
              <w:rPr>
                <w:color w:val="000000"/>
                <w:sz w:val="22"/>
                <w:szCs w:val="22"/>
              </w:rPr>
              <w:t>1.154</w:t>
            </w:r>
          </w:p>
          <w:p>
            <w:pPr>
              <w:pStyle w:val="Normal"/>
              <w:jc w:val="center"/>
              <w:rPr>
                <w:sz w:val="20"/>
                <w:szCs w:val="20"/>
              </w:rPr>
            </w:pPr>
            <w:r>
              <w:rPr>
                <w:sz w:val="20"/>
                <w:szCs w:val="20"/>
              </w:rPr>
              <w:t>(1.110- 1.199)</w:t>
            </w:r>
          </w:p>
        </w:tc>
        <w:tc>
          <w:tcPr>
            <w:tcW w:w="1848" w:type="dxa"/>
            <w:tcBorders/>
            <w:shd w:fill="auto" w:val="clear"/>
          </w:tcPr>
          <w:p>
            <w:pPr>
              <w:pStyle w:val="Normal"/>
              <w:jc w:val="center"/>
              <w:rPr>
                <w:sz w:val="20"/>
                <w:szCs w:val="20"/>
              </w:rPr>
            </w:pPr>
            <w:r>
              <w:rPr>
                <w:sz w:val="20"/>
                <w:szCs w:val="20"/>
              </w:rPr>
              <w:t>1.114</w:t>
            </w:r>
          </w:p>
          <w:p>
            <w:pPr>
              <w:pStyle w:val="Normal"/>
              <w:jc w:val="center"/>
              <w:rPr>
                <w:sz w:val="20"/>
                <w:szCs w:val="20"/>
              </w:rPr>
            </w:pPr>
            <w:r>
              <w:rPr>
                <w:sz w:val="20"/>
                <w:szCs w:val="20"/>
              </w:rPr>
              <w:t>(1.096- 1.185)</w:t>
            </w:r>
          </w:p>
        </w:tc>
        <w:tc>
          <w:tcPr>
            <w:tcW w:w="1241" w:type="dxa"/>
            <w:tcBorders/>
            <w:shd w:fill="auto" w:val="clear"/>
          </w:tcPr>
          <w:p>
            <w:pPr>
              <w:pStyle w:val="Normal"/>
              <w:jc w:val="center"/>
              <w:rPr>
                <w:sz w:val="20"/>
                <w:szCs w:val="20"/>
              </w:rPr>
            </w:pPr>
            <w:r>
              <w:rPr>
                <w:sz w:val="20"/>
                <w:szCs w:val="20"/>
              </w:rPr>
              <w:t>&lt;0.001</w:t>
            </w:r>
          </w:p>
        </w:tc>
      </w:tr>
      <w:tr>
        <w:trPr/>
        <w:tc>
          <w:tcPr>
            <w:tcW w:w="1543" w:type="dxa"/>
            <w:tcBorders/>
            <w:shd w:fill="auto" w:val="clear"/>
          </w:tcPr>
          <w:p>
            <w:pPr>
              <w:pStyle w:val="Normal"/>
              <w:jc w:val="center"/>
              <w:rPr>
                <w:b/>
                <w:b/>
                <w:bCs/>
                <w:sz w:val="20"/>
                <w:szCs w:val="20"/>
              </w:rPr>
            </w:pPr>
            <w:r>
              <w:rPr>
                <w:b/>
                <w:bCs/>
                <w:sz w:val="20"/>
                <w:szCs w:val="20"/>
              </w:rPr>
              <w:t>2 years</w:t>
            </w:r>
          </w:p>
        </w:tc>
        <w:tc>
          <w:tcPr>
            <w:tcW w:w="1543" w:type="dxa"/>
            <w:tcBorders/>
            <w:shd w:fill="auto" w:val="clear"/>
          </w:tcPr>
          <w:p>
            <w:pPr>
              <w:pStyle w:val="Normal"/>
              <w:rPr>
                <w:color w:val="000000"/>
                <w:sz w:val="22"/>
                <w:szCs w:val="22"/>
              </w:rPr>
            </w:pPr>
            <w:r>
              <w:rPr>
                <w:color w:val="000000"/>
                <w:sz w:val="22"/>
                <w:szCs w:val="22"/>
              </w:rPr>
              <w:t>10,546 (1.9%)</w:t>
            </w:r>
          </w:p>
          <w:p>
            <w:pPr>
              <w:pStyle w:val="Normal"/>
              <w:jc w:val="center"/>
              <w:rPr>
                <w:b/>
                <w:b/>
                <w:bCs/>
                <w:color w:val="000000"/>
                <w:sz w:val="20"/>
                <w:szCs w:val="20"/>
              </w:rPr>
            </w:pPr>
            <w:r>
              <w:rPr>
                <w:b/>
                <w:bCs/>
                <w:color w:val="000000"/>
                <w:sz w:val="20"/>
                <w:szCs w:val="20"/>
              </w:rPr>
            </w:r>
          </w:p>
        </w:tc>
        <w:tc>
          <w:tcPr>
            <w:tcW w:w="1543" w:type="dxa"/>
            <w:tcBorders/>
            <w:shd w:fill="auto" w:val="clear"/>
          </w:tcPr>
          <w:p>
            <w:pPr>
              <w:pStyle w:val="Normal"/>
              <w:rPr>
                <w:color w:val="000000"/>
                <w:sz w:val="22"/>
                <w:szCs w:val="22"/>
              </w:rPr>
            </w:pPr>
            <w:r>
              <w:rPr>
                <w:color w:val="000000"/>
                <w:sz w:val="22"/>
                <w:szCs w:val="22"/>
              </w:rPr>
              <w:t>9,439 (1.7%)</w:t>
            </w:r>
          </w:p>
          <w:p>
            <w:pPr>
              <w:pStyle w:val="Normal"/>
              <w:jc w:val="center"/>
              <w:rPr>
                <w:b/>
                <w:b/>
                <w:bCs/>
                <w:color w:val="000000"/>
                <w:sz w:val="20"/>
                <w:szCs w:val="20"/>
              </w:rPr>
            </w:pPr>
            <w:r>
              <w:rPr>
                <w:b/>
                <w:bCs/>
                <w:color w:val="000000"/>
                <w:sz w:val="20"/>
                <w:szCs w:val="20"/>
              </w:rPr>
            </w:r>
          </w:p>
        </w:tc>
        <w:tc>
          <w:tcPr>
            <w:tcW w:w="1964" w:type="dxa"/>
            <w:tcBorders/>
            <w:shd w:fill="auto" w:val="clear"/>
          </w:tcPr>
          <w:p>
            <w:pPr>
              <w:pStyle w:val="Normal"/>
              <w:jc w:val="center"/>
              <w:rPr>
                <w:sz w:val="20"/>
                <w:szCs w:val="20"/>
              </w:rPr>
            </w:pPr>
            <w:r>
              <w:rPr>
                <w:sz w:val="20"/>
                <w:szCs w:val="20"/>
              </w:rPr>
              <w:t>1.128</w:t>
            </w:r>
          </w:p>
          <w:p>
            <w:pPr>
              <w:pStyle w:val="Normal"/>
              <w:jc w:val="center"/>
              <w:rPr>
                <w:sz w:val="20"/>
                <w:szCs w:val="20"/>
              </w:rPr>
            </w:pPr>
            <w:r>
              <w:rPr>
                <w:sz w:val="20"/>
                <w:szCs w:val="20"/>
              </w:rPr>
              <w:t>(1.096- 1.160)</w:t>
            </w:r>
          </w:p>
        </w:tc>
        <w:tc>
          <w:tcPr>
            <w:tcW w:w="1848" w:type="dxa"/>
            <w:tcBorders/>
            <w:shd w:fill="auto" w:val="clear"/>
          </w:tcPr>
          <w:p>
            <w:pPr>
              <w:pStyle w:val="Normal"/>
              <w:jc w:val="center"/>
              <w:rPr>
                <w:sz w:val="20"/>
                <w:szCs w:val="20"/>
              </w:rPr>
            </w:pPr>
            <w:r>
              <w:rPr>
                <w:sz w:val="20"/>
                <w:szCs w:val="20"/>
              </w:rPr>
              <w:t>1.114</w:t>
            </w:r>
          </w:p>
          <w:p>
            <w:pPr>
              <w:pStyle w:val="Normal"/>
              <w:jc w:val="center"/>
              <w:rPr>
                <w:sz w:val="20"/>
                <w:szCs w:val="20"/>
              </w:rPr>
            </w:pPr>
            <w:r>
              <w:rPr>
                <w:sz w:val="20"/>
                <w:szCs w:val="20"/>
              </w:rPr>
              <w:t>(1.082- 1.146)</w:t>
            </w:r>
          </w:p>
        </w:tc>
        <w:tc>
          <w:tcPr>
            <w:tcW w:w="1241" w:type="dxa"/>
            <w:tcBorders/>
            <w:shd w:fill="auto" w:val="clear"/>
          </w:tcPr>
          <w:p>
            <w:pPr>
              <w:pStyle w:val="Normal"/>
              <w:jc w:val="center"/>
              <w:rPr>
                <w:sz w:val="20"/>
                <w:szCs w:val="20"/>
              </w:rPr>
            </w:pPr>
            <w:r>
              <w:rPr>
                <w:sz w:val="20"/>
                <w:szCs w:val="20"/>
              </w:rPr>
              <w:t>&lt;0.001</w:t>
            </w:r>
          </w:p>
        </w:tc>
      </w:tr>
      <w:tr>
        <w:trPr/>
        <w:tc>
          <w:tcPr>
            <w:tcW w:w="1543" w:type="dxa"/>
            <w:tcBorders/>
            <w:shd w:fill="auto" w:val="clear"/>
          </w:tcPr>
          <w:p>
            <w:pPr>
              <w:pStyle w:val="Normal"/>
              <w:jc w:val="center"/>
              <w:rPr>
                <w:b/>
                <w:b/>
                <w:bCs/>
                <w:sz w:val="20"/>
                <w:szCs w:val="20"/>
              </w:rPr>
            </w:pPr>
            <w:r>
              <w:rPr>
                <w:b/>
                <w:bCs/>
                <w:sz w:val="20"/>
                <w:szCs w:val="20"/>
              </w:rPr>
              <w:t>3 years</w:t>
            </w:r>
          </w:p>
        </w:tc>
        <w:tc>
          <w:tcPr>
            <w:tcW w:w="1543" w:type="dxa"/>
            <w:tcBorders/>
            <w:shd w:fill="auto" w:val="clear"/>
          </w:tcPr>
          <w:p>
            <w:pPr>
              <w:pStyle w:val="Normal"/>
              <w:rPr>
                <w:color w:val="000000"/>
                <w:sz w:val="22"/>
                <w:szCs w:val="22"/>
              </w:rPr>
            </w:pPr>
            <w:r>
              <w:rPr>
                <w:color w:val="000000"/>
                <w:sz w:val="22"/>
                <w:szCs w:val="22"/>
              </w:rPr>
              <w:t>15,166 (2.8%)</w:t>
            </w:r>
          </w:p>
          <w:p>
            <w:pPr>
              <w:pStyle w:val="Normal"/>
              <w:jc w:val="center"/>
              <w:rPr>
                <w:b/>
                <w:b/>
                <w:bCs/>
                <w:color w:val="000000"/>
                <w:sz w:val="20"/>
                <w:szCs w:val="20"/>
              </w:rPr>
            </w:pPr>
            <w:r>
              <w:rPr>
                <w:b/>
                <w:bCs/>
                <w:color w:val="000000"/>
                <w:sz w:val="20"/>
                <w:szCs w:val="20"/>
              </w:rPr>
            </w:r>
          </w:p>
        </w:tc>
        <w:tc>
          <w:tcPr>
            <w:tcW w:w="1543" w:type="dxa"/>
            <w:tcBorders/>
            <w:shd w:fill="auto" w:val="clear"/>
          </w:tcPr>
          <w:p>
            <w:pPr>
              <w:pStyle w:val="Normal"/>
              <w:rPr>
                <w:color w:val="000000"/>
                <w:sz w:val="22"/>
                <w:szCs w:val="22"/>
              </w:rPr>
            </w:pPr>
            <w:r>
              <w:rPr>
                <w:color w:val="000000"/>
                <w:sz w:val="22"/>
                <w:szCs w:val="22"/>
              </w:rPr>
              <w:t>13,818 (2.5%)</w:t>
            </w:r>
          </w:p>
          <w:p>
            <w:pPr>
              <w:pStyle w:val="Normal"/>
              <w:jc w:val="center"/>
              <w:rPr>
                <w:b/>
                <w:b/>
                <w:bCs/>
                <w:color w:val="000000"/>
                <w:sz w:val="20"/>
                <w:szCs w:val="20"/>
              </w:rPr>
            </w:pPr>
            <w:r>
              <w:rPr>
                <w:b/>
                <w:bCs/>
                <w:color w:val="000000"/>
                <w:sz w:val="20"/>
                <w:szCs w:val="20"/>
              </w:rPr>
            </w:r>
          </w:p>
        </w:tc>
        <w:tc>
          <w:tcPr>
            <w:tcW w:w="1964" w:type="dxa"/>
            <w:tcBorders/>
            <w:shd w:fill="auto" w:val="clear"/>
          </w:tcPr>
          <w:p>
            <w:pPr>
              <w:pStyle w:val="Normal"/>
              <w:jc w:val="center"/>
              <w:rPr>
                <w:sz w:val="20"/>
                <w:szCs w:val="20"/>
              </w:rPr>
            </w:pPr>
            <w:r>
              <w:rPr>
                <w:sz w:val="20"/>
                <w:szCs w:val="20"/>
              </w:rPr>
              <w:t>1.110</w:t>
            </w:r>
          </w:p>
          <w:p>
            <w:pPr>
              <w:pStyle w:val="Normal"/>
              <w:jc w:val="center"/>
              <w:rPr>
                <w:sz w:val="20"/>
                <w:szCs w:val="20"/>
              </w:rPr>
            </w:pPr>
            <w:r>
              <w:rPr>
                <w:sz w:val="20"/>
                <w:szCs w:val="20"/>
              </w:rPr>
              <w:t>(1.084- 1.136)</w:t>
            </w:r>
          </w:p>
        </w:tc>
        <w:tc>
          <w:tcPr>
            <w:tcW w:w="1848" w:type="dxa"/>
            <w:tcBorders/>
            <w:shd w:fill="auto" w:val="clear"/>
          </w:tcPr>
          <w:p>
            <w:pPr>
              <w:pStyle w:val="Normal"/>
              <w:jc w:val="center"/>
              <w:rPr>
                <w:sz w:val="20"/>
                <w:szCs w:val="20"/>
              </w:rPr>
            </w:pPr>
            <w:r>
              <w:rPr>
                <w:sz w:val="20"/>
                <w:szCs w:val="20"/>
              </w:rPr>
              <w:t>1.095</w:t>
            </w:r>
          </w:p>
          <w:p>
            <w:pPr>
              <w:pStyle w:val="Normal"/>
              <w:jc w:val="center"/>
              <w:rPr>
                <w:sz w:val="20"/>
                <w:szCs w:val="20"/>
              </w:rPr>
            </w:pPr>
            <w:r>
              <w:rPr>
                <w:sz w:val="20"/>
                <w:szCs w:val="20"/>
              </w:rPr>
              <w:t>(1.069- 1.122)</w:t>
            </w:r>
          </w:p>
        </w:tc>
        <w:tc>
          <w:tcPr>
            <w:tcW w:w="1241" w:type="dxa"/>
            <w:tcBorders/>
            <w:shd w:fill="auto" w:val="clear"/>
          </w:tcPr>
          <w:p>
            <w:pPr>
              <w:pStyle w:val="Normal"/>
              <w:jc w:val="center"/>
              <w:rPr>
                <w:sz w:val="20"/>
                <w:szCs w:val="20"/>
              </w:rPr>
            </w:pPr>
            <w:r>
              <w:rPr>
                <w:sz w:val="20"/>
                <w:szCs w:val="20"/>
              </w:rPr>
              <w:t>&lt;0.001</w:t>
            </w:r>
          </w:p>
        </w:tc>
      </w:tr>
      <w:tr>
        <w:trPr/>
        <w:tc>
          <w:tcPr>
            <w:tcW w:w="1543" w:type="dxa"/>
            <w:tcBorders/>
            <w:shd w:fill="auto" w:val="clear"/>
          </w:tcPr>
          <w:p>
            <w:pPr>
              <w:pStyle w:val="Normal"/>
              <w:jc w:val="center"/>
              <w:rPr>
                <w:b/>
                <w:b/>
                <w:bCs/>
                <w:sz w:val="20"/>
                <w:szCs w:val="20"/>
              </w:rPr>
            </w:pPr>
            <w:r>
              <w:rPr>
                <w:b/>
                <w:bCs/>
                <w:sz w:val="20"/>
                <w:szCs w:val="20"/>
              </w:rPr>
              <w:t>4 years</w:t>
            </w:r>
          </w:p>
        </w:tc>
        <w:tc>
          <w:tcPr>
            <w:tcW w:w="1543" w:type="dxa"/>
            <w:tcBorders/>
            <w:shd w:fill="auto" w:val="clear"/>
          </w:tcPr>
          <w:p>
            <w:pPr>
              <w:pStyle w:val="Normal"/>
              <w:rPr>
                <w:color w:val="000000"/>
                <w:sz w:val="22"/>
                <w:szCs w:val="22"/>
              </w:rPr>
            </w:pPr>
            <w:r>
              <w:rPr>
                <w:color w:val="000000"/>
                <w:sz w:val="22"/>
                <w:szCs w:val="22"/>
              </w:rPr>
              <w:t>19,472 (3.6%)</w:t>
            </w:r>
          </w:p>
          <w:p>
            <w:pPr>
              <w:pStyle w:val="Normal"/>
              <w:jc w:val="center"/>
              <w:rPr>
                <w:b/>
                <w:b/>
                <w:bCs/>
                <w:color w:val="000000"/>
                <w:sz w:val="20"/>
                <w:szCs w:val="20"/>
              </w:rPr>
            </w:pPr>
            <w:r>
              <w:rPr>
                <w:b/>
                <w:bCs/>
                <w:color w:val="000000"/>
                <w:sz w:val="20"/>
                <w:szCs w:val="20"/>
              </w:rPr>
            </w:r>
          </w:p>
        </w:tc>
        <w:tc>
          <w:tcPr>
            <w:tcW w:w="1543" w:type="dxa"/>
            <w:tcBorders/>
            <w:shd w:fill="auto" w:val="clear"/>
          </w:tcPr>
          <w:p>
            <w:pPr>
              <w:pStyle w:val="Normal"/>
              <w:rPr>
                <w:color w:val="000000"/>
                <w:sz w:val="22"/>
                <w:szCs w:val="22"/>
              </w:rPr>
            </w:pPr>
            <w:r>
              <w:rPr>
                <w:color w:val="000000"/>
                <w:sz w:val="22"/>
                <w:szCs w:val="22"/>
              </w:rPr>
              <w:t>17,812 (3.3%)</w:t>
            </w:r>
          </w:p>
          <w:p>
            <w:pPr>
              <w:pStyle w:val="Normal"/>
              <w:jc w:val="center"/>
              <w:rPr>
                <w:b/>
                <w:b/>
                <w:bCs/>
                <w:color w:val="000000"/>
                <w:sz w:val="20"/>
                <w:szCs w:val="20"/>
              </w:rPr>
            </w:pPr>
            <w:r>
              <w:rPr>
                <w:b/>
                <w:bCs/>
                <w:color w:val="000000"/>
                <w:sz w:val="20"/>
                <w:szCs w:val="20"/>
              </w:rPr>
            </w:r>
          </w:p>
        </w:tc>
        <w:tc>
          <w:tcPr>
            <w:tcW w:w="1964" w:type="dxa"/>
            <w:tcBorders/>
            <w:shd w:fill="auto" w:val="clear"/>
          </w:tcPr>
          <w:p>
            <w:pPr>
              <w:pStyle w:val="Normal"/>
              <w:jc w:val="center"/>
              <w:rPr>
                <w:sz w:val="20"/>
                <w:szCs w:val="20"/>
              </w:rPr>
            </w:pPr>
            <w:r>
              <w:rPr>
                <w:sz w:val="20"/>
                <w:szCs w:val="20"/>
              </w:rPr>
              <w:t>1.104</w:t>
            </w:r>
          </w:p>
          <w:p>
            <w:pPr>
              <w:pStyle w:val="Normal"/>
              <w:jc w:val="center"/>
              <w:rPr>
                <w:sz w:val="20"/>
                <w:szCs w:val="20"/>
              </w:rPr>
            </w:pPr>
            <w:r>
              <w:rPr>
                <w:sz w:val="20"/>
                <w:szCs w:val="20"/>
              </w:rPr>
              <w:t>(1.081- 1.128)</w:t>
            </w:r>
          </w:p>
        </w:tc>
        <w:tc>
          <w:tcPr>
            <w:tcW w:w="1848" w:type="dxa"/>
            <w:tcBorders/>
            <w:shd w:fill="auto" w:val="clear"/>
          </w:tcPr>
          <w:p>
            <w:pPr>
              <w:pStyle w:val="Normal"/>
              <w:jc w:val="center"/>
              <w:rPr>
                <w:sz w:val="20"/>
                <w:szCs w:val="20"/>
              </w:rPr>
            </w:pPr>
            <w:r>
              <w:rPr>
                <w:sz w:val="20"/>
                <w:szCs w:val="20"/>
              </w:rPr>
              <w:t>1.092</w:t>
            </w:r>
          </w:p>
          <w:p>
            <w:pPr>
              <w:pStyle w:val="Normal"/>
              <w:jc w:val="center"/>
              <w:rPr>
                <w:sz w:val="20"/>
                <w:szCs w:val="20"/>
              </w:rPr>
            </w:pPr>
            <w:r>
              <w:rPr>
                <w:sz w:val="20"/>
                <w:szCs w:val="20"/>
              </w:rPr>
              <w:t>(1.069- 1.115)</w:t>
            </w:r>
          </w:p>
        </w:tc>
        <w:tc>
          <w:tcPr>
            <w:tcW w:w="1241" w:type="dxa"/>
            <w:tcBorders/>
            <w:shd w:fill="auto" w:val="clear"/>
          </w:tcPr>
          <w:p>
            <w:pPr>
              <w:pStyle w:val="Normal"/>
              <w:jc w:val="center"/>
              <w:rPr>
                <w:sz w:val="20"/>
                <w:szCs w:val="20"/>
              </w:rPr>
            </w:pPr>
            <w:r>
              <w:rPr>
                <w:sz w:val="20"/>
                <w:szCs w:val="20"/>
              </w:rPr>
              <w:t>&lt;0.001</w:t>
            </w:r>
          </w:p>
        </w:tc>
      </w:tr>
      <w:tr>
        <w:trPr/>
        <w:tc>
          <w:tcPr>
            <w:tcW w:w="1543" w:type="dxa"/>
            <w:tcBorders/>
            <w:shd w:fill="auto" w:val="clear"/>
          </w:tcPr>
          <w:p>
            <w:pPr>
              <w:pStyle w:val="Normal"/>
              <w:jc w:val="center"/>
              <w:rPr>
                <w:b/>
                <w:b/>
                <w:bCs/>
                <w:sz w:val="20"/>
                <w:szCs w:val="20"/>
              </w:rPr>
            </w:pPr>
            <w:r>
              <w:rPr>
                <w:b/>
                <w:bCs/>
                <w:sz w:val="20"/>
                <w:szCs w:val="20"/>
              </w:rPr>
              <w:t>5 years</w:t>
            </w:r>
          </w:p>
        </w:tc>
        <w:tc>
          <w:tcPr>
            <w:tcW w:w="1543" w:type="dxa"/>
            <w:tcBorders/>
            <w:shd w:fill="auto" w:val="clear"/>
          </w:tcPr>
          <w:p>
            <w:pPr>
              <w:pStyle w:val="Normal"/>
              <w:rPr>
                <w:color w:val="000000"/>
                <w:sz w:val="22"/>
                <w:szCs w:val="22"/>
              </w:rPr>
            </w:pPr>
            <w:r>
              <w:rPr>
                <w:color w:val="000000"/>
                <w:sz w:val="22"/>
                <w:szCs w:val="22"/>
              </w:rPr>
              <w:t>23,225 (4.3%)</w:t>
            </w:r>
          </w:p>
          <w:p>
            <w:pPr>
              <w:pStyle w:val="Normal"/>
              <w:jc w:val="center"/>
              <w:rPr>
                <w:b/>
                <w:b/>
                <w:bCs/>
                <w:color w:val="000000"/>
                <w:sz w:val="20"/>
                <w:szCs w:val="20"/>
              </w:rPr>
            </w:pPr>
            <w:r>
              <w:rPr>
                <w:b/>
                <w:bCs/>
                <w:color w:val="000000"/>
                <w:sz w:val="20"/>
                <w:szCs w:val="20"/>
              </w:rPr>
            </w:r>
          </w:p>
        </w:tc>
        <w:tc>
          <w:tcPr>
            <w:tcW w:w="1543" w:type="dxa"/>
            <w:tcBorders/>
            <w:shd w:fill="auto" w:val="clear"/>
          </w:tcPr>
          <w:p>
            <w:pPr>
              <w:pStyle w:val="Normal"/>
              <w:rPr>
                <w:color w:val="000000"/>
                <w:sz w:val="22"/>
                <w:szCs w:val="22"/>
              </w:rPr>
            </w:pPr>
            <w:r>
              <w:rPr>
                <w:color w:val="000000"/>
                <w:sz w:val="22"/>
                <w:szCs w:val="22"/>
              </w:rPr>
              <w:t>21,419 (3.9%)</w:t>
            </w:r>
          </w:p>
          <w:p>
            <w:pPr>
              <w:pStyle w:val="Normal"/>
              <w:jc w:val="center"/>
              <w:rPr>
                <w:b/>
                <w:b/>
                <w:bCs/>
                <w:color w:val="000000"/>
                <w:sz w:val="20"/>
                <w:szCs w:val="20"/>
              </w:rPr>
            </w:pPr>
            <w:r>
              <w:rPr>
                <w:b/>
                <w:bCs/>
                <w:color w:val="000000"/>
                <w:sz w:val="20"/>
                <w:szCs w:val="20"/>
              </w:rPr>
            </w:r>
          </w:p>
        </w:tc>
        <w:tc>
          <w:tcPr>
            <w:tcW w:w="1964" w:type="dxa"/>
            <w:tcBorders/>
            <w:shd w:fill="auto" w:val="clear"/>
          </w:tcPr>
          <w:p>
            <w:pPr>
              <w:pStyle w:val="Normal"/>
              <w:jc w:val="center"/>
              <w:rPr>
                <w:sz w:val="20"/>
                <w:szCs w:val="20"/>
              </w:rPr>
            </w:pPr>
            <w:r>
              <w:rPr>
                <w:sz w:val="20"/>
                <w:szCs w:val="20"/>
              </w:rPr>
              <w:t>1.094</w:t>
            </w:r>
          </w:p>
          <w:p>
            <w:pPr>
              <w:pStyle w:val="Normal"/>
              <w:jc w:val="center"/>
              <w:rPr>
                <w:sz w:val="20"/>
                <w:szCs w:val="20"/>
              </w:rPr>
            </w:pPr>
            <w:r>
              <w:rPr>
                <w:sz w:val="20"/>
                <w:szCs w:val="20"/>
              </w:rPr>
              <w:t>(1.073- 1.115)</w:t>
            </w:r>
          </w:p>
        </w:tc>
        <w:tc>
          <w:tcPr>
            <w:tcW w:w="1848" w:type="dxa"/>
            <w:tcBorders/>
            <w:shd w:fill="auto" w:val="clear"/>
          </w:tcPr>
          <w:p>
            <w:pPr>
              <w:pStyle w:val="Normal"/>
              <w:jc w:val="center"/>
              <w:rPr>
                <w:sz w:val="20"/>
                <w:szCs w:val="20"/>
              </w:rPr>
            </w:pPr>
            <w:r>
              <w:rPr>
                <w:sz w:val="20"/>
                <w:szCs w:val="20"/>
              </w:rPr>
              <w:t>1.082</w:t>
            </w:r>
          </w:p>
          <w:p>
            <w:pPr>
              <w:pStyle w:val="Normal"/>
              <w:jc w:val="center"/>
              <w:rPr>
                <w:sz w:val="20"/>
                <w:szCs w:val="20"/>
              </w:rPr>
            </w:pPr>
            <w:r>
              <w:rPr>
                <w:sz w:val="20"/>
                <w:szCs w:val="20"/>
              </w:rPr>
              <w:t>(1.061- 1.103)</w:t>
            </w:r>
          </w:p>
        </w:tc>
        <w:tc>
          <w:tcPr>
            <w:tcW w:w="1241" w:type="dxa"/>
            <w:tcBorders/>
            <w:shd w:fill="auto" w:val="clear"/>
          </w:tcPr>
          <w:p>
            <w:pPr>
              <w:pStyle w:val="Normal"/>
              <w:jc w:val="center"/>
              <w:rPr>
                <w:sz w:val="20"/>
                <w:szCs w:val="20"/>
              </w:rPr>
            </w:pPr>
            <w:r>
              <w:rPr>
                <w:sz w:val="20"/>
                <w:szCs w:val="20"/>
              </w:rPr>
              <w:t>&lt;0.001</w:t>
            </w:r>
          </w:p>
        </w:tc>
      </w:tr>
    </w:tbl>
    <w:p>
      <w:pPr>
        <w:pStyle w:val="Normal"/>
        <w:spacing w:lineRule="auto" w:line="480"/>
        <w:rPr>
          <w:lang w:val="en-CA" w:eastAsia="en-CA"/>
        </w:rPr>
      </w:pPr>
      <w:r>
        <w:rPr>
          <w:lang w:val="en-CA" w:eastAsia="en-CA"/>
        </w:rPr>
        <w:t>*Cox proportional hazard models controlled for urban-rural setting, area-level income and co-morbidities including acute myocardial infarction, asthma, congestive heart failure, chronic obstructive pulmonary disease, diabetes mellitus and hypertension.</w:t>
      </w:r>
    </w:p>
    <w:p>
      <w:pPr>
        <w:sectPr>
          <w:headerReference w:type="default" r:id="rId6"/>
          <w:footerReference w:type="default" r:id="rId7"/>
          <w:type w:val="nextPage"/>
          <w:pgSz w:w="12240" w:h="15840"/>
          <w:pgMar w:left="1440" w:right="1440" w:header="708" w:top="1440" w:footer="708" w:bottom="1440" w:gutter="0"/>
          <w:pgNumType w:fmt="decimal"/>
          <w:formProt w:val="false"/>
          <w:textDirection w:val="lrTb"/>
          <w:docGrid w:type="default" w:linePitch="360" w:charSpace="0"/>
        </w:sectPr>
        <w:pStyle w:val="Normal"/>
        <w:spacing w:lineRule="auto" w:line="480"/>
        <w:rPr>
          <w:lang w:val="en-CA" w:eastAsia="en-CA"/>
        </w:rPr>
      </w:pPr>
      <w:r>
        <w:rPr>
          <w:lang w:val="en-CA" w:eastAsia="en-CA"/>
        </w:rPr>
      </w:r>
    </w:p>
    <w:p>
      <w:pPr>
        <w:pStyle w:val="Normal"/>
        <w:spacing w:lineRule="auto" w:line="480"/>
        <w:rPr/>
      </w:pPr>
      <w:r>
        <w:rPr>
          <w:b/>
          <w:bCs/>
        </w:rPr>
        <w:t>Table 3: Number and types of cancers per 1000 years of person time from time of diagnosis of Herpes Zoster in affected subjects and unaffected controls</w:t>
      </w:r>
      <w:r>
        <w:rPr/>
        <w:t>.</w:t>
      </w:r>
    </w:p>
    <w:tbl>
      <w:tblPr>
        <w:tblW w:w="21077" w:type="dxa"/>
        <w:jc w:val="left"/>
        <w:tblInd w:w="-106" w:type="dxa"/>
        <w:tblBorders/>
        <w:tblCellMar>
          <w:top w:w="0" w:type="dxa"/>
          <w:left w:w="108" w:type="dxa"/>
          <w:bottom w:w="0" w:type="dxa"/>
          <w:right w:w="108" w:type="dxa"/>
        </w:tblCellMar>
      </w:tblPr>
      <w:tblGrid>
        <w:gridCol w:w="239"/>
        <w:gridCol w:w="1109"/>
        <w:gridCol w:w="239"/>
        <w:gridCol w:w="1331"/>
        <w:gridCol w:w="239"/>
        <w:gridCol w:w="1802"/>
        <w:gridCol w:w="239"/>
        <w:gridCol w:w="1564"/>
        <w:gridCol w:w="239"/>
        <w:gridCol w:w="2177"/>
        <w:gridCol w:w="239"/>
        <w:gridCol w:w="2770"/>
        <w:gridCol w:w="239"/>
        <w:gridCol w:w="3403"/>
        <w:gridCol w:w="239"/>
        <w:gridCol w:w="3449"/>
        <w:gridCol w:w="1560"/>
      </w:tblGrid>
      <w:tr>
        <w:trPr>
          <w:trHeight w:val="67" w:hRule="atLeast"/>
        </w:trPr>
        <w:tc>
          <w:tcPr>
            <w:tcW w:w="239" w:type="dxa"/>
            <w:tcBorders/>
            <w:shd w:fill="auto" w:val="clear"/>
            <w:vAlign w:val="bottom"/>
          </w:tcPr>
          <w:p>
            <w:pPr>
              <w:pStyle w:val="Normal"/>
              <w:snapToGrid w:val="false"/>
              <w:rPr>
                <w:color w:val="000000"/>
              </w:rPr>
            </w:pPr>
            <w:r>
              <w:rPr>
                <w:color w:val="000000"/>
              </w:rPr>
            </w:r>
          </w:p>
        </w:tc>
        <w:tc>
          <w:tcPr>
            <w:tcW w:w="1109"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1331"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1802"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1564"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2177"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2770"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3403" w:type="dxa"/>
            <w:tcBorders/>
            <w:shd w:fill="auto" w:val="clear"/>
            <w:vAlign w:val="bottom"/>
          </w:tcPr>
          <w:p>
            <w:pPr>
              <w:pStyle w:val="Normal"/>
              <w:snapToGrid w:val="false"/>
              <w:rPr>
                <w:color w:val="000000"/>
              </w:rPr>
            </w:pPr>
            <w:r>
              <w:rPr>
                <w:color w:val="000000"/>
              </w:rPr>
            </w:r>
          </w:p>
        </w:tc>
        <w:tc>
          <w:tcPr>
            <w:tcW w:w="239" w:type="dxa"/>
            <w:tcBorders/>
            <w:shd w:fill="auto" w:val="clear"/>
            <w:vAlign w:val="bottom"/>
          </w:tcPr>
          <w:p>
            <w:pPr>
              <w:pStyle w:val="Normal"/>
              <w:snapToGrid w:val="false"/>
              <w:rPr>
                <w:color w:val="000000"/>
              </w:rPr>
            </w:pPr>
            <w:r>
              <w:rPr>
                <w:color w:val="000000"/>
              </w:rPr>
            </w:r>
          </w:p>
        </w:tc>
        <w:tc>
          <w:tcPr>
            <w:tcW w:w="3449" w:type="dxa"/>
            <w:tcBorders/>
            <w:shd w:fill="auto" w:val="clear"/>
            <w:vAlign w:val="bottom"/>
          </w:tcPr>
          <w:p>
            <w:pPr>
              <w:pStyle w:val="Normal"/>
              <w:snapToGrid w:val="false"/>
              <w:rPr>
                <w:color w:val="000000"/>
              </w:rPr>
            </w:pPr>
            <w:r>
              <w:rPr>
                <w:color w:val="000000"/>
              </w:rPr>
            </w:r>
          </w:p>
        </w:tc>
        <w:tc>
          <w:tcPr>
            <w:tcW w:w="1560" w:type="dxa"/>
            <w:tcBorders/>
            <w:shd w:fill="auto" w:val="clear"/>
            <w:vAlign w:val="bottom"/>
          </w:tcPr>
          <w:p>
            <w:pPr>
              <w:pStyle w:val="Normal"/>
              <w:snapToGrid w:val="false"/>
              <w:rPr>
                <w:color w:val="000000"/>
              </w:rPr>
            </w:pPr>
            <w:r>
              <w:rPr>
                <w:color w:val="000000"/>
              </w:rPr>
            </w:r>
          </w:p>
        </w:tc>
      </w:tr>
    </w:tbl>
    <w:p>
      <w:pPr>
        <w:pStyle w:val="Normal"/>
        <w:rPr>
          <w:vanish/>
        </w:rPr>
      </w:pPr>
      <w:r>
        <w:rPr>
          <w:vanish/>
        </w:rPr>
      </w:r>
    </w:p>
    <w:tbl>
      <w:tblPr>
        <w:tblW w:w="13777" w:type="dxa"/>
        <w:jc w:val="left"/>
        <w:tblInd w:w="-601" w:type="dxa"/>
        <w:tblBorders>
          <w:bottom w:val="single" w:sz="4" w:space="0" w:color="000000"/>
          <w:insideH w:val="single" w:sz="4" w:space="0" w:color="000000"/>
        </w:tblBorders>
        <w:tblCellMar>
          <w:top w:w="0" w:type="dxa"/>
          <w:left w:w="108" w:type="dxa"/>
          <w:bottom w:w="0" w:type="dxa"/>
          <w:right w:w="108" w:type="dxa"/>
        </w:tblCellMar>
      </w:tblPr>
      <w:tblGrid>
        <w:gridCol w:w="851"/>
        <w:gridCol w:w="1078"/>
        <w:gridCol w:w="1440"/>
        <w:gridCol w:w="1464"/>
        <w:gridCol w:w="1551"/>
        <w:gridCol w:w="1500"/>
        <w:gridCol w:w="1542"/>
        <w:gridCol w:w="1574"/>
        <w:gridCol w:w="1449"/>
        <w:gridCol w:w="1328"/>
      </w:tblGrid>
      <w:tr>
        <w:trPr/>
        <w:tc>
          <w:tcPr>
            <w:tcW w:w="1929" w:type="dxa"/>
            <w:gridSpan w:val="2"/>
            <w:tcBorders>
              <w:bottom w:val="single" w:sz="4" w:space="0" w:color="000000"/>
              <w:insideH w:val="single" w:sz="4" w:space="0" w:color="000000"/>
            </w:tcBorders>
            <w:shd w:fill="auto" w:val="clear"/>
          </w:tcPr>
          <w:p>
            <w:pPr>
              <w:pStyle w:val="Normal"/>
              <w:rPr/>
            </w:pPr>
            <w:r>
              <w:rPr/>
              <w:t>Cancer Type/ Time from herpes zoster diagnosis</w:t>
            </w:r>
          </w:p>
        </w:tc>
        <w:tc>
          <w:tcPr>
            <w:tcW w:w="1440" w:type="dxa"/>
            <w:tcBorders>
              <w:bottom w:val="single" w:sz="4" w:space="0" w:color="000000"/>
              <w:insideH w:val="single" w:sz="4" w:space="0" w:color="000000"/>
            </w:tcBorders>
            <w:shd w:fill="auto" w:val="clear"/>
          </w:tcPr>
          <w:p>
            <w:pPr>
              <w:pStyle w:val="Normal"/>
              <w:rPr/>
            </w:pPr>
            <w:r>
              <w:rPr/>
              <w:t>Lung</w:t>
            </w:r>
          </w:p>
        </w:tc>
        <w:tc>
          <w:tcPr>
            <w:tcW w:w="1464" w:type="dxa"/>
            <w:tcBorders>
              <w:bottom w:val="single" w:sz="4" w:space="0" w:color="000000"/>
              <w:insideH w:val="single" w:sz="4" w:space="0" w:color="000000"/>
            </w:tcBorders>
            <w:shd w:fill="auto" w:val="clear"/>
          </w:tcPr>
          <w:p>
            <w:pPr>
              <w:pStyle w:val="Normal"/>
              <w:rPr/>
            </w:pPr>
            <w:r>
              <w:rPr/>
              <w:t>Breast</w:t>
            </w:r>
          </w:p>
        </w:tc>
        <w:tc>
          <w:tcPr>
            <w:tcW w:w="1551" w:type="dxa"/>
            <w:tcBorders>
              <w:bottom w:val="single" w:sz="4" w:space="0" w:color="000000"/>
              <w:insideH w:val="single" w:sz="4" w:space="0" w:color="000000"/>
            </w:tcBorders>
            <w:shd w:fill="auto" w:val="clear"/>
          </w:tcPr>
          <w:p>
            <w:pPr>
              <w:pStyle w:val="Normal"/>
              <w:rPr/>
            </w:pPr>
            <w:r>
              <w:rPr/>
              <w:t>Colorectal</w:t>
            </w:r>
          </w:p>
        </w:tc>
        <w:tc>
          <w:tcPr>
            <w:tcW w:w="1500" w:type="dxa"/>
            <w:tcBorders>
              <w:bottom w:val="single" w:sz="4" w:space="0" w:color="000000"/>
              <w:insideH w:val="single" w:sz="4" w:space="0" w:color="000000"/>
            </w:tcBorders>
            <w:shd w:fill="auto" w:val="clear"/>
          </w:tcPr>
          <w:p>
            <w:pPr>
              <w:pStyle w:val="Normal"/>
              <w:rPr/>
            </w:pPr>
            <w:r>
              <w:rPr/>
              <w:t>Prostate</w:t>
            </w:r>
          </w:p>
        </w:tc>
        <w:tc>
          <w:tcPr>
            <w:tcW w:w="1542" w:type="dxa"/>
            <w:tcBorders>
              <w:bottom w:val="single" w:sz="4" w:space="0" w:color="000000"/>
              <w:insideH w:val="single" w:sz="4" w:space="0" w:color="000000"/>
            </w:tcBorders>
            <w:shd w:fill="auto" w:val="clear"/>
          </w:tcPr>
          <w:p>
            <w:pPr>
              <w:pStyle w:val="Normal"/>
              <w:rPr/>
            </w:pPr>
            <w:r>
              <w:rPr/>
              <w:t>Leukemia</w:t>
            </w:r>
          </w:p>
        </w:tc>
        <w:tc>
          <w:tcPr>
            <w:tcW w:w="1574" w:type="dxa"/>
            <w:tcBorders>
              <w:bottom w:val="single" w:sz="4" w:space="0" w:color="000000"/>
              <w:insideH w:val="single" w:sz="4" w:space="0" w:color="000000"/>
            </w:tcBorders>
            <w:shd w:fill="auto" w:val="clear"/>
          </w:tcPr>
          <w:p>
            <w:pPr>
              <w:pStyle w:val="Normal"/>
              <w:rPr/>
            </w:pPr>
            <w:r>
              <w:rPr/>
              <w:t>Lymphoma</w:t>
            </w:r>
          </w:p>
        </w:tc>
        <w:tc>
          <w:tcPr>
            <w:tcW w:w="1449" w:type="dxa"/>
            <w:tcBorders>
              <w:bottom w:val="single" w:sz="4" w:space="0" w:color="000000"/>
              <w:insideH w:val="single" w:sz="4" w:space="0" w:color="000000"/>
            </w:tcBorders>
            <w:shd w:fill="auto" w:val="clear"/>
          </w:tcPr>
          <w:p>
            <w:pPr>
              <w:pStyle w:val="Normal"/>
              <w:rPr/>
            </w:pPr>
            <w:r>
              <w:rPr/>
              <w:t>Other</w:t>
            </w:r>
          </w:p>
        </w:tc>
        <w:tc>
          <w:tcPr>
            <w:tcW w:w="1328" w:type="dxa"/>
            <w:tcBorders>
              <w:bottom w:val="single" w:sz="4" w:space="0" w:color="000000"/>
              <w:insideH w:val="single" w:sz="4" w:space="0" w:color="000000"/>
            </w:tcBorders>
            <w:shd w:fill="auto" w:val="clear"/>
          </w:tcPr>
          <w:p>
            <w:pPr>
              <w:pStyle w:val="Normal"/>
              <w:rPr/>
            </w:pPr>
            <w:r>
              <w:rPr/>
              <w:t>Total</w:t>
            </w:r>
          </w:p>
        </w:tc>
      </w:tr>
      <w:tr>
        <w:trPr>
          <w:trHeight w:val="72" w:hRule="atLeast"/>
          <w:cantSplit w:val="true"/>
        </w:trPr>
        <w:tc>
          <w:tcPr>
            <w:tcW w:w="851" w:type="dxa"/>
            <w:vMerge w:val="restart"/>
            <w:tcBorders/>
            <w:shd w:fill="auto" w:val="clear"/>
          </w:tcPr>
          <w:p>
            <w:pPr>
              <w:pStyle w:val="Normal"/>
              <w:rPr/>
            </w:pPr>
            <w:r>
              <w:rPr/>
              <w:t>180 days</w:t>
            </w:r>
          </w:p>
        </w:tc>
        <w:tc>
          <w:tcPr>
            <w:tcW w:w="1078" w:type="dxa"/>
            <w:tcBorders/>
            <w:shd w:fill="auto" w:val="clear"/>
          </w:tcPr>
          <w:p>
            <w:pPr>
              <w:pStyle w:val="Normal"/>
              <w:rPr/>
            </w:pPr>
            <w:r>
              <w:rPr/>
              <w:t>Subject</w:t>
            </w:r>
          </w:p>
        </w:tc>
        <w:tc>
          <w:tcPr>
            <w:tcW w:w="1440" w:type="dxa"/>
            <w:tcBorders/>
            <w:shd w:fill="auto" w:val="clear"/>
          </w:tcPr>
          <w:p>
            <w:pPr>
              <w:pStyle w:val="Normal"/>
              <w:rPr/>
            </w:pPr>
            <w:r>
              <w:rPr/>
              <w:t>1,47</w:t>
            </w:r>
          </w:p>
        </w:tc>
        <w:tc>
          <w:tcPr>
            <w:tcW w:w="1464" w:type="dxa"/>
            <w:tcBorders/>
            <w:shd w:fill="auto" w:val="clear"/>
          </w:tcPr>
          <w:p>
            <w:pPr>
              <w:pStyle w:val="Normal"/>
              <w:rPr/>
            </w:pPr>
            <w:r>
              <w:rPr/>
              <w:t>1.39</w:t>
            </w:r>
          </w:p>
        </w:tc>
        <w:tc>
          <w:tcPr>
            <w:tcW w:w="1551" w:type="dxa"/>
            <w:tcBorders/>
            <w:shd w:fill="auto" w:val="clear"/>
          </w:tcPr>
          <w:p>
            <w:pPr>
              <w:pStyle w:val="Normal"/>
              <w:rPr/>
            </w:pPr>
            <w:r>
              <w:rPr/>
              <w:t>1.22</w:t>
            </w:r>
          </w:p>
        </w:tc>
        <w:tc>
          <w:tcPr>
            <w:tcW w:w="1500" w:type="dxa"/>
            <w:tcBorders/>
            <w:shd w:fill="auto" w:val="clear"/>
          </w:tcPr>
          <w:p>
            <w:pPr>
              <w:pStyle w:val="Normal"/>
              <w:rPr/>
            </w:pPr>
            <w:r>
              <w:rPr/>
              <w:t>1.54</w:t>
            </w:r>
          </w:p>
        </w:tc>
        <w:tc>
          <w:tcPr>
            <w:tcW w:w="1542" w:type="dxa"/>
            <w:tcBorders/>
            <w:shd w:fill="auto" w:val="clear"/>
          </w:tcPr>
          <w:p>
            <w:pPr>
              <w:pStyle w:val="Normal"/>
              <w:rPr/>
            </w:pPr>
            <w:r>
              <w:rPr/>
              <w:t>0.35</w:t>
            </w:r>
          </w:p>
        </w:tc>
        <w:tc>
          <w:tcPr>
            <w:tcW w:w="1574" w:type="dxa"/>
            <w:tcBorders/>
            <w:shd w:fill="auto" w:val="clear"/>
          </w:tcPr>
          <w:p>
            <w:pPr>
              <w:pStyle w:val="Normal"/>
              <w:rPr/>
            </w:pPr>
            <w:r>
              <w:rPr/>
              <w:t>0.70</w:t>
            </w:r>
          </w:p>
        </w:tc>
        <w:tc>
          <w:tcPr>
            <w:tcW w:w="1449" w:type="dxa"/>
            <w:tcBorders/>
            <w:shd w:fill="auto" w:val="clear"/>
          </w:tcPr>
          <w:p>
            <w:pPr>
              <w:pStyle w:val="Normal"/>
              <w:rPr/>
            </w:pPr>
            <w:r>
              <w:rPr/>
              <w:t>4.15</w:t>
            </w:r>
          </w:p>
        </w:tc>
        <w:tc>
          <w:tcPr>
            <w:tcW w:w="1328" w:type="dxa"/>
            <w:tcBorders/>
            <w:shd w:fill="auto" w:val="clear"/>
          </w:tcPr>
          <w:p>
            <w:pPr>
              <w:pStyle w:val="Normal"/>
              <w:rPr/>
            </w:pPr>
            <w:r>
              <w:rPr/>
              <w:t>10.82</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1.25</w:t>
            </w:r>
          </w:p>
        </w:tc>
        <w:tc>
          <w:tcPr>
            <w:tcW w:w="1464" w:type="dxa"/>
            <w:tcBorders/>
            <w:shd w:fill="auto" w:val="clear"/>
          </w:tcPr>
          <w:p>
            <w:pPr>
              <w:pStyle w:val="Normal"/>
              <w:rPr/>
            </w:pPr>
            <w:r>
              <w:rPr/>
              <w:t>1.27</w:t>
            </w:r>
          </w:p>
        </w:tc>
        <w:tc>
          <w:tcPr>
            <w:tcW w:w="1551" w:type="dxa"/>
            <w:tcBorders/>
            <w:shd w:fill="auto" w:val="clear"/>
          </w:tcPr>
          <w:p>
            <w:pPr>
              <w:pStyle w:val="Normal"/>
              <w:rPr/>
            </w:pPr>
            <w:r>
              <w:rPr/>
              <w:t>1.33</w:t>
            </w:r>
          </w:p>
        </w:tc>
        <w:tc>
          <w:tcPr>
            <w:tcW w:w="1500" w:type="dxa"/>
            <w:tcBorders/>
            <w:shd w:fill="auto" w:val="clear"/>
          </w:tcPr>
          <w:p>
            <w:pPr>
              <w:pStyle w:val="Normal"/>
              <w:rPr/>
            </w:pPr>
            <w:r>
              <w:rPr/>
              <w:t>1.36</w:t>
            </w:r>
          </w:p>
        </w:tc>
        <w:tc>
          <w:tcPr>
            <w:tcW w:w="1542" w:type="dxa"/>
            <w:tcBorders/>
            <w:shd w:fill="auto" w:val="clear"/>
          </w:tcPr>
          <w:p>
            <w:pPr>
              <w:pStyle w:val="Normal"/>
              <w:rPr/>
            </w:pPr>
            <w:r>
              <w:rPr/>
              <w:t>0.22</w:t>
            </w:r>
          </w:p>
        </w:tc>
        <w:tc>
          <w:tcPr>
            <w:tcW w:w="1574" w:type="dxa"/>
            <w:tcBorders/>
            <w:shd w:fill="auto" w:val="clear"/>
          </w:tcPr>
          <w:p>
            <w:pPr>
              <w:pStyle w:val="Normal"/>
              <w:rPr/>
            </w:pPr>
            <w:r>
              <w:rPr/>
              <w:t>0.33</w:t>
            </w:r>
          </w:p>
        </w:tc>
        <w:tc>
          <w:tcPr>
            <w:tcW w:w="1449" w:type="dxa"/>
            <w:tcBorders/>
            <w:shd w:fill="auto" w:val="clear"/>
          </w:tcPr>
          <w:p>
            <w:pPr>
              <w:pStyle w:val="Normal"/>
              <w:rPr/>
            </w:pPr>
            <w:r>
              <w:rPr/>
              <w:t>3.26</w:t>
            </w:r>
          </w:p>
        </w:tc>
        <w:tc>
          <w:tcPr>
            <w:tcW w:w="1328" w:type="dxa"/>
            <w:tcBorders/>
            <w:shd w:fill="auto" w:val="clear"/>
          </w:tcPr>
          <w:p>
            <w:pPr>
              <w:pStyle w:val="Normal"/>
              <w:rPr/>
            </w:pPr>
            <w:r>
              <w:rPr/>
              <w:t>9.02</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1.18</w:t>
            </w:r>
          </w:p>
        </w:tc>
        <w:tc>
          <w:tcPr>
            <w:tcW w:w="1464" w:type="dxa"/>
            <w:tcBorders/>
            <w:shd w:fill="auto" w:val="clear"/>
          </w:tcPr>
          <w:p>
            <w:pPr>
              <w:pStyle w:val="Normal"/>
              <w:rPr/>
            </w:pPr>
            <w:r>
              <w:rPr/>
              <w:t>1.09</w:t>
            </w:r>
          </w:p>
        </w:tc>
        <w:tc>
          <w:tcPr>
            <w:tcW w:w="1551" w:type="dxa"/>
            <w:tcBorders/>
            <w:shd w:fill="auto" w:val="clear"/>
          </w:tcPr>
          <w:p>
            <w:pPr>
              <w:pStyle w:val="Normal"/>
              <w:rPr/>
            </w:pPr>
            <w:r>
              <w:rPr/>
              <w:t>0.92</w:t>
            </w:r>
          </w:p>
        </w:tc>
        <w:tc>
          <w:tcPr>
            <w:tcW w:w="1500" w:type="dxa"/>
            <w:tcBorders/>
            <w:shd w:fill="auto" w:val="clear"/>
          </w:tcPr>
          <w:p>
            <w:pPr>
              <w:pStyle w:val="Normal"/>
              <w:rPr/>
            </w:pPr>
            <w:r>
              <w:rPr/>
              <w:t>1.13</w:t>
            </w:r>
          </w:p>
        </w:tc>
        <w:tc>
          <w:tcPr>
            <w:tcW w:w="1542" w:type="dxa"/>
            <w:tcBorders/>
            <w:shd w:fill="auto" w:val="clear"/>
          </w:tcPr>
          <w:p>
            <w:pPr>
              <w:pStyle w:val="Normal"/>
              <w:rPr/>
            </w:pPr>
            <w:r>
              <w:rPr/>
              <w:t>1.59</w:t>
            </w:r>
          </w:p>
        </w:tc>
        <w:tc>
          <w:tcPr>
            <w:tcW w:w="1574" w:type="dxa"/>
            <w:tcBorders/>
            <w:shd w:fill="auto" w:val="clear"/>
          </w:tcPr>
          <w:p>
            <w:pPr>
              <w:pStyle w:val="Normal"/>
              <w:rPr/>
            </w:pPr>
            <w:r>
              <w:rPr/>
              <w:t>2.12</w:t>
            </w:r>
          </w:p>
        </w:tc>
        <w:tc>
          <w:tcPr>
            <w:tcW w:w="1449" w:type="dxa"/>
            <w:tcBorders/>
            <w:shd w:fill="auto" w:val="clear"/>
          </w:tcPr>
          <w:p>
            <w:pPr>
              <w:pStyle w:val="Normal"/>
              <w:rPr/>
            </w:pPr>
            <w:r>
              <w:rPr/>
              <w:t>1.27</w:t>
            </w:r>
          </w:p>
        </w:tc>
        <w:tc>
          <w:tcPr>
            <w:tcW w:w="1328" w:type="dxa"/>
            <w:tcBorders/>
            <w:shd w:fill="auto" w:val="clear"/>
          </w:tcPr>
          <w:p>
            <w:pPr>
              <w:pStyle w:val="Normal"/>
              <w:rPr/>
            </w:pPr>
            <w:r>
              <w:rPr/>
              <w:t>1.20</w:t>
            </w:r>
          </w:p>
        </w:tc>
      </w:tr>
      <w:tr>
        <w:trPr>
          <w:trHeight w:val="72" w:hRule="atLeast"/>
          <w:cantSplit w:val="true"/>
        </w:trPr>
        <w:tc>
          <w:tcPr>
            <w:tcW w:w="851" w:type="dxa"/>
            <w:vMerge w:val="restart"/>
            <w:tcBorders/>
            <w:shd w:fill="auto" w:val="clear"/>
          </w:tcPr>
          <w:p>
            <w:pPr>
              <w:pStyle w:val="Normal"/>
              <w:rPr/>
            </w:pPr>
            <w:r>
              <w:rPr/>
              <w:t>1 year</w:t>
            </w:r>
          </w:p>
        </w:tc>
        <w:tc>
          <w:tcPr>
            <w:tcW w:w="1078" w:type="dxa"/>
            <w:tcBorders/>
            <w:shd w:fill="auto" w:val="clear"/>
          </w:tcPr>
          <w:p>
            <w:pPr>
              <w:pStyle w:val="Normal"/>
              <w:rPr/>
            </w:pPr>
            <w:r>
              <w:rPr/>
              <w:t>Subject</w:t>
            </w:r>
          </w:p>
        </w:tc>
        <w:tc>
          <w:tcPr>
            <w:tcW w:w="1440" w:type="dxa"/>
            <w:tcBorders/>
            <w:shd w:fill="auto" w:val="clear"/>
          </w:tcPr>
          <w:p>
            <w:pPr>
              <w:pStyle w:val="Normal"/>
              <w:rPr/>
            </w:pPr>
            <w:r>
              <w:rPr/>
              <w:t>1.38</w:t>
            </w:r>
          </w:p>
        </w:tc>
        <w:tc>
          <w:tcPr>
            <w:tcW w:w="1464" w:type="dxa"/>
            <w:tcBorders/>
            <w:shd w:fill="auto" w:val="clear"/>
          </w:tcPr>
          <w:p>
            <w:pPr>
              <w:pStyle w:val="Normal"/>
              <w:rPr/>
            </w:pPr>
            <w:r>
              <w:rPr/>
              <w:t>1.36</w:t>
            </w:r>
          </w:p>
        </w:tc>
        <w:tc>
          <w:tcPr>
            <w:tcW w:w="1551" w:type="dxa"/>
            <w:tcBorders/>
            <w:shd w:fill="auto" w:val="clear"/>
          </w:tcPr>
          <w:p>
            <w:pPr>
              <w:pStyle w:val="Normal"/>
              <w:rPr/>
            </w:pPr>
            <w:r>
              <w:rPr/>
              <w:t>1.25</w:t>
            </w:r>
          </w:p>
        </w:tc>
        <w:tc>
          <w:tcPr>
            <w:tcW w:w="1500" w:type="dxa"/>
            <w:tcBorders/>
            <w:shd w:fill="auto" w:val="clear"/>
          </w:tcPr>
          <w:p>
            <w:pPr>
              <w:pStyle w:val="Normal"/>
              <w:rPr/>
            </w:pPr>
            <w:r>
              <w:rPr/>
              <w:t>1.50</w:t>
            </w:r>
          </w:p>
        </w:tc>
        <w:tc>
          <w:tcPr>
            <w:tcW w:w="1542" w:type="dxa"/>
            <w:tcBorders/>
            <w:shd w:fill="auto" w:val="clear"/>
          </w:tcPr>
          <w:p>
            <w:pPr>
              <w:pStyle w:val="Normal"/>
              <w:rPr/>
            </w:pPr>
            <w:r>
              <w:rPr/>
              <w:t>0.34</w:t>
            </w:r>
          </w:p>
        </w:tc>
        <w:tc>
          <w:tcPr>
            <w:tcW w:w="1574" w:type="dxa"/>
            <w:tcBorders/>
            <w:shd w:fill="auto" w:val="clear"/>
          </w:tcPr>
          <w:p>
            <w:pPr>
              <w:pStyle w:val="Normal"/>
              <w:rPr/>
            </w:pPr>
            <w:r>
              <w:rPr/>
              <w:t>0.66</w:t>
            </w:r>
          </w:p>
        </w:tc>
        <w:tc>
          <w:tcPr>
            <w:tcW w:w="1449" w:type="dxa"/>
            <w:tcBorders/>
            <w:shd w:fill="auto" w:val="clear"/>
          </w:tcPr>
          <w:p>
            <w:pPr>
              <w:pStyle w:val="Normal"/>
              <w:rPr/>
            </w:pPr>
            <w:r>
              <w:rPr/>
              <w:t>4.02</w:t>
            </w:r>
          </w:p>
        </w:tc>
        <w:tc>
          <w:tcPr>
            <w:tcW w:w="1328" w:type="dxa"/>
            <w:tcBorders/>
            <w:shd w:fill="auto" w:val="clear"/>
          </w:tcPr>
          <w:p>
            <w:pPr>
              <w:pStyle w:val="Normal"/>
              <w:rPr/>
            </w:pPr>
            <w:r>
              <w:rPr/>
              <w:t>10.51</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1.26</w:t>
            </w:r>
          </w:p>
        </w:tc>
        <w:tc>
          <w:tcPr>
            <w:tcW w:w="1464" w:type="dxa"/>
            <w:tcBorders/>
            <w:shd w:fill="auto" w:val="clear"/>
          </w:tcPr>
          <w:p>
            <w:pPr>
              <w:pStyle w:val="Normal"/>
              <w:rPr/>
            </w:pPr>
            <w:r>
              <w:rPr/>
              <w:t>1.28</w:t>
            </w:r>
          </w:p>
        </w:tc>
        <w:tc>
          <w:tcPr>
            <w:tcW w:w="1551" w:type="dxa"/>
            <w:tcBorders/>
            <w:shd w:fill="auto" w:val="clear"/>
          </w:tcPr>
          <w:p>
            <w:pPr>
              <w:pStyle w:val="Normal"/>
              <w:rPr/>
            </w:pPr>
            <w:r>
              <w:rPr/>
              <w:t>1.21</w:t>
            </w:r>
          </w:p>
        </w:tc>
        <w:tc>
          <w:tcPr>
            <w:tcW w:w="1500" w:type="dxa"/>
            <w:tcBorders/>
            <w:shd w:fill="auto" w:val="clear"/>
          </w:tcPr>
          <w:p>
            <w:pPr>
              <w:pStyle w:val="Normal"/>
              <w:rPr/>
            </w:pPr>
            <w:r>
              <w:rPr/>
              <w:t>1.41</w:t>
            </w:r>
          </w:p>
        </w:tc>
        <w:tc>
          <w:tcPr>
            <w:tcW w:w="1542" w:type="dxa"/>
            <w:tcBorders/>
            <w:shd w:fill="auto" w:val="clear"/>
          </w:tcPr>
          <w:p>
            <w:pPr>
              <w:pStyle w:val="Normal"/>
              <w:rPr/>
            </w:pPr>
            <w:r>
              <w:rPr/>
              <w:t>0.24</w:t>
            </w:r>
          </w:p>
        </w:tc>
        <w:tc>
          <w:tcPr>
            <w:tcW w:w="1574" w:type="dxa"/>
            <w:tcBorders/>
            <w:shd w:fill="auto" w:val="clear"/>
          </w:tcPr>
          <w:p>
            <w:pPr>
              <w:pStyle w:val="Normal"/>
              <w:rPr/>
            </w:pPr>
            <w:r>
              <w:rPr/>
              <w:t>0.34</w:t>
            </w:r>
          </w:p>
        </w:tc>
        <w:tc>
          <w:tcPr>
            <w:tcW w:w="1449" w:type="dxa"/>
            <w:tcBorders/>
            <w:shd w:fill="auto" w:val="clear"/>
          </w:tcPr>
          <w:p>
            <w:pPr>
              <w:pStyle w:val="Normal"/>
              <w:rPr/>
            </w:pPr>
            <w:r>
              <w:rPr/>
              <w:t>3.43</w:t>
            </w:r>
          </w:p>
        </w:tc>
        <w:tc>
          <w:tcPr>
            <w:tcW w:w="1328" w:type="dxa"/>
            <w:tcBorders/>
            <w:shd w:fill="auto" w:val="clear"/>
          </w:tcPr>
          <w:p>
            <w:pPr>
              <w:pStyle w:val="Normal"/>
              <w:rPr/>
            </w:pPr>
            <w:r>
              <w:rPr/>
              <w:t>9.17</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1.10</w:t>
            </w:r>
          </w:p>
        </w:tc>
        <w:tc>
          <w:tcPr>
            <w:tcW w:w="1464" w:type="dxa"/>
            <w:tcBorders/>
            <w:shd w:fill="auto" w:val="clear"/>
          </w:tcPr>
          <w:p>
            <w:pPr>
              <w:pStyle w:val="Normal"/>
              <w:rPr/>
            </w:pPr>
            <w:r>
              <w:rPr/>
              <w:t>1.06</w:t>
            </w:r>
          </w:p>
        </w:tc>
        <w:tc>
          <w:tcPr>
            <w:tcW w:w="1551" w:type="dxa"/>
            <w:tcBorders/>
            <w:shd w:fill="auto" w:val="clear"/>
          </w:tcPr>
          <w:p>
            <w:pPr>
              <w:pStyle w:val="Normal"/>
              <w:rPr/>
            </w:pPr>
            <w:r>
              <w:rPr/>
              <w:t>1.03</w:t>
            </w:r>
          </w:p>
        </w:tc>
        <w:tc>
          <w:tcPr>
            <w:tcW w:w="1500" w:type="dxa"/>
            <w:tcBorders/>
            <w:shd w:fill="auto" w:val="clear"/>
          </w:tcPr>
          <w:p>
            <w:pPr>
              <w:pStyle w:val="Normal"/>
              <w:rPr/>
            </w:pPr>
            <w:r>
              <w:rPr/>
              <w:t>1.06</w:t>
            </w:r>
          </w:p>
        </w:tc>
        <w:tc>
          <w:tcPr>
            <w:tcW w:w="1542" w:type="dxa"/>
            <w:tcBorders/>
            <w:shd w:fill="auto" w:val="clear"/>
          </w:tcPr>
          <w:p>
            <w:pPr>
              <w:pStyle w:val="Normal"/>
              <w:rPr/>
            </w:pPr>
            <w:r>
              <w:rPr/>
              <w:t>1.42</w:t>
            </w:r>
          </w:p>
        </w:tc>
        <w:tc>
          <w:tcPr>
            <w:tcW w:w="1574" w:type="dxa"/>
            <w:tcBorders/>
            <w:shd w:fill="auto" w:val="clear"/>
          </w:tcPr>
          <w:p>
            <w:pPr>
              <w:pStyle w:val="Normal"/>
              <w:rPr/>
            </w:pPr>
            <w:r>
              <w:rPr/>
              <w:t>1.94</w:t>
            </w:r>
          </w:p>
        </w:tc>
        <w:tc>
          <w:tcPr>
            <w:tcW w:w="1449" w:type="dxa"/>
            <w:tcBorders/>
            <w:shd w:fill="auto" w:val="clear"/>
          </w:tcPr>
          <w:p>
            <w:pPr>
              <w:pStyle w:val="Normal"/>
              <w:rPr/>
            </w:pPr>
            <w:r>
              <w:rPr/>
              <w:t>1.17</w:t>
            </w:r>
          </w:p>
        </w:tc>
        <w:tc>
          <w:tcPr>
            <w:tcW w:w="1328" w:type="dxa"/>
            <w:tcBorders/>
            <w:shd w:fill="auto" w:val="clear"/>
          </w:tcPr>
          <w:p>
            <w:pPr>
              <w:pStyle w:val="Normal"/>
              <w:rPr/>
            </w:pPr>
            <w:r>
              <w:rPr/>
              <w:t>1.15</w:t>
            </w:r>
          </w:p>
        </w:tc>
      </w:tr>
      <w:tr>
        <w:trPr>
          <w:trHeight w:val="72" w:hRule="atLeast"/>
          <w:cantSplit w:val="true"/>
        </w:trPr>
        <w:tc>
          <w:tcPr>
            <w:tcW w:w="851" w:type="dxa"/>
            <w:vMerge w:val="restart"/>
            <w:tcBorders/>
            <w:shd w:fill="auto" w:val="clear"/>
          </w:tcPr>
          <w:p>
            <w:pPr>
              <w:pStyle w:val="Normal"/>
              <w:rPr/>
            </w:pPr>
            <w:r>
              <w:rPr/>
              <w:t>2 years</w:t>
            </w:r>
          </w:p>
        </w:tc>
        <w:tc>
          <w:tcPr>
            <w:tcW w:w="1078" w:type="dxa"/>
            <w:tcBorders/>
            <w:shd w:fill="auto" w:val="clear"/>
          </w:tcPr>
          <w:p>
            <w:pPr>
              <w:pStyle w:val="Normal"/>
              <w:rPr/>
            </w:pPr>
            <w:r>
              <w:rPr/>
              <w:t>Subject</w:t>
            </w:r>
          </w:p>
        </w:tc>
        <w:tc>
          <w:tcPr>
            <w:tcW w:w="1440" w:type="dxa"/>
            <w:tcBorders/>
            <w:shd w:fill="auto" w:val="clear"/>
          </w:tcPr>
          <w:p>
            <w:pPr>
              <w:pStyle w:val="Normal"/>
              <w:rPr/>
            </w:pPr>
            <w:r>
              <w:rPr/>
              <w:t>1.42</w:t>
            </w:r>
          </w:p>
        </w:tc>
        <w:tc>
          <w:tcPr>
            <w:tcW w:w="1464" w:type="dxa"/>
            <w:tcBorders/>
            <w:shd w:fill="auto" w:val="clear"/>
          </w:tcPr>
          <w:p>
            <w:pPr>
              <w:pStyle w:val="Normal"/>
              <w:rPr/>
            </w:pPr>
            <w:r>
              <w:rPr/>
              <w:t>1.33</w:t>
            </w:r>
          </w:p>
        </w:tc>
        <w:tc>
          <w:tcPr>
            <w:tcW w:w="1551" w:type="dxa"/>
            <w:tcBorders/>
            <w:shd w:fill="auto" w:val="clear"/>
          </w:tcPr>
          <w:p>
            <w:pPr>
              <w:pStyle w:val="Normal"/>
              <w:rPr/>
            </w:pPr>
            <w:r>
              <w:rPr/>
              <w:t>1.26</w:t>
            </w:r>
          </w:p>
        </w:tc>
        <w:tc>
          <w:tcPr>
            <w:tcW w:w="1500" w:type="dxa"/>
            <w:tcBorders/>
            <w:shd w:fill="auto" w:val="clear"/>
          </w:tcPr>
          <w:p>
            <w:pPr>
              <w:pStyle w:val="Normal"/>
              <w:rPr/>
            </w:pPr>
            <w:r>
              <w:rPr/>
              <w:t>1.49</w:t>
            </w:r>
          </w:p>
        </w:tc>
        <w:tc>
          <w:tcPr>
            <w:tcW w:w="1542" w:type="dxa"/>
            <w:tcBorders/>
            <w:shd w:fill="auto" w:val="clear"/>
          </w:tcPr>
          <w:p>
            <w:pPr>
              <w:pStyle w:val="Normal"/>
              <w:rPr/>
            </w:pPr>
            <w:r>
              <w:rPr/>
              <w:t>0.33</w:t>
            </w:r>
          </w:p>
        </w:tc>
        <w:tc>
          <w:tcPr>
            <w:tcW w:w="1574" w:type="dxa"/>
            <w:tcBorders/>
            <w:shd w:fill="auto" w:val="clear"/>
          </w:tcPr>
          <w:p>
            <w:pPr>
              <w:pStyle w:val="Normal"/>
              <w:rPr/>
            </w:pPr>
            <w:r>
              <w:rPr/>
              <w:t>0.61</w:t>
            </w:r>
          </w:p>
        </w:tc>
        <w:tc>
          <w:tcPr>
            <w:tcW w:w="1449" w:type="dxa"/>
            <w:tcBorders/>
            <w:shd w:fill="auto" w:val="clear"/>
          </w:tcPr>
          <w:p>
            <w:pPr>
              <w:pStyle w:val="Normal"/>
              <w:rPr/>
            </w:pPr>
            <w:r>
              <w:rPr/>
              <w:t>3,90</w:t>
            </w:r>
          </w:p>
        </w:tc>
        <w:tc>
          <w:tcPr>
            <w:tcW w:w="1328" w:type="dxa"/>
            <w:tcBorders/>
            <w:shd w:fill="auto" w:val="clear"/>
          </w:tcPr>
          <w:p>
            <w:pPr>
              <w:pStyle w:val="Normal"/>
              <w:rPr/>
            </w:pPr>
            <w:r>
              <w:rPr/>
              <w:t>10.34</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1.31</w:t>
            </w:r>
          </w:p>
        </w:tc>
        <w:tc>
          <w:tcPr>
            <w:tcW w:w="1464" w:type="dxa"/>
            <w:tcBorders/>
            <w:shd w:fill="auto" w:val="clear"/>
          </w:tcPr>
          <w:p>
            <w:pPr>
              <w:pStyle w:val="Normal"/>
              <w:rPr/>
            </w:pPr>
            <w:r>
              <w:rPr/>
              <w:t>1.29</w:t>
            </w:r>
          </w:p>
        </w:tc>
        <w:tc>
          <w:tcPr>
            <w:tcW w:w="1551" w:type="dxa"/>
            <w:tcBorders/>
            <w:shd w:fill="auto" w:val="clear"/>
          </w:tcPr>
          <w:p>
            <w:pPr>
              <w:pStyle w:val="Normal"/>
              <w:rPr/>
            </w:pPr>
            <w:r>
              <w:rPr/>
              <w:t>1.24</w:t>
            </w:r>
          </w:p>
        </w:tc>
        <w:tc>
          <w:tcPr>
            <w:tcW w:w="1500" w:type="dxa"/>
            <w:tcBorders/>
            <w:shd w:fill="auto" w:val="clear"/>
          </w:tcPr>
          <w:p>
            <w:pPr>
              <w:pStyle w:val="Normal"/>
              <w:rPr/>
            </w:pPr>
            <w:r>
              <w:rPr/>
              <w:t>1.35</w:t>
            </w:r>
          </w:p>
        </w:tc>
        <w:tc>
          <w:tcPr>
            <w:tcW w:w="1542" w:type="dxa"/>
            <w:tcBorders/>
            <w:shd w:fill="auto" w:val="clear"/>
          </w:tcPr>
          <w:p>
            <w:pPr>
              <w:pStyle w:val="Normal"/>
              <w:rPr/>
            </w:pPr>
            <w:r>
              <w:rPr/>
              <w:t>0.23</w:t>
            </w:r>
          </w:p>
        </w:tc>
        <w:tc>
          <w:tcPr>
            <w:tcW w:w="1574" w:type="dxa"/>
            <w:tcBorders/>
            <w:shd w:fill="auto" w:val="clear"/>
          </w:tcPr>
          <w:p>
            <w:pPr>
              <w:pStyle w:val="Normal"/>
              <w:rPr/>
            </w:pPr>
            <w:r>
              <w:rPr/>
              <w:t>0.37</w:t>
            </w:r>
          </w:p>
        </w:tc>
        <w:tc>
          <w:tcPr>
            <w:tcW w:w="1449" w:type="dxa"/>
            <w:tcBorders/>
            <w:shd w:fill="auto" w:val="clear"/>
          </w:tcPr>
          <w:p>
            <w:pPr>
              <w:pStyle w:val="Normal"/>
              <w:rPr/>
            </w:pPr>
            <w:r>
              <w:rPr/>
              <w:t>3.45</w:t>
            </w:r>
          </w:p>
        </w:tc>
        <w:tc>
          <w:tcPr>
            <w:tcW w:w="1328" w:type="dxa"/>
            <w:tcBorders/>
            <w:shd w:fill="auto" w:val="clear"/>
          </w:tcPr>
          <w:p>
            <w:pPr>
              <w:pStyle w:val="Normal"/>
              <w:rPr/>
            </w:pPr>
            <w:r>
              <w:rPr/>
              <w:t>9.24</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1.08</w:t>
            </w:r>
          </w:p>
        </w:tc>
        <w:tc>
          <w:tcPr>
            <w:tcW w:w="1464" w:type="dxa"/>
            <w:tcBorders/>
            <w:shd w:fill="auto" w:val="clear"/>
          </w:tcPr>
          <w:p>
            <w:pPr>
              <w:pStyle w:val="Normal"/>
              <w:rPr/>
            </w:pPr>
            <w:r>
              <w:rPr/>
              <w:t>1.03</w:t>
            </w:r>
          </w:p>
        </w:tc>
        <w:tc>
          <w:tcPr>
            <w:tcW w:w="1551" w:type="dxa"/>
            <w:tcBorders/>
            <w:shd w:fill="auto" w:val="clear"/>
          </w:tcPr>
          <w:p>
            <w:pPr>
              <w:pStyle w:val="Normal"/>
              <w:rPr/>
            </w:pPr>
            <w:r>
              <w:rPr/>
              <w:t>1.02</w:t>
            </w:r>
          </w:p>
        </w:tc>
        <w:tc>
          <w:tcPr>
            <w:tcW w:w="1500" w:type="dxa"/>
            <w:tcBorders/>
            <w:shd w:fill="auto" w:val="clear"/>
          </w:tcPr>
          <w:p>
            <w:pPr>
              <w:pStyle w:val="Normal"/>
              <w:rPr/>
            </w:pPr>
            <w:r>
              <w:rPr/>
              <w:t>1.10</w:t>
            </w:r>
          </w:p>
        </w:tc>
        <w:tc>
          <w:tcPr>
            <w:tcW w:w="1542" w:type="dxa"/>
            <w:tcBorders/>
            <w:shd w:fill="auto" w:val="clear"/>
          </w:tcPr>
          <w:p>
            <w:pPr>
              <w:pStyle w:val="Normal"/>
              <w:rPr/>
            </w:pPr>
            <w:r>
              <w:rPr/>
              <w:t>1.43</w:t>
            </w:r>
          </w:p>
        </w:tc>
        <w:tc>
          <w:tcPr>
            <w:tcW w:w="1574" w:type="dxa"/>
            <w:tcBorders/>
            <w:shd w:fill="auto" w:val="clear"/>
          </w:tcPr>
          <w:p>
            <w:pPr>
              <w:pStyle w:val="Normal"/>
              <w:rPr/>
            </w:pPr>
            <w:r>
              <w:rPr/>
              <w:t>1.65</w:t>
            </w:r>
          </w:p>
        </w:tc>
        <w:tc>
          <w:tcPr>
            <w:tcW w:w="1449" w:type="dxa"/>
            <w:tcBorders/>
            <w:shd w:fill="auto" w:val="clear"/>
          </w:tcPr>
          <w:p>
            <w:pPr>
              <w:pStyle w:val="Normal"/>
              <w:rPr/>
            </w:pPr>
            <w:r>
              <w:rPr/>
              <w:t>1.13</w:t>
            </w:r>
          </w:p>
        </w:tc>
        <w:tc>
          <w:tcPr>
            <w:tcW w:w="1328" w:type="dxa"/>
            <w:tcBorders/>
            <w:shd w:fill="auto" w:val="clear"/>
          </w:tcPr>
          <w:p>
            <w:pPr>
              <w:pStyle w:val="Normal"/>
              <w:rPr/>
            </w:pPr>
            <w:r>
              <w:rPr/>
              <w:t>1.12</w:t>
            </w:r>
          </w:p>
        </w:tc>
      </w:tr>
      <w:tr>
        <w:trPr>
          <w:trHeight w:val="72" w:hRule="atLeast"/>
          <w:cantSplit w:val="true"/>
        </w:trPr>
        <w:tc>
          <w:tcPr>
            <w:tcW w:w="851" w:type="dxa"/>
            <w:vMerge w:val="restart"/>
            <w:tcBorders/>
            <w:shd w:fill="auto" w:val="clear"/>
          </w:tcPr>
          <w:p>
            <w:pPr>
              <w:pStyle w:val="Normal"/>
              <w:rPr/>
            </w:pPr>
            <w:r>
              <w:rPr/>
              <w:t>3 years</w:t>
            </w:r>
          </w:p>
        </w:tc>
        <w:tc>
          <w:tcPr>
            <w:tcW w:w="1078" w:type="dxa"/>
            <w:tcBorders/>
            <w:shd w:fill="auto" w:val="clear"/>
          </w:tcPr>
          <w:p>
            <w:pPr>
              <w:pStyle w:val="Normal"/>
              <w:rPr/>
            </w:pPr>
            <w:r>
              <w:rPr/>
              <w:t>Subject</w:t>
            </w:r>
          </w:p>
        </w:tc>
        <w:tc>
          <w:tcPr>
            <w:tcW w:w="1440" w:type="dxa"/>
            <w:tcBorders/>
            <w:shd w:fill="auto" w:val="clear"/>
          </w:tcPr>
          <w:p>
            <w:pPr>
              <w:pStyle w:val="Normal"/>
              <w:rPr/>
            </w:pPr>
            <w:r>
              <w:rPr/>
              <w:t>1.40</w:t>
            </w:r>
          </w:p>
        </w:tc>
        <w:tc>
          <w:tcPr>
            <w:tcW w:w="1464" w:type="dxa"/>
            <w:tcBorders/>
            <w:shd w:fill="auto" w:val="clear"/>
          </w:tcPr>
          <w:p>
            <w:pPr>
              <w:pStyle w:val="Normal"/>
              <w:rPr/>
            </w:pPr>
            <w:r>
              <w:rPr/>
              <w:t>1.33</w:t>
            </w:r>
          </w:p>
        </w:tc>
        <w:tc>
          <w:tcPr>
            <w:tcW w:w="1551" w:type="dxa"/>
            <w:tcBorders/>
            <w:shd w:fill="auto" w:val="clear"/>
          </w:tcPr>
          <w:p>
            <w:pPr>
              <w:pStyle w:val="Normal"/>
              <w:rPr/>
            </w:pPr>
            <w:r>
              <w:rPr/>
              <w:t>1.29</w:t>
            </w:r>
          </w:p>
        </w:tc>
        <w:tc>
          <w:tcPr>
            <w:tcW w:w="1500" w:type="dxa"/>
            <w:tcBorders/>
            <w:shd w:fill="auto" w:val="clear"/>
          </w:tcPr>
          <w:p>
            <w:pPr>
              <w:pStyle w:val="Normal"/>
              <w:rPr/>
            </w:pPr>
            <w:r>
              <w:rPr/>
              <w:t>1.47</w:t>
            </w:r>
          </w:p>
        </w:tc>
        <w:tc>
          <w:tcPr>
            <w:tcW w:w="1542" w:type="dxa"/>
            <w:tcBorders/>
            <w:shd w:fill="auto" w:val="clear"/>
          </w:tcPr>
          <w:p>
            <w:pPr>
              <w:pStyle w:val="Normal"/>
              <w:rPr/>
            </w:pPr>
            <w:r>
              <w:rPr/>
              <w:t>0.31</w:t>
            </w:r>
          </w:p>
        </w:tc>
        <w:tc>
          <w:tcPr>
            <w:tcW w:w="1574" w:type="dxa"/>
            <w:tcBorders/>
            <w:shd w:fill="auto" w:val="clear"/>
          </w:tcPr>
          <w:p>
            <w:pPr>
              <w:pStyle w:val="Normal"/>
              <w:rPr/>
            </w:pPr>
            <w:r>
              <w:rPr/>
              <w:t>0.59</w:t>
            </w:r>
          </w:p>
        </w:tc>
        <w:tc>
          <w:tcPr>
            <w:tcW w:w="1449" w:type="dxa"/>
            <w:tcBorders/>
            <w:shd w:fill="auto" w:val="clear"/>
          </w:tcPr>
          <w:p>
            <w:pPr>
              <w:pStyle w:val="Normal"/>
              <w:rPr/>
            </w:pPr>
            <w:r>
              <w:rPr/>
              <w:t>3.90</w:t>
            </w:r>
          </w:p>
        </w:tc>
        <w:tc>
          <w:tcPr>
            <w:tcW w:w="1328" w:type="dxa"/>
            <w:tcBorders/>
            <w:shd w:fill="auto" w:val="clear"/>
          </w:tcPr>
          <w:p>
            <w:pPr>
              <w:pStyle w:val="Normal"/>
              <w:rPr/>
            </w:pPr>
            <w:r>
              <w:rPr/>
              <w:t>10.29</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1.32</w:t>
            </w:r>
          </w:p>
        </w:tc>
        <w:tc>
          <w:tcPr>
            <w:tcW w:w="1464" w:type="dxa"/>
            <w:tcBorders/>
            <w:shd w:fill="auto" w:val="clear"/>
          </w:tcPr>
          <w:p>
            <w:pPr>
              <w:pStyle w:val="Normal"/>
              <w:rPr/>
            </w:pPr>
            <w:r>
              <w:rPr/>
              <w:t>1.29</w:t>
            </w:r>
          </w:p>
        </w:tc>
        <w:tc>
          <w:tcPr>
            <w:tcW w:w="1551" w:type="dxa"/>
            <w:tcBorders/>
            <w:shd w:fill="auto" w:val="clear"/>
          </w:tcPr>
          <w:p>
            <w:pPr>
              <w:pStyle w:val="Normal"/>
              <w:rPr/>
            </w:pPr>
            <w:r>
              <w:rPr/>
              <w:t>1.27</w:t>
            </w:r>
          </w:p>
        </w:tc>
        <w:tc>
          <w:tcPr>
            <w:tcW w:w="1500" w:type="dxa"/>
            <w:tcBorders/>
            <w:shd w:fill="auto" w:val="clear"/>
          </w:tcPr>
          <w:p>
            <w:pPr>
              <w:pStyle w:val="Normal"/>
              <w:rPr/>
            </w:pPr>
            <w:r>
              <w:rPr/>
              <w:t>1.36</w:t>
            </w:r>
          </w:p>
        </w:tc>
        <w:tc>
          <w:tcPr>
            <w:tcW w:w="1542" w:type="dxa"/>
            <w:tcBorders/>
            <w:shd w:fill="auto" w:val="clear"/>
          </w:tcPr>
          <w:p>
            <w:pPr>
              <w:pStyle w:val="Normal"/>
              <w:rPr/>
            </w:pPr>
            <w:r>
              <w:rPr/>
              <w:t>0.22</w:t>
            </w:r>
          </w:p>
        </w:tc>
        <w:tc>
          <w:tcPr>
            <w:tcW w:w="1574" w:type="dxa"/>
            <w:tcBorders/>
            <w:shd w:fill="auto" w:val="clear"/>
          </w:tcPr>
          <w:p>
            <w:pPr>
              <w:pStyle w:val="Normal"/>
              <w:rPr/>
            </w:pPr>
            <w:r>
              <w:rPr/>
              <w:t>0.39</w:t>
            </w:r>
          </w:p>
        </w:tc>
        <w:tc>
          <w:tcPr>
            <w:tcW w:w="1449" w:type="dxa"/>
            <w:tcBorders/>
            <w:shd w:fill="auto" w:val="clear"/>
          </w:tcPr>
          <w:p>
            <w:pPr>
              <w:pStyle w:val="Normal"/>
              <w:rPr/>
            </w:pPr>
            <w:r>
              <w:rPr/>
              <w:t>3.50</w:t>
            </w:r>
          </w:p>
        </w:tc>
        <w:tc>
          <w:tcPr>
            <w:tcW w:w="1328" w:type="dxa"/>
            <w:tcBorders/>
            <w:shd w:fill="auto" w:val="clear"/>
          </w:tcPr>
          <w:p>
            <w:pPr>
              <w:pStyle w:val="Normal"/>
              <w:rPr/>
            </w:pPr>
            <w:r>
              <w:rPr/>
              <w:t>9.35</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1.06</w:t>
            </w:r>
          </w:p>
        </w:tc>
        <w:tc>
          <w:tcPr>
            <w:tcW w:w="1464" w:type="dxa"/>
            <w:tcBorders/>
            <w:shd w:fill="auto" w:val="clear"/>
          </w:tcPr>
          <w:p>
            <w:pPr>
              <w:pStyle w:val="Normal"/>
              <w:rPr/>
            </w:pPr>
            <w:r>
              <w:rPr/>
              <w:t>1.03</w:t>
            </w:r>
          </w:p>
        </w:tc>
        <w:tc>
          <w:tcPr>
            <w:tcW w:w="1551" w:type="dxa"/>
            <w:tcBorders/>
            <w:shd w:fill="auto" w:val="clear"/>
          </w:tcPr>
          <w:p>
            <w:pPr>
              <w:pStyle w:val="Normal"/>
              <w:rPr/>
            </w:pPr>
            <w:r>
              <w:rPr/>
              <w:t>1.02</w:t>
            </w:r>
          </w:p>
        </w:tc>
        <w:tc>
          <w:tcPr>
            <w:tcW w:w="1500" w:type="dxa"/>
            <w:tcBorders/>
            <w:shd w:fill="auto" w:val="clear"/>
          </w:tcPr>
          <w:p>
            <w:pPr>
              <w:pStyle w:val="Normal"/>
              <w:rPr/>
            </w:pPr>
            <w:r>
              <w:rPr/>
              <w:t>1.08</w:t>
            </w:r>
          </w:p>
        </w:tc>
        <w:tc>
          <w:tcPr>
            <w:tcW w:w="1542" w:type="dxa"/>
            <w:tcBorders/>
            <w:shd w:fill="auto" w:val="clear"/>
          </w:tcPr>
          <w:p>
            <w:pPr>
              <w:pStyle w:val="Normal"/>
              <w:rPr/>
            </w:pPr>
            <w:r>
              <w:rPr/>
              <w:t>1.41</w:t>
            </w:r>
          </w:p>
        </w:tc>
        <w:tc>
          <w:tcPr>
            <w:tcW w:w="1574" w:type="dxa"/>
            <w:tcBorders/>
            <w:shd w:fill="auto" w:val="clear"/>
          </w:tcPr>
          <w:p>
            <w:pPr>
              <w:pStyle w:val="Normal"/>
              <w:rPr/>
            </w:pPr>
            <w:r>
              <w:rPr/>
              <w:t>1.51</w:t>
            </w:r>
          </w:p>
        </w:tc>
        <w:tc>
          <w:tcPr>
            <w:tcW w:w="1449" w:type="dxa"/>
            <w:tcBorders/>
            <w:shd w:fill="auto" w:val="clear"/>
          </w:tcPr>
          <w:p>
            <w:pPr>
              <w:pStyle w:val="Normal"/>
              <w:rPr/>
            </w:pPr>
            <w:r>
              <w:rPr/>
              <w:t>1.11</w:t>
            </w:r>
          </w:p>
        </w:tc>
        <w:tc>
          <w:tcPr>
            <w:tcW w:w="1328" w:type="dxa"/>
            <w:tcBorders/>
            <w:shd w:fill="auto" w:val="clear"/>
          </w:tcPr>
          <w:p>
            <w:pPr>
              <w:pStyle w:val="Normal"/>
              <w:rPr/>
            </w:pPr>
            <w:r>
              <w:rPr/>
              <w:t>1.10</w:t>
            </w:r>
          </w:p>
        </w:tc>
      </w:tr>
      <w:tr>
        <w:trPr>
          <w:trHeight w:val="72" w:hRule="atLeast"/>
          <w:cantSplit w:val="true"/>
        </w:trPr>
        <w:tc>
          <w:tcPr>
            <w:tcW w:w="851" w:type="dxa"/>
            <w:vMerge w:val="restart"/>
            <w:tcBorders/>
            <w:shd w:fill="auto" w:val="clear"/>
          </w:tcPr>
          <w:p>
            <w:pPr>
              <w:pStyle w:val="Normal"/>
              <w:rPr/>
            </w:pPr>
            <w:r>
              <w:rPr/>
              <w:t>4 years</w:t>
            </w:r>
          </w:p>
        </w:tc>
        <w:tc>
          <w:tcPr>
            <w:tcW w:w="1078" w:type="dxa"/>
            <w:tcBorders/>
            <w:shd w:fill="auto" w:val="clear"/>
          </w:tcPr>
          <w:p>
            <w:pPr>
              <w:pStyle w:val="Normal"/>
              <w:rPr/>
            </w:pPr>
            <w:r>
              <w:rPr/>
              <w:t>Subject</w:t>
            </w:r>
          </w:p>
        </w:tc>
        <w:tc>
          <w:tcPr>
            <w:tcW w:w="1440" w:type="dxa"/>
            <w:tcBorders/>
            <w:shd w:fill="auto" w:val="clear"/>
          </w:tcPr>
          <w:p>
            <w:pPr>
              <w:pStyle w:val="Normal"/>
              <w:rPr/>
            </w:pPr>
            <w:r>
              <w:rPr/>
              <w:t>1,42</w:t>
            </w:r>
          </w:p>
        </w:tc>
        <w:tc>
          <w:tcPr>
            <w:tcW w:w="1464" w:type="dxa"/>
            <w:tcBorders/>
            <w:shd w:fill="auto" w:val="clear"/>
          </w:tcPr>
          <w:p>
            <w:pPr>
              <w:pStyle w:val="Normal"/>
              <w:rPr/>
            </w:pPr>
            <w:r>
              <w:rPr/>
              <w:t>1.34</w:t>
            </w:r>
          </w:p>
        </w:tc>
        <w:tc>
          <w:tcPr>
            <w:tcW w:w="1551" w:type="dxa"/>
            <w:tcBorders/>
            <w:shd w:fill="auto" w:val="clear"/>
          </w:tcPr>
          <w:p>
            <w:pPr>
              <w:pStyle w:val="Normal"/>
              <w:rPr/>
            </w:pPr>
            <w:r>
              <w:rPr/>
              <w:t>1.29</w:t>
            </w:r>
          </w:p>
        </w:tc>
        <w:tc>
          <w:tcPr>
            <w:tcW w:w="1500" w:type="dxa"/>
            <w:tcBorders/>
            <w:shd w:fill="auto" w:val="clear"/>
          </w:tcPr>
          <w:p>
            <w:pPr>
              <w:pStyle w:val="Normal"/>
              <w:rPr/>
            </w:pPr>
            <w:r>
              <w:rPr/>
              <w:t>1.48</w:t>
            </w:r>
          </w:p>
        </w:tc>
        <w:tc>
          <w:tcPr>
            <w:tcW w:w="1542" w:type="dxa"/>
            <w:tcBorders/>
            <w:shd w:fill="auto" w:val="clear"/>
          </w:tcPr>
          <w:p>
            <w:pPr>
              <w:pStyle w:val="Normal"/>
              <w:rPr/>
            </w:pPr>
            <w:r>
              <w:rPr/>
              <w:t>0.32</w:t>
            </w:r>
          </w:p>
        </w:tc>
        <w:tc>
          <w:tcPr>
            <w:tcW w:w="1574" w:type="dxa"/>
            <w:tcBorders/>
            <w:shd w:fill="auto" w:val="clear"/>
          </w:tcPr>
          <w:p>
            <w:pPr>
              <w:pStyle w:val="Normal"/>
              <w:rPr/>
            </w:pPr>
            <w:r>
              <w:rPr/>
              <w:t>0.59</w:t>
            </w:r>
          </w:p>
        </w:tc>
        <w:tc>
          <w:tcPr>
            <w:tcW w:w="1449" w:type="dxa"/>
            <w:tcBorders/>
            <w:shd w:fill="auto" w:val="clear"/>
          </w:tcPr>
          <w:p>
            <w:pPr>
              <w:pStyle w:val="Normal"/>
              <w:rPr/>
            </w:pPr>
            <w:r>
              <w:rPr/>
              <w:t>3.89</w:t>
            </w:r>
          </w:p>
        </w:tc>
        <w:tc>
          <w:tcPr>
            <w:tcW w:w="1328" w:type="dxa"/>
            <w:tcBorders/>
            <w:shd w:fill="auto" w:val="clear"/>
          </w:tcPr>
          <w:p>
            <w:pPr>
              <w:pStyle w:val="Normal"/>
              <w:rPr/>
            </w:pPr>
            <w:r>
              <w:rPr/>
              <w:t>10.33</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1.34</w:t>
            </w:r>
          </w:p>
        </w:tc>
        <w:tc>
          <w:tcPr>
            <w:tcW w:w="1464" w:type="dxa"/>
            <w:tcBorders/>
            <w:shd w:fill="auto" w:val="clear"/>
          </w:tcPr>
          <w:p>
            <w:pPr>
              <w:pStyle w:val="Normal"/>
              <w:rPr/>
            </w:pPr>
            <w:r>
              <w:rPr/>
              <w:t>1.29</w:t>
            </w:r>
          </w:p>
        </w:tc>
        <w:tc>
          <w:tcPr>
            <w:tcW w:w="1551" w:type="dxa"/>
            <w:tcBorders/>
            <w:shd w:fill="auto" w:val="clear"/>
          </w:tcPr>
          <w:p>
            <w:pPr>
              <w:pStyle w:val="Normal"/>
              <w:rPr/>
            </w:pPr>
            <w:r>
              <w:rPr/>
              <w:t>1.29</w:t>
            </w:r>
          </w:p>
        </w:tc>
        <w:tc>
          <w:tcPr>
            <w:tcW w:w="1500" w:type="dxa"/>
            <w:tcBorders/>
            <w:shd w:fill="auto" w:val="clear"/>
          </w:tcPr>
          <w:p>
            <w:pPr>
              <w:pStyle w:val="Normal"/>
              <w:rPr/>
            </w:pPr>
            <w:r>
              <w:rPr/>
              <w:t>1.38</w:t>
            </w:r>
          </w:p>
        </w:tc>
        <w:tc>
          <w:tcPr>
            <w:tcW w:w="1542" w:type="dxa"/>
            <w:tcBorders/>
            <w:shd w:fill="auto" w:val="clear"/>
          </w:tcPr>
          <w:p>
            <w:pPr>
              <w:pStyle w:val="Normal"/>
              <w:rPr/>
            </w:pPr>
            <w:r>
              <w:rPr/>
              <w:t>0.23</w:t>
            </w:r>
          </w:p>
        </w:tc>
        <w:tc>
          <w:tcPr>
            <w:tcW w:w="1574" w:type="dxa"/>
            <w:tcBorders/>
            <w:shd w:fill="auto" w:val="clear"/>
          </w:tcPr>
          <w:p>
            <w:pPr>
              <w:pStyle w:val="Normal"/>
              <w:rPr/>
            </w:pPr>
            <w:r>
              <w:rPr/>
              <w:t>0.39</w:t>
            </w:r>
          </w:p>
        </w:tc>
        <w:tc>
          <w:tcPr>
            <w:tcW w:w="1449" w:type="dxa"/>
            <w:tcBorders/>
            <w:shd w:fill="auto" w:val="clear"/>
          </w:tcPr>
          <w:p>
            <w:pPr>
              <w:pStyle w:val="Normal"/>
              <w:rPr/>
            </w:pPr>
            <w:r>
              <w:rPr/>
              <w:t>3.51</w:t>
            </w:r>
          </w:p>
        </w:tc>
        <w:tc>
          <w:tcPr>
            <w:tcW w:w="1328" w:type="dxa"/>
            <w:tcBorders/>
            <w:shd w:fill="auto" w:val="clear"/>
          </w:tcPr>
          <w:p>
            <w:pPr>
              <w:pStyle w:val="Normal"/>
              <w:rPr/>
            </w:pPr>
            <w:r>
              <w:rPr/>
              <w:t>9.43</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1.06</w:t>
            </w:r>
          </w:p>
        </w:tc>
        <w:tc>
          <w:tcPr>
            <w:tcW w:w="1464" w:type="dxa"/>
            <w:tcBorders/>
            <w:shd w:fill="auto" w:val="clear"/>
          </w:tcPr>
          <w:p>
            <w:pPr>
              <w:pStyle w:val="Normal"/>
              <w:rPr/>
            </w:pPr>
            <w:r>
              <w:rPr/>
              <w:t>1.04</w:t>
            </w:r>
          </w:p>
        </w:tc>
        <w:tc>
          <w:tcPr>
            <w:tcW w:w="1551" w:type="dxa"/>
            <w:tcBorders/>
            <w:shd w:fill="auto" w:val="clear"/>
          </w:tcPr>
          <w:p>
            <w:pPr>
              <w:pStyle w:val="Normal"/>
              <w:rPr/>
            </w:pPr>
            <w:r>
              <w:rPr/>
              <w:t>1.00</w:t>
            </w:r>
          </w:p>
        </w:tc>
        <w:tc>
          <w:tcPr>
            <w:tcW w:w="1500" w:type="dxa"/>
            <w:tcBorders/>
            <w:shd w:fill="auto" w:val="clear"/>
          </w:tcPr>
          <w:p>
            <w:pPr>
              <w:pStyle w:val="Normal"/>
              <w:rPr/>
            </w:pPr>
            <w:r>
              <w:rPr/>
              <w:t>1.07</w:t>
            </w:r>
          </w:p>
        </w:tc>
        <w:tc>
          <w:tcPr>
            <w:tcW w:w="1542" w:type="dxa"/>
            <w:tcBorders/>
            <w:shd w:fill="auto" w:val="clear"/>
          </w:tcPr>
          <w:p>
            <w:pPr>
              <w:pStyle w:val="Normal"/>
              <w:rPr/>
            </w:pPr>
            <w:r>
              <w:rPr/>
              <w:t>1.39</w:t>
            </w:r>
          </w:p>
        </w:tc>
        <w:tc>
          <w:tcPr>
            <w:tcW w:w="1574" w:type="dxa"/>
            <w:tcBorders/>
            <w:shd w:fill="auto" w:val="clear"/>
          </w:tcPr>
          <w:p>
            <w:pPr>
              <w:pStyle w:val="Normal"/>
              <w:rPr/>
            </w:pPr>
            <w:r>
              <w:rPr/>
              <w:t>1.51</w:t>
            </w:r>
          </w:p>
        </w:tc>
        <w:tc>
          <w:tcPr>
            <w:tcW w:w="1449" w:type="dxa"/>
            <w:tcBorders/>
            <w:shd w:fill="auto" w:val="clear"/>
          </w:tcPr>
          <w:p>
            <w:pPr>
              <w:pStyle w:val="Normal"/>
              <w:rPr/>
            </w:pPr>
            <w:r>
              <w:rPr/>
              <w:t>1.11</w:t>
            </w:r>
          </w:p>
        </w:tc>
        <w:tc>
          <w:tcPr>
            <w:tcW w:w="1328" w:type="dxa"/>
            <w:tcBorders/>
            <w:shd w:fill="auto" w:val="clear"/>
          </w:tcPr>
          <w:p>
            <w:pPr>
              <w:pStyle w:val="Normal"/>
              <w:rPr/>
            </w:pPr>
            <w:r>
              <w:rPr/>
              <w:t>1.10</w:t>
            </w:r>
          </w:p>
        </w:tc>
      </w:tr>
      <w:tr>
        <w:trPr>
          <w:trHeight w:val="72" w:hRule="atLeast"/>
          <w:cantSplit w:val="true"/>
        </w:trPr>
        <w:tc>
          <w:tcPr>
            <w:tcW w:w="851" w:type="dxa"/>
            <w:vMerge w:val="restart"/>
            <w:tcBorders/>
            <w:shd w:fill="auto" w:val="clear"/>
          </w:tcPr>
          <w:p>
            <w:pPr>
              <w:pStyle w:val="Normal"/>
              <w:rPr/>
            </w:pPr>
            <w:r>
              <w:rPr/>
              <w:t>5 years</w:t>
            </w:r>
          </w:p>
        </w:tc>
        <w:tc>
          <w:tcPr>
            <w:tcW w:w="1078" w:type="dxa"/>
            <w:tcBorders/>
            <w:shd w:fill="auto" w:val="clear"/>
          </w:tcPr>
          <w:p>
            <w:pPr>
              <w:pStyle w:val="Normal"/>
              <w:rPr/>
            </w:pPr>
            <w:r>
              <w:rPr/>
              <w:t>Subject</w:t>
            </w:r>
          </w:p>
        </w:tc>
        <w:tc>
          <w:tcPr>
            <w:tcW w:w="1440" w:type="dxa"/>
            <w:tcBorders/>
            <w:shd w:fill="auto" w:val="clear"/>
          </w:tcPr>
          <w:p>
            <w:pPr>
              <w:pStyle w:val="Normal"/>
              <w:rPr/>
            </w:pPr>
            <w:r>
              <w:rPr/>
              <w:t>1.42</w:t>
            </w:r>
          </w:p>
        </w:tc>
        <w:tc>
          <w:tcPr>
            <w:tcW w:w="1464" w:type="dxa"/>
            <w:tcBorders/>
            <w:shd w:fill="auto" w:val="clear"/>
          </w:tcPr>
          <w:p>
            <w:pPr>
              <w:pStyle w:val="Normal"/>
              <w:rPr/>
            </w:pPr>
            <w:r>
              <w:rPr/>
              <w:t>1.33</w:t>
            </w:r>
          </w:p>
        </w:tc>
        <w:tc>
          <w:tcPr>
            <w:tcW w:w="1551" w:type="dxa"/>
            <w:tcBorders/>
            <w:shd w:fill="auto" w:val="clear"/>
          </w:tcPr>
          <w:p>
            <w:pPr>
              <w:pStyle w:val="Normal"/>
              <w:rPr/>
            </w:pPr>
            <w:r>
              <w:rPr/>
              <w:t>1.31</w:t>
            </w:r>
          </w:p>
        </w:tc>
        <w:tc>
          <w:tcPr>
            <w:tcW w:w="1500" w:type="dxa"/>
            <w:tcBorders/>
            <w:shd w:fill="auto" w:val="clear"/>
          </w:tcPr>
          <w:p>
            <w:pPr>
              <w:pStyle w:val="Normal"/>
              <w:rPr/>
            </w:pPr>
            <w:r>
              <w:rPr/>
              <w:t>1.48</w:t>
            </w:r>
          </w:p>
        </w:tc>
        <w:tc>
          <w:tcPr>
            <w:tcW w:w="1542" w:type="dxa"/>
            <w:tcBorders/>
            <w:shd w:fill="auto" w:val="clear"/>
          </w:tcPr>
          <w:p>
            <w:pPr>
              <w:pStyle w:val="Normal"/>
              <w:rPr/>
            </w:pPr>
            <w:r>
              <w:rPr/>
              <w:t>0.31</w:t>
            </w:r>
          </w:p>
        </w:tc>
        <w:tc>
          <w:tcPr>
            <w:tcW w:w="1574" w:type="dxa"/>
            <w:tcBorders/>
            <w:shd w:fill="auto" w:val="clear"/>
          </w:tcPr>
          <w:p>
            <w:pPr>
              <w:pStyle w:val="Normal"/>
              <w:rPr/>
            </w:pPr>
            <w:r>
              <w:rPr/>
              <w:t>0.57</w:t>
            </w:r>
          </w:p>
        </w:tc>
        <w:tc>
          <w:tcPr>
            <w:tcW w:w="1449" w:type="dxa"/>
            <w:tcBorders/>
            <w:shd w:fill="auto" w:val="clear"/>
          </w:tcPr>
          <w:p>
            <w:pPr>
              <w:pStyle w:val="Normal"/>
              <w:rPr/>
            </w:pPr>
            <w:r>
              <w:rPr/>
              <w:t>3.89</w:t>
            </w:r>
          </w:p>
        </w:tc>
        <w:tc>
          <w:tcPr>
            <w:tcW w:w="1328" w:type="dxa"/>
            <w:tcBorders/>
            <w:shd w:fill="auto" w:val="clear"/>
          </w:tcPr>
          <w:p>
            <w:pPr>
              <w:pStyle w:val="Normal"/>
              <w:rPr/>
            </w:pPr>
            <w:r>
              <w:rPr/>
              <w:t>10.31</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Control</w:t>
            </w:r>
          </w:p>
        </w:tc>
        <w:tc>
          <w:tcPr>
            <w:tcW w:w="1440" w:type="dxa"/>
            <w:tcBorders/>
            <w:shd w:fill="auto" w:val="clear"/>
          </w:tcPr>
          <w:p>
            <w:pPr>
              <w:pStyle w:val="Normal"/>
              <w:rPr/>
            </w:pPr>
            <w:r>
              <w:rPr/>
              <w:t>1.35</w:t>
            </w:r>
          </w:p>
        </w:tc>
        <w:tc>
          <w:tcPr>
            <w:tcW w:w="1464" w:type="dxa"/>
            <w:tcBorders/>
            <w:shd w:fill="auto" w:val="clear"/>
          </w:tcPr>
          <w:p>
            <w:pPr>
              <w:pStyle w:val="Normal"/>
              <w:rPr/>
            </w:pPr>
            <w:r>
              <w:rPr/>
              <w:t>1.30</w:t>
            </w:r>
          </w:p>
        </w:tc>
        <w:tc>
          <w:tcPr>
            <w:tcW w:w="1551" w:type="dxa"/>
            <w:tcBorders/>
            <w:shd w:fill="auto" w:val="clear"/>
          </w:tcPr>
          <w:p>
            <w:pPr>
              <w:pStyle w:val="Normal"/>
              <w:rPr/>
            </w:pPr>
            <w:r>
              <w:rPr/>
              <w:t>1.30</w:t>
            </w:r>
          </w:p>
        </w:tc>
        <w:tc>
          <w:tcPr>
            <w:tcW w:w="1500" w:type="dxa"/>
            <w:tcBorders/>
            <w:shd w:fill="auto" w:val="clear"/>
          </w:tcPr>
          <w:p>
            <w:pPr>
              <w:pStyle w:val="Normal"/>
              <w:rPr/>
            </w:pPr>
            <w:r>
              <w:rPr/>
              <w:t>1.39</w:t>
            </w:r>
          </w:p>
        </w:tc>
        <w:tc>
          <w:tcPr>
            <w:tcW w:w="1542" w:type="dxa"/>
            <w:tcBorders/>
            <w:shd w:fill="auto" w:val="clear"/>
          </w:tcPr>
          <w:p>
            <w:pPr>
              <w:pStyle w:val="Normal"/>
              <w:rPr/>
            </w:pPr>
            <w:r>
              <w:rPr/>
              <w:t>0.23</w:t>
            </w:r>
          </w:p>
        </w:tc>
        <w:tc>
          <w:tcPr>
            <w:tcW w:w="1574" w:type="dxa"/>
            <w:tcBorders/>
            <w:shd w:fill="auto" w:val="clear"/>
          </w:tcPr>
          <w:p>
            <w:pPr>
              <w:pStyle w:val="Normal"/>
              <w:rPr/>
            </w:pPr>
            <w:r>
              <w:rPr/>
              <w:t>0.39</w:t>
            </w:r>
          </w:p>
        </w:tc>
        <w:tc>
          <w:tcPr>
            <w:tcW w:w="1449" w:type="dxa"/>
            <w:tcBorders/>
            <w:shd w:fill="auto" w:val="clear"/>
          </w:tcPr>
          <w:p>
            <w:pPr>
              <w:pStyle w:val="Normal"/>
              <w:rPr/>
            </w:pPr>
            <w:r>
              <w:rPr/>
              <w:t>3.51</w:t>
            </w:r>
          </w:p>
        </w:tc>
        <w:tc>
          <w:tcPr>
            <w:tcW w:w="1328" w:type="dxa"/>
            <w:tcBorders/>
            <w:shd w:fill="auto" w:val="clear"/>
          </w:tcPr>
          <w:p>
            <w:pPr>
              <w:pStyle w:val="Normal"/>
              <w:rPr/>
            </w:pPr>
            <w:r>
              <w:rPr/>
              <w:t>9.47</w:t>
            </w:r>
          </w:p>
        </w:tc>
      </w:tr>
      <w:tr>
        <w:trPr>
          <w:trHeight w:val="70" w:hRule="atLeast"/>
          <w:cantSplit w:val="true"/>
        </w:trPr>
        <w:tc>
          <w:tcPr>
            <w:tcW w:w="851" w:type="dxa"/>
            <w:vMerge w:val="continue"/>
            <w:tcBorders/>
            <w:shd w:fill="auto" w:val="clear"/>
          </w:tcPr>
          <w:p>
            <w:pPr>
              <w:pStyle w:val="Normal"/>
              <w:snapToGrid w:val="false"/>
              <w:rPr/>
            </w:pPr>
            <w:r>
              <w:rPr/>
            </w:r>
          </w:p>
        </w:tc>
        <w:tc>
          <w:tcPr>
            <w:tcW w:w="1078" w:type="dxa"/>
            <w:tcBorders/>
            <w:shd w:fill="auto" w:val="clear"/>
          </w:tcPr>
          <w:p>
            <w:pPr>
              <w:pStyle w:val="Normal"/>
              <w:rPr/>
            </w:pPr>
            <w:r>
              <w:rPr/>
              <w:t>Ratio</w:t>
            </w:r>
          </w:p>
        </w:tc>
        <w:tc>
          <w:tcPr>
            <w:tcW w:w="1440" w:type="dxa"/>
            <w:tcBorders/>
            <w:shd w:fill="auto" w:val="clear"/>
          </w:tcPr>
          <w:p>
            <w:pPr>
              <w:pStyle w:val="Normal"/>
              <w:rPr/>
            </w:pPr>
            <w:r>
              <w:rPr/>
              <w:t>1.05</w:t>
            </w:r>
          </w:p>
        </w:tc>
        <w:tc>
          <w:tcPr>
            <w:tcW w:w="1464" w:type="dxa"/>
            <w:tcBorders/>
            <w:shd w:fill="auto" w:val="clear"/>
          </w:tcPr>
          <w:p>
            <w:pPr>
              <w:pStyle w:val="Normal"/>
              <w:rPr/>
            </w:pPr>
            <w:r>
              <w:rPr/>
              <w:t>1.02</w:t>
            </w:r>
          </w:p>
        </w:tc>
        <w:tc>
          <w:tcPr>
            <w:tcW w:w="1551" w:type="dxa"/>
            <w:tcBorders/>
            <w:shd w:fill="auto" w:val="clear"/>
          </w:tcPr>
          <w:p>
            <w:pPr>
              <w:pStyle w:val="Normal"/>
              <w:rPr/>
            </w:pPr>
            <w:r>
              <w:rPr/>
              <w:t>1.01</w:t>
            </w:r>
          </w:p>
        </w:tc>
        <w:tc>
          <w:tcPr>
            <w:tcW w:w="1500" w:type="dxa"/>
            <w:tcBorders/>
            <w:shd w:fill="auto" w:val="clear"/>
          </w:tcPr>
          <w:p>
            <w:pPr>
              <w:pStyle w:val="Normal"/>
              <w:rPr/>
            </w:pPr>
            <w:r>
              <w:rPr/>
              <w:t>1.06</w:t>
            </w:r>
          </w:p>
        </w:tc>
        <w:tc>
          <w:tcPr>
            <w:tcW w:w="1542" w:type="dxa"/>
            <w:tcBorders/>
            <w:shd w:fill="auto" w:val="clear"/>
          </w:tcPr>
          <w:p>
            <w:pPr>
              <w:pStyle w:val="Normal"/>
              <w:rPr/>
            </w:pPr>
            <w:r>
              <w:rPr/>
              <w:t>1.35</w:t>
            </w:r>
          </w:p>
        </w:tc>
        <w:tc>
          <w:tcPr>
            <w:tcW w:w="1574" w:type="dxa"/>
            <w:tcBorders/>
            <w:shd w:fill="auto" w:val="clear"/>
          </w:tcPr>
          <w:p>
            <w:pPr>
              <w:pStyle w:val="Normal"/>
              <w:rPr/>
            </w:pPr>
            <w:r>
              <w:rPr/>
              <w:t>1.46</w:t>
            </w:r>
          </w:p>
        </w:tc>
        <w:tc>
          <w:tcPr>
            <w:tcW w:w="1449" w:type="dxa"/>
            <w:tcBorders/>
            <w:shd w:fill="auto" w:val="clear"/>
          </w:tcPr>
          <w:p>
            <w:pPr>
              <w:pStyle w:val="Normal"/>
              <w:rPr/>
            </w:pPr>
            <w:r>
              <w:rPr/>
              <w:t>1.11</w:t>
            </w:r>
          </w:p>
        </w:tc>
        <w:tc>
          <w:tcPr>
            <w:tcW w:w="1328" w:type="dxa"/>
            <w:tcBorders/>
            <w:shd w:fill="auto" w:val="clear"/>
          </w:tcPr>
          <w:p>
            <w:pPr>
              <w:pStyle w:val="Normal"/>
              <w:rPr/>
            </w:pPr>
            <w:r>
              <w:rPr/>
              <w:t>1.09</w:t>
            </w:r>
          </w:p>
        </w:tc>
      </w:tr>
    </w:tbl>
    <w:p>
      <w:pPr>
        <w:pStyle w:val="Normal"/>
        <w:rPr/>
      </w:pPr>
      <w:r>
        <w:rPr/>
      </w:r>
    </w:p>
    <w:p>
      <w:pPr>
        <w:pStyle w:val="Normal"/>
        <w:rPr/>
      </w:pPr>
      <w:r>
        <w:rPr/>
      </w:r>
    </w:p>
    <w:p>
      <w:pPr>
        <w:pStyle w:val="Normal"/>
        <w:spacing w:lineRule="auto" w:line="480"/>
        <w:rPr/>
      </w:pPr>
      <w:r>
        <w:rPr/>
      </w:r>
    </w:p>
    <w:sectPr>
      <w:headerReference w:type="default" r:id="rId8"/>
      <w:footerReference w:type="default" r:id="rId9"/>
      <w:type w:val="nextPage"/>
      <w:pgSz w:orient="landscape" w:w="15840" w:h="1224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Calibri">
    <w:charset w:val="00"/>
    <w:family w:val="auto"/>
    <w:pitch w:val="variable"/>
  </w:font>
  <w:font w:name="Tahom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18</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abstractNum>
  <w:abstractNum w:abstractNumId="2">
    <w:lvl w:ilvl="0">
      <w:start w:val="1"/>
      <w:numFmt w:val="decimal"/>
      <w:lvlText w:val="%1."/>
      <w:lvlJc w:val="left"/>
      <w:pPr>
        <w:ind w:left="720" w:hanging="3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b w:val="false"/>
      <w:bCs w:val="false"/>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InternetLink">
    <w:name w:val="Internet Link"/>
    <w:rPr>
      <w:color w:val="0000FF"/>
      <w:u w:val="single"/>
    </w:rPr>
  </w:style>
  <w:style w:type="character" w:styleId="PlainTextChar">
    <w:name w:val="Plain Text Char"/>
    <w:qFormat/>
    <w:rPr>
      <w:rFonts w:ascii="Calibri" w:hAnsi="Calibri" w:eastAsia="Times New Roman" w:cs="Calibri"/>
      <w:sz w:val="21"/>
      <w:szCs w:val="21"/>
    </w:rPr>
  </w:style>
  <w:style w:type="character" w:styleId="HeaderChar">
    <w:name w:val="Header Char"/>
    <w:qFormat/>
    <w:rPr>
      <w:rFonts w:ascii="Times New Roman" w:hAnsi="Times New Roman" w:cs="Times New Roman"/>
      <w:sz w:val="24"/>
      <w:szCs w:val="24"/>
      <w:lang w:val="en-US"/>
    </w:rPr>
  </w:style>
  <w:style w:type="character" w:styleId="FooterChar">
    <w:name w:val="Footer Char"/>
    <w:qFormat/>
    <w:rPr>
      <w:rFonts w:ascii="Times New Roman" w:hAnsi="Times New Roman" w:cs="Times New Roman"/>
      <w:sz w:val="24"/>
      <w:szCs w:val="24"/>
      <w:lang w:val="en-US"/>
    </w:rPr>
  </w:style>
  <w:style w:type="character" w:styleId="BalloonTextChar">
    <w:name w:val="Balloon Text Char"/>
    <w:qFormat/>
    <w:rPr>
      <w:rFonts w:ascii="Tahoma" w:hAnsi="Tahoma" w:cs="Tahoma"/>
      <w:sz w:val="16"/>
      <w:szCs w:val="16"/>
      <w:lang w:val="en-US"/>
    </w:rPr>
  </w:style>
  <w:style w:type="character" w:styleId="CommentReference">
    <w:name w:val="Comment Reference"/>
    <w:qFormat/>
    <w:rPr>
      <w:sz w:val="18"/>
      <w:szCs w:val="18"/>
    </w:rPr>
  </w:style>
  <w:style w:type="character" w:styleId="CommentTextChar">
    <w:name w:val="Comment Text Char"/>
    <w:qFormat/>
    <w:rPr>
      <w:rFonts w:ascii="Times New Roman" w:hAnsi="Times New Roman" w:cs="Times New Roman"/>
      <w:sz w:val="24"/>
      <w:szCs w:val="24"/>
      <w:lang w:val="en-US"/>
    </w:rPr>
  </w:style>
  <w:style w:type="character" w:styleId="CommentSubjectChar">
    <w:name w:val="Comment Subject Char"/>
    <w:qFormat/>
    <w:rPr>
      <w:rFonts w:ascii="Times New Roman" w:hAnsi="Times New Roman" w:cs="Times New Roman"/>
      <w:b/>
      <w:bCs/>
      <w:sz w:val="20"/>
      <w:szCs w:val="20"/>
      <w:lang w:val="en-U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ListParagraph">
    <w:name w:val="List Paragraph"/>
    <w:basedOn w:val="Normal"/>
    <w:qFormat/>
    <w:pPr>
      <w:ind w:left="720" w:hanging="0"/>
    </w:pPr>
    <w:rPr/>
  </w:style>
  <w:style w:type="paragraph" w:styleId="PlainText">
    <w:name w:val="Plain Text"/>
    <w:basedOn w:val="Normal"/>
    <w:qFormat/>
    <w:pPr/>
    <w:rPr>
      <w:rFonts w:ascii="Calibri" w:hAnsi="Calibri" w:cs="Calibri"/>
      <w:sz w:val="21"/>
      <w:szCs w:val="21"/>
      <w:lang w:val="en-CA"/>
    </w:rPr>
  </w:style>
  <w:style w:type="paragraph" w:styleId="Header">
    <w:name w:val="Header"/>
    <w:basedOn w:val="Normal"/>
    <w:pPr/>
    <w:rPr>
      <w:rFonts w:eastAsia="Calibri"/>
    </w:rPr>
  </w:style>
  <w:style w:type="paragraph" w:styleId="Footer">
    <w:name w:val="Footer"/>
    <w:basedOn w:val="Normal"/>
    <w:pPr/>
    <w:rPr>
      <w:rFonts w:eastAsia="Calibri"/>
    </w:rPr>
  </w:style>
  <w:style w:type="paragraph" w:styleId="BalloonText">
    <w:name w:val="Balloon Text"/>
    <w:basedOn w:val="Normal"/>
    <w:qFormat/>
    <w:pPr/>
    <w:rPr>
      <w:rFonts w:ascii="Tahoma" w:hAnsi="Tahoma" w:eastAsia="Calibri" w:cs="Tahoma"/>
      <w:sz w:val="16"/>
      <w:szCs w:val="16"/>
    </w:rPr>
  </w:style>
  <w:style w:type="paragraph" w:styleId="CommentText">
    <w:name w:val="Comment Text"/>
    <w:basedOn w:val="Normal"/>
    <w:qFormat/>
    <w:pPr/>
    <w:rPr>
      <w:rFonts w:eastAsia="Calibri"/>
    </w:rPr>
  </w:style>
  <w:style w:type="paragraph" w:styleId="CommentSubject">
    <w:name w:val="Comment Subject"/>
    <w:basedOn w:val="CommentText"/>
    <w:next w:val="CommentText"/>
    <w:qFormat/>
    <w:pPr/>
    <w:rPr>
      <w:rFonts w:eastAsia="Calibri"/>
      <w:b/>
      <w:b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glark@smh.ca" TargetMode="External"/><Relationship Id="rId3" Type="http://schemas.openxmlformats.org/officeDocument/2006/relationships/hyperlink" Target="mailto:alexander.kopp@ices.on.ca" TargetMode="External"/><Relationship Id="rId4" Type="http://schemas.openxmlformats.org/officeDocument/2006/relationships/hyperlink" Target="mailto:glazier@smh.ca" TargetMode="External"/><Relationship Id="rId5" Type="http://schemas.openxmlformats.org/officeDocument/2006/relationships/hyperlink" Target="mailto:iglark@smh.ca"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2013-01-13T13:17:00Z</dcterms:created>
  <dc:creator>Karl Iglar</dc:creator>
  <dc:language>en-CA</dc:language>
  <cp:lastModifiedBy>Morgan Slater</cp:lastModifiedBy>
  <cp:lastPrinted>2012-08-15T20:21:00Z</cp:lastPrinted>
  <dcterms:modified xsi:type="dcterms:W3CDTF">2013-01-13T13:19:00Z</dcterms:modified>
  <cp:revision>5</cp:revision>
  <dc:title>Herpes zoster as a marker of an underlying malignancy</dc:title>
</cp:coreProperties>
</file>