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spacing w:lineRule="auto" w:line="240" w:before="0" w:after="0"/>
        <w:rPr/>
      </w:pPr>
      <w:r>
        <w:rPr>
          <w:rFonts w:cs="Arial" w:ascii="Arial" w:hAnsi="Arial"/>
          <w:b/>
        </w:rPr>
        <w:t xml:space="preserve">Inclusion of persons with mental illness in patient-centered medical homes:  Cross-sectional findings from Ontario, Canada                                                                                 </w:t>
      </w:r>
    </w:p>
    <w:p>
      <w:pPr>
        <w:pStyle w:val="Normal"/>
        <w:widowControl w:val="false"/>
        <w:autoSpaceDE w:val="false"/>
        <w:spacing w:lineRule="auto" w:line="240" w:before="0" w:after="0"/>
        <w:rPr>
          <w:rFonts w:ascii="Arial" w:hAnsi="Arial" w:cs="Arial"/>
          <w:b/>
          <w:b/>
        </w:rPr>
      </w:pPr>
      <w:r>
        <w:rPr>
          <w:rFonts w:cs="Arial" w:ascii="Arial" w:hAnsi="Arial"/>
          <w:b/>
        </w:rPr>
      </w:r>
    </w:p>
    <w:p>
      <w:pPr>
        <w:pStyle w:val="Normal"/>
        <w:widowControl w:val="false"/>
        <w:autoSpaceDE w:val="false"/>
        <w:spacing w:lineRule="auto" w:line="240" w:before="0" w:after="0"/>
        <w:rPr>
          <w:rFonts w:ascii="Arial" w:hAnsi="Arial" w:cs="Arial"/>
        </w:rPr>
      </w:pPr>
      <w:r>
        <w:rPr>
          <w:rFonts w:cs="Arial" w:ascii="Arial" w:hAnsi="Arial"/>
        </w:rPr>
        <w:t>Dr. Leah S. Steele is an Assistant Professor in the Department of Family and Community Medicine at the University of Toronto and a scientist in the Department of Family and Community Medicine and Keenan Research Institute of the Li Ka Shing Knowledge Institute at  St. Michael’s Hospital, Toronto, Ontario.  She is an Adjunct Scientist at the Institute for Clinical Evaluative Sciences, Toronto, Ontario. Email: lssteele@gmail.com</w:t>
      </w:r>
    </w:p>
    <w:p>
      <w:pPr>
        <w:pStyle w:val="Normal"/>
        <w:widowControl w:val="false"/>
        <w:autoSpaceDE w:val="false"/>
        <w:spacing w:lineRule="auto" w:line="240" w:before="0" w:after="0"/>
        <w:rPr>
          <w:rFonts w:ascii="Arial" w:hAnsi="Arial" w:cs="Arial"/>
        </w:rPr>
      </w:pPr>
      <w:r>
        <w:rPr>
          <w:rFonts w:cs="Arial" w:ascii="Arial" w:hAnsi="Arial"/>
        </w:rPr>
      </w:r>
    </w:p>
    <w:p>
      <w:pPr>
        <w:pStyle w:val="Normal"/>
        <w:widowControl w:val="false"/>
        <w:autoSpaceDE w:val="false"/>
        <w:spacing w:lineRule="auto" w:line="240" w:before="0" w:after="0"/>
        <w:rPr>
          <w:rFonts w:ascii="Arial" w:hAnsi="Arial" w:cs="Arial"/>
        </w:rPr>
      </w:pPr>
      <w:r>
        <w:rPr>
          <w:rFonts w:cs="Arial" w:ascii="Arial" w:hAnsi="Arial"/>
        </w:rPr>
        <w:t>Ms. Anna Durbin is a PhD candidate in the Institute of Health Policy, Management and Evaluation at the University of Toronto, Toronto, Ontario Email: anna.durbin@gmail.com</w:t>
      </w:r>
    </w:p>
    <w:p>
      <w:pPr>
        <w:pStyle w:val="Normal"/>
        <w:widowControl w:val="false"/>
        <w:autoSpaceDE w:val="false"/>
        <w:spacing w:lineRule="auto" w:line="240" w:before="0" w:after="0"/>
        <w:rPr>
          <w:rFonts w:ascii="Arial" w:hAnsi="Arial" w:cs="Arial"/>
        </w:rPr>
      </w:pPr>
      <w:r>
        <w:rPr>
          <w:rFonts w:cs="Arial" w:ascii="Arial" w:hAnsi="Arial"/>
        </w:rPr>
      </w:r>
    </w:p>
    <w:p>
      <w:pPr>
        <w:pStyle w:val="Normal"/>
        <w:widowControl w:val="false"/>
        <w:autoSpaceDE w:val="false"/>
        <w:spacing w:lineRule="auto" w:line="240" w:before="0" w:after="0"/>
        <w:rPr>
          <w:rFonts w:ascii="Arial" w:hAnsi="Arial" w:cs="Arial"/>
        </w:rPr>
      </w:pPr>
      <w:r>
        <w:rPr>
          <w:rFonts w:cs="Arial" w:ascii="Arial" w:hAnsi="Arial"/>
        </w:rPr>
        <w:t>Dr. Lyn M. Sibley is a post-doctoral fellow in the Health System Performance Research Network and the  Department of Health Policy, Management and Evaluation. Email: lyn.sibley@utoronto.ca</w:t>
      </w:r>
    </w:p>
    <w:p>
      <w:pPr>
        <w:pStyle w:val="Normal"/>
        <w:widowControl w:val="false"/>
        <w:autoSpaceDE w:val="false"/>
        <w:spacing w:lineRule="auto" w:line="240" w:before="0" w:after="0"/>
        <w:rPr>
          <w:rFonts w:ascii="Arial" w:hAnsi="Arial" w:cs="Arial"/>
        </w:rPr>
      </w:pPr>
      <w:r>
        <w:rPr>
          <w:rFonts w:cs="Arial" w:ascii="Arial" w:hAnsi="Arial"/>
        </w:rPr>
      </w:r>
    </w:p>
    <w:p>
      <w:pPr>
        <w:pStyle w:val="Normal"/>
        <w:widowControl w:val="false"/>
        <w:autoSpaceDE w:val="false"/>
        <w:spacing w:lineRule="auto" w:line="240" w:before="0" w:after="0"/>
        <w:rPr/>
      </w:pPr>
      <w:r>
        <w:rPr>
          <w:rFonts w:cs="Arial" w:ascii="Arial" w:hAnsi="Arial"/>
        </w:rPr>
        <w:t>Dr. Richard H. Glazier is a Scientist at the Institute for Clinical Evaluative Sciences, Toronto, Ontario and a Scientist at the Centre for Research on Inner City Health in the Keenan Research Centre of the Li Ka Shing Knowledge Institute at St. Michael’s Hospital in Toronto, Ontario. He is also a Professor in the Department of Family and Community Medicine at the University of Toronto and St. Michael’s Hospital.  . Email: rick.glazier@ices.on.ca</w:t>
      </w:r>
    </w:p>
    <w:p>
      <w:pPr>
        <w:pStyle w:val="Normal"/>
        <w:widowControl w:val="false"/>
        <w:autoSpaceDE w:val="false"/>
        <w:spacing w:lineRule="auto" w:line="240" w:before="0" w:after="0"/>
        <w:rPr>
          <w:rFonts w:ascii="Arial" w:hAnsi="Arial" w:cs="Arial"/>
        </w:rPr>
      </w:pPr>
      <w:r>
        <w:rPr>
          <w:rFonts w:cs="Arial" w:ascii="Arial" w:hAnsi="Arial"/>
        </w:rPr>
      </w:r>
    </w:p>
    <w:p>
      <w:pPr>
        <w:pStyle w:val="Normal"/>
        <w:widowControl w:val="false"/>
        <w:autoSpaceDE w:val="false"/>
        <w:spacing w:lineRule="auto" w:line="240" w:before="0" w:after="0"/>
        <w:rPr>
          <w:rFonts w:ascii="Arial" w:hAnsi="Arial" w:cs="Arial"/>
        </w:rPr>
      </w:pPr>
      <w:r>
        <w:rPr>
          <w:rFonts w:cs="Arial" w:ascii="Arial" w:hAnsi="Arial"/>
        </w:rPr>
      </w:r>
    </w:p>
    <w:p>
      <w:pPr>
        <w:pStyle w:val="Normal"/>
        <w:widowControl w:val="false"/>
        <w:autoSpaceDE w:val="false"/>
        <w:spacing w:lineRule="auto" w:line="240" w:before="0" w:after="0"/>
        <w:rPr>
          <w:rFonts w:ascii="Arial" w:hAnsi="Arial" w:cs="Arial"/>
          <w:b/>
          <w:b/>
        </w:rPr>
      </w:pPr>
      <w:r>
        <w:rPr>
          <w:rFonts w:cs="Arial" w:ascii="Arial" w:hAnsi="Arial"/>
          <w:b/>
        </w:rPr>
        <w:t xml:space="preserve">Corresponding author: </w:t>
      </w:r>
    </w:p>
    <w:p>
      <w:pPr>
        <w:pStyle w:val="Normal"/>
        <w:widowControl w:val="false"/>
        <w:autoSpaceDE w:val="false"/>
        <w:spacing w:lineRule="auto" w:line="240" w:before="0" w:after="0"/>
        <w:rPr>
          <w:rFonts w:ascii="Arial" w:hAnsi="Arial" w:cs="Arial"/>
        </w:rPr>
      </w:pPr>
      <w:r>
        <w:rPr>
          <w:rFonts w:cs="Arial" w:ascii="Arial" w:hAnsi="Arial"/>
        </w:rPr>
        <w:t>Dr. Leah Steele</w:t>
      </w:r>
    </w:p>
    <w:p>
      <w:pPr>
        <w:pStyle w:val="Normal"/>
        <w:widowControl w:val="false"/>
        <w:autoSpaceDE w:val="false"/>
        <w:spacing w:lineRule="auto" w:line="240" w:before="0" w:after="0"/>
        <w:rPr>
          <w:rFonts w:ascii="Arial" w:hAnsi="Arial" w:cs="Arial"/>
        </w:rPr>
      </w:pPr>
      <w:r>
        <w:rPr>
          <w:rFonts w:cs="Arial" w:ascii="Arial" w:hAnsi="Arial"/>
        </w:rPr>
        <w:t>Staff Physician, Methadone Works</w:t>
      </w:r>
    </w:p>
    <w:p>
      <w:pPr>
        <w:pStyle w:val="Normal"/>
        <w:widowControl w:val="false"/>
        <w:autoSpaceDE w:val="false"/>
        <w:spacing w:lineRule="auto" w:line="240" w:before="0" w:after="0"/>
        <w:rPr>
          <w:rFonts w:ascii="Arial" w:hAnsi="Arial" w:cs="Arial"/>
        </w:rPr>
      </w:pPr>
      <w:r>
        <w:rPr>
          <w:rFonts w:cs="Arial" w:ascii="Arial" w:hAnsi="Arial"/>
        </w:rPr>
        <w:t>277 Victoria St.</w:t>
      </w:r>
    </w:p>
    <w:p>
      <w:pPr>
        <w:pStyle w:val="Normal"/>
        <w:widowControl w:val="false"/>
        <w:autoSpaceDE w:val="false"/>
        <w:spacing w:lineRule="auto" w:line="240" w:before="0" w:after="0"/>
        <w:rPr>
          <w:rFonts w:ascii="Arial" w:hAnsi="Arial" w:cs="Arial"/>
        </w:rPr>
      </w:pPr>
      <w:r>
        <w:rPr>
          <w:rFonts w:cs="Arial" w:ascii="Arial" w:hAnsi="Arial"/>
        </w:rPr>
        <w:t>Toronto ON M5B 1W2</w:t>
      </w:r>
    </w:p>
    <w:p>
      <w:pPr>
        <w:pStyle w:val="Normal"/>
        <w:widowControl w:val="false"/>
        <w:autoSpaceDE w:val="false"/>
        <w:spacing w:lineRule="auto" w:line="240" w:before="0" w:after="0"/>
        <w:rPr>
          <w:rFonts w:ascii="Arial" w:hAnsi="Arial" w:cs="Arial"/>
        </w:rPr>
      </w:pPr>
      <w:r>
        <w:rPr>
          <w:rFonts w:cs="Arial" w:ascii="Arial" w:hAnsi="Arial"/>
        </w:rPr>
        <w:t>Tel: 416.362-0520</w:t>
      </w:r>
    </w:p>
    <w:p>
      <w:pPr>
        <w:pStyle w:val="Normal"/>
        <w:widowControl w:val="false"/>
        <w:autoSpaceDE w:val="false"/>
        <w:spacing w:lineRule="auto" w:line="240" w:before="0" w:after="0"/>
        <w:rPr>
          <w:rFonts w:ascii="Arial" w:hAnsi="Arial" w:cs="Arial"/>
        </w:rPr>
      </w:pPr>
      <w:r>
        <w:rPr>
          <w:rFonts w:cs="Arial" w:ascii="Arial" w:hAnsi="Arial"/>
        </w:rPr>
        <w:t>Fax: 416.362-0810</w:t>
      </w:r>
    </w:p>
    <w:p>
      <w:pPr>
        <w:pStyle w:val="Normal"/>
        <w:widowControl w:val="false"/>
        <w:autoSpaceDE w:val="false"/>
        <w:spacing w:lineRule="auto" w:line="240" w:before="0" w:after="0"/>
        <w:rPr>
          <w:rFonts w:ascii="Arial" w:hAnsi="Arial" w:cs="Arial"/>
        </w:rPr>
      </w:pPr>
      <w:r>
        <w:rPr>
          <w:rFonts w:cs="Arial" w:ascii="Arial" w:hAnsi="Arial"/>
        </w:rPr>
      </w:r>
    </w:p>
    <w:p>
      <w:pPr>
        <w:pStyle w:val="Normal"/>
        <w:widowControl w:val="false"/>
        <w:autoSpaceDE w:val="false"/>
        <w:spacing w:lineRule="auto" w:line="240" w:before="0" w:after="0"/>
        <w:rPr>
          <w:rFonts w:ascii="Arial" w:hAnsi="Arial" w:cs="Arial"/>
        </w:rPr>
      </w:pPr>
      <w:r>
        <w:rPr>
          <w:rFonts w:cs="Arial" w:ascii="Arial" w:hAnsi="Arial"/>
          <w:b/>
        </w:rPr>
        <w:t>Word count:</w:t>
      </w:r>
      <w:r>
        <w:rPr>
          <w:rFonts w:cs="Arial" w:ascii="Arial" w:hAnsi="Arial"/>
        </w:rPr>
        <w:t xml:space="preserve">  3985</w:t>
      </w:r>
    </w:p>
    <w:p>
      <w:pPr>
        <w:pStyle w:val="Normal"/>
        <w:widowControl w:val="false"/>
        <w:autoSpaceDE w:val="false"/>
        <w:spacing w:lineRule="auto" w:line="240" w:before="0" w:after="0"/>
        <w:rPr/>
      </w:pPr>
      <w:r>
        <w:rPr>
          <w:rFonts w:cs="Arial" w:ascii="Arial" w:hAnsi="Arial"/>
          <w:b/>
        </w:rPr>
        <w:t>Tables:</w:t>
      </w:r>
      <w:r>
        <w:rPr>
          <w:rFonts w:cs="Arial" w:ascii="Arial" w:hAnsi="Arial"/>
        </w:rPr>
        <w:t xml:space="preserve"> 5 </w:t>
      </w:r>
      <w:r>
        <w:rPr>
          <w:rFonts w:cs="Arial" w:ascii="Arial" w:hAnsi="Arial"/>
          <w:b/>
        </w:rPr>
        <w:t>Figures:</w:t>
      </w:r>
      <w:r>
        <w:rPr>
          <w:rFonts w:cs="Arial" w:ascii="Arial" w:hAnsi="Arial"/>
        </w:rPr>
        <w:t xml:space="preserve"> None </w:t>
      </w:r>
    </w:p>
    <w:p>
      <w:pPr>
        <w:pStyle w:val="Normal"/>
        <w:widowControl w:val="false"/>
        <w:autoSpaceDE w:val="false"/>
        <w:spacing w:lineRule="auto" w:line="240" w:before="0" w:after="0"/>
        <w:rPr>
          <w:rFonts w:ascii="Arial" w:hAnsi="Arial" w:cs="Arial"/>
        </w:rPr>
      </w:pPr>
      <w:r>
        <w:rPr>
          <w:rFonts w:cs="Arial" w:ascii="Arial" w:hAnsi="Arial"/>
        </w:rPr>
      </w:r>
    </w:p>
    <w:p>
      <w:pPr>
        <w:pStyle w:val="Normal"/>
        <w:widowControl w:val="false"/>
        <w:autoSpaceDE w:val="false"/>
        <w:spacing w:lineRule="auto" w:line="240" w:before="0" w:after="0"/>
        <w:rPr/>
      </w:pPr>
      <w:r>
        <w:rPr>
          <w:rFonts w:cs="Arial" w:ascii="Arial" w:hAnsi="Arial"/>
          <w:b/>
        </w:rPr>
        <w:t>Keywords:</w:t>
      </w:r>
      <w:r>
        <w:rPr>
          <w:rFonts w:cs="Arial" w:ascii="Arial" w:hAnsi="Arial"/>
        </w:rPr>
        <w:t xml:space="preserve"> mental illness, rostering, capitation, enhanced fee-for-service, Ontario, primary care, primary enrollment models. </w:t>
      </w:r>
    </w:p>
    <w:p>
      <w:pPr>
        <w:pStyle w:val="Normal"/>
        <w:widowControl w:val="false"/>
        <w:autoSpaceDE w:val="false"/>
        <w:spacing w:lineRule="auto" w:line="240" w:before="0" w:after="0"/>
        <w:rPr>
          <w:rFonts w:ascii="Arial" w:hAnsi="Arial" w:cs="Arial"/>
        </w:rPr>
      </w:pPr>
      <w:r>
        <w:rPr>
          <w:rFonts w:cs="Arial" w:ascii="Arial" w:hAnsi="Arial"/>
        </w:rPr>
      </w:r>
    </w:p>
    <w:p>
      <w:pPr>
        <w:pStyle w:val="Normal"/>
        <w:widowControl w:val="false"/>
        <w:autoSpaceDE w:val="false"/>
        <w:spacing w:lineRule="auto" w:line="240" w:before="0" w:after="0"/>
        <w:rPr>
          <w:rFonts w:ascii="Arial" w:hAnsi="Arial" w:cs="Arial"/>
        </w:rPr>
      </w:pPr>
      <w:r>
        <w:rPr>
          <w:rFonts w:cs="Arial" w:ascii="Arial" w:hAnsi="Arial"/>
        </w:rPr>
        <w:t>This study was supported by the Institute for Clinical Evaluative Sciences (ICES), which is funded by an annual grant from the Ontario Ministry of Health and Long-Term Care (MOHLTC). The opinions, results and conclusions reported in this paper are those of the authors and are independent from the funding sources. No endorsement by ICES or the Ontario MOHLTC is intended or should be inferred.</w:t>
      </w:r>
      <w:r>
        <w:br w:type="page"/>
      </w:r>
    </w:p>
    <w:p>
      <w:pPr>
        <w:pStyle w:val="Normal"/>
        <w:widowControl w:val="false"/>
        <w:autoSpaceDE w:val="false"/>
        <w:spacing w:lineRule="auto" w:line="480" w:before="0" w:after="0"/>
        <w:rPr>
          <w:rFonts w:ascii="Arial" w:hAnsi="Arial" w:cs="Arial"/>
        </w:rPr>
      </w:pPr>
      <w:r>
        <w:rPr>
          <w:rFonts w:cs="Arial" w:ascii="Arial" w:hAnsi="Arial"/>
          <w:b/>
        </w:rPr>
        <w:t xml:space="preserve">Abstract </w:t>
      </w:r>
    </w:p>
    <w:p>
      <w:pPr>
        <w:pStyle w:val="Normal"/>
        <w:widowControl w:val="false"/>
        <w:autoSpaceDE w:val="false"/>
        <w:spacing w:lineRule="auto" w:line="480" w:before="0" w:after="0"/>
        <w:rPr/>
      </w:pPr>
      <w:r>
        <w:rPr>
          <w:rFonts w:cs="Arial" w:ascii="Arial" w:hAnsi="Arial"/>
          <w:b/>
        </w:rPr>
        <w:t>Background</w:t>
      </w:r>
      <w:r>
        <w:rPr>
          <w:rFonts w:cs="Arial" w:ascii="Arial" w:hAnsi="Arial"/>
        </w:rPr>
        <w:t xml:space="preserve">: In Ontario, Canada, the patient-centered medical home is a model of primary care delivery that includes three model types:  enhanced fee-for-service, blended capitation and team-based blended capitation.  All three models roster patients and have similar practice requirements but differ in physician reimbursement.  The blended capitation models are age-sex but not case-mix adjusted.  We evaluated the extent to which persons with mental illness were included in physicians’ total practices (rostered and non-rostered patients) and included on physicians’ rosters across types of medical homes in Ontario. </w:t>
      </w:r>
    </w:p>
    <w:p>
      <w:pPr>
        <w:pStyle w:val="Normal"/>
        <w:widowControl w:val="false"/>
        <w:autoSpaceDE w:val="false"/>
        <w:spacing w:lineRule="auto" w:line="480" w:before="0" w:after="0"/>
        <w:rPr/>
      </w:pPr>
      <w:r>
        <w:rPr>
          <w:rFonts w:cs="Arial" w:ascii="Arial" w:hAnsi="Arial"/>
          <w:b/>
        </w:rPr>
        <w:t>Methods</w:t>
      </w:r>
      <w:r>
        <w:rPr>
          <w:rFonts w:cs="Arial" w:ascii="Arial" w:hAnsi="Arial"/>
        </w:rPr>
        <w:t xml:space="preserve">: Using population-based administrative data, we examined patients with psychotic-bipolar diagnoses, other mental health diagnoses, and no mental health diagnoses. We modeled the prevalence of mental health diagnoses and the proportion of patients with mental health diagnoses rostered across medical home model types controlling for demographics and case mix. </w:t>
      </w:r>
    </w:p>
    <w:p>
      <w:pPr>
        <w:pStyle w:val="Normal"/>
        <w:widowControl w:val="false"/>
        <w:autoSpaceDE w:val="false"/>
        <w:spacing w:lineRule="auto" w:line="480" w:before="0" w:after="0"/>
        <w:rPr/>
      </w:pPr>
      <w:r>
        <w:rPr>
          <w:rFonts w:cs="Arial" w:ascii="Arial" w:hAnsi="Arial"/>
          <w:b/>
        </w:rPr>
        <w:t>Results</w:t>
      </w:r>
      <w:r>
        <w:rPr>
          <w:rFonts w:cs="Arial" w:ascii="Arial" w:hAnsi="Arial"/>
        </w:rPr>
        <w:t xml:space="preserve">:  Compared to enhanced fee-for-service, and in relation to patients without mental illness, proportions of patients with psychosis-bipolar disorders were not different in blended capitation and team-based blended capitation practices (RR=0.91, 95% CI:0.82-1.01; RR=1.06, 95% CI:0.96-1.17, respectively) but, there were fewer patients with other mental illness (RR=0.94, 95% CI:0.90-0.99; RR=0.89, 95% CI:0.85-0.94, respectively).  Compared with expected proportions, both capitation models were significantly less likely than enhanced fee-for-service to roster psychotic-bipolar patients (blended capitation: RR=0.92, 95% CI: 0.90-0.93; team based capitation: RR=0.92, 95% CI:0.88-0.93) and also patients with other mental illness (blended capitation: RR=0.94, 95% CI:0.92-0.95; team based capitation: RR=0.93, 95% CI:0.92-0.94). </w:t>
      </w:r>
    </w:p>
    <w:p>
      <w:pPr>
        <w:pStyle w:val="Normal"/>
        <w:widowControl w:val="false"/>
        <w:autoSpaceDE w:val="false"/>
        <w:spacing w:lineRule="auto" w:line="480" w:before="0" w:after="0"/>
        <w:rPr/>
      </w:pPr>
      <w:r>
        <w:rPr>
          <w:rFonts w:cs="Arial" w:ascii="Arial" w:hAnsi="Arial"/>
          <w:b/>
        </w:rPr>
        <w:t>Interpretation:</w:t>
      </w:r>
      <w:r>
        <w:rPr>
          <w:rFonts w:cs="Arial" w:ascii="Arial" w:hAnsi="Arial"/>
        </w:rPr>
        <w:t xml:space="preserve"> Persons with mental illness are under-represented in the rosters of Ontario’s capitation based medical homes. Findings suggest a need to direct attention to the incentive structure for including patients with mental illness. </w:t>
      </w:r>
    </w:p>
    <w:p>
      <w:pPr>
        <w:pStyle w:val="Normal"/>
        <w:widowControl w:val="false"/>
        <w:autoSpaceDE w:val="false"/>
        <w:spacing w:lineRule="auto" w:line="480" w:before="0" w:after="0"/>
        <w:rPr>
          <w:rFonts w:ascii="Arial" w:hAnsi="Arial" w:cs="Arial"/>
        </w:rPr>
      </w:pPr>
      <w:r>
        <w:rPr>
          <w:rFonts w:eastAsia="Arial" w:cs="Arial" w:ascii="Arial" w:hAnsi="Arial"/>
        </w:rPr>
        <w:t xml:space="preserve"> </w:t>
      </w:r>
      <w:r>
        <w:rPr>
          <w:rFonts w:cs="Arial" w:ascii="Arial" w:hAnsi="Arial"/>
        </w:rPr>
        <w:t>Word count: 268 (maximum 300)</w:t>
      </w:r>
      <w:r>
        <w:br w:type="page"/>
      </w:r>
    </w:p>
    <w:p>
      <w:pPr>
        <w:pStyle w:val="Normal"/>
        <w:widowControl w:val="false"/>
        <w:autoSpaceDE w:val="false"/>
        <w:spacing w:lineRule="auto" w:line="480" w:before="0" w:after="0"/>
        <w:rPr>
          <w:rFonts w:ascii="Arial" w:hAnsi="Arial" w:cs="Arial"/>
          <w:b/>
          <w:b/>
        </w:rPr>
      </w:pPr>
      <w:r>
        <w:rPr>
          <w:rFonts w:cs="Arial" w:ascii="Arial" w:hAnsi="Arial"/>
          <w:b/>
        </w:rPr>
        <w:t>INTRODUCTION</w:t>
      </w:r>
    </w:p>
    <w:p>
      <w:pPr>
        <w:pStyle w:val="Normal"/>
        <w:widowControl w:val="false"/>
        <w:autoSpaceDE w:val="false"/>
        <w:spacing w:lineRule="auto" w:line="480" w:before="0" w:after="0"/>
        <w:rPr>
          <w:rFonts w:ascii="Arial" w:hAnsi="Arial" w:cs="Arial"/>
        </w:rPr>
      </w:pPr>
      <w:r>
        <w:rPr>
          <w:rFonts w:cs="Arial" w:ascii="Arial" w:hAnsi="Arial"/>
        </w:rPr>
        <w:t>Background</w:t>
      </w:r>
    </w:p>
    <w:p>
      <w:pPr>
        <w:pStyle w:val="Normal"/>
        <w:widowControl w:val="false"/>
        <w:autoSpaceDE w:val="false"/>
        <w:spacing w:lineRule="auto" w:line="480" w:before="0" w:after="0"/>
        <w:ind w:firstLine="720"/>
        <w:rPr/>
      </w:pPr>
      <w:r>
        <w:rPr>
          <w:rFonts w:cs="Arial" w:ascii="Arial" w:hAnsi="Arial"/>
        </w:rPr>
        <w:t xml:space="preserve">The concept of the “patient-centered medical home” has been promoted by primary care organizations as a model for health service delivery that has the potential to improve the accessibility, affordability and quality of health care. </w:t>
      </w:r>
      <w:r>
        <w:fldChar w:fldCharType="begin"/>
      </w:r>
      <w:r>
        <w:instrText> ADDIN REFMGR.CITE &lt;Refman&gt;&lt;Cite&gt;&lt;Author&gt;Rosenthal&lt;/Author&gt;&lt;Year&gt;2008&lt;/Year&gt;&lt;RecNum&gt;1501&lt;/RecNum&gt;&lt;IDText&gt;The medical home: growing evidence to support a new approach to primary care&lt;/IDText&gt;&lt;MDL Ref_Type="Journal"&gt;&lt;Ref_Type&gt;Journal&lt;/Ref_Type&gt;&lt;Ref_ID&gt;1501&lt;/Ref_ID&gt;&lt;Title_Primary&gt;The medical home: growing evidence to support a new approach to primary care&lt;/Title_Primary&gt;&lt;Authors_Primary&gt;Rosenthal,T.C.&lt;/Authors_Primary&gt;&lt;Date_Primary&gt;2008&lt;/Date_Primary&gt;&lt;Keywords&gt;abilities&lt;/Keywords&gt;&lt;Keywords&gt;Case Management&lt;/Keywords&gt;&lt;Keywords&gt;deliveries&lt;/Keywords&gt;&lt;Keywords&gt;delivery&lt;/Keywords&gt;&lt;Keywords&gt;evaluation&lt;/Keywords&gt;&lt;Keywords&gt;experience&lt;/Keywords&gt;&lt;Keywords&gt;Family&lt;/Keywords&gt;&lt;Keywords&gt;Family Practice&lt;/Keywords&gt;&lt;Keywords&gt;organization &amp;amp; administration&lt;/Keywords&gt;&lt;Keywords&gt;fee for service&lt;/Keywords&gt;&lt;Keywords&gt;fee-for-service&lt;/Keywords&gt;&lt;Keywords&gt;Focus Groups&lt;/Keywords&gt;&lt;Keywords&gt;health&lt;/Keywords&gt;&lt;Keywords&gt;health care&lt;/Keywords&gt;&lt;Keywords&gt;Health Planning Support&lt;/Keywords&gt;&lt;Keywords&gt;organization &amp;amp; administration&lt;/Keywords&gt;&lt;Keywords&gt;Health Services Research&lt;/Keywords&gt;&lt;Keywords&gt;organization &amp;amp; administration&lt;/Keywords&gt;&lt;Keywords&gt;Humans&lt;/Keywords&gt;&lt;Keywords&gt;incentives&lt;/Keywords&gt;&lt;Keywords&gt;literature&lt;/Keywords&gt;&lt;Keywords&gt;medicine&lt;/Keywords&gt;&lt;Keywords&gt;method&lt;/Keywords&gt;&lt;Keywords&gt;methods&lt;/Keywords&gt;&lt;Keywords&gt;organization&lt;/Keywords&gt;&lt;Keywords&gt;organizations&lt;/Keywords&gt;&lt;Keywords&gt;outcome&lt;/Keywords&gt;&lt;Keywords&gt;outcomes&lt;/Keywords&gt;&lt;Keywords&gt;patient&lt;/Keywords&gt;&lt;Keywords&gt;patients&lt;/Keywords&gt;&lt;Keywords&gt;physician&lt;/Keywords&gt;&lt;Keywords&gt;primary care&lt;/Keywords&gt;&lt;Keywords&gt;Primary Health Care&lt;/Keywords&gt;&lt;Keywords&gt;Primary Health Care&lt;/Keywords&gt;&lt;Keywords&gt;organization &amp;amp; administration&lt;/Keywords&gt;&lt;Keywords&gt;professional&lt;/Keywords&gt;&lt;Keywords&gt;quality&lt;/Keywords&gt;&lt;Keywords&gt;Quality Assurance,Health Care&lt;/Keywords&gt;&lt;Keywords&gt;relationship&lt;/Keywords&gt;&lt;Keywords&gt;report&lt;/Keywords&gt;&lt;Keywords&gt;standard&lt;/Keywords&gt;&lt;Keywords&gt;standards&lt;/Keywords&gt;&lt;Keywords&gt;United States&lt;/Keywords&gt;&lt;Keywords&gt;Universities&lt;/Keywords&gt;&lt;Keywords&gt;USA&lt;/Keywords&gt;&lt;Reprint&gt;Not in File&lt;/Reprint&gt;&lt;Start_Page&gt;427&lt;/Start_Page&gt;&lt;End_Page&gt;440&lt;/End_Page&gt;&lt;Periodical&gt;J.Am.Board Fam.Med.&lt;/Periodical&gt;&lt;Volume&gt;21&lt;/Volume&gt;&lt;Issue&gt;5&lt;/Issue&gt;&lt;Address&gt;Department of Family Medicine, University of Buffalo, 462 Grider Street, Buffalo, NY 14215, USA. trosenth@acsu.buffalo.edu&lt;/Address&gt;&lt;ZZ_JournalFull&gt;&lt;f name="System"&gt;Journal of the American Board of Family Medicine : JABFM&lt;/f&gt;&lt;/ZZ_JournalFull&gt;&lt;ZZ_JournalStdAbbrev&gt;&lt;f name="System"&gt;J.Am.Board Fam.Med.&lt;/f&gt;&lt;/ZZ_JournalStdAbbrev&gt;&lt;ZZ_WorkformID&gt;1&lt;/ZZ_WorkformID&gt;&lt;/MDL&gt;&lt;/Cite&gt;&lt;Cite&gt;&lt;Author&gt;Glazier&lt;/Author&gt;&lt;Year&gt;2010&lt;/Year&gt;&lt;RecNum&gt;158&lt;/RecNum&gt;&lt;IDText&gt;Building the patient-centered medical home in Ontario&lt;/IDText&gt;&lt;MDL Ref_Type="Journal"&gt;&lt;Ref_Type&gt;Journal&lt;/Ref_Type&gt;&lt;Ref_ID&gt;158&lt;/Ref_ID&gt;&lt;Title_Primary&gt;Building the patient-centered medical home in Ontario&lt;/Title_Primary&gt;&lt;Authors_Primary&gt;Glazier,R.H.&lt;/Authors_Primary&gt;&lt;Authors_Primary&gt;Redelmeier,D.A.&lt;/Authors_Primary&gt;&lt;Date_Primary&gt;2010&lt;/Date_Primary&gt;&lt;Keywords&gt;Capitation Fee&lt;/Keywords&gt;&lt;Keywords&gt;Disease Management&lt;/Keywords&gt;&lt;Keywords&gt;Emergency Service,Hospital&lt;/Keywords&gt;&lt;Keywords&gt;utilization&lt;/Keywords&gt;&lt;Keywords&gt;Fee-for-Service Plans&lt;/Keywords&gt;&lt;Keywords&gt;Health Care Reform&lt;/Keywords&gt;&lt;Keywords&gt;Healthcare Disparities&lt;/Keywords&gt;&lt;Keywords&gt;Humans&lt;/Keywords&gt;&lt;Keywords&gt;Ontario&lt;/Keywords&gt;&lt;Keywords&gt;Outcome Assessment (Health Care)&lt;/Keywords&gt;&lt;Keywords&gt;Patient-Centered Care&lt;/Keywords&gt;&lt;Keywords&gt;economics&lt;/Keywords&gt;&lt;Keywords&gt;statistics &amp;amp; numerical data&lt;/Keywords&gt;&lt;Keywords&gt;Primary Health Care&lt;/Keywords&gt;&lt;Keywords&gt;economics&lt;/Keywords&gt;&lt;Keywords&gt;statistics &amp;amp; numerical data&lt;/Keywords&gt;&lt;Reprint&gt;Not in File&lt;/Reprint&gt;&lt;Start_Page&gt;2186&lt;/Start_Page&gt;&lt;End_Page&gt;2187&lt;/End_Page&gt;&lt;Periodical&gt;JAMA&lt;/Periodical&gt;&lt;Volume&gt;303&lt;/Volume&gt;&lt;Issue&gt;21&lt;/Issue&gt;&lt;Address&gt;Institute for Clinical Evaluative Sciences, Centre for Research on Inner City Health, St. Michael&amp;apos;s Hospital, and Department of Family and Community Medicine, University of Toronto, Toronto, Canada. rick.glazier@ices.on.ca&lt;/Address&gt;&lt;ZZ_JournalFull&gt;&lt;f name="System"&gt;JAMA : the journal of the American Medical Association&lt;/f&gt;&lt;/ZZ_JournalFull&gt;&lt;ZZ_JournalStdAbbrev&gt;&lt;f name="System"&gt;JAMA&lt;/f&gt;&lt;/ZZ_JournalStdAbbrev&gt;&lt;ZZ_WorkformID&gt;1&lt;/ZZ_WorkformID&gt;&lt;/MDL&gt;&lt;/Cite&gt;&lt;/Refman&gt;</w:instrText>
      </w:r>
      <w:r>
        <w:fldChar w:fldCharType="separate"/>
      </w:r>
      <w:bookmarkStart w:id="0" w:name="__Fieldmark__1025_1322453857"/>
      <w:r>
        <w:rPr>
          <w:rFonts w:cs="Arial" w:ascii="Arial" w:hAnsi="Arial"/>
        </w:rPr>
        <w:t>[1,2</w:t>
      </w:r>
      <w:r>
        <w:rPr>
          <w:rFonts w:cs="Arial" w:ascii="Arial" w:hAnsi="Arial"/>
        </w:rPr>
      </w:r>
      <w:r>
        <w:fldChar w:fldCharType="end"/>
      </w:r>
      <w:bookmarkEnd w:id="0"/>
      <w:r>
        <w:rPr>
          <w:rFonts w:cs="Arial" w:ascii="Arial" w:hAnsi="Arial"/>
        </w:rPr>
        <w:t>]  A “medical home” for patients includes a physician-led multidisciplinary clinic that provides comprehensive primary care, expanded hours, integrated evidence-based quality measurement and modern health information technology.  In Ontario, Canada, several types of medical homes have been developed since 2002. [</w:t>
      </w:r>
      <w:r>
        <w:fldChar w:fldCharType="begin"/>
      </w:r>
      <w:r>
        <w:instrText> ADDIN REFMGR.CITE &lt;Refman&gt;&lt;Cite&gt;&lt;Author&gt;Ministry of Health and Long-Term Care&lt;/Author&gt;&lt;Year&gt;2003&lt;/Year&gt;&lt;RecNum&gt;1915&lt;/RecNum&gt;&lt;IDText&gt;Public Information.  Primary Care Reform in Ontario&lt;/IDText&gt;&lt;MDL Ref_Type="Electronic Citation"&gt;&lt;Ref_Type&gt;Electronic Citation&lt;/Ref_Type&gt;&lt;Ref_ID&gt;1915&lt;/Ref_ID&gt;&lt;Title_Primary&gt;Public Information.  Primary Care Reform in Ontario&lt;/Title_Primary&gt;&lt;Authors_Primary&gt;Ministry of Health and Long-Term Care&lt;/Authors_Primary&gt;&lt;Date_Primary&gt;2003&lt;/Date_Primary&gt;&lt;Keywords&gt;primary care&lt;/Keywords&gt;&lt;Keywords&gt;Ontario&lt;/Keywords&gt;&lt;Reprint&gt;Not in File&lt;/Reprint&gt;&lt;Periodical&gt;Ministry of Health and Long Term Care&lt;/Periodical&gt;&lt;Date_Secondary&gt;2012/5/4&lt;/Date_Secondary&gt;&lt;Web_URL&gt;&lt;u&gt;http://www.health.gov.on.ca/english/public/updates/archives/hu_03/docnurse/pricare_fs.html&lt;/u&gt;&lt;/Web_URL&gt;&lt;ZZ_JournalFull&gt;&lt;f name="System"&gt;Ministry of Health and Long Term Care&lt;/f&gt;&lt;/ZZ_JournalFull&gt;&lt;ZZ_WorkformID&gt;34&lt;/ZZ_WorkformID&gt;&lt;/MDL&gt;&lt;/Cite&gt;&lt;/Refman&gt;</w:instrText>
      </w:r>
      <w:r>
        <w:fldChar w:fldCharType="separate"/>
      </w:r>
      <w:bookmarkStart w:id="1" w:name="__Fieldmark__1026_1322453857"/>
      <w:r>
        <w:rPr>
          <w:rFonts w:cs="Arial" w:ascii="Arial" w:hAnsi="Arial"/>
        </w:rPr>
        <w:t>3</w:t>
      </w:r>
      <w:r>
        <w:rPr>
          <w:rFonts w:cs="Arial" w:ascii="Arial" w:hAnsi="Arial"/>
        </w:rPr>
      </w:r>
      <w:r>
        <w:fldChar w:fldCharType="end"/>
      </w:r>
      <w:bookmarkEnd w:id="1"/>
      <w:r>
        <w:rPr>
          <w:rFonts w:cs="Arial" w:ascii="Arial" w:hAnsi="Arial"/>
        </w:rPr>
        <w:t xml:space="preserve">]  By August 2008, almost half of the province’s 13 million residents and 11,000 primary care physicians had voluntarily joined medical home models which included patient rostering, after-hours coverage, incentives for preventive health care, and payments for chronic disease management.  Approximately four million patients had transitioned from fee-for-service models to blended capitation practices. Almost half of the capitation practices had multidisciplinary clinician teams, with many including mental health workers.  </w:t>
      </w:r>
    </w:p>
    <w:p>
      <w:pPr>
        <w:pStyle w:val="Normal"/>
        <w:widowControl w:val="false"/>
        <w:autoSpaceDE w:val="false"/>
        <w:spacing w:lineRule="auto" w:line="480" w:before="0" w:after="0"/>
        <w:ind w:firstLine="720"/>
        <w:rPr>
          <w:rFonts w:ascii="Arial" w:hAnsi="Arial" w:cs="Arial"/>
        </w:rPr>
      </w:pPr>
      <w:r>
        <w:rPr>
          <w:rFonts w:cs="Arial" w:ascii="Arial" w:hAnsi="Arial"/>
        </w:rPr>
        <w:t xml:space="preserve">In North America, about one-third of primary care patients meet the criteria for a psychiatric disorder within any 12-month period, </w:t>
      </w:r>
      <w:r>
        <w:fldChar w:fldCharType="begin"/>
      </w:r>
      <w:r>
        <w:instrText> ADDIN REFMGR.CITE &lt;Refman&gt;&lt;Cite&gt;&lt;Author&gt;Cwikel&lt;/Author&gt;&lt;Year&gt;2008&lt;/Year&gt;&lt;RecNum&gt;84&lt;/RecNum&gt;&lt;IDText&gt;Prevalence and risk factors of threshold and sub-threshold psychiatric disorders in primary care&lt;/IDText&gt;&lt;MDL Ref_Type="Journal"&gt;&lt;Ref_Type&gt;Journal&lt;/Ref_Type&gt;&lt;Ref_ID&gt;84&lt;/Ref_ID&gt;&lt;Title_Primary&gt;Prevalence and risk factors of threshold and sub-threshold psychiatric disorders in primary care&lt;/Title_Primary&gt;&lt;Authors_Primary&gt;Cwikel,J.&lt;/Authors_Primary&gt;&lt;Authors_Primary&gt;Zilber,N.&lt;/Authors_Primary&gt;&lt;Authors_Primary&gt;Feinson,M.&lt;/Authors_Primary&gt;&lt;Authors_Primary&gt;Lerner,Y.&lt;/Authors_Primary&gt;&lt;Date_Primary&gt;2008&lt;/Date_Primary&gt;&lt;Keywords&gt;Adult&lt;/Keywords&gt;&lt;Keywords&gt;Female&lt;/Keywords&gt;&lt;Keywords&gt;Humans&lt;/Keywords&gt;&lt;Keywords&gt;Income&lt;/Keywords&gt;&lt;Keywords&gt;Male&lt;/Keywords&gt;&lt;Keywords&gt;Mental Disorders&lt;/Keywords&gt;&lt;Keywords&gt;epidemiology&lt;/Keywords&gt;&lt;Keywords&gt;etiology&lt;/Keywords&gt;&lt;Keywords&gt;psychology&lt;/Keywords&gt;&lt;Keywords&gt;Middle Aged&lt;/Keywords&gt;&lt;Keywords&gt;Prevalence&lt;/Keywords&gt;&lt;Keywords&gt;Primary Health Care&lt;/Keywords&gt;&lt;Keywords&gt;statistics &amp;amp; numerical data&lt;/Keywords&gt;&lt;Keywords&gt;Risk Factors&lt;/Keywords&gt;&lt;Keywords&gt;Sex Distribution&lt;/Keywords&gt;&lt;Reprint&gt;Not in File&lt;/Reprint&gt;&lt;Start_Page&gt;184&lt;/Start_Page&gt;&lt;End_Page&gt;191&lt;/End_Page&gt;&lt;Periodical&gt;Soc.Psychiatry Psychiatr.Epidemiol.&lt;/Periodical&gt;&lt;Volume&gt;43&lt;/Volume&gt;&lt;Issue&gt;3&lt;/Issue&gt;&lt;Address&gt;Center for Women&amp;apos;s Health Studies and Promotion, Ben Gurion University of the Negev, POB 653, Beer Sheva, Israel 84105. jcwikel@bgu.ac.il&lt;/Address&gt;&lt;ZZ_JournalFull&gt;&lt;f name="System"&gt;Social psychiatry and psychiatric epidemiology&lt;/f&gt;&lt;/ZZ_JournalFull&gt;&lt;ZZ_JournalStdAbbrev&gt;&lt;f name="System"&gt;Soc.Psychiatry Psychiatr.Epidemiol.&lt;/f&gt;&lt;/ZZ_JournalStdAbbrev&gt;&lt;ZZ_WorkformID&gt;1&lt;/ZZ_WorkformID&gt;&lt;/MDL&gt;&lt;/Cite&gt;&lt;/Refman&gt;</w:instrText>
      </w:r>
      <w:r>
        <w:fldChar w:fldCharType="separate"/>
      </w:r>
      <w:bookmarkStart w:id="2" w:name="__Fieldmark__1027_1322453857"/>
      <w:r>
        <w:rPr>
          <w:rFonts w:cs="Arial" w:ascii="Arial" w:hAnsi="Arial"/>
        </w:rPr>
        <w:t>[4</w:t>
      </w:r>
      <w:r>
        <w:rPr>
          <w:rFonts w:cs="Arial" w:ascii="Arial" w:hAnsi="Arial"/>
        </w:rPr>
      </w:r>
      <w:r>
        <w:fldChar w:fldCharType="end"/>
      </w:r>
      <w:bookmarkEnd w:id="2"/>
      <w:r>
        <w:rPr>
          <w:rFonts w:cs="Arial" w:ascii="Arial" w:hAnsi="Arial"/>
        </w:rPr>
        <w:t>] however, less than one-half of people with mental health disorders actually receive treatment. [</w:t>
      </w:r>
      <w:r>
        <w:fldChar w:fldCharType="begin"/>
      </w:r>
      <w:r>
        <w:instrText> ADDIN REFMGR.CITE &lt;Refman&gt;&lt;Cite&gt;&lt;Author&gt;Wang&lt;/Author&gt;&lt;Year&gt;2005&lt;/Year&gt;&lt;RecNum&gt;118&lt;/RecNum&gt;&lt;IDText&gt;Twelve-month use of mental health services in the United States: results from the National Comorbidity Survey Replication&lt;/IDText&gt;&lt;MDL Ref_Type="Journal"&gt;&lt;Ref_Type&gt;Journal&lt;/Ref_Type&gt;&lt;Ref_ID&gt;118&lt;/Ref_ID&gt;&lt;Title_Primary&gt;Twelve-month use of mental health services in the United States: results from the National Comorbidity Survey Replication&lt;/Title_Primary&gt;&lt;Authors_Primary&gt;Wang,P.S.&lt;/Authors_Primary&gt;&lt;Authors_Primary&gt;Lane,M.&lt;/Authors_Primary&gt;&lt;Authors_Primary&gt;Olfson,M.&lt;/Authors_Primary&gt;&lt;Authors_Primary&gt;Pincus,H.A.&lt;/Authors_Primary&gt;&lt;Authors_Primary&gt;Wells,K.B.&lt;/Authors_Primary&gt;&lt;Authors_Primary&gt;Kessler,R.C.&lt;/Authors_Primary&gt;&lt;Date_Primary&gt;2005&lt;/Date_Primary&gt;&lt;Keywords&gt;Adolescent&lt;/Keywords&gt;&lt;Keywords&gt;Adult&lt;/Keywords&gt;&lt;Keywords&gt;Comorbidity&lt;/Keywords&gt;&lt;Keywords&gt;Complementary Therapies&lt;/Keywords&gt;&lt;Keywords&gt;statistics &amp;amp; numerical data&lt;/Keywords&gt;&lt;Keywords&gt;utilization&lt;/Keywords&gt;&lt;Keywords&gt;Female&lt;/Keywords&gt;&lt;Keywords&gt;Health Services Accessibility&lt;/Keywords&gt;&lt;Keywords&gt;statistics &amp;amp; numerical data&lt;/Keywords&gt;&lt;Keywords&gt;Health Services Needs and Demand&lt;/Keywords&gt;&lt;Keywords&gt;Health Services Research&lt;/Keywords&gt;&lt;Keywords&gt;statistics &amp;amp; numerical data&lt;/Keywords&gt;&lt;Keywords&gt;Health Surveys&lt;/Keywords&gt;&lt;Keywords&gt;Humans&lt;/Keywords&gt;&lt;Keywords&gt;Income&lt;/Keywords&gt;&lt;Keywords&gt;Internal Medicine&lt;/Keywords&gt;&lt;Keywords&gt;statistics &amp;amp; numerical data&lt;/Keywords&gt;&lt;Keywords&gt;Male&lt;/Keywords&gt;&lt;Keywords&gt;Mental Disorders&lt;/Keywords&gt;&lt;Keywords&gt;diagnosis&lt;/Keywords&gt;&lt;Keywords&gt;epidemiology&lt;/Keywords&gt;&lt;Keywords&gt;therapy&lt;/Keywords&gt;&lt;Keywords&gt;Mental Health Services&lt;/Keywords&gt;&lt;Keywords&gt;Mental Health Services&lt;/Keywords&gt;&lt;Keywords&gt;statistics &amp;amp; numerical data&lt;/Keywords&gt;&lt;Keywords&gt;utilization&lt;/Keywords&gt;&lt;Keywords&gt;Middle Aged&lt;/Keywords&gt;&lt;Keywords&gt;Outcome Assessment (Health Care)&lt;/Keywords&gt;&lt;Keywords&gt;Prevalence&lt;/Keywords&gt;&lt;Keywords&gt;Psychiatric Status Rating Scales&lt;/Keywords&gt;&lt;Keywords&gt;statistics &amp;amp; numerical data&lt;/Keywords&gt;&lt;Keywords&gt;Psychiatry&lt;/Keywords&gt;&lt;Keywords&gt;statistics &amp;amp; numerical data&lt;/Keywords&gt;&lt;Keywords&gt;Quality of Health Care&lt;/Keywords&gt;&lt;Keywords&gt;United States&lt;/Keywords&gt;&lt;Keywords&gt;United States&lt;/Keywords&gt;&lt;Keywords&gt;epidemiology&lt;/Keywords&gt;&lt;Reprint&gt;Not in File&lt;/Reprint&gt;&lt;Start_Page&gt;629&lt;/Start_Page&gt;&lt;End_Page&gt;640&lt;/End_Page&gt;&lt;Periodical&gt;Arch.Gen.Psychiatry&lt;/Periodical&gt;&lt;Volume&gt;62&lt;/Volume&gt;&lt;Issue&gt;6&lt;/Issue&gt;&lt;Address&gt;Department of Health Care Policy, Harvard Medical School, Boston, Massachusetts 02115, USA. wang@hcp.med.harvard.edu&lt;/Address&gt;&lt;ZZ_JournalFull&gt;&lt;f name="System"&gt;Archives of General Psychiatry&lt;/f&gt;&lt;/ZZ_JournalFull&gt;&lt;ZZ_JournalStdAbbrev&gt;&lt;f name="System"&gt;Arch.Gen.Psychiatry&lt;/f&gt;&lt;/ZZ_JournalStdAbbrev&gt;&lt;ZZ_WorkformID&gt;1&lt;/ZZ_WorkformID&gt;&lt;/MDL&gt;&lt;/Cite&gt;&lt;Cite&gt;&lt;Author&gt;Hinshaw&lt;/Author&gt;&lt;Year&gt;2000&lt;/Year&gt;&lt;RecNum&gt;896&lt;/RecNum&gt;&lt;IDText&gt;Stigma and mental disorder: conceptions of illness, public attitudes, personal disclosure, and social policy&lt;/IDText&gt;&lt;MDL Ref_Type="Journal"&gt;&lt;Ref_Type&gt;Journal&lt;/Ref_Type&gt;&lt;Ref_ID&gt;896&lt;/Ref_ID&gt;&lt;Title_Primary&gt;Stigma and mental disorder: conceptions of illness, public attitudes, personal disclosure, and social policy&lt;/Title_Primary&gt;&lt;Authors_Primary&gt;Hinshaw,S.P.&lt;/Authors_Primary&gt;&lt;Authors_Primary&gt;Cicchetti,D.&lt;/Authors_Primary&gt;&lt;Date_Primary&gt;2000&lt;/Date_Primary&gt;&lt;Keywords&gt;Attitude to Health&lt;/Keywords&gt;&lt;Keywords&gt;Awareness&lt;/Keywords&gt;&lt;Keywords&gt;Behavior&lt;/Keywords&gt;&lt;Keywords&gt;California&lt;/Keywords&gt;&lt;Keywords&gt;change&lt;/Keywords&gt;&lt;Keywords&gt;Deinstitutionalization&lt;/Keywords&gt;&lt;Keywords&gt;Humans&lt;/Keywords&gt;&lt;Keywords&gt;Mental Disorders&lt;/Keywords&gt;&lt;Keywords&gt;Mental Disorders&lt;/Keywords&gt;&lt;Keywords&gt;psychology&lt;/Keywords&gt;&lt;Keywords&gt;Mental Health Services&lt;/Keywords&gt;&lt;Keywords&gt;legislation &amp;amp; jurisprudence&lt;/Keywords&gt;&lt;Keywords&gt;trends&lt;/Keywords&gt;&lt;Keywords&gt;Motivation&lt;/Keywords&gt;&lt;Keywords&gt;Prejudice&lt;/Keywords&gt;&lt;Keywords&gt;Psychology&lt;/Keywords&gt;&lt;Keywords&gt;Public Policy&lt;/Keywords&gt;&lt;Keywords&gt;Research&lt;/Keywords&gt;&lt;Keywords&gt;Self Disclosure&lt;/Keywords&gt;&lt;Keywords&gt;standard&lt;/Keywords&gt;&lt;Keywords&gt;standards&lt;/Keywords&gt;&lt;Keywords&gt;Stereotyping&lt;/Keywords&gt;&lt;Keywords&gt;USA&lt;/Keywords&gt;&lt;Reprint&gt;Not in File&lt;/Reprint&gt;&lt;Start_Page&gt;555&lt;/Start_Page&gt;&lt;End_Page&gt;598&lt;/End_Page&gt;&lt;Periodical&gt;Dev.Psychopathol.&lt;/Periodical&gt;&lt;Volume&gt;12&lt;/Volume&gt;&lt;Issue&gt;4&lt;/Issue&gt;&lt;Address&gt;Department of Psychology, University of California, Berkeley 94720-1650, USA&lt;/Address&gt;&lt;ZZ_JournalFull&gt;&lt;f name="System"&gt;Development and psychopathology&lt;/f&gt;&lt;/ZZ_JournalFull&gt;&lt;ZZ_JournalStdAbbrev&gt;&lt;f name="System"&gt;Dev.Psychopathol.&lt;/f&gt;&lt;/ZZ_JournalStdAbbrev&gt;&lt;ZZ_WorkformID&gt;1&lt;/ZZ_WorkformID&gt;&lt;/MDL&gt;&lt;/Cite&gt;&lt;Cite&gt;&lt;Author&gt;Lin&lt;/Author&gt;&lt;Year&gt;1996&lt;/Year&gt;&lt;RecNum&gt;101&lt;/RecNum&gt;&lt;IDText&gt;The use of mental health services in Ontario: epidemiologic findings&lt;/IDText&gt;&lt;MDL Ref_Type="Journal"&gt;&lt;Ref_Type&gt;Journal&lt;/Ref_Type&gt;&lt;Ref_ID&gt;101&lt;/Ref_ID&gt;&lt;Title_Primary&gt;The use of mental health services in Ontario: epidemiologic findings&lt;/Title_Primary&gt;&lt;Authors_Primary&gt;Lin,E.&lt;/Authors_Primary&gt;&lt;Authors_Primary&gt;Goering,P.&lt;/Authors_Primary&gt;&lt;Authors_Primary&gt;Offord,D.R.&lt;/Authors_Primary&gt;&lt;Authors_Primary&gt;Campbell,D.&lt;/Authors_Primary&gt;&lt;Authors_Primary&gt;Boyle,M.H.&lt;/Authors_Primary&gt;&lt;Date_Primary&gt;1996&lt;/Date_Primary&gt;&lt;Keywords&gt;Adolescent&lt;/Keywords&gt;&lt;Keywords&gt;Adult&lt;/Keywords&gt;&lt;Keywords&gt;Aged&lt;/Keywords&gt;&lt;Keywords&gt;Female&lt;/Keywords&gt;&lt;Keywords&gt;Humans&lt;/Keywords&gt;&lt;Keywords&gt;Logistic Models&lt;/Keywords&gt;&lt;Keywords&gt;Male&lt;/Keywords&gt;&lt;Keywords&gt;Mental Disorders&lt;/Keywords&gt;&lt;Keywords&gt;diagnosis&lt;/Keywords&gt;&lt;Keywords&gt;epidemiology&lt;/Keywords&gt;&lt;Keywords&gt;Mental Health Services&lt;/Keywords&gt;&lt;Keywords&gt;Mental Health Services&lt;/Keywords&gt;&lt;Keywords&gt;utilization&lt;/Keywords&gt;&lt;Keywords&gt;Middle Aged&lt;/Keywords&gt;&lt;Keywords&gt;Ontario&lt;/Keywords&gt;&lt;Keywords&gt;Ontario&lt;/Keywords&gt;&lt;Keywords&gt;epidemiology&lt;/Keywords&gt;&lt;Keywords&gt;Rural Population&lt;/Keywords&gt;&lt;Keywords&gt;Socioeconomic Factors&lt;/Keywords&gt;&lt;Keywords&gt;Urban Population&lt;/Keywords&gt;&lt;Reprint&gt;Not in File&lt;/Reprint&gt;&lt;Start_Page&gt;572&lt;/Start_Page&gt;&lt;End_Page&gt;577&lt;/End_Page&gt;&lt;Periodical&gt;Can.J.Psychiatry&lt;/Periodical&gt;&lt;Volume&gt;41&lt;/Volume&gt;&lt;Issue&gt;9&lt;/Issue&gt;&lt;Address&gt;Health Systems Research Unit, Clarke Institute of Psychiatry, Toronto, Ontario&lt;/Address&gt;&lt;ZZ_JournalFull&gt;&lt;f name="System"&gt;Canadian journal of psychiatry.Revue canadienne de psychiatrie&lt;/f&gt;&lt;/ZZ_JournalFull&gt;&lt;ZZ_JournalStdAbbrev&gt;&lt;f name="System"&gt;Can.J.Psychiatry&lt;/f&gt;&lt;/ZZ_JournalStdAbbrev&gt;&lt;ZZ_WorkformID&gt;1&lt;/ZZ_WorkformID&gt;&lt;/MDL&gt;&lt;/Cite&gt;&lt;Cite&gt;&lt;Author&gt;Vasiliadis&lt;/Author&gt;&lt;Year&gt;2007&lt;/Year&gt;&lt;RecNum&gt;1798&lt;/RecNum&gt;&lt;IDText&gt;Do Canada and the United States differ in prevalence of depression and utilization of services?&lt;/IDText&gt;&lt;MDL Ref_Type="Journal"&gt;&lt;Ref_Type&gt;Journal&lt;/Ref_Type&gt;&lt;Ref_ID&gt;1798&lt;/Ref_ID&gt;&lt;Title_Primary&gt;Do Canada and the United States differ in prevalence of depression and utilization of services?&lt;/Title_Primary&gt;&lt;Authors_Primary&gt;Vasiliadis,H.M.&lt;/Authors_Primary&gt;&lt;Authors_Primary&gt;Lesage,A.&lt;/Authors_Primary&gt;&lt;Authors_Primary&gt;Adair,C.&lt;/Authors_Primary&gt;&lt;Authors_Primary&gt;Wang,P.S.&lt;/Authors_Primary&gt;&lt;Authors_Primary&gt;Kessler,R.C.&lt;/Authors_Primary&gt;&lt;Date_Primary&gt;2007&lt;/Date_Primary&gt;&lt;Keywords&gt;Canada&lt;/Keywords&gt;&lt;Keywords&gt;Canada&lt;/Keywords&gt;&lt;Keywords&gt;epidemiology&lt;/Keywords&gt;&lt;Keywords&gt;data&lt;/Keywords&gt;&lt;Keywords&gt;Demography&lt;/Keywords&gt;&lt;Keywords&gt;depression&lt;/Keywords&gt;&lt;Keywords&gt;Depressive Disorder,Major&lt;/Keywords&gt;&lt;Keywords&gt;epidemiology&lt;/Keywords&gt;&lt;Keywords&gt;therapy&lt;/Keywords&gt;&lt;Keywords&gt;Female&lt;/Keywords&gt;&lt;Keywords&gt;health&lt;/Keywords&gt;&lt;Keywords&gt;health care&lt;/Keywords&gt;&lt;Keywords&gt;Health Care Services&lt;/Keywords&gt;&lt;Keywords&gt;health service&lt;/Keywords&gt;&lt;Keywords&gt;Health Services&lt;/Keywords&gt;&lt;Keywords&gt;Humans&lt;/Keywords&gt;&lt;Keywords&gt;Male&lt;/Keywords&gt;&lt;Keywords&gt;mental disorder&lt;/Keywords&gt;&lt;Keywords&gt;Mental Disorders&lt;/Keywords&gt;&lt;Keywords&gt;mental health&lt;/Keywords&gt;&lt;Keywords&gt;mental health service&lt;/Keywords&gt;&lt;Keywords&gt;Mental Health Services&lt;/Keywords&gt;&lt;Keywords&gt;utilization&lt;/Keywords&gt;&lt;Keywords&gt;method&lt;/Keywords&gt;&lt;Keywords&gt;methods&lt;/Keywords&gt;&lt;Keywords&gt;need&lt;/Keywords&gt;&lt;Keywords&gt;objective&lt;/Keywords&gt;&lt;Keywords&gt;Prevalence&lt;/Keywords&gt;&lt;Keywords&gt;professional&lt;/Keywords&gt;&lt;Keywords&gt;Psychiatry&lt;/Keywords&gt;&lt;Keywords&gt;Quebec&lt;/Keywords&gt;&lt;Keywords&gt;Questionnaires&lt;/Keywords&gt;&lt;Keywords&gt;report&lt;/Keywords&gt;&lt;Keywords&gt;respondent&lt;/Keywords&gt;&lt;Keywords&gt;respondents&lt;/Keywords&gt;&lt;Keywords&gt;study&lt;/Keywords&gt;&lt;Keywords&gt;survey&lt;/Keywords&gt;&lt;Keywords&gt;treatment&lt;/Keywords&gt;&lt;Keywords&gt;treatment seeking&lt;/Keywords&gt;&lt;Keywords&gt;United States&lt;/Keywords&gt;&lt;Keywords&gt;United States&lt;/Keywords&gt;&lt;Keywords&gt;epidemiology&lt;/Keywords&gt;&lt;Reprint&gt;Not in File&lt;/Reprint&gt;&lt;Start_Page&gt;63&lt;/Start_Page&gt;&lt;End_Page&gt;71&lt;/End_Page&gt;&lt;Periodical&gt;Psychiatric services (Washington, D.C.)&lt;/Periodical&gt;&lt;Volume&gt;58&lt;/Volume&gt;&lt;Issue&gt;1&lt;/Issue&gt;&lt;Address&gt;Department of Psychiatry, Universite de Montreal, Montreal, Quebec, Canada. helen.vasiliadis@mail.mcgill.ca&lt;/Address&gt;&lt;ZZ_JournalFull&gt;&lt;f name="System"&gt;Psychiatric services (Washington, D.C.)&lt;/f&gt;&lt;/ZZ_JournalFull&gt;&lt;ZZ_WorkformID&gt;1&lt;/ZZ_WorkformID&gt;&lt;/MDL&gt;&lt;/Cite&gt;&lt;/Refman&gt;</w:instrText>
      </w:r>
      <w:r>
        <w:fldChar w:fldCharType="separate"/>
      </w:r>
      <w:bookmarkStart w:id="3" w:name="__Fieldmark__1028_1322453857"/>
      <w:r>
        <w:rPr>
          <w:rFonts w:cs="Arial" w:ascii="Arial" w:hAnsi="Arial"/>
        </w:rPr>
        <w:t>5-8</w:t>
      </w:r>
      <w:r>
        <w:rPr>
          <w:rFonts w:cs="Arial" w:ascii="Arial" w:hAnsi="Arial"/>
        </w:rPr>
      </w:r>
      <w:r>
        <w:fldChar w:fldCharType="end"/>
      </w:r>
      <w:bookmarkEnd w:id="3"/>
      <w:r>
        <w:rPr>
          <w:rFonts w:cs="Arial" w:ascii="Arial" w:hAnsi="Arial"/>
        </w:rPr>
        <w:t>] Primary care physicians are the most commonly consulted providers for mental health services [</w:t>
      </w:r>
      <w:r>
        <w:fldChar w:fldCharType="begin"/>
      </w:r>
      <w:r>
        <w:instrText> ADDIN REFMGR.CITE &lt;Refman&gt;&lt;Cite&gt;&lt;Author&gt;Lesage&lt;/Author&gt;&lt;Year&gt;1997&lt;/Year&gt;&lt;RecNum&gt;184&lt;/RecNum&gt;&lt;IDText&gt;Family physicians and the mental health system. Report from the Mental Health Supplement to the Ontario Health Survey&lt;/IDText&gt;&lt;MDL Ref_Type="Journal"&gt;&lt;Ref_Type&gt;Journal&lt;/Ref_Type&gt;&lt;Ref_ID&gt;184&lt;/Ref_ID&gt;&lt;Title_Primary&gt;Family physicians and the mental health system. Report from the Mental Health Supplement to the Ontario Health Survey&lt;/Title_Primary&gt;&lt;Authors_Primary&gt;Lesage,A.D.&lt;/Authors_Primary&gt;&lt;Authors_Primary&gt;Goering,P.&lt;/Authors_Primary&gt;&lt;Authors_Primary&gt;Lin,E.&lt;/Authors_Primary&gt;&lt;Date_Primary&gt;1997&lt;/Date_Primary&gt;&lt;Keywords&gt;Adult&lt;/Keywords&gt;&lt;Keywords&gt;Aged&lt;/Keywords&gt;&lt;Keywords&gt;Family Practice&lt;/Keywords&gt;&lt;Keywords&gt;statistics &amp;amp; numerical data&lt;/Keywords&gt;&lt;Keywords&gt;Female&lt;/Keywords&gt;&lt;Keywords&gt;Health Services Research&lt;/Keywords&gt;&lt;Keywords&gt;Humans&lt;/Keywords&gt;&lt;Keywords&gt;Male&lt;/Keywords&gt;&lt;Keywords&gt;Mental Disorders&lt;/Keywords&gt;&lt;Keywords&gt;Mental Disorders&lt;/Keywords&gt;&lt;Keywords&gt;therapy&lt;/Keywords&gt;&lt;Keywords&gt;Mental Health Services&lt;/Keywords&gt;&lt;Keywords&gt;Mental Health Services&lt;/Keywords&gt;&lt;Keywords&gt;utilization&lt;/Keywords&gt;&lt;Keywords&gt;Ontario&lt;/Keywords&gt;&lt;Keywords&gt;Patient Acceptance of Health Care&lt;/Keywords&gt;&lt;Keywords&gt;Physician&amp;apos;s Role&lt;/Keywords&gt;&lt;Keywords&gt;Questionnaires&lt;/Keywords&gt;&lt;Keywords&gt;Risk Factors&lt;/Keywords&gt;&lt;Keywords&gt;Socioeconomic Factors&lt;/Keywords&gt;&lt;Reprint&gt;Not in File&lt;/Reprint&gt;&lt;Start_Page&gt;251&lt;/Start_Page&gt;&lt;End_Page&gt;256&lt;/End_Page&gt;&lt;Periodical&gt;Can.Fam.Physician&lt;/Periodical&gt;&lt;Volume&gt;43&lt;/Volume&gt;&lt;Address&gt;Health Systems Research Unit, Clarke Institute of Psychiatry, Toronto&lt;/Address&gt;&lt;ZZ_JournalFull&gt;&lt;f name="System"&gt;Canadian family physician Medecin de famille canadien&lt;/f&gt;&lt;/ZZ_JournalFull&gt;&lt;ZZ_JournalStdAbbrev&gt;&lt;f name="System"&gt;Can.Fam.Physician&lt;/f&gt;&lt;/ZZ_JournalStdAbbrev&gt;&lt;ZZ_WorkformID&gt;1&lt;/ZZ_WorkformID&gt;&lt;/MDL&gt;&lt;/Cite&gt;&lt;/Refman&gt;</w:instrText>
      </w:r>
      <w:r>
        <w:fldChar w:fldCharType="separate"/>
      </w:r>
      <w:bookmarkStart w:id="4" w:name="__Fieldmark__1029_1322453857"/>
      <w:r>
        <w:rPr>
          <w:rFonts w:cs="Arial" w:ascii="Arial" w:hAnsi="Arial"/>
        </w:rPr>
        <w:t>9</w:t>
      </w:r>
      <w:r>
        <w:rPr>
          <w:rFonts w:cs="Arial" w:ascii="Arial" w:hAnsi="Arial"/>
        </w:rPr>
      </w:r>
      <w:r>
        <w:fldChar w:fldCharType="end"/>
      </w:r>
      <w:bookmarkEnd w:id="4"/>
      <w:r>
        <w:rPr>
          <w:rFonts w:cs="Arial" w:ascii="Arial" w:hAnsi="Arial"/>
        </w:rPr>
        <w:t>] and often are the only providers contacted.</w:t>
      </w:r>
      <w:r>
        <w:fldChar w:fldCharType="begin"/>
      </w:r>
      <w:r>
        <w:instrText> ADDIN REFMGR.CITE &lt;Refman&gt;&lt;Cite&gt;&lt;Author&gt;Lin&lt;/Author&gt;&lt;Year&gt;1996&lt;/Year&gt;&lt;RecNum&gt;101&lt;/RecNum&gt;&lt;IDText&gt;The use of mental health services in Ontario: epidemiologic findings&lt;/IDText&gt;&lt;MDL Ref_Type="Journal"&gt;&lt;Ref_Type&gt;Journal&lt;/Ref_Type&gt;&lt;Ref_ID&gt;101&lt;/Ref_ID&gt;&lt;Title_Primary&gt;The use of mental health services in Ontario: epidemiologic findings&lt;/Title_Primary&gt;&lt;Authors_Primary&gt;Lin,E.&lt;/Authors_Primary&gt;&lt;Authors_Primary&gt;Goering,P.&lt;/Authors_Primary&gt;&lt;Authors_Primary&gt;Offord,D.R.&lt;/Authors_Primary&gt;&lt;Authors_Primary&gt;Campbell,D.&lt;/Authors_Primary&gt;&lt;Authors_Primary&gt;Boyle,M.H.&lt;/Authors_Primary&gt;&lt;Date_Primary&gt;1996&lt;/Date_Primary&gt;&lt;Keywords&gt;Adolescent&lt;/Keywords&gt;&lt;Keywords&gt;Adult&lt;/Keywords&gt;&lt;Keywords&gt;Aged&lt;/Keywords&gt;&lt;Keywords&gt;Female&lt;/Keywords&gt;&lt;Keywords&gt;Humans&lt;/Keywords&gt;&lt;Keywords&gt;Logistic Models&lt;/Keywords&gt;&lt;Keywords&gt;Male&lt;/Keywords&gt;&lt;Keywords&gt;Mental Disorders&lt;/Keywords&gt;&lt;Keywords&gt;diagnosis&lt;/Keywords&gt;&lt;Keywords&gt;epidemiology&lt;/Keywords&gt;&lt;Keywords&gt;Mental Health Services&lt;/Keywords&gt;&lt;Keywords&gt;Mental Health Services&lt;/Keywords&gt;&lt;Keywords&gt;utilization&lt;/Keywords&gt;&lt;Keywords&gt;Middle Aged&lt;/Keywords&gt;&lt;Keywords&gt;Ontario&lt;/Keywords&gt;&lt;Keywords&gt;Ontario&lt;/Keywords&gt;&lt;Keywords&gt;epidemiology&lt;/Keywords&gt;&lt;Keywords&gt;Rural Population&lt;/Keywords&gt;&lt;Keywords&gt;Socioeconomic Factors&lt;/Keywords&gt;&lt;Keywords&gt;Urban Population&lt;/Keywords&gt;&lt;Reprint&gt;Not in File&lt;/Reprint&gt;&lt;Start_Page&gt;572&lt;/Start_Page&gt;&lt;End_Page&gt;577&lt;/End_Page&gt;&lt;Periodical&gt;Can.J.Psychiatry&lt;/Periodical&gt;&lt;Volume&gt;41&lt;/Volume&gt;&lt;Issue&gt;9&lt;/Issue&gt;&lt;Address&gt;Health Systems Research Unit, Clarke Institute of Psychiatry, Toronto, Ontario&lt;/Address&gt;&lt;ZZ_JournalFull&gt;&lt;f name="System"&gt;Canadian journal of psychiatry.Revue canadienne de psychiatrie&lt;/f&gt;&lt;/ZZ_JournalFull&gt;&lt;ZZ_JournalStdAbbrev&gt;&lt;f name="System"&gt;Can.J.Psychiatry&lt;/f&gt;&lt;/ZZ_JournalStdAbbrev&gt;&lt;ZZ_WorkformID&gt;1&lt;/ZZ_WorkformID&gt;&lt;/MDL&gt;&lt;/Cite&gt;&lt;Cite&gt;&lt;Author&gt;Phelan&lt;/Author&gt;&lt;Year&gt;2001&lt;/Year&gt;&lt;RecNum&gt;1416&lt;/RecNum&gt;&lt;IDText&gt;Physical health of people with severe mental illness&lt;/IDText&gt;&lt;MDL Ref_Type="Journal"&gt;&lt;Ref_Type&gt;Journal&lt;/Ref_Type&gt;&lt;Ref_ID&gt;1416&lt;/Ref_ID&gt;&lt;Title_Primary&gt;Physical health of people with severe mental illness&lt;/Title_Primary&gt;&lt;Authors_Primary&gt;Phelan,M.&lt;/Authors_Primary&gt;&lt;Authors_Primary&gt;Stradins,L.&lt;/Authors_Primary&gt;&lt;Authors_Primary&gt;Morrison,S.&lt;/Authors_Primary&gt;&lt;Date_Primary&gt;2001&lt;/Date_Primary&gt;&lt;Keywords&gt;Community Mental Health Services&lt;/Keywords&gt;&lt;Keywords&gt;standards&lt;/Keywords&gt;&lt;Keywords&gt;Comorbidity&lt;/Keywords&gt;&lt;Keywords&gt;Great Britain&lt;/Keywords&gt;&lt;Keywords&gt;health&lt;/Keywords&gt;&lt;Keywords&gt;Health Behavior&lt;/Keywords&gt;&lt;Keywords&gt;Health Status&lt;/Keywords&gt;&lt;Keywords&gt;Humans&lt;/Keywords&gt;&lt;Keywords&gt;Mental Disorders&lt;/Keywords&gt;&lt;Keywords&gt;complications&lt;/Keywords&gt;&lt;Keywords&gt;psychology&lt;/Keywords&gt;&lt;Keywords&gt;Primary Health Care&lt;/Keywords&gt;&lt;Keywords&gt;standards&lt;/Keywords&gt;&lt;Reprint&gt;Not in File&lt;/Reprint&gt;&lt;Start_Page&gt;443&lt;/Start_Page&gt;&lt;End_Page&gt;444&lt;/End_Page&gt;&lt;Periodical&gt;BMJ&lt;/Periodical&gt;&lt;Volume&gt;322&lt;/Volume&gt;&lt;Issue&gt;7284&lt;/Issue&gt;&lt;ZZ_JournalFull&gt;&lt;f name="System"&gt;BMJ (Clinical research ed.)&lt;/f&gt;&lt;/ZZ_JournalFull&gt;&lt;ZZ_JournalStdAbbrev&gt;&lt;f name="System"&gt;BMJ&lt;/f&gt;&lt;/ZZ_JournalStdAbbrev&gt;&lt;ZZ_WorkformID&gt;1&lt;/ZZ_WorkformID&gt;&lt;/MDL&gt;&lt;/Cite&gt;&lt;/Refman&gt;</w:instrText>
      </w:r>
      <w:r>
        <w:fldChar w:fldCharType="separate"/>
      </w:r>
      <w:bookmarkStart w:id="5" w:name="__Fieldmark__1030_1322453857"/>
      <w:r>
        <w:rPr>
          <w:rFonts w:cs="Arial" w:ascii="Arial" w:hAnsi="Arial"/>
        </w:rPr>
        <w:t>[7,10</w:t>
      </w:r>
      <w:r>
        <w:rPr>
          <w:rFonts w:cs="Arial" w:ascii="Arial" w:hAnsi="Arial"/>
        </w:rPr>
      </w:r>
      <w:r>
        <w:fldChar w:fldCharType="end"/>
      </w:r>
      <w:bookmarkEnd w:id="5"/>
      <w:r>
        <w:rPr>
          <w:rFonts w:cs="Arial" w:ascii="Arial" w:hAnsi="Arial"/>
        </w:rPr>
        <w:t xml:space="preserve">] </w:t>
      </w:r>
      <w:r>
        <w:rPr>
          <w:rFonts w:cs="Arial" w:ascii="Arial" w:hAnsi="Arial"/>
          <w:vertAlign w:val="superscript"/>
        </w:rPr>
        <w:t xml:space="preserve"> </w:t>
      </w:r>
      <w:r>
        <w:rPr>
          <w:rFonts w:cs="Arial" w:ascii="Arial" w:hAnsi="Arial"/>
        </w:rPr>
        <w:t xml:space="preserve">People with mental illness, however, experience more difficulty accessing primary care than the general population. </w:t>
      </w:r>
      <w:r>
        <w:fldChar w:fldCharType="begin"/>
      </w:r>
      <w:r>
        <w:instrText> ADDIN REFMGR.CITE &lt;Refman&gt;&lt;Cite&gt;&lt;Author&gt;Bebbington&lt;/Author&gt;&lt;Year&gt;2000&lt;/Year&gt;&lt;RecNum&gt;344&lt;/RecNum&gt;&lt;IDText&gt;Unequal access and unmet need: neurotic disorders and the use of primary care services&lt;/IDText&gt;&lt;MDL Ref_Type="Journal"&gt;&lt;Ref_Type&gt;Journal&lt;/Ref_Type&gt;&lt;Ref_ID&gt;344&lt;/Ref_ID&gt;&lt;Title_Primary&gt;Unequal access and unmet need: neurotic disorders and the use of primary care services&lt;/Title_Primary&gt;&lt;Authors_Primary&gt;Bebbington,P.E.&lt;/Authors_Primary&gt;&lt;Authors_Primary&gt;Meltzer,H.&lt;/Authors_Primary&gt;&lt;Authors_Primary&gt;Brugha,T.S.&lt;/Authors_Primary&gt;&lt;Authors_Primary&gt;Farrell,M.&lt;/Authors_Primary&gt;&lt;Authors_Primary&gt;Jenkins,R.&lt;/Authors_Primary&gt;&lt;Authors_Primary&gt;Ceresa,C.&lt;/Authors_Primary&gt;&lt;Authors_Primary&gt;Lewis,G.&lt;/Authors_Primary&gt;&lt;Date_Primary&gt;2000&lt;/Date_Primary&gt;&lt;Keywords&gt;Activities of Daily Living&lt;/Keywords&gt;&lt;Keywords&gt;psychology&lt;/Keywords&gt;&lt;Keywords&gt;Adolescent&lt;/Keywords&gt;&lt;Keywords&gt;Adult&lt;/Keywords&gt;&lt;Keywords&gt;data&lt;/Keywords&gt;&lt;Keywords&gt;diagnosis&lt;/Keywords&gt;&lt;Keywords&gt;evaluation&lt;/Keywords&gt;&lt;Keywords&gt;Family Practice&lt;/Keywords&gt;&lt;Keywords&gt;statistics &amp;amp; numerical data&lt;/Keywords&gt;&lt;Keywords&gt;Female&lt;/Keywords&gt;&lt;Keywords&gt;Great Britain&lt;/Keywords&gt;&lt;Keywords&gt;health&lt;/Keywords&gt;&lt;Keywords&gt;Health Care Surveys&lt;/Keywords&gt;&lt;Keywords&gt;Health Services Accessibility&lt;/Keywords&gt;&lt;Keywords&gt;Health Services Needs and Demand&lt;/Keywords&gt;&lt;Keywords&gt;Humans&lt;/Keywords&gt;&lt;Keywords&gt;influence&lt;/Keywords&gt;&lt;Keywords&gt;Male&lt;/Keywords&gt;&lt;Keywords&gt;mental health&lt;/Keywords&gt;&lt;Keywords&gt;Middle Aged&lt;/Keywords&gt;&lt;Keywords&gt;Neurotic Disorders&lt;/Keywords&gt;&lt;Keywords&gt;psychology&lt;/Keywords&gt;&lt;Keywords&gt;therapy&lt;/Keywords&gt;&lt;Keywords&gt;Patient Acceptance of Health Care&lt;/Keywords&gt;&lt;Keywords&gt;psychology&lt;/Keywords&gt;&lt;Keywords&gt;statistics &amp;amp; numerical data&lt;/Keywords&gt;&lt;Keywords&gt;Population Surveillance&lt;/Keywords&gt;&lt;Keywords&gt;primary care&lt;/Keywords&gt;&lt;Keywords&gt;Primary Health Care&lt;/Keywords&gt;&lt;Keywords&gt;utilization&lt;/Keywords&gt;&lt;Keywords&gt;Psychiatry&lt;/Keywords&gt;&lt;Keywords&gt;Questionnaires&lt;/Keywords&gt;&lt;Keywords&gt;Sampling Studies&lt;/Keywords&gt;&lt;Keywords&gt;Severity of Illness Index&lt;/Keywords&gt;&lt;Keywords&gt;Social Adjustment&lt;/Keywords&gt;&lt;Keywords&gt;Socioeconomic Factors&lt;/Keywords&gt;&lt;Keywords&gt;study&lt;/Keywords&gt;&lt;Reprint&gt;Not in File&lt;/Reprint&gt;&lt;Start_Page&gt;1359&lt;/Start_Page&gt;&lt;End_Page&gt;1367&lt;/End_Page&gt;&lt;Periodical&gt;Psychol.Med.&lt;/Periodical&gt;&lt;Volume&gt;30&lt;/Volume&gt;&lt;Issue&gt;6&lt;/Issue&gt;&lt;Address&gt;Department of Psychiatry and Behavioural Sciences, RF &amp;amp; UCL Medical School, Institute of Psychiatry and Office for National Statistics, London&lt;/Address&gt;&lt;ZZ_JournalFull&gt;&lt;f name="System"&gt;Psychological medicine&lt;/f&gt;&lt;/ZZ_JournalFull&gt;&lt;ZZ_JournalStdAbbrev&gt;&lt;f name="System"&gt;Psychol.Med.&lt;/f&gt;&lt;/ZZ_JournalStdAbbrev&gt;&lt;ZZ_WorkformID&gt;1&lt;/ZZ_WorkformID&gt;&lt;/MDL&gt;&lt;/Cite&gt;&lt;Cite&gt;&lt;Author&gt;Bradford&lt;/Author&gt;&lt;Year&gt;2008&lt;/Year&gt;&lt;RecNum&gt;409&lt;/RecNum&gt;&lt;IDText&gt;Access to medical care among persons with psychotic and major affective disorders&lt;/IDText&gt;&lt;MDL Ref_Type="Journal"&gt;&lt;Ref_Type&gt;Journal&lt;/Ref_Type&gt;&lt;Ref_ID&gt;409&lt;/Ref_ID&gt;&lt;Title_Primary&gt;Access to medical care among persons with psychotic and major affective disorders&lt;/Title_Primary&gt;&lt;Authors_Primary&gt;Bradford,D.W.&lt;/Authors_Primary&gt;&lt;Authors_Primary&gt;Kim,M.M.&lt;/Authors_Primary&gt;&lt;Authors_Primary&gt;Braxton,L.E.&lt;/Authors_Primary&gt;&lt;Authors_Primary&gt;Marx,C.E.&lt;/Authors_Primary&gt;&lt;Authors_Primary&gt;Butterfield,M.&lt;/Authors_Primary&gt;&lt;Authors_Primary&gt;Elbogen,E.B.&lt;/Authors_Primary&gt;&lt;Date_Primary&gt;2008&lt;/Date_Primary&gt;&lt;Keywords&gt;Adult&lt;/Keywords&gt;&lt;Keywords&gt;Affective Disorders,Psychotic&lt;/Keywords&gt;&lt;Keywords&gt;epidemiology&lt;/Keywords&gt;&lt;Keywords&gt;therapy&lt;/Keywords&gt;&lt;Keywords&gt;depression&lt;/Keywords&gt;&lt;Keywords&gt;depressive disorder&lt;/Keywords&gt;&lt;Keywords&gt;Female&lt;/Keywords&gt;&lt;Keywords&gt;health&lt;/Keywords&gt;&lt;Keywords&gt;Health Care Surveys&lt;/Keywords&gt;&lt;Keywords&gt;Health Services Accessibility&lt;/Keywords&gt;&lt;Keywords&gt;Health Services&lt;/Keywords&gt;&lt;Keywords&gt;utilization&lt;/Keywords&gt;&lt;Keywords&gt;Humans&lt;/Keywords&gt;&lt;Keywords&gt;Male&lt;/Keywords&gt;&lt;Keywords&gt;Mental Disorders&lt;/Keywords&gt;&lt;Keywords&gt;Middle Aged&lt;/Keywords&gt;&lt;Keywords&gt;Mortality&lt;/Keywords&gt;&lt;Keywords&gt;Odds Ratio&lt;/Keywords&gt;&lt;Keywords&gt;outcome&lt;/Keywords&gt;&lt;Keywords&gt;primary care&lt;/Keywords&gt;&lt;Keywords&gt;study&lt;/Keywords&gt;&lt;Keywords&gt;United States&lt;/Keywords&gt;&lt;Keywords&gt;epidemiology&lt;/Keywords&gt;&lt;Keywords&gt;USA&lt;/Keywords&gt;&lt;Reprint&gt;Not in File&lt;/Reprint&gt;&lt;Start_Page&gt;847&lt;/Start_Page&gt;&lt;End_Page&gt;852&lt;/End_Page&gt;&lt;Periodical&gt;Psychiatric services (Washington, D.C.)&lt;/Periodical&gt;&lt;Volume&gt;59&lt;/Volume&gt;&lt;Issue&gt;8&lt;/Issue&gt;&lt;Address&gt;Psychosocial Rehabilitation and Recovery Center, Durham VA Medical Center, MHSL (116D)/Hillandale 2, 508 Fulton St., Durham, NC 27705, USA. daniel.bradford@va.gov&lt;/Address&gt;&lt;ZZ_JournalFull&gt;&lt;f name="System"&gt;Psychiatric services (Washington, D.C.)&lt;/f&gt;&lt;/ZZ_JournalFull&gt;&lt;ZZ_WorkformID&gt;1&lt;/ZZ_WorkformID&gt;&lt;/MDL&gt;&lt;/Cite&gt;&lt;/Refman&gt;</w:instrText>
      </w:r>
      <w:r>
        <w:fldChar w:fldCharType="separate"/>
      </w:r>
      <w:bookmarkStart w:id="6" w:name="__Fieldmark__1031_1322453857"/>
      <w:r>
        <w:rPr>
          <w:rFonts w:cs="Arial" w:ascii="Arial" w:hAnsi="Arial"/>
        </w:rPr>
        <w:t>[11,12]</w:t>
      </w:r>
      <w:r>
        <w:rPr>
          <w:rFonts w:cs="Arial" w:ascii="Arial" w:hAnsi="Arial"/>
        </w:rPr>
      </w:r>
      <w:r>
        <w:fldChar w:fldCharType="end"/>
      </w:r>
      <w:bookmarkEnd w:id="6"/>
      <w:r>
        <w:rPr>
          <w:rFonts w:cs="Arial" w:ascii="Arial" w:hAnsi="Arial"/>
        </w:rPr>
        <w:t xml:space="preserve"> As such, increasing access to primary health services for people with mental illness is a priority for policy makers in Ontario and Canada. [</w:t>
      </w:r>
      <w:r>
        <w:fldChar w:fldCharType="begin"/>
      </w:r>
      <w:r>
        <w:instrText> ADDIN REFMGR.CITE &lt;Refman&gt;&lt;Cite&gt;&lt;Author&gt;Kirby&lt;/Author&gt;&lt;Year&gt;2006&lt;/Year&gt;&lt;RecNum&gt;177&lt;/RecNum&gt;&lt;IDText&gt;Out of the Shadows at Last: Transforming Mental Health, Mental Illness and Addiction Services in Canada&lt;/IDText&gt;&lt;MDL Ref_Type="Report"&gt;&lt;Ref_Type&gt;Report&lt;/Ref_Type&gt;&lt;Ref_ID&gt;177&lt;/Ref_ID&gt;&lt;Title_Primary&gt;Out of the Shadows at Last: Transforming Mental Health, Mental Illness and Addiction Services in Canada&lt;/Title_Primary&gt;&lt;Authors_Primary&gt;Kirby,M.J.L.&lt;/Authors_Primary&gt;&lt;Authors_Primary&gt;Keon,W.J.&lt;/Authors_Primary&gt;&lt;Date_Primary&gt;2006&lt;/Date_Primary&gt;&lt;Keywords&gt;Canada&lt;/Keywords&gt;&lt;Reprint&gt;Not in File&lt;/Reprint&gt;&lt;Publisher&gt;The Standing Senate Committee on Social Affairs, Science and Technology&lt;/Publisher&gt;&lt;Misc_1&gt;Report&lt;/Misc_1&gt;&lt;ZZ_WorkformID&gt;24&lt;/ZZ_WorkformID&gt;&lt;/MDL&gt;&lt;/Cite&gt;&lt;Cite&gt;&lt;Author&gt;Ministry of Health and Long Term Care of Ontario&lt;/Author&gt;&lt;Year&gt;1999&lt;/Year&gt;&lt;RecNum&gt;1245&lt;/RecNum&gt;&lt;IDText&gt;Making It Happen. Operational Framework for the Delivery of Mental Health Services and Supports&lt;/IDText&gt;&lt;MDL Ref_Type="Electronic Citation"&gt;&lt;Ref_Type&gt;Electronic Citation&lt;/Ref_Type&gt;&lt;Ref_ID&gt;1245&lt;/Ref_ID&gt;&lt;Title_Primary&gt;Making It Happen. Operational Framework for the Delivery of Mental Health Services and Supports&lt;/Title_Primary&gt;&lt;Authors_Primary&gt;Ministry of Health and Long Term Care of Ontario&lt;/Authors_Primary&gt;&lt;Date_Primary&gt;1999&lt;/Date_Primary&gt;&lt;Keywords&gt;deliveries&lt;/Keywords&gt;&lt;Keywords&gt;delivery&lt;/Keywords&gt;&lt;Keywords&gt;health&lt;/Keywords&gt;&lt;Keywords&gt;Health Services&lt;/Keywords&gt;&lt;Keywords&gt;mental health&lt;/Keywords&gt;&lt;Keywords&gt;Mental Health Services&lt;/Keywords&gt;&lt;Reprint&gt;Not in File&lt;/Reprint&gt;&lt;Periodical&gt;Ontario Ministry of Health and Long Term Care&lt;/Periodical&gt;&lt;Publisher&gt;Queens Printer for Ontario&lt;/Publisher&gt;&lt;Date_Secondary&gt;2012/4/10&lt;/Date_Secondary&gt;&lt;Misc_1&gt;Web Page&lt;/Misc_1&gt;&lt;Web_URL&gt;&lt;u&gt;http://www.nelhin.on.ca/WorkArea/showcontent.aspx?id=8948&lt;/u&gt;&lt;/Web_URL&gt;&lt;ZZ_JournalFull&gt;&lt;f name="System"&gt;Ontario Ministry of Health and Long Term Care&lt;/f&gt;&lt;/ZZ_JournalFull&gt;&lt;ZZ_WorkformID&gt;34&lt;/ZZ_WorkformID&gt;&lt;/MDL&gt;&lt;/Cite&gt;&lt;Cite&gt;&lt;Author&gt;Legislative Assembly of Ontario.&lt;/Author&gt;&lt;Year&gt;2010&lt;/Year&gt;&lt;RecNum&gt;183&lt;/RecNum&gt;&lt;IDText&gt;SELECT COMMITTEE ON MENTAL HEALTH AND ADDICTIONS. Final Report. Navigating the Journey to Wellness: The Comprehensive Mental Health and Addictions Action Plan for Ontarians 2nd Session, 39th Parliament 59 Elizabeth II&lt;/IDText&gt;&lt;MDL Ref_Type="Report"&gt;&lt;Ref_Type&gt;Report&lt;/Ref_Type&gt;&lt;Ref_ID&gt;183&lt;/Ref_ID&gt;&lt;Title_Primary&gt;SELECT COMMITTEE ON MENTAL HEALTH AND ADDICTIONS. Final Report. Navigating the Journey to Wellness: The Comprehensive Mental Health and Addictions Action Plan for Ontarians 2nd Session, 39th Parliament 59 Elizabeth II&lt;/Title_Primary&gt;&lt;Authors_Primary&gt;Legislative Assembly of Ontario.&lt;/Authors_Primary&gt;&lt;Date_Primary&gt;2010&lt;/Date_Primary&gt;&lt;Keywords&gt;Final Report&lt;/Keywords&gt;&lt;Reprint&gt;Not in File&lt;/Reprint&gt;&lt;Date_Secondary&gt;2010/8&lt;/Date_Secondary&gt;&lt;Misc_1&gt;Report&lt;/Misc_1&gt;&lt;Web_URL&gt;http://www.ontla.on.ca/committee-proceedings/committee-reports/files_pdf/Select%20Report%20ENG.pdf&lt;/Web_URL&gt;&lt;ZZ_WorkformID&gt;24&lt;/ZZ_WorkformID&gt;&lt;/MDL&gt;&lt;/Cite&gt;&lt;/Refman&gt;</w:instrText>
      </w:r>
      <w:r>
        <w:fldChar w:fldCharType="separate"/>
      </w:r>
      <w:bookmarkStart w:id="7" w:name="__Fieldmark__1032_1322453857"/>
      <w:r>
        <w:rPr>
          <w:rFonts w:cs="Arial" w:ascii="Arial" w:hAnsi="Arial"/>
        </w:rPr>
        <w:t>13,15</w:t>
      </w:r>
      <w:r>
        <w:rPr>
          <w:rFonts w:cs="Arial" w:ascii="Arial" w:hAnsi="Arial"/>
        </w:rPr>
      </w:r>
      <w:r>
        <w:fldChar w:fldCharType="end"/>
      </w:r>
      <w:bookmarkEnd w:id="7"/>
      <w:r>
        <w:rPr>
          <w:rFonts w:cs="Arial" w:ascii="Arial" w:hAnsi="Arial"/>
        </w:rPr>
        <w:t>]</w:t>
      </w:r>
    </w:p>
    <w:p>
      <w:pPr>
        <w:pStyle w:val="Normal"/>
        <w:widowControl w:val="false"/>
        <w:autoSpaceDE w:val="false"/>
        <w:spacing w:lineRule="auto" w:line="480" w:before="0" w:after="0"/>
        <w:ind w:firstLine="720"/>
        <w:rPr>
          <w:rFonts w:ascii="Arial" w:hAnsi="Arial" w:cs="Arial"/>
        </w:rPr>
      </w:pPr>
      <w:r>
        <w:rPr>
          <w:rFonts w:cs="Arial" w:ascii="Arial" w:hAnsi="Arial"/>
        </w:rPr>
        <w:t>There are three broad types of medical homes in Ontario, distinguished primarily by physician remuneration: enhanced fee-for-service, blended capitation and team-based blended capitation.</w:t>
      </w:r>
      <w:r>
        <w:fldChar w:fldCharType="begin"/>
      </w:r>
      <w:r>
        <w:instrText> ADDIN REFMGR.CITE &lt;Refman&gt;&lt;Cite&gt;&lt;Author&gt;Legislative Assembly of Ontario.&lt;/Author&gt;&lt;Year&gt;2010&lt;/Year&gt;&lt;RecNum&gt;183&lt;/RecNum&gt;&lt;IDText&gt;SELECT COMMITTEE ON MENTAL HEALTH AND ADDICTIONS. Final Report. Navigating the Journey to Wellness: The Comprehensive Mental Health and Addictions Action Plan for Ontarians 2nd Session, 39th Parliament 59 Elizabeth II&lt;/IDText&gt;&lt;MDL Ref_Type="Report"&gt;&lt;Ref_Type&gt;Report&lt;/Ref_Type&gt;&lt;Ref_ID&gt;183&lt;/Ref_ID&gt;&lt;Title_Primary&gt;SELECT COMMITTEE ON MENTAL HEALTH AND ADDICTIONS. Final Report. Navigating the Journey to Wellness: The Comprehensive Mental Health and Addictions Action Plan for Ontarians 2nd Session, 39th Parliament 59 Elizabeth II&lt;/Title_Primary&gt;&lt;Authors_Primary&gt;Legislative Assembly of Ontario.&lt;/Authors_Primary&gt;&lt;Date_Primary&gt;2010&lt;/Date_Primary&gt;&lt;Keywords&gt;Final Report&lt;/Keywords&gt;&lt;Reprint&gt;Not in File&lt;/Reprint&gt;&lt;Date_Secondary&gt;2010/8&lt;/Date_Secondary&gt;&lt;Misc_1&gt;Report&lt;/Misc_1&gt;&lt;Web_URL&gt;http://www.ontla.on.ca/committee-proceedings/committee-reports/files_pdf/Select%20Report%20ENG.pdf&lt;/Web_URL&gt;&lt;ZZ_WorkformID&gt;24&lt;/ZZ_WorkformID&gt;&lt;/MDL&gt;&lt;/Cite&gt;&lt;/Refman&gt;</w:instrText>
      </w:r>
      <w:r>
        <w:fldChar w:fldCharType="separate"/>
      </w:r>
      <w:bookmarkStart w:id="8" w:name="__Fieldmark__1033_1322453857"/>
      <w:r>
        <w:rPr>
          <w:rFonts w:cs="Arial" w:ascii="Arial" w:hAnsi="Arial"/>
        </w:rPr>
        <w:t>[15</w:t>
      </w:r>
      <w:r>
        <w:rPr>
          <w:rFonts w:cs="Arial" w:ascii="Arial" w:hAnsi="Arial"/>
        </w:rPr>
      </w:r>
      <w:r>
        <w:fldChar w:fldCharType="end"/>
      </w:r>
      <w:bookmarkEnd w:id="8"/>
      <w:r>
        <w:rPr>
          <w:rFonts w:cs="Arial" w:ascii="Arial" w:hAnsi="Arial"/>
        </w:rPr>
        <w:t>]  In enhanced fee-for-service, claims are paid in full. In contrast, reimbursement in blended capitation models is based on the age and sex distribution of rostered patients with no adjustment for case mix and fee-for-service claims are paid at 10% of their full value. [</w:t>
      </w:r>
      <w:r>
        <w:fldChar w:fldCharType="begin"/>
      </w:r>
      <w:r>
        <w:instrText> ADDIN REFMGR.CITE &lt;Refman&gt;&lt;Cite&gt;&lt;Author&gt;Glazier&lt;/Author&gt;&lt;Year&gt;2009&lt;/Year&gt;&lt;RecNum&gt;90&lt;/RecNum&gt;&lt;IDText&gt;Capitation and enhanced fee-for-service models for primary care reform: a population-based evaluation&lt;/IDText&gt;&lt;MDL Ref_Type="Journal"&gt;&lt;Ref_Type&gt;Journal&lt;/Ref_Type&gt;&lt;Ref_ID&gt;90&lt;/Ref_ID&gt;&lt;Title_Primary&gt;Capitation and enhanced fee-for-service models for primary care reform: a population-based evaluation&lt;/Title_Primary&gt;&lt;Authors_Primary&gt;Glazier,R.H.&lt;/Authors_Primary&gt;&lt;Authors_Primary&gt;Klein-Geltink,J.&lt;/Authors_Primary&gt;&lt;Authors_Primary&gt;Kopp,A.&lt;/Authors_Primary&gt;&lt;Authors_Primary&gt;Sibley,L.M.&lt;/Authors_Primary&gt;&lt;Date_Primary&gt;2009&lt;/Date_Primary&gt;&lt;Keywords&gt;Comorbidity&lt;/Keywords&gt;&lt;Reprint&gt;Not in File&lt;/Reprint&gt;&lt;Start_Page&gt;E72&lt;/Start_Page&gt;&lt;End_Page&gt;E81&lt;/End_Page&gt;&lt;Periodical&gt;CMAJ&lt;/Periodical&gt;&lt;Volume&gt;180&lt;/Volume&gt;&lt;Issue&gt;11&lt;/Issue&gt;&lt;Address&gt;Institute for Clinical Evaluative Sciences, Toronto, Ont. rick.glazier@ices.on.ca&lt;/Address&gt;&lt;ZZ_JournalFull&gt;&lt;f name="System"&gt;CMAJ : Canadian Medical Association journal = journal de l&amp;apos;Association medicale canadienne&lt;/f&gt;&lt;/ZZ_JournalFull&gt;&lt;ZZ_JournalStdAbbrev&gt;&lt;f name="System"&gt;CMAJ&lt;/f&gt;&lt;/ZZ_JournalStdAbbrev&gt;&lt;ZZ_WorkformID&gt;1&lt;/ZZ_WorkformID&gt;&lt;/MDL&gt;&lt;/Cite&gt;&lt;/Refman&gt;</w:instrText>
      </w:r>
      <w:r>
        <w:fldChar w:fldCharType="separate"/>
      </w:r>
      <w:bookmarkStart w:id="9" w:name="__Fieldmark__1034_1322453857"/>
      <w:r>
        <w:rPr>
          <w:rFonts w:cs="Arial" w:ascii="Arial" w:hAnsi="Arial"/>
        </w:rPr>
        <w:t>16</w:t>
      </w:r>
      <w:r>
        <w:rPr>
          <w:rFonts w:cs="Arial" w:ascii="Arial" w:hAnsi="Arial"/>
        </w:rPr>
      </w:r>
      <w:r>
        <w:fldChar w:fldCharType="end"/>
      </w:r>
      <w:bookmarkEnd w:id="9"/>
      <w:r>
        <w:rPr>
          <w:rFonts w:cs="Arial" w:ascii="Arial" w:hAnsi="Arial"/>
        </w:rPr>
        <w:t xml:space="preserve">]   The major distinction between the two blended capitation models is that team-based models include inter-professional members, who often include mental health workers. </w:t>
      </w:r>
      <w:r>
        <w:fldChar w:fldCharType="begin"/>
      </w:r>
      <w:r>
        <w:instrText> ADDIN REFMGR.CITE &lt;Refman&gt;&lt;Cite&gt;&lt;Author&gt;Ministry of Health and Long Term Care&lt;/Author&gt;&lt;Year&gt;2010&lt;/Year&gt;&lt;RecNum&gt;195&lt;/RecNum&gt;&lt;IDText&gt;Guide to Interdisciplinary Provider Compensation. Version 3.2&lt;/IDText&gt;&lt;MDL Ref_Type="Electronic Citation"&gt;&lt;Ref_Type&gt;Electronic Citation&lt;/Ref_Type&gt;&lt;Ref_ID&gt;195&lt;/Ref_ID&gt;&lt;Title_Primary&gt;Guide to Interdisciplinary Provider Compensation. Version 3.2&lt;/Title_Primary&gt;&lt;Date_Primary&gt;2010&lt;/Date_Primary&gt;&lt;Reprint&gt;Not in File&lt;/Reprint&gt;&lt;Periodical&gt;Ontario Ministry of Health and Long Term Care&lt;/Periodical&gt;&lt;Date_Secondary&gt;2012/4/10&lt;/Date_Secondary&gt;&lt;Misc_1&gt;Web Page&lt;/Misc_1&gt;&lt;Web_URL&gt;&lt;u&gt;http://www.health.gov.on.ca/transformation/fht/guides/fht_inter_provider.pdf&lt;/u&gt;&lt;/Web_URL&gt;&lt;ZZ_JournalFull&gt;&lt;f name="System"&gt;Ontario Ministry of Health and Long Term Care&lt;/f&gt;&lt;/ZZ_JournalFull&gt;&lt;ZZ_WorkformID&gt;34&lt;/ZZ_WorkformID&gt;&lt;/MDL&gt;&lt;/Cite&gt;&lt;Cite&gt;&lt;Author&gt;Hutchinson&lt;/Author&gt;&lt;Year&gt;2008&lt;/Year&gt;&lt;RecNum&gt;167&lt;/RecNum&gt;&lt;IDText&gt;A long time coming: Primary healthcare renewal in Canada&lt;/IDText&gt;&lt;MDL Ref_Type="Journal"&gt;&lt;Ref_Type&gt;Journal&lt;/Ref_Type&gt;&lt;Ref_ID&gt;167&lt;/Ref_ID&gt;&lt;Title_Primary&gt;A long time coming: Primary healthcare renewal in Canada&lt;/Title_Primary&gt;&lt;Authors_Primary&gt;Hutchinson,B.&lt;/Authors_Primary&gt;&lt;Date_Primary&gt;2008&lt;/Date_Primary&gt;&lt;Keywords&gt;Canada&lt;/Keywords&gt;&lt;Reprint&gt;Not in File&lt;/Reprint&gt;&lt;Start_Page&gt;10&lt;/Start_Page&gt;&lt;Periodical&gt;Healthcare Papers&lt;/Periodical&gt;&lt;Volume&gt;8&lt;/Volume&gt;&lt;ZZ_JournalFull&gt;&lt;f name="System"&gt;Healthcare Papers&lt;/f&gt;&lt;/ZZ_JournalFull&gt;&lt;ZZ_WorkformID&gt;1&lt;/ZZ_WorkformID&gt;&lt;/MDL&gt;&lt;/Cite&gt;&lt;/Refman&gt;</w:instrText>
      </w:r>
      <w:r>
        <w:fldChar w:fldCharType="separate"/>
      </w:r>
      <w:bookmarkStart w:id="10" w:name="__Fieldmark__1035_1322453857"/>
      <w:r>
        <w:rPr>
          <w:rFonts w:cs="Arial" w:ascii="Arial" w:hAnsi="Arial"/>
        </w:rPr>
        <w:t>[17,18]</w:t>
      </w:r>
      <w:r>
        <w:rPr>
          <w:rFonts w:cs="Arial" w:ascii="Arial" w:hAnsi="Arial"/>
        </w:rPr>
      </w:r>
      <w:r>
        <w:fldChar w:fldCharType="end"/>
      </w:r>
      <w:bookmarkEnd w:id="10"/>
      <w:r>
        <w:rPr>
          <w:rFonts w:cs="Arial" w:ascii="Arial" w:hAnsi="Arial"/>
        </w:rPr>
        <w:t xml:space="preserve">   Patient rostering is part of all three models. Rostering is voluntary for patients and allows them to access to additional services such as physician-provided treatment or advice during evening and weekend hours and a 24-hour nurse-staffed telephone service. Primary care physicians are also eligible to receive financial incentives for providing specific services to rostered patients including preventive health care and chronic disease management.  Physicians in every model are remunerated by fee-for-service when they provide care to non-rostered patients, however there is a cap on such income in blended capitation models. </w:t>
      </w:r>
      <w:r>
        <w:fldChar w:fldCharType="begin"/>
      </w:r>
      <w:r>
        <w:instrText> ADDIN REFMGR.CITE &lt;Refman&gt;&lt;Cite&gt;&lt;Author&gt;Ministry of Health and Long Term Care&lt;/Author&gt;&lt;Year&gt;2005&lt;/Year&gt;&lt;RecNum&gt;1242&lt;/RecNum&gt;&lt;IDText&gt;Family Health Teams. Advancing Primary Care. Guide to Patient Enrollment&lt;/IDText&gt;&lt;MDL Ref_Type="Electronic Citation"&gt;&lt;Ref_Type&gt;Electronic Citation&lt;/Ref_Type&gt;&lt;Ref_ID&gt;1242&lt;/Ref_ID&gt;&lt;Title_Primary&gt;Family Health Teams. Advancing Primary Care. Guide to Patient Enrollment&lt;/Title_Primary&gt;&lt;Authors_Primary&gt;Ministry of Health and Long Term Care&lt;/Authors_Primary&gt;&lt;Date_Primary&gt;2005&lt;/Date_Primary&gt;&lt;Keywords&gt;Family&lt;/Keywords&gt;&lt;Keywords&gt;Family Health&lt;/Keywords&gt;&lt;Keywords&gt;health&lt;/Keywords&gt;&lt;Keywords&gt;patient&lt;/Keywords&gt;&lt;Keywords&gt;primary care&lt;/Keywords&gt;&lt;Keywords&gt;team&lt;/Keywords&gt;&lt;Reprint&gt;Not in File&lt;/Reprint&gt;&lt;Periodical&gt;Ontario Ministry of Health and Long Term Care&lt;/Periodical&gt;&lt;Date_Secondary&gt;2012/4/10&lt;/Date_Secondary&gt;&lt;Misc_1&gt;Web Page&lt;/Misc_1&gt;&lt;Web_URL&gt;&lt;u&gt;http://www.health.gov.on.ca/transformation/fht/guides/fht_enrolment.pdf&lt;/u&gt;&lt;/Web_URL&gt;&lt;ZZ_JournalFull&gt;&lt;f name="System"&gt;Ontario Ministry of Health and Long Term Care&lt;/f&gt;&lt;/ZZ_JournalFull&gt;&lt;ZZ_WorkformID&gt;34&lt;/ZZ_WorkformID&gt;&lt;/MDL&gt;&lt;/Cite&gt;&lt;Cite&gt;&lt;Author&gt;Glazier&lt;/Author&gt;&lt;Year&gt;2009&lt;/Year&gt;&lt;RecNum&gt;49&lt;/RecNum&gt;&lt;IDText&gt;Primary care reform&lt;/IDText&gt;&lt;MDL Ref_Type="Journal"&gt;&lt;Ref_Type&gt;Journal&lt;/Ref_Type&gt;&lt;Ref_ID&gt;49&lt;/Ref_ID&gt;&lt;Title_Primary&gt;Primary care reform&lt;/Title_Primary&gt;&lt;Authors_Primary&gt;Glazier,R.H.&lt;/Authors_Primary&gt;&lt;Date_Primary&gt;2009&lt;/Date_Primary&gt;&lt;Reprint&gt;Not in File&lt;/Reprint&gt;&lt;Start_Page&gt;61&lt;/Start_Page&gt;&lt;Periodical&gt;CMAJ Canadian Medical Association Journal&lt;/Periodical&gt;&lt;Volume&gt;181&lt;/Volume&gt;&lt;Issue&gt;1-2&lt;/Issue&gt;&lt;Availability&gt;Held at Gerstein; U of T also has electronic copy&lt;/Availability&gt;&lt;Web_URL&gt;http://ovidsp.ovid.com/ovidweb.cgi?T=JS&amp;amp;CSC=Y&amp;amp;NEWS=N&amp;amp;PAGE=fulltext&amp;amp;D=medl&amp;amp;AN=19581622; http://bf4dv7zn3u.search.serialssolutions.com.myaccess.library.utoronto.ca/?url_ver=Z39.88-2004&amp;amp;rft_val_fmt=info:ofi/fmt:kev:mtx:journal&amp;amp;rfr_id=info:sid/Ovid:medl&amp;amp;rft.genre=article&amp;amp;rft_id=info:doi/&amp;amp;rft_id=info:pmid/19581622&amp;amp;rft.issn=0820-3946&amp;amp;rft.volume=181&amp;amp;rft.issue=1&amp;amp;rft.spage=61&amp;amp;rft.pages=61%3B+author+reply+61&amp;amp;rft.date=2009&amp;amp;rft.jtitle=CMAJ+Canadian+Medical+Association+Journal&amp;amp;rft.atitle=Primary+care+reform.&amp;amp;rft.aulast=Glazier&lt;/Web_URL&gt;&lt;ZZ_JournalFull&gt;&lt;f name="System"&gt;CMAJ Canadian Medical Association Journal&lt;/f&gt;&lt;/ZZ_JournalFull&gt;&lt;ZZ_WorkformID&gt;1&lt;/ZZ_WorkformID&gt;&lt;/MDL&gt;&lt;/Cite&gt;&lt;/Refman&gt;</w:instrText>
      </w:r>
      <w:r>
        <w:fldChar w:fldCharType="separate"/>
      </w:r>
      <w:bookmarkStart w:id="11" w:name="__Fieldmark__1036_1322453857"/>
      <w:r>
        <w:rPr>
          <w:rFonts w:cs="Arial" w:ascii="Arial" w:hAnsi="Arial"/>
        </w:rPr>
        <w:t>[19,20</w:t>
      </w:r>
      <w:r>
        <w:rPr>
          <w:rFonts w:cs="Arial" w:ascii="Arial" w:hAnsi="Arial"/>
        </w:rPr>
      </w:r>
      <w:r>
        <w:fldChar w:fldCharType="end"/>
      </w:r>
      <w:bookmarkEnd w:id="11"/>
      <w:r>
        <w:rPr>
          <w:rFonts w:cs="Arial" w:ascii="Arial" w:hAnsi="Arial"/>
        </w:rPr>
        <w:t>]</w:t>
      </w:r>
    </w:p>
    <w:p>
      <w:pPr>
        <w:pStyle w:val="Normal"/>
        <w:widowControl w:val="false"/>
        <w:autoSpaceDE w:val="false"/>
        <w:spacing w:lineRule="auto" w:line="480" w:before="0" w:after="0"/>
        <w:ind w:firstLine="720"/>
        <w:rPr>
          <w:rFonts w:ascii="Arial" w:hAnsi="Arial" w:cs="Arial"/>
        </w:rPr>
      </w:pPr>
      <w:r>
        <w:rPr>
          <w:rFonts w:cs="Arial" w:ascii="Arial" w:hAnsi="Arial"/>
        </w:rPr>
        <w:t>Physicians in all three types of medical homes can receive financial incentives for rostering persons with severe mental illness. Primary care practitioners are offered $1,000 for rostering five patients with bipolar disorder or schizophrenia, and an additional $1,000 (maximum of $2,000) for rostering another five such patients.</w:t>
      </w:r>
      <w:r>
        <w:fldChar w:fldCharType="begin"/>
      </w:r>
      <w:r>
        <w:instrText> ADDIN REFMGR.CITE &lt;Refman&gt;&lt;Cite&gt;&lt;Year&gt;2007&lt;/Year&gt;&lt;RecNum&gt;1241&lt;/RecNum&gt;&lt;IDText&gt;Billing and Payment Information for Family Health Network (FHN) Signatory Physicians. Fact Sheet&lt;/IDText&gt;&lt;MDL Ref_Type="Electronic Citation"&gt;&lt;Ref_Type&gt;Electronic Citation&lt;/Ref_Type&gt;&lt;Ref_ID&gt;1241&lt;/Ref_ID&gt;&lt;Title_Primary&gt;Billing and Payment Information for Family Health Network (FHN) Signatory Physicians. Fact Sheet&lt;/Title_Primary&gt;&lt;Date_Primary&gt;2007&lt;/Date_Primary&gt;&lt;Keywords&gt;Family&lt;/Keywords&gt;&lt;Keywords&gt;Family Health&lt;/Keywords&gt;&lt;Keywords&gt;health&lt;/Keywords&gt;&lt;Keywords&gt;physician&lt;/Keywords&gt;&lt;Keywords&gt;physicians&lt;/Keywords&gt;&lt;Reprint&gt;Not in File&lt;/Reprint&gt;&lt;Periodical&gt;Ontario Ministry of Health and Long Term Care&lt;/Periodical&gt;&lt;Date_Secondary&gt;2012/4/10&lt;/Date_Secondary&gt;&lt;Misc_1&gt;Web Page&lt;/Misc_1&gt;&lt;Web_URL&gt;&lt;u&gt;http://tinyurl.com/84auv43&lt;/u&gt;&lt;/Web_URL&gt;&lt;ZZ_JournalFull&gt;&lt;f name="System"&gt;Ontario Ministry of Health and Long Term Care&lt;/f&gt;&lt;/ZZ_JournalFull&gt;&lt;ZZ_WorkformID&gt;34&lt;/ZZ_WorkformID&gt;&lt;/MDL&gt;&lt;/Cite&gt;&lt;/Refman&gt;</w:instrText>
      </w:r>
      <w:r>
        <w:fldChar w:fldCharType="separate"/>
      </w:r>
      <w:bookmarkStart w:id="12" w:name="__Fieldmark__1037_1322453857"/>
      <w:r>
        <w:rPr>
          <w:rFonts w:cs="Arial" w:ascii="Arial" w:hAnsi="Arial"/>
        </w:rPr>
        <w:t>[21</w:t>
      </w:r>
      <w:r>
        <w:rPr>
          <w:rFonts w:cs="Arial" w:ascii="Arial" w:hAnsi="Arial"/>
        </w:rPr>
      </w:r>
      <w:r>
        <w:fldChar w:fldCharType="end"/>
      </w:r>
      <w:bookmarkEnd w:id="12"/>
      <w:r>
        <w:rPr>
          <w:rFonts w:cs="Arial" w:ascii="Arial" w:hAnsi="Arial"/>
        </w:rPr>
        <w:t xml:space="preserve">]  Despite these incentives, we hypothesized that physicians would be less likely to roster patients with mental illness into capitation models due to their greater expected needs for care.   The tendency for capitation physicians to selectively roster healthier patients because of the financial risks associated with treating patients with higher morbidity has been termed “cream-skimming” or “cherry-picking.” </w:t>
      </w:r>
      <w:r>
        <w:fldChar w:fldCharType="begin"/>
      </w:r>
      <w:r>
        <w:instrText> ADDIN REFMGR.CITE &lt;Refman&gt;&lt;Cite&gt;&lt;Author&gt;Leff&lt;/Author&gt;&lt;Year&gt;2005&lt;/Year&gt;&lt;RecNum&gt;99&lt;/RecNum&gt;&lt;IDText&gt;Assessment of Medicaid managed behavioral health care for persons with serious mental illness&lt;/IDText&gt;&lt;MDL Ref_Type="Journal"&gt;&lt;Ref_Type&gt;Journal&lt;/Ref_Type&gt;&lt;Ref_ID&gt;99&lt;/Ref_ID&gt;&lt;Title_Primary&gt;Assessment of Medicaid managed behavioral health care for persons with serious mental illness&lt;/Title_Primary&gt;&lt;Authors_Primary&gt;Leff,H.S.&lt;/Authors_Primary&gt;&lt;Authors_Primary&gt;Wieman,D.A.&lt;/Authors_Primary&gt;&lt;Authors_Primary&gt;McFarland,B.H.&lt;/Authors_Primary&gt;&lt;Authors_Primary&gt;Morrissey,J.P.&lt;/Authors_Primary&gt;&lt;Authors_Primary&gt;Rothbard,A.&lt;/Authors_Primary&gt;&lt;Authors_Primary&gt;Shern,D.L.&lt;/Authors_Primary&gt;&lt;Authors_Primary&gt;Wylie,A.M.&lt;/Authors_Primary&gt;&lt;Authors_Primary&gt;Boothroyd,R.A.&lt;/Authors_Primary&gt;&lt;Authors_Primary&gt;Stroup,T.S.&lt;/Authors_Primary&gt;&lt;Authors_Primary&gt;Allen,I.E.&lt;/Authors_Primary&gt;&lt;Date_Primary&gt;2005&lt;/Date_Primary&gt;&lt;Keywords&gt;Adult&lt;/Keywords&gt;&lt;Keywords&gt;Fee-for-Service Plans&lt;/Keywords&gt;&lt;Keywords&gt;Female&lt;/Keywords&gt;&lt;Keywords&gt;Florida&lt;/Keywords&gt;&lt;Keywords&gt;Hawaii&lt;/Keywords&gt;&lt;Keywords&gt;Humans&lt;/Keywords&gt;&lt;Keywords&gt;Male&lt;/Keywords&gt;&lt;Keywords&gt;Managed Care Programs&lt;/Keywords&gt;&lt;Keywords&gt;Managed Care Programs&lt;/Keywords&gt;&lt;Keywords&gt;standards&lt;/Keywords&gt;&lt;Keywords&gt;Medicaid&lt;/Keywords&gt;&lt;Keywords&gt;standards&lt;/Keywords&gt;&lt;Keywords&gt;Mental Disorders&lt;/Keywords&gt;&lt;Keywords&gt;psychology&lt;/Keywords&gt;&lt;Keywords&gt;therapy&lt;/Keywords&gt;&lt;Keywords&gt;Mental Health Services&lt;/Keywords&gt;&lt;Keywords&gt;standards&lt;/Keywords&gt;&lt;Keywords&gt;Oregon&lt;/Keywords&gt;&lt;Keywords&gt;Pennsylvania&lt;/Keywords&gt;&lt;Keywords&gt;Quality of Health Care&lt;/Keywords&gt;&lt;Keywords&gt;Questionnaires&lt;/Keywords&gt;&lt;Keywords&gt;Severity of Illness Index&lt;/Keywords&gt;&lt;Keywords&gt;Virginia&lt;/Keywords&gt;&lt;Reprint&gt;Not in File&lt;/Reprint&gt;&lt;Start_Page&gt;1245&lt;/Start_Page&gt;&lt;End_Page&gt;1253&lt;/End_Page&gt;&lt;Periodical&gt;Psychiatric services (Washington, D.C.)&lt;/Periodical&gt;&lt;Volume&gt;56&lt;/Volume&gt;&lt;Issue&gt;10&lt;/Issue&gt;&lt;Address&gt;Human Services Research Institute, 2336 Massachusetts Avenue, Cambridge, Massachusetts 02140, USA. sleff@hsri.org&lt;/Address&gt;&lt;ZZ_JournalFull&gt;&lt;f name="System"&gt;Psychiatric services (Washington, D.C.)&lt;/f&gt;&lt;/ZZ_JournalFull&gt;&lt;ZZ_WorkformID&gt;1&lt;/ZZ_WorkformID&gt;&lt;/MDL&gt;&lt;/Cite&gt;&lt;Cite&gt;&lt;Author&gt;Miller&lt;/Author&gt;&lt;Year&gt;1997&lt;/Year&gt;&lt;RecNum&gt;105&lt;/RecNum&gt;&lt;IDText&gt;Does managed care lead to better or worse quality of care?&lt;/IDText&gt;&lt;MDL Ref_Type="Journal"&gt;&lt;Ref_Type&gt;Journal&lt;/Ref_Type&gt;&lt;Ref_ID&gt;105&lt;/Ref_ID&gt;&lt;Title_Primary&gt;Does managed care lead to better or worse quality of care?&lt;/Title_Primary&gt;&lt;Authors_Primary&gt;Miller,R.H.&lt;/Authors_Primary&gt;&lt;Authors_Primary&gt;Luft,H.S.&lt;/Authors_Primary&gt;&lt;Date_Primary&gt;1997&lt;/Date_Primary&gt;&lt;Keywords&gt;California&lt;/Keywords&gt;&lt;Keywords&gt;Fee-for-Service Plans&lt;/Keywords&gt;&lt;Keywords&gt;economics&lt;/Keywords&gt;&lt;Keywords&gt;standards&lt;/Keywords&gt;&lt;Keywords&gt;Health Care Costs&lt;/Keywords&gt;&lt;Keywords&gt;Health Maintenance Organizations&lt;/Keywords&gt;&lt;Keywords&gt;economics&lt;/Keywords&gt;&lt;Keywords&gt;standards&lt;/Keywords&gt;&lt;Keywords&gt;Health Services Research&lt;/Keywords&gt;&lt;Keywords&gt;Humans&lt;/Keywords&gt;&lt;Keywords&gt;Medicare&lt;/Keywords&gt;&lt;Keywords&gt;Patient Satisfaction&lt;/Keywords&gt;&lt;Keywords&gt;Quality of Health Care&lt;/Keywords&gt;&lt;Keywords&gt;United States&lt;/Keywords&gt;&lt;Reprint&gt;Not in File&lt;/Reprint&gt;&lt;Start_Page&gt;7&lt;/Start_Page&gt;&lt;End_Page&gt;25&lt;/End_Page&gt;&lt;Periodical&gt;Health Aff.(Millwood.)&lt;/Periodical&gt;&lt;Volume&gt;16&lt;/Volume&gt;&lt;Issue&gt;5&lt;/Issue&gt;&lt;Address&gt;University of California, San Francisco, USA&lt;/Address&gt;&lt;ZZ_JournalFull&gt;&lt;f name="System"&gt;Health affairs (Project Hope)&lt;/f&gt;&lt;/ZZ_JournalFull&gt;&lt;ZZ_JournalStdAbbrev&gt;&lt;f name="System"&gt;Health Aff.(Millwood.)&lt;/f&gt;&lt;/ZZ_JournalStdAbbrev&gt;&lt;ZZ_WorkformID&gt;1&lt;/ZZ_WorkformID&gt;&lt;/MDL&gt;&lt;/Cite&gt;&lt;Cite&gt;&lt;Author&gt;Knapp&lt;/Author&gt;&lt;Year&gt;2007&lt;/Year&gt;&lt;RecNum&gt;1049&lt;/RecNum&gt;&lt;IDText&gt;Financing mental health care in Europe&lt;/IDText&gt;&lt;MDL Ref_Type="Journal"&gt;&lt;Ref_Type&gt;Journal&lt;/Ref_Type&gt;&lt;Ref_ID&gt;1049&lt;/Ref_ID&gt;&lt;Title_Primary&gt;Financing mental health care in Europe&lt;/Title_Primary&gt;&lt;Authors_Primary&gt;Knapp,D.&lt;/Authors_Primary&gt;&lt;Authors_Primary&gt;McDaid,F.&lt;/Authors_Primary&gt;&lt;Authors_Primary&gt;Amaddeo,F.&lt;/Authors_Primary&gt;&lt;Authors_Primary&gt;Constantopoulos,A.&lt;/Authors_Primary&gt;&lt;Authors_Primary&gt;Oliveira&amp;#xE2;&amp;#x20AC;&amp;#x152;,M.D.&lt;/Authors_Primary&gt;&lt;Authors_Primary&gt;Zechmeister,I.&lt;/Authors_Primary&gt;&lt;Authors_Primary&gt;Mheen Group&lt;/Authors_Primary&gt;&lt;Date_Primary&gt;2007&lt;/Date_Primary&gt;&lt;Keywords&gt;health&lt;/Keywords&gt;&lt;Keywords&gt;health care&lt;/Keywords&gt;&lt;Keywords&gt;mental health&lt;/Keywords&gt;&lt;Keywords&gt;mental health care&lt;/Keywords&gt;&lt;Reprint&gt;Not in File&lt;/Reprint&gt;&lt;Start_Page&gt;167&lt;/Start_Page&gt;&lt;Periodical&gt;J Ment Health&lt;/Periodical&gt;&lt;Volume&gt;26&lt;/Volume&gt;&lt;Issue&gt;2&lt;/Issue&gt;&lt;ZZ_JournalFull&gt;&lt;f name="System"&gt;Journal of Mental Health&lt;/f&gt;&lt;/ZZ_JournalFull&gt;&lt;ZZ_JournalStdAbbrev&gt;&lt;f name="System"&gt;J Ment Health&lt;/f&gt;&lt;/ZZ_JournalStdAbbrev&gt;&lt;ZZ_WorkformID&gt;1&lt;/ZZ_WorkformID&gt;&lt;/MDL&gt;&lt;/Cite&gt;&lt;Cite&gt;&lt;Author&gt;Goldberg&lt;/Author&gt;&lt;Year&gt;1999&lt;/Year&gt;&lt;RecNum&gt;802&lt;/RecNum&gt;&lt;IDText&gt;Financial incentives influencing the integration of mental health care and primary care&lt;/IDText&gt;&lt;MDL Ref_Type="Journal"&gt;&lt;Ref_Type&gt;Journal&lt;/Ref_Type&gt;&lt;Ref_ID&gt;802&lt;/Ref_ID&gt;&lt;Title_Primary&gt;Financial incentives influencing the integration of mental health care and primary care&lt;/Title_Primary&gt;&lt;Authors_Primary&gt;Goldberg,R.J.&lt;/Authors_Primary&gt;&lt;Date_Primary&gt;1999&lt;/Date_Primary&gt;&lt;Keywords&gt;Capitation Fee&lt;/Keywords&gt;&lt;Keywords&gt;fee for service&lt;/Keywords&gt;&lt;Keywords&gt;fee-for-service&lt;/Keywords&gt;&lt;Keywords&gt;Fee-for-Service Plans&lt;/Keywords&gt;&lt;Keywords&gt;Fees,Medical&lt;/Keywords&gt;&lt;Keywords&gt;health&lt;/Keywords&gt;&lt;Keywords&gt;health care&lt;/Keywords&gt;&lt;Keywords&gt;Health Maintenance Organizations&lt;/Keywords&gt;&lt;Keywords&gt;Health Status&lt;/Keywords&gt;&lt;Keywords&gt;Humans&lt;/Keywords&gt;&lt;Keywords&gt;influence&lt;/Keywords&gt;&lt;Keywords&gt;Mental Disorders&lt;/Keywords&gt;&lt;Keywords&gt;therapy&lt;/Keywords&gt;&lt;Keywords&gt;mental health&lt;/Keywords&gt;&lt;Keywords&gt;mental health care&lt;/Keywords&gt;&lt;Keywords&gt;Models,Economic&lt;/Keywords&gt;&lt;Keywords&gt;Motivation&lt;/Keywords&gt;&lt;Keywords&gt;organization&lt;/Keywords&gt;&lt;Keywords&gt;patient&lt;/Keywords&gt;&lt;Keywords&gt;Patient Care Team&lt;/Keywords&gt;&lt;Keywords&gt;economics&lt;/Keywords&gt;&lt;Keywords&gt;patients&lt;/Keywords&gt;&lt;Keywords&gt;primary care&lt;/Keywords&gt;&lt;Keywords&gt;Primary Health Care&lt;/Keywords&gt;&lt;Keywords&gt;Primary Health Care&lt;/Keywords&gt;&lt;Keywords&gt;economics&lt;/Keywords&gt;&lt;Keywords&gt;organization &amp;amp; administration&lt;/Keywords&gt;&lt;Keywords&gt;utilization&lt;/Keywords&gt;&lt;Keywords&gt;Psychiatry&lt;/Keywords&gt;&lt;Keywords&gt;economics&lt;/Keywords&gt;&lt;Keywords&gt;organization &amp;amp; administration&lt;/Keywords&gt;&lt;Keywords&gt;Reimbursement,Incentive&lt;/Keywords&gt;&lt;Keywords&gt;study&lt;/Keywords&gt;&lt;Keywords&gt;treatment&lt;/Keywords&gt;&lt;Keywords&gt;United States&lt;/Keywords&gt;&lt;Keywords&gt;USA&lt;/Keywords&gt;&lt;Reprint&gt;Not in File&lt;/Reprint&gt;&lt;Start_Page&gt;1071&lt;/Start_Page&gt;&lt;End_Page&gt;1075&lt;/End_Page&gt;&lt;Periodical&gt;Psychiatric services (Washington, D.C.)&lt;/Periodical&gt;&lt;Volume&gt;50&lt;/Volume&gt;&lt;Issue&gt;8&lt;/Issue&gt;&lt;Address&gt;Brown University, Rhode Island Hospital, Providence 02903, USA. rjgoldberg@lifespan.org&lt;/Address&gt;&lt;ZZ_JournalFull&gt;&lt;f name="System"&gt;Psychiatric services (Washington, D.C.)&lt;/f&gt;&lt;/ZZ_JournalFull&gt;&lt;ZZ_WorkformID&gt;1&lt;/ZZ_WorkformID&gt;&lt;/MDL&gt;&lt;/Cite&gt;&lt;/Refman&gt;</w:instrText>
      </w:r>
      <w:r>
        <w:fldChar w:fldCharType="separate"/>
      </w:r>
      <w:bookmarkStart w:id="13" w:name="__Fieldmark__1038_1322453857"/>
      <w:r>
        <w:rPr>
          <w:rFonts w:cs="Arial" w:ascii="Arial" w:hAnsi="Arial"/>
        </w:rPr>
        <w:t>[22,25]</w:t>
      </w:r>
      <w:bookmarkEnd w:id="13"/>
      <w:r>
        <w:rPr>
          <w:rFonts w:cs="Arial" w:ascii="Arial" w:hAnsi="Arial"/>
        </w:rPr>
      </w:r>
      <w:r>
        <w:fldChar w:fldCharType="end"/>
      </w:r>
    </w:p>
    <w:p>
      <w:pPr>
        <w:pStyle w:val="Normal"/>
        <w:widowControl w:val="false"/>
        <w:autoSpaceDE w:val="false"/>
        <w:spacing w:lineRule="auto" w:line="480" w:before="0" w:after="0"/>
        <w:rPr>
          <w:rFonts w:ascii="Arial" w:hAnsi="Arial" w:cs="Arial"/>
        </w:rPr>
      </w:pPr>
      <w:r>
        <w:rPr>
          <w:rFonts w:cs="Arial" w:ascii="Arial" w:hAnsi="Arial"/>
        </w:rPr>
        <w:t>Objectives</w:t>
      </w:r>
    </w:p>
    <w:p>
      <w:pPr>
        <w:pStyle w:val="Normal"/>
        <w:widowControl w:val="false"/>
        <w:autoSpaceDE w:val="false"/>
        <w:spacing w:lineRule="auto" w:line="480" w:before="0" w:after="0"/>
        <w:ind w:firstLine="720"/>
        <w:rPr/>
      </w:pPr>
      <w:r>
        <w:rPr>
          <w:rFonts w:cs="Arial" w:ascii="Arial" w:hAnsi="Arial"/>
        </w:rPr>
        <w:t xml:space="preserve">The inclusion of patients with mental illness in Ontario medical homes has not been explored.  Accordingly, two research questions were addressed: 1) Is there evidence that the prevalence of mental illness varies by model type? 2)  Is there evidence that capitation models are less likely to roster patients with mental health needs relative to enhanced fee-for-service?   </w:t>
      </w:r>
    </w:p>
    <w:p>
      <w:pPr>
        <w:pStyle w:val="Normal"/>
        <w:widowControl w:val="false"/>
        <w:autoSpaceDE w:val="false"/>
        <w:spacing w:lineRule="auto" w:line="480" w:before="0" w:after="0"/>
        <w:rPr>
          <w:rFonts w:ascii="Arial" w:hAnsi="Arial" w:cs="Arial"/>
          <w:b/>
          <w:b/>
        </w:rPr>
      </w:pPr>
      <w:r>
        <w:rPr>
          <w:rFonts w:eastAsia="Arial" w:cs="Arial" w:ascii="Arial" w:hAnsi="Arial"/>
        </w:rPr>
        <w:t xml:space="preserve"> </w:t>
      </w:r>
      <w:r>
        <w:rPr>
          <w:rFonts w:cs="Arial" w:ascii="Arial" w:hAnsi="Arial"/>
          <w:b/>
        </w:rPr>
        <w:t>METHODS</w:t>
      </w:r>
    </w:p>
    <w:p>
      <w:pPr>
        <w:pStyle w:val="Normal"/>
        <w:widowControl w:val="false"/>
        <w:autoSpaceDE w:val="false"/>
        <w:spacing w:lineRule="auto" w:line="480" w:before="0" w:after="0"/>
        <w:rPr>
          <w:rFonts w:ascii="Arial" w:hAnsi="Arial" w:cs="Arial"/>
        </w:rPr>
      </w:pPr>
      <w:r>
        <w:rPr>
          <w:rFonts w:cs="Arial" w:ascii="Arial" w:hAnsi="Arial"/>
        </w:rPr>
        <w:t>Study Design</w:t>
      </w:r>
    </w:p>
    <w:p>
      <w:pPr>
        <w:pStyle w:val="Normal"/>
        <w:widowControl w:val="false"/>
        <w:autoSpaceDE w:val="false"/>
        <w:spacing w:lineRule="auto" w:line="480" w:before="0" w:after="0"/>
        <w:ind w:firstLine="720"/>
        <w:rPr>
          <w:rFonts w:ascii="Arial" w:hAnsi="Arial" w:cs="Arial"/>
        </w:rPr>
      </w:pPr>
      <w:r>
        <w:rPr>
          <w:rFonts w:cs="Arial" w:ascii="Arial" w:hAnsi="Arial"/>
        </w:rPr>
        <w:t xml:space="preserve">This cross-sectional study used administrative claims data to examine rostered and non-rostered patients with and without mental illness in different medical home models. Non-nominal data with encrypted unique identifiers were accessed through a comprehensive research agreement with the Ontario Ministry of Health and Long-Term Care. </w:t>
      </w:r>
    </w:p>
    <w:p>
      <w:pPr>
        <w:pStyle w:val="Normal"/>
        <w:widowControl w:val="false"/>
        <w:autoSpaceDE w:val="false"/>
        <w:spacing w:lineRule="auto" w:line="480" w:before="0" w:after="0"/>
        <w:rPr>
          <w:rFonts w:ascii="Arial" w:hAnsi="Arial" w:cs="Arial"/>
        </w:rPr>
      </w:pPr>
      <w:r>
        <w:rPr>
          <w:rFonts w:cs="Arial" w:ascii="Arial" w:hAnsi="Arial"/>
        </w:rPr>
        <w:t>Setting</w:t>
      </w:r>
    </w:p>
    <w:p>
      <w:pPr>
        <w:pStyle w:val="Normal"/>
        <w:widowControl w:val="false"/>
        <w:autoSpaceDE w:val="false"/>
        <w:spacing w:lineRule="auto" w:line="480" w:before="0" w:after="0"/>
        <w:ind w:firstLine="720"/>
        <w:rPr>
          <w:rFonts w:ascii="Arial" w:hAnsi="Arial" w:cs="Arial"/>
        </w:rPr>
      </w:pPr>
      <w:r>
        <w:rPr>
          <w:rFonts w:cs="Arial" w:ascii="Arial" w:hAnsi="Arial"/>
        </w:rPr>
        <w:t xml:space="preserve">This study was conducted at the Institute for Clinical Evaluative Sciences in Toronto, Ontario and was approved by the Research Ethics Board of Sunnybrook Health Sciences Centre in Toronto, Ontario. </w:t>
      </w:r>
    </w:p>
    <w:p>
      <w:pPr>
        <w:pStyle w:val="Normal"/>
        <w:widowControl w:val="false"/>
        <w:autoSpaceDE w:val="false"/>
        <w:spacing w:lineRule="auto" w:line="480" w:before="0" w:after="0"/>
        <w:rPr>
          <w:rFonts w:ascii="Arial" w:hAnsi="Arial" w:cs="Arial"/>
        </w:rPr>
      </w:pPr>
      <w:r>
        <w:rPr>
          <w:rFonts w:cs="Arial" w:ascii="Arial" w:hAnsi="Arial"/>
        </w:rPr>
        <w:t>Participants</w:t>
      </w:r>
    </w:p>
    <w:p>
      <w:pPr>
        <w:pStyle w:val="Normal"/>
        <w:widowControl w:val="false"/>
        <w:autoSpaceDE w:val="false"/>
        <w:spacing w:lineRule="auto" w:line="480" w:before="0" w:after="0"/>
        <w:ind w:firstLine="720"/>
        <w:rPr/>
      </w:pPr>
      <w:r>
        <w:rPr>
          <w:rFonts w:cs="Arial" w:ascii="Arial" w:hAnsi="Arial"/>
        </w:rPr>
        <w:t>The study population was comprised of Ontario residents who had valid Ontario Health Insurance Program coverage and were 18 years or older as of August 31, 2008. This program covers all medically necessary physician and hospital services without co-payments or deductibles and is available to all permanent residents. Patients were excluded if they did not have at least one visit with a primary care practitioner between September 1, 2006 and August 31, 2008 or if the physician deemed to be the patient’s most responsible physician was not in a medical home model. Primary care physicians belonging to medical home models and patients rostered to these physicians were identified using Client Agency Program Enrolment tables as of August 31, 2008.  A “virtual roster” of non-rostered patients for whom the physician was deemed to be the most responsible physician was also identified for each physician using the maximum dollar value of 21 comprehensive primary care billing codes. [</w:t>
      </w:r>
      <w:r>
        <w:fldChar w:fldCharType="begin"/>
      </w:r>
      <w:r>
        <w:instrText> ADDIN REFMGR.CITE &lt;Refman&gt;&lt;Cite&gt;&lt;Author&gt;Aggarwal&lt;/Author&gt;&lt;Year&gt;2009&lt;/Year&gt;&lt;RecNum&gt;268&lt;/RecNum&gt;&lt;IDText&gt;Primary Care Reform: A Case Study of Ontari. A thesis submitted for the degree of Doctor of Philosophy Department of Health Policy, Management and Evaluation University of Toronto&lt;/IDText&gt;&lt;MDL Ref_Type="Thesis/Dissertation"&gt;&lt;Ref_Type&gt;Thesis/Dissertation&lt;/Ref_Type&gt;&lt;Ref_ID&gt;268&lt;/Ref_ID&gt;&lt;Title_Primary&gt;Primary Care Reform: A Case Study of Ontari. A thesis submitted for the degree of Doctor of Philosophy Department of Health Policy, Management and Evaluation University of Toronto&lt;/Title_Primary&gt;&lt;Authors_Primary&gt;Aggarwal,M.&lt;/Authors_Primary&gt;&lt;Date_Primary&gt;2009&lt;/Date_Primary&gt;&lt;Keywords&gt;Health Policy&lt;/Keywords&gt;&lt;Reprint&gt;Not in File&lt;/Reprint&gt;&lt;Publisher&gt;University of Toronto&lt;/Publisher&gt;&lt;Misc_1&gt;Dissertation/Thesis, Unpublished&lt;/Misc_1&gt;&lt;Web_URL&gt;https://tspace.library.utoronto.ca/bitstream/1807/17722/1/Aggarwal_Monica_200906_PhD_thesis.pdf&lt;/Web_URL&gt;&lt;ZZ_WorkformID&gt;29&lt;/ZZ_WorkformID&gt;&lt;/MDL&gt;&lt;/Cite&gt;&lt;/Refman&gt;</w:instrText>
      </w:r>
      <w:r>
        <w:fldChar w:fldCharType="separate"/>
      </w:r>
      <w:bookmarkStart w:id="14" w:name="__Fieldmark__1039_1322453857"/>
      <w:r>
        <w:rPr>
          <w:rFonts w:cs="Arial" w:ascii="Arial" w:hAnsi="Arial"/>
        </w:rPr>
        <w:t>26</w:t>
      </w:r>
      <w:r>
        <w:rPr>
          <w:rFonts w:cs="Arial" w:ascii="Arial" w:hAnsi="Arial"/>
        </w:rPr>
      </w:r>
      <w:r>
        <w:fldChar w:fldCharType="end"/>
      </w:r>
      <w:bookmarkEnd w:id="14"/>
      <w:r>
        <w:rPr>
          <w:rFonts w:cs="Arial" w:ascii="Arial" w:hAnsi="Arial"/>
        </w:rPr>
        <w:t xml:space="preserve">]  </w:t>
      </w:r>
    </w:p>
    <w:p>
      <w:pPr>
        <w:pStyle w:val="Normal"/>
        <w:widowControl w:val="false"/>
        <w:autoSpaceDE w:val="false"/>
        <w:spacing w:lineRule="auto" w:line="480" w:before="0" w:after="0"/>
        <w:rPr>
          <w:rFonts w:ascii="Arial" w:hAnsi="Arial" w:cs="Arial"/>
        </w:rPr>
      </w:pPr>
      <w:r>
        <w:rPr>
          <w:rFonts w:cs="Arial" w:ascii="Arial" w:hAnsi="Arial"/>
        </w:rPr>
        <w:t>Variables &amp; Data Sources</w:t>
      </w:r>
    </w:p>
    <w:p>
      <w:pPr>
        <w:pStyle w:val="Normal"/>
        <w:widowControl w:val="false"/>
        <w:autoSpaceDE w:val="false"/>
        <w:spacing w:lineRule="auto" w:line="480" w:before="0" w:after="0"/>
        <w:ind w:firstLine="720"/>
        <w:rPr>
          <w:rFonts w:ascii="Arial" w:hAnsi="Arial" w:cs="Arial"/>
        </w:rPr>
      </w:pPr>
      <w:r>
        <w:rPr>
          <w:rFonts w:cs="Arial" w:ascii="Arial" w:hAnsi="Arial"/>
        </w:rPr>
        <w:t>Model Types</w:t>
      </w:r>
    </w:p>
    <w:p>
      <w:pPr>
        <w:pStyle w:val="Normal"/>
        <w:widowControl w:val="false"/>
        <w:autoSpaceDE w:val="false"/>
        <w:spacing w:lineRule="auto" w:line="480" w:before="0" w:after="0"/>
        <w:ind w:firstLine="720"/>
        <w:rPr/>
      </w:pPr>
      <w:r>
        <w:rPr>
          <w:rFonts w:cs="Arial" w:ascii="Arial" w:hAnsi="Arial"/>
        </w:rPr>
        <w:t>All Ontario medical homes that were registered as of August 31, 2008 were categorized into one of three types based on their designation by the Ontario Ministry of Health and Long-Term Care: enhanced fee-for-service models included Family Health Groups; blended capitation included Family Health Networks and Family Health Organizations; and team based blended capitation included Family Health Teams.</w:t>
      </w:r>
    </w:p>
    <w:p>
      <w:pPr>
        <w:pStyle w:val="Normal"/>
        <w:widowControl w:val="false"/>
        <w:autoSpaceDE w:val="false"/>
        <w:spacing w:lineRule="auto" w:line="480" w:before="0" w:after="0"/>
        <w:ind w:firstLine="720"/>
        <w:rPr>
          <w:rFonts w:ascii="Arial" w:hAnsi="Arial" w:cs="Arial"/>
        </w:rPr>
      </w:pPr>
      <w:r>
        <w:rPr>
          <w:rFonts w:cs="Arial" w:ascii="Arial" w:hAnsi="Arial"/>
        </w:rPr>
        <w:t>Mental health categories</w:t>
      </w:r>
    </w:p>
    <w:p>
      <w:pPr>
        <w:pStyle w:val="Normal"/>
        <w:widowControl w:val="false"/>
        <w:autoSpaceDE w:val="false"/>
        <w:spacing w:lineRule="auto" w:line="480" w:before="0" w:after="0"/>
        <w:ind w:firstLine="720"/>
        <w:rPr>
          <w:rFonts w:ascii="Arial" w:hAnsi="Arial" w:cs="Arial"/>
        </w:rPr>
      </w:pPr>
      <w:r>
        <w:rPr>
          <w:rFonts w:cs="Arial" w:ascii="Arial" w:hAnsi="Arial"/>
        </w:rPr>
        <w:t xml:space="preserve">The study population was divided into three mental health categories using ambulatory diagnostic codes from the Ontario Health Insurance Plan between September 1, 2006 and August 31, 2008 (See Appendix A). Patients were assigned to a group if they had one or more billings for: 1) psychotic or bipolar diagnoses; 2) other mental health diagnoses (e.g., anxiety or depression); or 3) no mental health diagnoses. Persons were assigned to mental health groups in a hierarchical fashion; psychotic-bipolar diagnosis was assigned to all individuals with a related billing even if they also had billings for other mental health diagnoses.  A previous study reported that ambulatory claims from primary care physicians had a sensitivity of 81% and a specificity of 97% for identifying mental health visits to primary care physicians. </w:t>
      </w:r>
      <w:r>
        <w:fldChar w:fldCharType="begin"/>
      </w:r>
      <w:r>
        <w:instrText> ADDIN REFMGR.CITE &lt;Refman&gt;&lt;Cite&gt;&lt;Author&gt;Steele&lt;/Author&gt;&lt;Year&gt;2004&lt;/Year&gt;&lt;RecNum&gt;124&lt;/RecNum&gt;&lt;IDText&gt;Using administrative data to measure ambulatory mental health service provision in primary care&lt;/IDText&gt;&lt;MDL Ref_Type="Journal"&gt;&lt;Ref_Type&gt;Journal&lt;/Ref_Type&gt;&lt;Ref_ID&gt;124&lt;/Ref_ID&gt;&lt;Title_Primary&gt;Using administrative data to measure ambulatory mental health service provision in primary care&lt;/Title_Primary&gt;&lt;Authors_Primary&gt;Steele,L.S.&lt;/Authors_Primary&gt;&lt;Authors_Primary&gt;Glazier,R.H.&lt;/Authors_Primary&gt;&lt;Authors_Primary&gt;Lin,E.&lt;/Authors_Primary&gt;&lt;Authors_Primary&gt;Evans,M.&lt;/Authors_Primary&gt;&lt;Date_Primary&gt;2004&lt;/Date_Primary&gt;&lt;Keywords&gt;Adult&lt;/Keywords&gt;&lt;Keywords&gt;Ambulatory Care&lt;/Keywords&gt;&lt;Keywords&gt;Confidence Intervals&lt;/Keywords&gt;&lt;Keywords&gt;Databases as Topic&lt;/Keywords&gt;&lt;Keywords&gt;Family Practice&lt;/Keywords&gt;&lt;Keywords&gt;Health Services Research&lt;/Keywords&gt;&lt;Keywords&gt;Humans&lt;/Keywords&gt;&lt;Keywords&gt;Mental Disorders&lt;/Keywords&gt;&lt;Keywords&gt;diagnosis&lt;/Keywords&gt;&lt;Keywords&gt;Mental Health Services&lt;/Keywords&gt;&lt;Keywords&gt;utilization&lt;/Keywords&gt;&lt;Keywords&gt;Office Visits&lt;/Keywords&gt;&lt;Keywords&gt;Ontario&lt;/Keywords&gt;&lt;Keywords&gt;Primary Health Care&lt;/Keywords&gt;&lt;Keywords&gt;Sampling Studies&lt;/Keywords&gt;&lt;Keywords&gt;Sensitivity and Specificity&lt;/Keywords&gt;&lt;Reprint&gt;Not in File&lt;/Reprint&gt;&lt;Start_Page&gt;960&lt;/Start_Page&gt;&lt;End_Page&gt;965&lt;/End_Page&gt;&lt;Periodical&gt;Med.Care&lt;/Periodical&gt;&lt;Volume&gt;42&lt;/Volume&gt;&lt;Issue&gt;10&lt;/Issue&gt;&lt;Address&gt;Department of Family and Community Medicine, University of Toronto, Toronto, Ontario, Canada. leah.steele@utoronto.ca&lt;/Address&gt;&lt;ZZ_JournalFull&gt;&lt;f name="System"&gt;Medical care&lt;/f&gt;&lt;/ZZ_JournalFull&gt;&lt;ZZ_JournalStdAbbrev&gt;&lt;f name="System"&gt;Med.Care&lt;/f&gt;&lt;/ZZ_JournalStdAbbrev&gt;&lt;ZZ_WorkformID&gt;1&lt;/ZZ_WorkformID&gt;&lt;/MDL&gt;&lt;/Cite&gt;&lt;/Refman&gt;</w:instrText>
      </w:r>
      <w:r>
        <w:fldChar w:fldCharType="separate"/>
      </w:r>
      <w:bookmarkStart w:id="15" w:name="__Fieldmark__1040_1322453857"/>
      <w:r>
        <w:rPr>
          <w:rFonts w:cs="Arial" w:ascii="Arial" w:hAnsi="Arial"/>
        </w:rPr>
        <w:t>[27</w:t>
      </w:r>
      <w:r>
        <w:rPr>
          <w:rFonts w:cs="Arial" w:ascii="Arial" w:hAnsi="Arial"/>
        </w:rPr>
      </w:r>
      <w:r>
        <w:fldChar w:fldCharType="end"/>
      </w:r>
      <w:bookmarkEnd w:id="15"/>
      <w:r>
        <w:rPr>
          <w:rFonts w:cs="Arial" w:ascii="Arial" w:hAnsi="Arial"/>
        </w:rPr>
        <w:t>]</w:t>
      </w:r>
    </w:p>
    <w:p>
      <w:pPr>
        <w:pStyle w:val="Normal"/>
        <w:widowControl w:val="false"/>
        <w:autoSpaceDE w:val="false"/>
        <w:spacing w:lineRule="auto" w:line="480" w:before="0" w:after="0"/>
        <w:ind w:firstLine="720"/>
        <w:rPr>
          <w:rFonts w:ascii="Arial" w:hAnsi="Arial" w:cs="Arial"/>
        </w:rPr>
      </w:pPr>
      <w:r>
        <w:rPr>
          <w:rFonts w:cs="Arial" w:ascii="Arial" w:hAnsi="Arial"/>
        </w:rPr>
        <w:t>Patient characteristics</w:t>
      </w:r>
    </w:p>
    <w:p>
      <w:pPr>
        <w:pStyle w:val="Normal"/>
        <w:widowControl w:val="false"/>
        <w:autoSpaceDE w:val="false"/>
        <w:spacing w:lineRule="auto" w:line="480" w:before="0" w:after="0"/>
        <w:ind w:firstLine="720"/>
        <w:rPr>
          <w:rFonts w:ascii="Arial" w:hAnsi="Arial" w:cs="Arial"/>
        </w:rPr>
      </w:pPr>
      <w:r>
        <w:rPr>
          <w:rFonts w:cs="Arial" w:ascii="Arial" w:hAnsi="Arial"/>
        </w:rPr>
        <w:t>Patient information was obtained from Ontario’s Registered Persons Database which holds information on age, sex and place of residence for all persons covered by the Ontario Health Insurance Plan. We also used the Registered Persons Database to identify those with first-time registration after April 1, 1998 as probable immigrants to Canada. [</w:t>
      </w:r>
      <w:r>
        <w:fldChar w:fldCharType="begin"/>
      </w:r>
      <w:r>
        <w:instrText> ADDIN REFMGR.CITE &lt;Refman&gt;&lt;Cite&gt;&lt;Author&gt;Ray&lt;/Author&gt;&lt;Year&gt;2007&lt;/Year&gt;&lt;RecNum&gt;1456&lt;/RecNum&gt;&lt;IDText&gt;Results of the Recent Immigrant Pregnancy and Perinatal Long-term Evaluation Study (RIPPLES)&lt;/IDText&gt;&lt;MDL Ref_Type="Journal"&gt;&lt;Ref_Type&gt;Journal&lt;/Ref_Type&gt;&lt;Ref_ID&gt;1456&lt;/Ref_ID&gt;&lt;Title_Primary&gt;Results of the Recent Immigrant Pregnancy and Perinatal Long-term Evaluation Study (RIPPLES)&lt;/Title_Primary&gt;&lt;Authors_Primary&gt;Ray,J.G.&lt;/Authors_Primary&gt;&lt;Authors_Primary&gt;Vermeulen,M.J.&lt;/Authors_Primary&gt;&lt;Authors_Primary&gt;Schull,M.J.&lt;/Authors_Primary&gt;&lt;Authors_Primary&gt;Singh,G.&lt;/Authors_Primary&gt;&lt;Authors_Primary&gt;Shah,R.&lt;/Authors_Primary&gt;&lt;Authors_Primary&gt;Redelmeier,D.A.&lt;/Authors_Primary&gt;&lt;Date_Primary&gt;2007&lt;/Date_Primary&gt;&lt;Keywords&gt;Adult&lt;/Keywords&gt;&lt;Keywords&gt;Cohort Studies&lt;/Keywords&gt;&lt;Keywords&gt;data&lt;/Keywords&gt;&lt;Keywords&gt;deliveries&lt;/Keywords&gt;&lt;Keywords&gt;delivery&lt;/Keywords&gt;&lt;Keywords&gt;diagnosis&lt;/Keywords&gt;&lt;Keywords&gt;Emigration and Immigration&lt;/Keywords&gt;&lt;Keywords&gt;statistics &amp;amp; numerical data&lt;/Keywords&gt;&lt;Keywords&gt;evaluation&lt;/Keywords&gt;&lt;Keywords&gt;experience&lt;/Keywords&gt;&lt;Keywords&gt;Female&lt;/Keywords&gt;&lt;Keywords&gt;health&lt;/Keywords&gt;&lt;Keywords&gt;health insurance&lt;/Keywords&gt;&lt;Keywords&gt;Humans&lt;/Keywords&gt;&lt;Keywords&gt;Hypertension,Pregnancy-Induced&lt;/Keywords&gt;&lt;Keywords&gt;epidemiology&lt;/Keywords&gt;&lt;Keywords&gt;Income&lt;/Keywords&gt;&lt;Keywords&gt;Maternal Age&lt;/Keywords&gt;&lt;Keywords&gt;Maternal Welfare&lt;/Keywords&gt;&lt;Keywords&gt;ethnology&lt;/Keywords&gt;&lt;Keywords&gt;statistics &amp;amp; numerical data&lt;/Keywords&gt;&lt;Keywords&gt;medicine&lt;/Keywords&gt;&lt;Keywords&gt;method&lt;/Keywords&gt;&lt;Keywords&gt;methods&lt;/Keywords&gt;&lt;Keywords&gt;Odds Ratio&lt;/Keywords&gt;&lt;Keywords&gt;Ontario&lt;/Keywords&gt;&lt;Keywords&gt;Ontario&lt;/Keywords&gt;&lt;Keywords&gt;epidemiology&lt;/Keywords&gt;&lt;Keywords&gt;outcome&lt;/Keywords&gt;&lt;Keywords&gt;Placenta Diseases&lt;/Keywords&gt;&lt;Keywords&gt;epidemiology&lt;/Keywords&gt;&lt;Keywords&gt;Pregnancy&lt;/Keywords&gt;&lt;Keywords&gt;Residence Characteristics&lt;/Keywords&gt;&lt;Keywords&gt;Retrospective Studies&lt;/Keywords&gt;&lt;Keywords&gt;Risk&lt;/Keywords&gt;&lt;Keywords&gt;Risk Factors&lt;/Keywords&gt;&lt;Keywords&gt;study&lt;/Keywords&gt;&lt;Keywords&gt;Time&lt;/Keywords&gt;&lt;Keywords&gt;Universities&lt;/Keywords&gt;&lt;Reprint&gt;Not in File&lt;/Reprint&gt;&lt;Start_Page&gt;1419&lt;/Start_Page&gt;&lt;End_Page&gt;1426&lt;/End_Page&gt;&lt;Periodical&gt;CMAJ&lt;/Periodical&gt;&lt;Volume&gt;176&lt;/Volume&gt;&lt;Issue&gt;10&lt;/Issue&gt;&lt;Address&gt;Department of Medicine, St. Michael&amp;apos;s Hospital, University of Toronto, Toronto, Ont. rayj@smh.toronto.on.ca&lt;/Address&gt;&lt;ZZ_JournalFull&gt;&lt;f name="System"&gt;CMAJ : Canadian Medical Association journal = journal de l&amp;apos;Association medicale canadienne&lt;/f&gt;&lt;/ZZ_JournalFull&gt;&lt;ZZ_JournalStdAbbrev&gt;&lt;f name="System"&gt;CMAJ&lt;/f&gt;&lt;/ZZ_JournalStdAbbrev&gt;&lt;ZZ_WorkformID&gt;1&lt;/ZZ_WorkformID&gt;&lt;/MDL&gt;&lt;/Cite&gt;&lt;/Refman&gt;</w:instrText>
      </w:r>
      <w:r>
        <w:fldChar w:fldCharType="separate"/>
      </w:r>
      <w:bookmarkStart w:id="16" w:name="__Fieldmark__1041_1322453857"/>
      <w:r>
        <w:rPr>
          <w:rFonts w:cs="Arial" w:ascii="Arial" w:hAnsi="Arial"/>
        </w:rPr>
        <w:t>28</w:t>
      </w:r>
      <w:r>
        <w:rPr>
          <w:rFonts w:cs="Arial" w:ascii="Arial" w:hAnsi="Arial"/>
        </w:rPr>
      </w:r>
      <w:r>
        <w:fldChar w:fldCharType="end"/>
      </w:r>
      <w:bookmarkEnd w:id="16"/>
      <w:r>
        <w:rPr>
          <w:rFonts w:cs="Arial" w:ascii="Arial" w:hAnsi="Arial"/>
        </w:rPr>
        <w:t>]  While that group includes some inter-provincial migrants, more than 80% are expected to be international migrants. Statistics Canada’s Postal Code Conversion File was used to link patients’ postal code to census data. Census subdivisions in 2006 were used to assign a rurality score to patients’ residences using the Ontario Medical Association’s Rurality Index of Ontario.[</w:t>
      </w:r>
      <w:r>
        <w:fldChar w:fldCharType="begin"/>
      </w:r>
      <w:r>
        <w:instrText> ADDIN REFMGR.CITE &lt;Refman&gt;&lt;Cite&gt;&lt;Author&gt;Kralj&lt;/Author&gt;&lt;Year&gt;2005&lt;/Year&gt;&lt;RecNum&gt;1070&lt;/RecNum&gt;&lt;IDText&gt;Measuring &amp;quot;rurality&amp;quot; for purposes of health-care planning: an empirical measure for Ontario&lt;/IDText&gt;&lt;MDL Ref_Type="Electronic Citation"&gt;&lt;Ref_Type&gt;Electronic Citation&lt;/Ref_Type&gt;&lt;Ref_ID&gt;1070&lt;/Ref_ID&gt;&lt;Title_Primary&gt;Measuring &amp;quot;rurality&amp;quot; for purposes of health-care planning: an empirical measure for Ontario&lt;/Title_Primary&gt;&lt;Authors_Primary&gt;Kralj,B.&lt;/Authors_Primary&gt;&lt;Date_Primary&gt;2005&lt;/Date_Primary&gt;&lt;Keywords&gt;health care&lt;/Keywords&gt;&lt;Keywords&gt;healthcare&lt;/Keywords&gt;&lt;Keywords&gt;measure&lt;/Keywords&gt;&lt;Keywords&gt;Ontario&lt;/Keywords&gt;&lt;Reprint&gt;Not in File&lt;/Reprint&gt;&lt;Periodical&gt;Ontario Medical Association&lt;/Periodical&gt;&lt;Date_Secondary&gt;2012/4/10&lt;/Date_Secondary&gt;&lt;Misc_1&gt;Web Page&lt;/Misc_1&gt;&lt;Web_URL&gt;&lt;u&gt;http://www.health.gov.on.ca/english/providers/program/uap/docs/up_rio_methodology.pdf&lt;/u&gt;&lt;/Web_URL&gt;&lt;ZZ_JournalFull&gt;&lt;f name="System"&gt;Ontario Medical Association&lt;/f&gt;&lt;/ZZ_JournalFull&gt;&lt;ZZ_WorkformID&gt;34&lt;/ZZ_WorkformID&gt;&lt;/MDL&gt;&lt;/Cite&gt;&lt;/Refman&gt;</w:instrText>
      </w:r>
      <w:r>
        <w:fldChar w:fldCharType="separate"/>
      </w:r>
      <w:bookmarkStart w:id="17" w:name="__Fieldmark__1042_1322453857"/>
      <w:r>
        <w:rPr>
          <w:rFonts w:cs="Arial" w:ascii="Arial" w:hAnsi="Arial"/>
        </w:rPr>
        <w:t>29</w:t>
      </w:r>
      <w:r>
        <w:rPr>
          <w:rFonts w:cs="Arial" w:ascii="Arial" w:hAnsi="Arial"/>
        </w:rPr>
      </w:r>
      <w:r>
        <w:fldChar w:fldCharType="end"/>
      </w:r>
      <w:bookmarkEnd w:id="17"/>
      <w:r>
        <w:rPr>
          <w:rFonts w:cs="Arial" w:ascii="Arial" w:hAnsi="Arial"/>
        </w:rPr>
        <w:t xml:space="preserve">] The Rurality Index of Ontario was categorized into one of three categories: major urban areas (0 to 9), non-major urban areas (10 to 44) and rural areas (45 and higher). Household income quintile was assigned by linking postal codes with 2006 census dissemination areas after accounting for average household size and community of residence. Comorbidity was measured using the Johns Hopkins Adjusted Clinical Groups Case-Mix System. </w:t>
      </w:r>
      <w:r>
        <w:fldChar w:fldCharType="begin"/>
      </w:r>
      <w:r>
        <w:instrText> ADDIN REFMGR.CITE &lt;Refman&gt;&lt;Cite&gt;&lt;Year&gt;2003&lt;/Year&gt;&lt;RecNum&gt;255&lt;/RecNum&gt;&lt;IDText&gt;The Johns Hopkins ACG Case Mix System: Version 6.0 Release Notes&lt;/IDText&gt;&lt;MDL Ref_Type="Report"&gt;&lt;Ref_Type&gt;Report&lt;/Ref_Type&gt;&lt;Ref_ID&gt;255&lt;/Ref_ID&gt;&lt;Title_Primary&gt;The Johns Hopkins ACG Case Mix System: Version 6.0 Release Notes&lt;/Title_Primary&gt;&lt;Date_Primary&gt;2003&lt;/Date_Primary&gt;&lt;Reprint&gt;Not in File&lt;/Reprint&gt;&lt;Volume&gt;PC (DOS/WIN/NT) and Unix Version 6.0.&lt;/Volume&gt;&lt;Pub_Place&gt;Baltimore&lt;/Pub_Place&gt;&lt;Publisher&gt;Johns Hopkins Bloomberg School of Public Health.&lt;/Publisher&gt;&lt;Misc_1&gt;Report&lt;/Misc_1&gt;&lt;ZZ_WorkformID&gt;24&lt;/ZZ_WorkformID&gt;&lt;/MDL&gt;&lt;/Cite&gt;&lt;/Refman&gt;</w:instrText>
      </w:r>
      <w:r>
        <w:fldChar w:fldCharType="separate"/>
      </w:r>
      <w:bookmarkStart w:id="18" w:name="__Fieldmark__1043_1322453857"/>
      <w:r>
        <w:rPr>
          <w:rFonts w:cs="Arial" w:ascii="Arial" w:hAnsi="Arial"/>
        </w:rPr>
        <w:t>[30</w:t>
      </w:r>
      <w:r>
        <w:rPr>
          <w:rFonts w:cs="Arial" w:ascii="Arial" w:hAnsi="Arial"/>
        </w:rPr>
      </w:r>
      <w:r>
        <w:fldChar w:fldCharType="end"/>
      </w:r>
      <w:bookmarkEnd w:id="18"/>
      <w:r>
        <w:rPr>
          <w:rFonts w:cs="Arial" w:ascii="Arial" w:hAnsi="Arial"/>
        </w:rPr>
        <w:t>]  Aggregated Diagnosis Group counts indicate comorbidity and range from 0 (no diagnosis) to 24 distinct diagnosis groups. Finally we used the validated Ontario Diabetes Database to identify study patients who had diabetes mellitus. This algorithm has a sensitivity of 86% and a specificity of over 97% in identifying patients with confirmed diabetes.</w:t>
      </w:r>
      <w:r>
        <w:fldChar w:fldCharType="begin"/>
      </w:r>
      <w:r>
        <w:instrText> ADDIN REFMGR.CITE &lt;Refman&gt;&lt;Cite&gt;&lt;Author&gt;Hux&lt;/Author&gt;&lt;Year&gt;2002&lt;/Year&gt;&lt;RecNum&gt;930&lt;/RecNum&gt;&lt;IDText&gt;Diabetes in Ontario: determination of prevalence and incidence using a validated administrative data algorithm&lt;/IDText&gt;&lt;MDL Ref_Type="Journal"&gt;&lt;Ref_Type&gt;Journal&lt;/Ref_Type&gt;&lt;Ref_ID&gt;930&lt;/Ref_ID&gt;&lt;Title_Primary&gt;Diabetes in Ontario: determination of prevalence and incidence using a validated administrative data algorithm&lt;/Title_Primary&gt;&lt;Authors_Primary&gt;Hux,J.E.&lt;/Authors_Primary&gt;&lt;Authors_Primary&gt;Ivis,F.&lt;/Authors_Primary&gt;&lt;Authors_Primary&gt;Flintoft,V.&lt;/Authors_Primary&gt;&lt;Authors_Primary&gt;Bica,A.&lt;/Authors_Primary&gt;&lt;Date_Primary&gt;2002&lt;/Date_Primary&gt;&lt;Keywords&gt;Adult&lt;/Keywords&gt;&lt;Keywords&gt;adults&lt;/Keywords&gt;&lt;Keywords&gt;Algorithms&lt;/Keywords&gt;&lt;Keywords&gt;Canada&lt;/Keywords&gt;&lt;Keywords&gt;data&lt;/Keywords&gt;&lt;Keywords&gt;Diabetes Mellitus&lt;/Keywords&gt;&lt;Keywords&gt;epidemiology&lt;/Keywords&gt;&lt;Keywords&gt;diagnosis&lt;/Keywords&gt;&lt;Keywords&gt;evaluation&lt;/Keywords&gt;&lt;Keywords&gt;Geography&lt;/Keywords&gt;&lt;Keywords&gt;health&lt;/Keywords&gt;&lt;Keywords&gt;health care&lt;/Keywords&gt;&lt;Keywords&gt;Humans&lt;/Keywords&gt;&lt;Keywords&gt;identification&lt;/Keywords&gt;&lt;Keywords&gt;Incidence&lt;/Keywords&gt;&lt;Keywords&gt;individual&lt;/Keywords&gt;&lt;Keywords&gt;individuals&lt;/Keywords&gt;&lt;Keywords&gt;method&lt;/Keywords&gt;&lt;Keywords&gt;methods&lt;/Keywords&gt;&lt;Keywords&gt;objective&lt;/Keywords&gt;&lt;Keywords&gt;Ontario&lt;/Keywords&gt;&lt;Keywords&gt;Ontario&lt;/Keywords&gt;&lt;Keywords&gt;epidemiology&lt;/Keywords&gt;&lt;Keywords&gt;physician&lt;/Keywords&gt;&lt;Keywords&gt;physicians&lt;/Keywords&gt;&lt;Keywords&gt;Prevalence&lt;/Keywords&gt;&lt;Keywords&gt;primary care&lt;/Keywords&gt;&lt;Keywords&gt;Registries&lt;/Keywords&gt;&lt;Keywords&gt;Reproducibility of Results&lt;/Keywords&gt;&lt;Keywords&gt;Research&lt;/Keywords&gt;&lt;Keywords&gt;Research Design&lt;/Keywords&gt;&lt;Keywords&gt;Retrospective Studies&lt;/Keywords&gt;&lt;Keywords&gt;Sensitivity and Specificity&lt;/Keywords&gt;&lt;Keywords&gt;Time&lt;/Keywords&gt;&lt;Reprint&gt;Not in File&lt;/Reprint&gt;&lt;Start_Page&gt;512&lt;/Start_Page&gt;&lt;End_Page&gt;516&lt;/End_Page&gt;&lt;Periodical&gt;Diabetes care&lt;/Periodical&gt;&lt;Volume&gt;25&lt;/Volume&gt;&lt;Issue&gt;3&lt;/Issue&gt;&lt;Address&gt;Institute for Clinical Evaluative Sciences, Toronto, Canada. jan@ices.on.ca&lt;/Address&gt;&lt;ZZ_JournalFull&gt;&lt;f name="System"&gt;Diabetes care&lt;/f&gt;&lt;/ZZ_JournalFull&gt;&lt;ZZ_WorkformID&gt;1&lt;/ZZ_WorkformID&gt;&lt;/MDL&gt;&lt;/Cite&gt;&lt;/Refman&gt;</w:instrText>
      </w:r>
      <w:r>
        <w:fldChar w:fldCharType="separate"/>
      </w:r>
      <w:bookmarkStart w:id="19" w:name="__Fieldmark__1044_1322453857"/>
      <w:r>
        <w:rPr>
          <w:rFonts w:cs="Arial" w:ascii="Arial" w:hAnsi="Arial"/>
        </w:rPr>
        <w:t xml:space="preserve"> [31</w:t>
      </w:r>
      <w:r>
        <w:rPr>
          <w:rFonts w:cs="Arial" w:ascii="Arial" w:hAnsi="Arial"/>
        </w:rPr>
      </w:r>
      <w:r>
        <w:fldChar w:fldCharType="end"/>
      </w:r>
      <w:bookmarkEnd w:id="19"/>
      <w:r>
        <w:rPr>
          <w:rFonts w:cs="Arial" w:ascii="Arial" w:hAnsi="Arial"/>
        </w:rPr>
        <w:t>]</w:t>
      </w:r>
    </w:p>
    <w:p>
      <w:pPr>
        <w:pStyle w:val="Normal"/>
        <w:widowControl w:val="false"/>
        <w:autoSpaceDE w:val="false"/>
        <w:spacing w:lineRule="auto" w:line="480" w:before="0" w:after="0"/>
        <w:ind w:firstLine="720"/>
        <w:rPr>
          <w:rFonts w:ascii="Arial" w:hAnsi="Arial" w:cs="Arial"/>
        </w:rPr>
      </w:pPr>
      <w:r>
        <w:rPr>
          <w:rFonts w:cs="Arial" w:ascii="Arial" w:hAnsi="Arial"/>
        </w:rPr>
        <w:t xml:space="preserve">Physician characteristics </w:t>
      </w:r>
    </w:p>
    <w:p>
      <w:pPr>
        <w:pStyle w:val="Normal"/>
        <w:widowControl w:val="false"/>
        <w:autoSpaceDE w:val="false"/>
        <w:spacing w:lineRule="auto" w:line="480" w:before="0" w:after="0"/>
        <w:ind w:firstLine="720"/>
        <w:rPr/>
      </w:pPr>
      <w:r>
        <w:rPr>
          <w:rFonts w:cs="Arial" w:ascii="Arial" w:hAnsi="Arial"/>
        </w:rPr>
        <w:t xml:space="preserve">Physician characteristics including age, sex, years since medical graduation, and country of graduation were obtained from the Corporate Provider Database and the Institute for Clinical Evaluative Sciences Physician Database.  The number of rostered patients for physicians, the number of months in the model and the enrollment model size were derived from the Client Agency Program Enrolment database. Rurality of physician practice was designated by the Rurality Index of Ontario score of the practice location. </w:t>
      </w:r>
    </w:p>
    <w:p>
      <w:pPr>
        <w:pStyle w:val="Normal"/>
        <w:widowControl w:val="false"/>
        <w:autoSpaceDE w:val="false"/>
        <w:spacing w:lineRule="auto" w:line="480" w:before="0" w:after="0"/>
        <w:rPr>
          <w:rFonts w:ascii="Arial" w:hAnsi="Arial" w:cs="Arial"/>
        </w:rPr>
      </w:pPr>
      <w:r>
        <w:rPr>
          <w:rFonts w:cs="Arial" w:ascii="Arial" w:hAnsi="Arial"/>
        </w:rPr>
        <w:t>Study Size</w:t>
      </w:r>
    </w:p>
    <w:p>
      <w:pPr>
        <w:pStyle w:val="Normal"/>
        <w:widowControl w:val="false"/>
        <w:autoSpaceDE w:val="false"/>
        <w:spacing w:lineRule="auto" w:line="480" w:before="0" w:after="0"/>
        <w:rPr>
          <w:rFonts w:ascii="Arial" w:hAnsi="Arial" w:cs="Arial"/>
        </w:rPr>
      </w:pPr>
      <w:r>
        <w:rPr>
          <w:rFonts w:cs="Arial" w:ascii="Arial" w:hAnsi="Arial"/>
        </w:rPr>
        <w:tab/>
        <w:t xml:space="preserve">Because our study was population-based and used administrative data from our single-payer health system, we did not use a sampling technique.  Our study included 7,334,408 people which comprised the entire group of eligible residents of Ontario.   </w:t>
      </w:r>
    </w:p>
    <w:p>
      <w:pPr>
        <w:pStyle w:val="Normal"/>
        <w:widowControl w:val="false"/>
        <w:autoSpaceDE w:val="false"/>
        <w:spacing w:lineRule="auto" w:line="480" w:before="0" w:after="0"/>
        <w:rPr>
          <w:rFonts w:ascii="Arial" w:hAnsi="Arial" w:cs="Arial"/>
        </w:rPr>
      </w:pPr>
      <w:r>
        <w:rPr>
          <w:rFonts w:cs="Arial" w:ascii="Arial" w:hAnsi="Arial"/>
        </w:rPr>
        <w:t xml:space="preserve">Analysis </w:t>
      </w:r>
    </w:p>
    <w:p>
      <w:pPr>
        <w:pStyle w:val="Normal"/>
        <w:widowControl w:val="false"/>
        <w:autoSpaceDE w:val="false"/>
        <w:spacing w:lineRule="auto" w:line="480" w:before="0" w:after="0"/>
        <w:rPr>
          <w:rFonts w:ascii="Arial" w:hAnsi="Arial" w:cs="Arial"/>
        </w:rPr>
      </w:pPr>
      <w:r>
        <w:rPr>
          <w:rFonts w:cs="Arial" w:ascii="Arial" w:hAnsi="Arial"/>
        </w:rPr>
        <w:tab/>
        <w:t>Statistical Methods</w:t>
      </w:r>
    </w:p>
    <w:p>
      <w:pPr>
        <w:pStyle w:val="Normal"/>
        <w:widowControl w:val="false"/>
        <w:autoSpaceDE w:val="false"/>
        <w:spacing w:lineRule="auto" w:line="480" w:before="0" w:after="0"/>
        <w:ind w:firstLine="720"/>
        <w:rPr/>
      </w:pPr>
      <w:r>
        <w:rPr>
          <w:rFonts w:cs="Arial" w:ascii="Arial" w:hAnsi="Arial"/>
        </w:rPr>
        <w:t>To determine if there was evidence of physicians self-selecting into specific model types based on their practice make-up, we first conducted a bivariate analysis comparing the average prevalence of mental health diagnoses across model types. We then used Poisson regression to adjust for potentially confounding variables. We modeled the number of people with a mental diagnosis, offset by the total number of people, which was determined using the entire study population. All analyses were conducted at the level of the physician and used generalized estimating equations to account for the clustering of patients within physicians, and physicians within practice groups.  Covariates included mean patient age, proportion of patients that were female, rurality of office location, proportion of patients in the lowest income quintile, median patient comorbidity score, physician years since graduation, physician months in group, foreign graduation and mean number of rostered patients.  Physicians with missing data were excluded from the adjusted analyses.</w:t>
      </w:r>
    </w:p>
    <w:p>
      <w:pPr>
        <w:pStyle w:val="Normal"/>
        <w:widowControl w:val="false"/>
        <w:autoSpaceDE w:val="false"/>
        <w:spacing w:lineRule="auto" w:line="480" w:before="0" w:after="0"/>
        <w:ind w:firstLine="720"/>
        <w:rPr/>
      </w:pPr>
      <w:r>
        <w:rPr>
          <w:rFonts w:cs="Arial" w:ascii="Arial" w:hAnsi="Arial"/>
        </w:rPr>
        <w:t xml:space="preserve">To determine if there was preferential rostering of patients without mental health diagnoses, and if it differed by model type, we conducted a bivariate analysis of the proportion of rostered patients {rostered patients/(rostered patients + patients on virtual roster)} across the mental health categories for each enrollment model. We then used Poisson regression as described above to adjust these analyses for potential confounding. In this case, we modeled the observed likelihood of rostering for patients in each mental health category by patient enrollment model type. We used the expected proportion rostered (the overall proportion rostered for each model type) to offset the observed proportion. Proportions were calculated at the level of the physician and then compared across model types. Physicians with missing data were excluded from the adjusted analysis.  Rate ratios were developed to compare the likelihood of inclusion of patients with mental illness or rostering of these patients in capitation based models compared to enhanced fee for service models. Separate rate ratios were calculated for patients with two types of mental illness – psychotic and non-psychotic disorders. </w:t>
      </w:r>
    </w:p>
    <w:p>
      <w:pPr>
        <w:pStyle w:val="Normal"/>
        <w:widowControl w:val="false"/>
        <w:autoSpaceDE w:val="false"/>
        <w:spacing w:lineRule="auto" w:line="480" w:before="0" w:after="0"/>
        <w:ind w:firstLine="720"/>
        <w:rPr>
          <w:rFonts w:ascii="Arial" w:hAnsi="Arial" w:cs="Arial"/>
        </w:rPr>
      </w:pPr>
      <w:r>
        <w:rPr>
          <w:rFonts w:cs="Arial" w:ascii="Arial" w:hAnsi="Arial"/>
        </w:rPr>
        <w:t xml:space="preserve">To check the validity of our models’ assumptions, we examined residual-by-predicted plots for continuous predictor variables.  Assumptions of independence, normality, equality of variance and linearity did not appear to be violated. </w:t>
      </w:r>
    </w:p>
    <w:p>
      <w:pPr>
        <w:pStyle w:val="Normal"/>
        <w:widowControl w:val="false"/>
        <w:autoSpaceDE w:val="false"/>
        <w:spacing w:lineRule="auto" w:line="480" w:before="0" w:after="0"/>
        <w:rPr>
          <w:rFonts w:ascii="Arial" w:hAnsi="Arial" w:cs="Arial"/>
        </w:rPr>
      </w:pPr>
      <w:r>
        <w:rPr>
          <w:rFonts w:cs="Arial" w:ascii="Arial" w:hAnsi="Arial"/>
        </w:rPr>
        <w:t>RESULTS</w:t>
      </w:r>
    </w:p>
    <w:p>
      <w:pPr>
        <w:pStyle w:val="Normal"/>
        <w:widowControl w:val="false"/>
        <w:autoSpaceDE w:val="false"/>
        <w:spacing w:lineRule="auto" w:line="480" w:before="0" w:after="0"/>
        <w:rPr>
          <w:rFonts w:ascii="Arial" w:hAnsi="Arial" w:cs="Arial"/>
        </w:rPr>
      </w:pPr>
      <w:r>
        <w:rPr>
          <w:rFonts w:cs="Arial" w:ascii="Arial" w:hAnsi="Arial"/>
        </w:rPr>
        <w:t>Participants</w:t>
      </w:r>
    </w:p>
    <w:p>
      <w:pPr>
        <w:pStyle w:val="Normal"/>
        <w:widowControl w:val="false"/>
        <w:autoSpaceDE w:val="false"/>
        <w:spacing w:lineRule="auto" w:line="480" w:before="0" w:after="0"/>
        <w:rPr/>
      </w:pPr>
      <w:r>
        <w:rPr>
          <w:rFonts w:eastAsia="Arial" w:cs="Arial" w:ascii="Arial" w:hAnsi="Arial"/>
        </w:rPr>
        <w:t xml:space="preserve"> </w:t>
      </w:r>
      <w:r>
        <w:rPr>
          <w:rFonts w:cs="Arial" w:ascii="Arial" w:hAnsi="Arial"/>
        </w:rPr>
        <w:tab/>
        <w:t xml:space="preserve">There were 10,006,856 adult Ontarians registered with Ontario Health Insurance Program on August 31, 2008. We excluded 2,672,448 patients who did not have contact with one of the 6,033 primary care practitioners belonging to a medical home model in the two year study period; this left 7,334,408 patients who were linked to a primary care practitioner. Of these, 6,259,718 patients (85.3%) were rostered in their physician’s medical home and 1,074,690 of these patients (14.7%) were not rostered (i.e. on the “virtual roster”). The majority of patients (65.9%) were affiliated with physicians in enhanced fee-for-service models, 19.4% of patients were affiliated with physicians in blended capitation models and 14.7% of patients were affiliated with physicians in team-based blended capitation models. Unadjusted rostering rates of 82.4%, 91.7% and 90.5%, were found for enhanced fee-for-service, blended capitation and team-based capitation models, respectively. The unadjusted rostering rate for all models combined was 85.3%. </w:t>
      </w:r>
    </w:p>
    <w:p>
      <w:pPr>
        <w:pStyle w:val="Normal"/>
        <w:widowControl w:val="false"/>
        <w:autoSpaceDE w:val="false"/>
        <w:spacing w:lineRule="auto" w:line="480" w:before="0" w:after="0"/>
        <w:rPr>
          <w:rFonts w:ascii="Arial" w:hAnsi="Arial" w:cs="Arial"/>
        </w:rPr>
      </w:pPr>
      <w:r>
        <w:rPr>
          <w:rFonts w:cs="Arial" w:ascii="Arial" w:hAnsi="Arial"/>
        </w:rPr>
        <w:t>Descriptive Data</w:t>
      </w:r>
    </w:p>
    <w:p>
      <w:pPr>
        <w:pStyle w:val="Normal"/>
        <w:widowControl w:val="false"/>
        <w:autoSpaceDE w:val="false"/>
        <w:spacing w:lineRule="auto" w:line="480" w:before="0" w:after="0"/>
        <w:ind w:firstLine="720"/>
        <w:rPr>
          <w:rFonts w:ascii="Arial" w:hAnsi="Arial" w:cs="Arial"/>
        </w:rPr>
      </w:pPr>
      <w:r>
        <w:rPr>
          <w:rFonts w:cs="Arial" w:ascii="Arial" w:hAnsi="Arial"/>
        </w:rPr>
        <w:t xml:space="preserve">Patients with mental health diagnoses were more likely to live in urban areas, have higher comorbidity scores and be in a lower income quintile than patients with no mental health diagnosis (Table 1). Differences were most marked for individuals with psychotic-bipolar diagnoses. Individuals with mental health diagnoses were most likely to be female. </w:t>
      </w:r>
    </w:p>
    <w:p>
      <w:pPr>
        <w:pStyle w:val="Normal"/>
        <w:widowControl w:val="false"/>
        <w:autoSpaceDE w:val="false"/>
        <w:spacing w:lineRule="auto" w:line="480" w:before="0" w:after="0"/>
        <w:ind w:firstLine="720"/>
        <w:rPr/>
      </w:pPr>
      <w:r>
        <w:rPr>
          <w:rFonts w:cs="Arial" w:ascii="Arial" w:hAnsi="Arial"/>
        </w:rPr>
        <w:t>Physicians in blended capitation models were more likely to be Canadian medical graduates and more likely to have joined their groups within the previous 12 months (Table 2). Physicians in team-based blended capitation models were less likely to have practices with over 2,000 patients relative to physicians in the other two models.</w:t>
      </w:r>
    </w:p>
    <w:p>
      <w:pPr>
        <w:pStyle w:val="Normal"/>
        <w:widowControl w:val="false"/>
        <w:autoSpaceDE w:val="false"/>
        <w:spacing w:lineRule="auto" w:line="480" w:before="0" w:after="0"/>
        <w:rPr>
          <w:rFonts w:ascii="Arial" w:hAnsi="Arial" w:cs="Arial"/>
        </w:rPr>
      </w:pPr>
      <w:r>
        <w:rPr>
          <w:rFonts w:cs="Arial" w:ascii="Arial" w:hAnsi="Arial"/>
        </w:rPr>
        <w:t>Main Results</w:t>
      </w:r>
    </w:p>
    <w:p>
      <w:pPr>
        <w:pStyle w:val="Normal"/>
        <w:widowControl w:val="false"/>
        <w:autoSpaceDE w:val="false"/>
        <w:spacing w:lineRule="auto" w:line="480" w:before="0" w:after="0"/>
        <w:rPr/>
      </w:pPr>
      <w:r>
        <w:rPr>
          <w:rFonts w:cs="Arial" w:ascii="Arial" w:hAnsi="Arial"/>
          <w:i/>
        </w:rPr>
        <w:t>A) The prevalence of mental health diagnoses in physicians’ total practices across types of medical homes.</w:t>
      </w:r>
    </w:p>
    <w:p>
      <w:pPr>
        <w:pStyle w:val="Normal"/>
        <w:widowControl w:val="false"/>
        <w:autoSpaceDE w:val="false"/>
        <w:spacing w:lineRule="auto" w:line="480" w:before="0" w:after="0"/>
        <w:ind w:firstLine="720"/>
        <w:rPr/>
      </w:pPr>
      <w:r>
        <w:rPr>
          <w:rFonts w:cs="Arial" w:ascii="Arial" w:hAnsi="Arial"/>
        </w:rPr>
        <w:t>Before adjustment, there were small differences in the proportion of patients with psychotic-bipolar diagnoses among physicians’ total practices (Table 3). Enhanced fee-for-service models had the highest proportion of persons with other mental health diagnoses. The two blended capitation models had the largest proportion of patients with no mental illness (Table 3).  After adjustment, there were no significant differences in the prevalence of psychotic-bipolar diagnoses among the three model types (Table 4).  However, physicians in both blended capitation model types had significantly lower proportions of patients with other mental health disorders relative to physicians in enhanced fee-for-service models (blended capitation RR=0.94, 95% CI 0.90-0.99; team-based blended capitation RR=0.89, 95% CI 0.85-0.94) (Table 4).</w:t>
      </w:r>
    </w:p>
    <w:p>
      <w:pPr>
        <w:pStyle w:val="Normal"/>
        <w:widowControl w:val="false"/>
        <w:autoSpaceDE w:val="false"/>
        <w:spacing w:lineRule="auto" w:line="480" w:before="0" w:after="0"/>
        <w:rPr/>
      </w:pPr>
      <w:r>
        <w:rPr>
          <w:rFonts w:cs="Arial" w:ascii="Arial" w:hAnsi="Arial"/>
          <w:i/>
        </w:rPr>
        <w:t xml:space="preserve">B) The likelihood of rostering a patient with a mental health diagnosis relative to a patient with no mental health diagnosis across medical home type. </w:t>
      </w:r>
    </w:p>
    <w:p>
      <w:pPr>
        <w:pStyle w:val="Normal"/>
        <w:widowControl w:val="false"/>
        <w:autoSpaceDE w:val="false"/>
        <w:spacing w:lineRule="auto" w:line="480" w:before="0" w:after="0"/>
        <w:ind w:firstLine="720"/>
        <w:rPr/>
      </w:pPr>
      <w:r>
        <w:rPr>
          <w:rFonts w:cs="Arial" w:ascii="Arial" w:hAnsi="Arial"/>
        </w:rPr>
        <w:t>In our bivariate analyses, physicians in enhanced fee-for-service models were more likely to roster patients with mental health diagnoses, compared to patients with no mental health diagnoses.  This trend was not observed for blended capitation or team based blended capitation models (Table 3). After adjustment, significant differences remained in the likelihood that physicians in different medical home models rostered patients with mental illness relative to patients with no mental illness.  Physicians in blended capitation models and team-based blended capitation were significantly less likely than physicians in enhanced fee-for-service models to roster patients in the psychotic-bipolar group (blended capitation RR=0.92, 95% CI 0.90-0.93; team-based blended capitation RR=0.92, 95% CI 0.88-0.93) and patients in the other mental illness group (blended capitation RR=0.94, 95% CI 0.92-0.95; team-based blended capitation RR=0.93, 95% CI 0.92-0.94) (Table 5).</w:t>
      </w:r>
    </w:p>
    <w:p>
      <w:pPr>
        <w:pStyle w:val="Normal"/>
        <w:widowControl w:val="false"/>
        <w:autoSpaceDE w:val="false"/>
        <w:spacing w:lineRule="auto" w:line="480" w:before="0" w:after="0"/>
        <w:rPr>
          <w:rFonts w:ascii="Arial" w:hAnsi="Arial" w:cs="Arial"/>
        </w:rPr>
      </w:pPr>
      <w:r>
        <w:rPr>
          <w:rFonts w:cs="Arial" w:ascii="Arial" w:hAnsi="Arial"/>
        </w:rPr>
        <w:t>DISCUSSION</w:t>
      </w:r>
    </w:p>
    <w:p>
      <w:pPr>
        <w:pStyle w:val="Normal"/>
        <w:widowControl w:val="false"/>
        <w:autoSpaceDE w:val="false"/>
        <w:spacing w:lineRule="auto" w:line="480" w:before="0" w:after="0"/>
        <w:rPr>
          <w:rFonts w:ascii="Arial" w:hAnsi="Arial" w:cs="Arial"/>
        </w:rPr>
      </w:pPr>
      <w:r>
        <w:rPr>
          <w:rFonts w:cs="Arial" w:ascii="Arial" w:hAnsi="Arial"/>
        </w:rPr>
        <w:t>Key Results</w:t>
      </w:r>
    </w:p>
    <w:p>
      <w:pPr>
        <w:pStyle w:val="Normal"/>
        <w:widowControl w:val="false"/>
        <w:tabs>
          <w:tab w:val="left" w:pos="142" w:leader="none"/>
        </w:tabs>
        <w:autoSpaceDE w:val="false"/>
        <w:spacing w:lineRule="auto" w:line="480" w:before="0" w:after="0"/>
        <w:ind w:firstLine="720"/>
        <w:rPr/>
      </w:pPr>
      <w:r>
        <w:rPr>
          <w:rFonts w:cs="Arial" w:ascii="Arial" w:hAnsi="Arial"/>
        </w:rPr>
        <w:t>The proportions of patients with psychosis-bipolar disorders were similar across models. However, compared to enhanced fee-for-service models, blended capitation and team-based blended capitation practices had lower proportions of patients with other mental illness and larger proportions of patients with no mental illness. After the prevalence of mental illness in physicians’ total practices and the overall rate of rostering were accounted for, physicians in blended capitation models were less likely to roster patients with psychotic-bipolar and with other mental illness diagnoses, compared to physicians in enhanced fee-for-service models.  Glazier and colleagues previously found that patients in capitation practices in Ontario had lower morbidity and comorbidity indices relative to those in the enhanced fee for service models. [</w:t>
      </w:r>
      <w:r>
        <w:fldChar w:fldCharType="begin"/>
      </w:r>
      <w:r>
        <w:instrText> ADDIN REFMGR.CITE &lt;Refman&gt;&lt;Cite&gt;&lt;Author&gt;Glazier&lt;/Author&gt;&lt;Year&gt;2009&lt;/Year&gt;&lt;RecNum&gt;90&lt;/RecNum&gt;&lt;IDText&gt;Capitation and enhanced fee-for-service models for primary care reform: a population-based evaluation&lt;/IDText&gt;&lt;MDL Ref_Type="Journal"&gt;&lt;Ref_Type&gt;Journal&lt;/Ref_Type&gt;&lt;Ref_ID&gt;90&lt;/Ref_ID&gt;&lt;Title_Primary&gt;Capitation and enhanced fee-for-service models for primary care reform: a population-based evaluation&lt;/Title_Primary&gt;&lt;Authors_Primary&gt;Glazier,R.H.&lt;/Authors_Primary&gt;&lt;Authors_Primary&gt;Klein-Geltink,J.&lt;/Authors_Primary&gt;&lt;Authors_Primary&gt;Kopp,A.&lt;/Authors_Primary&gt;&lt;Authors_Primary&gt;Sibley,L.M.&lt;/Authors_Primary&gt;&lt;Date_Primary&gt;2009&lt;/Date_Primary&gt;&lt;Keywords&gt;Comorbidity&lt;/Keywords&gt;&lt;Reprint&gt;Not in File&lt;/Reprint&gt;&lt;Start_Page&gt;E72&lt;/Start_Page&gt;&lt;End_Page&gt;E81&lt;/End_Page&gt;&lt;Periodical&gt;CMAJ&lt;/Periodical&gt;&lt;Volume&gt;180&lt;/Volume&gt;&lt;Issue&gt;11&lt;/Issue&gt;&lt;Address&gt;Institute for Clinical Evaluative Sciences, Toronto, Ont. rick.glazier@ices.on.ca&lt;/Address&gt;&lt;ZZ_JournalFull&gt;&lt;f name="System"&gt;CMAJ : Canadian Medical Association journal = journal de l&amp;apos;Association medicale canadienne&lt;/f&gt;&lt;/ZZ_JournalFull&gt;&lt;ZZ_JournalStdAbbrev&gt;&lt;f name="System"&gt;CMAJ&lt;/f&gt;&lt;/ZZ_JournalStdAbbrev&gt;&lt;ZZ_WorkformID&gt;1&lt;/ZZ_WorkformID&gt;&lt;/MDL&gt;&lt;/Cite&gt;&lt;/Refman&gt;</w:instrText>
      </w:r>
      <w:r>
        <w:fldChar w:fldCharType="separate"/>
      </w:r>
      <w:bookmarkStart w:id="20" w:name="__Fieldmark__1045_1322453857"/>
      <w:r>
        <w:rPr>
          <w:rFonts w:cs="Arial" w:ascii="Arial" w:hAnsi="Arial"/>
        </w:rPr>
        <w:t>16</w:t>
      </w:r>
      <w:r>
        <w:rPr>
          <w:rFonts w:cs="Arial" w:ascii="Arial" w:hAnsi="Arial"/>
        </w:rPr>
      </w:r>
      <w:r>
        <w:fldChar w:fldCharType="end"/>
      </w:r>
      <w:bookmarkEnd w:id="20"/>
      <w:r>
        <w:rPr>
          <w:rFonts w:cs="Arial" w:ascii="Arial" w:hAnsi="Arial"/>
        </w:rPr>
        <w:t>]  It was not clear if these patterns were pre-existing or developed after physicians joined capitation based models. This is the first Canadian study that demonstrated selective rostering specifically for patients with mental illness, after accounting for differences in the proportion of mental illness in physicians’ total practices. This occurred despite the existence of financial incentives in Ontario for enrolling patients with schizophrenia or bipolar disorder.</w:t>
      </w:r>
    </w:p>
    <w:p>
      <w:pPr>
        <w:pStyle w:val="Normal"/>
        <w:widowControl w:val="false"/>
        <w:autoSpaceDE w:val="false"/>
        <w:spacing w:lineRule="auto" w:line="480" w:before="0" w:after="0"/>
        <w:rPr>
          <w:rFonts w:ascii="Arial" w:hAnsi="Arial" w:cs="Arial"/>
        </w:rPr>
      </w:pPr>
      <w:r>
        <w:rPr>
          <w:rFonts w:cs="Arial" w:ascii="Arial" w:hAnsi="Arial"/>
        </w:rPr>
        <w:t>Limitations</w:t>
      </w:r>
    </w:p>
    <w:p>
      <w:pPr>
        <w:pStyle w:val="Normal"/>
        <w:widowControl w:val="false"/>
        <w:autoSpaceDE w:val="false"/>
        <w:spacing w:lineRule="auto" w:line="480" w:before="0" w:after="0"/>
        <w:ind w:firstLine="720"/>
        <w:rPr/>
      </w:pPr>
      <w:r>
        <w:rPr>
          <w:rFonts w:cs="Arial" w:ascii="Arial" w:hAnsi="Arial"/>
        </w:rPr>
        <w:t xml:space="preserve">The present analyses have some limitations. The health administrative data used in this study were developed for purposes other than research and the accuracy of individual administrative diagnostic codes for identifying the true existence of a mental health diagnosis remains unknown. However, we employed an administrative measure that has been validated in a primary care setting and appears to accurately identify health services provided for mental health reasons. </w:t>
      </w:r>
      <w:r>
        <w:fldChar w:fldCharType="begin"/>
      </w:r>
      <w:r>
        <w:instrText> ADDIN REFMGR.CITE &lt;Refman&gt;&lt;Cite&gt;&lt;Author&gt;Spettell&lt;/Author&gt;&lt;Year&gt;2003&lt;/Year&gt;&lt;RecNum&gt;123&lt;/RecNum&gt;&lt;IDText&gt;Identifying physician-recognized depression from administrative data: consequences for quality measurement&lt;/IDText&gt;&lt;MDL Ref_Type="Journal"&gt;&lt;Ref_Type&gt;Journal&lt;/Ref_Type&gt;&lt;Ref_ID&gt;123&lt;/Ref_ID&gt;&lt;Title_Primary&gt;Identifying physician-recognized depression from administrative data: consequences for quality measurement&lt;/Title_Primary&gt;&lt;Authors_Primary&gt;Spettell,C.M.&lt;/Authors_Primary&gt;&lt;Authors_Primary&gt;Wall,T.C.&lt;/Authors_Primary&gt;&lt;Authors_Primary&gt;Allison,J.&lt;/Authors_Primary&gt;&lt;Authors_Primary&gt;Calhoun,J.&lt;/Authors_Primary&gt;&lt;Authors_Primary&gt;Kobylinski,R.&lt;/Authors_Primary&gt;&lt;Authors_Primary&gt;Fargason,R.&lt;/Authors_Primary&gt;&lt;Authors_Primary&gt;Kiefe,C.I.&lt;/Authors_Primary&gt;&lt;Date_Primary&gt;2003&lt;/Date_Primary&gt;&lt;Keywords&gt;Algorithms&lt;/Keywords&gt;&lt;Keywords&gt;Antidepressive Agents&lt;/Keywords&gt;&lt;Keywords&gt;therapeutic use&lt;/Keywords&gt;&lt;Keywords&gt;Data Collection&lt;/Keywords&gt;&lt;Keywords&gt;Depressive Disorder&lt;/Keywords&gt;&lt;Keywords&gt;diagnosis&lt;/Keywords&gt;&lt;Keywords&gt;drug therapy&lt;/Keywords&gt;&lt;Keywords&gt;epidemiology&lt;/Keywords&gt;&lt;Keywords&gt;Family Practice&lt;/Keywords&gt;&lt;Keywords&gt;standards&lt;/Keywords&gt;&lt;Keywords&gt;statistics &amp;amp; numerical data&lt;/Keywords&gt;&lt;Keywords&gt;Health Benefit Plans,Employee&lt;/Keywords&gt;&lt;Keywords&gt;standards&lt;/Keywords&gt;&lt;Keywords&gt;Health Services Research&lt;/Keywords&gt;&lt;Keywords&gt;methods&lt;/Keywords&gt;&lt;Keywords&gt;Humans&lt;/Keywords&gt;&lt;Keywords&gt;International Classification of Diseases&lt;/Keywords&gt;&lt;Keywords&gt;Managed Care Programs&lt;/Keywords&gt;&lt;Keywords&gt;standards&lt;/Keywords&gt;&lt;Keywords&gt;Mid-Atlantic Region&lt;/Keywords&gt;&lt;Keywords&gt;epidemiology&lt;/Keywords&gt;&lt;Keywords&gt;New England&lt;/Keywords&gt;&lt;Keywords&gt;epidemiology&lt;/Keywords&gt;&lt;Keywords&gt;Patient Compliance&lt;/Keywords&gt;&lt;Keywords&gt;Prevalence&lt;/Keywords&gt;&lt;Keywords&gt;Primary Health Care&lt;/Keywords&gt;&lt;Keywords&gt;standards&lt;/Keywords&gt;&lt;Keywords&gt;Quality Assurance,Health Care&lt;/Keywords&gt;&lt;Keywords&gt;Sensitivity and Specificity&lt;/Keywords&gt;&lt;Reprint&gt;Not in File&lt;/Reprint&gt;&lt;Start_Page&gt;1081&lt;/Start_Page&gt;&lt;End_Page&gt;1102&lt;/End_Page&gt;&lt;Periodical&gt;Health Serv.Res.&lt;/Periodical&gt;&lt;Volume&gt;38&lt;/Volume&gt;&lt;Issue&gt;4&lt;/Issue&gt;&lt;Address&gt;Health Informatics/USQA, Blue Bell, PA 19422, USA&lt;/Address&gt;&lt;ZZ_JournalFull&gt;&lt;f name="System"&gt;Health services research&lt;/f&gt;&lt;/ZZ_JournalFull&gt;&lt;ZZ_JournalStdAbbrev&gt;&lt;f name="System"&gt;Health Serv.Res.&lt;/f&gt;&lt;/ZZ_JournalStdAbbrev&gt;&lt;ZZ_WorkformID&gt;1&lt;/ZZ_WorkformID&gt;&lt;/MDL&gt;&lt;/Cite&gt;&lt;Cite&gt;&lt;Author&gt;Oddone&lt;/Author&gt;&lt;Year&gt;2002&lt;/Year&gt;&lt;RecNum&gt;1336&lt;/RecNum&gt;&lt;IDText&gt;Contribution of the Veterans Health Administration in understanding racial disparities in access and utilization of health care: a spirit of inquiry&lt;/IDText&gt;&lt;MDL Ref_Type="Journal"&gt;&lt;Ref_Type&gt;Journal&lt;/Ref_Type&gt;&lt;Ref_ID&gt;1336&lt;/Ref_ID&gt;&lt;Title_Primary&gt;Contribution of the Veterans Health Administration in understanding racial disparities in access and utilization of health care: a spirit of inquiry&lt;/Title_Primary&gt;&lt;Authors_Primary&gt;Oddone,E.Z.&lt;/Authors_Primary&gt;&lt;Authors_Primary&gt;Petersen,L.A.&lt;/Authors_Primary&gt;&lt;Authors_Primary&gt;Weinberger,M.&lt;/Authors_Primary&gt;&lt;Authors_Primary&gt;Freedman,J.&lt;/Authors_Primary&gt;&lt;Authors_Primary&gt;Kressin,N.R.&lt;/Authors_Primary&gt;&lt;Date_Primary&gt;2002&lt;/Date_Primary&gt;&lt;Keywords&gt;Cost of Illness&lt;/Keywords&gt;&lt;Keywords&gt;Ethnic Groups&lt;/Keywords&gt;&lt;Keywords&gt;health&lt;/Keywords&gt;&lt;Keywords&gt;health care&lt;/Keywords&gt;&lt;Keywords&gt;Health Services Accessibility&lt;/Keywords&gt;&lt;Keywords&gt;Health Services Research&lt;/Keywords&gt;&lt;Keywords&gt;Humans&lt;/Keywords&gt;&lt;Keywords&gt;Mental Disorders&lt;/Keywords&gt;&lt;Keywords&gt;ethnology&lt;/Keywords&gt;&lt;Keywords&gt;therapy&lt;/Keywords&gt;&lt;Keywords&gt;Models,Theoretical&lt;/Keywords&gt;&lt;Keywords&gt;Myocardial Ischemia&lt;/Keywords&gt;&lt;Keywords&gt;ethnology&lt;/Keywords&gt;&lt;Keywords&gt;therapy&lt;/Keywords&gt;&lt;Keywords&gt;Patient Acceptance of Health Care&lt;/Keywords&gt;&lt;Keywords&gt;ethnology&lt;/Keywords&gt;&lt;Keywords&gt;Socioeconomic Factors&lt;/Keywords&gt;&lt;Keywords&gt;Stroke&lt;/Keywords&gt;&lt;Keywords&gt;ethnology&lt;/Keywords&gt;&lt;Keywords&gt;therapy&lt;/Keywords&gt;&lt;Keywords&gt;United States Department of Veterans Affairs&lt;/Keywords&gt;&lt;Keywords&gt;United States&lt;/Keywords&gt;&lt;Keywords&gt;epidemiology&lt;/Keywords&gt;&lt;Keywords&gt;Veterans&lt;/Keywords&gt;&lt;Reprint&gt;Not in File&lt;/Reprint&gt;&lt;Start_Page&gt;I3&lt;/Start_Page&gt;&lt;End_Page&gt;13&lt;/End_Page&gt;&lt;Periodical&gt;Med.Care&lt;/Periodical&gt;&lt;Volume&gt;40&lt;/Volume&gt;&lt;Issue&gt;1 Suppl&lt;/Issue&gt;&lt;ZZ_JournalFull&gt;&lt;f name="System"&gt;Medical care&lt;/f&gt;&lt;/ZZ_JournalFull&gt;&lt;ZZ_JournalStdAbbrev&gt;&lt;f name="System"&gt;Med.Care&lt;/f&gt;&lt;/ZZ_JournalStdAbbrev&gt;&lt;ZZ_WorkformID&gt;1&lt;/ZZ_WorkformID&gt;&lt;/MDL&gt;&lt;/Cite&gt;&lt;Cite&gt;&lt;Author&gt;Steele&lt;/Author&gt;&lt;Year&gt;2004&lt;/Year&gt;&lt;RecNum&gt;124&lt;/RecNum&gt;&lt;IDText&gt;Using administrative data to measure ambulatory mental health service provision in primary care&lt;/IDText&gt;&lt;MDL Ref_Type="Journal"&gt;&lt;Ref_Type&gt;Journal&lt;/Ref_Type&gt;&lt;Ref_ID&gt;124&lt;/Ref_ID&gt;&lt;Title_Primary&gt;Using administrative data to measure ambulatory mental health service provision in primary care&lt;/Title_Primary&gt;&lt;Authors_Primary&gt;Steele,L.S.&lt;/Authors_Primary&gt;&lt;Authors_Primary&gt;Glazier,R.H.&lt;/Authors_Primary&gt;&lt;Authors_Primary&gt;Lin,E.&lt;/Authors_Primary&gt;&lt;Authors_Primary&gt;Evans,M.&lt;/Authors_Primary&gt;&lt;Date_Primary&gt;2004&lt;/Date_Primary&gt;&lt;Keywords&gt;Adult&lt;/Keywords&gt;&lt;Keywords&gt;Ambulatory Care&lt;/Keywords&gt;&lt;Keywords&gt;Confidence Intervals&lt;/Keywords&gt;&lt;Keywords&gt;Databases as Topic&lt;/Keywords&gt;&lt;Keywords&gt;Family Practice&lt;/Keywords&gt;&lt;Keywords&gt;Health Services Research&lt;/Keywords&gt;&lt;Keywords&gt;Humans&lt;/Keywords&gt;&lt;Keywords&gt;Mental Disorders&lt;/Keywords&gt;&lt;Keywords&gt;diagnosis&lt;/Keywords&gt;&lt;Keywords&gt;Mental Health Services&lt;/Keywords&gt;&lt;Keywords&gt;utilization&lt;/Keywords&gt;&lt;Keywords&gt;Office Visits&lt;/Keywords&gt;&lt;Keywords&gt;Ontario&lt;/Keywords&gt;&lt;Keywords&gt;Primary Health Care&lt;/Keywords&gt;&lt;Keywords&gt;Sampling Studies&lt;/Keywords&gt;&lt;Keywords&gt;Sensitivity and Specificity&lt;/Keywords&gt;&lt;Reprint&gt;Not in File&lt;/Reprint&gt;&lt;Start_Page&gt;960&lt;/Start_Page&gt;&lt;End_Page&gt;965&lt;/End_Page&gt;&lt;Periodical&gt;Med.Care&lt;/Periodical&gt;&lt;Volume&gt;42&lt;/Volume&gt;&lt;Issue&gt;10&lt;/Issue&gt;&lt;Address&gt;Department of Family and Community Medicine, University of Toronto, Toronto, Ontario, Canada. leah.steele@utoronto.ca&lt;/Address&gt;&lt;ZZ_JournalFull&gt;&lt;f name="System"&gt;Medical care&lt;/f&gt;&lt;/ZZ_JournalFull&gt;&lt;ZZ_JournalStdAbbrev&gt;&lt;f name="System"&gt;Med.Care&lt;/f&gt;&lt;/ZZ_JournalStdAbbrev&gt;&lt;ZZ_WorkformID&gt;1&lt;/ZZ_WorkformID&gt;&lt;/MDL&gt;&lt;/Cite&gt;&lt;/Refman&gt;</w:instrText>
      </w:r>
      <w:r>
        <w:fldChar w:fldCharType="separate"/>
      </w:r>
      <w:bookmarkStart w:id="21" w:name="__Fieldmark__1046_1322453857"/>
      <w:r>
        <w:rPr>
          <w:rFonts w:cs="Arial" w:ascii="Arial" w:hAnsi="Arial"/>
        </w:rPr>
        <w:t>[27,32,33</w:t>
      </w:r>
      <w:r>
        <w:rPr>
          <w:rFonts w:cs="Arial" w:ascii="Arial" w:hAnsi="Arial"/>
        </w:rPr>
      </w:r>
      <w:r>
        <w:fldChar w:fldCharType="end"/>
      </w:r>
      <w:bookmarkEnd w:id="21"/>
      <w:r>
        <w:rPr>
          <w:rFonts w:cs="Arial" w:ascii="Arial" w:hAnsi="Arial"/>
        </w:rPr>
        <w:t xml:space="preserve">]  There is a potential for misclassification bias in this study.  Capitation physicians were paid 10% of fee-for-service fees for each claim submitted during the study period, consequently they had less incentive than enhanced fee-for-service physicians to fully document provided services. Since we use billing data to define our mental health groups, this may result in an underestimation of the proportion of rostered patients with mental disorders in capitation practices.  </w:t>
      </w:r>
    </w:p>
    <w:p>
      <w:pPr>
        <w:pStyle w:val="Normal"/>
        <w:widowControl w:val="false"/>
        <w:autoSpaceDE w:val="false"/>
        <w:spacing w:lineRule="auto" w:line="480" w:before="0" w:after="0"/>
        <w:ind w:firstLine="720"/>
        <w:rPr>
          <w:rFonts w:ascii="Arial" w:hAnsi="Arial" w:cs="Arial"/>
        </w:rPr>
      </w:pPr>
      <w:r>
        <w:rPr>
          <w:rFonts w:cs="Arial" w:ascii="Arial" w:hAnsi="Arial"/>
        </w:rPr>
      </w:r>
    </w:p>
    <w:p>
      <w:pPr>
        <w:pStyle w:val="Normal"/>
        <w:widowControl w:val="false"/>
        <w:autoSpaceDE w:val="false"/>
        <w:spacing w:lineRule="auto" w:line="480" w:before="0" w:after="0"/>
        <w:rPr>
          <w:rFonts w:ascii="Arial" w:hAnsi="Arial" w:cs="Arial"/>
        </w:rPr>
      </w:pPr>
      <w:r>
        <w:rPr>
          <w:rFonts w:cs="Arial" w:ascii="Arial" w:hAnsi="Arial"/>
        </w:rPr>
        <w:t>INTERPRETATION</w:t>
      </w:r>
    </w:p>
    <w:p>
      <w:pPr>
        <w:pStyle w:val="Normal"/>
        <w:widowControl w:val="false"/>
        <w:autoSpaceDE w:val="false"/>
        <w:spacing w:lineRule="auto" w:line="480" w:before="0" w:after="0"/>
        <w:ind w:firstLine="720"/>
        <w:rPr>
          <w:rFonts w:ascii="Arial" w:hAnsi="Arial" w:cs="Arial"/>
        </w:rPr>
      </w:pPr>
      <w:r>
        <w:rPr>
          <w:rFonts w:cs="Arial" w:ascii="Arial" w:hAnsi="Arial"/>
        </w:rPr>
        <w:t>Economic theory and empirical evidence affirm that physician remuneration influences physician behavior. [</w:t>
      </w:r>
      <w:r>
        <w:fldChar w:fldCharType="begin"/>
      </w:r>
      <w:r>
        <w:instrText> ADDIN REFMGR.CITE &lt;Refman&gt;&lt;Cite&gt;&lt;Author&gt;Goldberg&lt;/Author&gt;&lt;Year&gt;1999&lt;/Year&gt;&lt;RecNum&gt;802&lt;/RecNum&gt;&lt;IDText&gt;Financial incentives influencing the integration of mental health care and primary care&lt;/IDText&gt;&lt;MDL Ref_Type="Journal"&gt;&lt;Ref_Type&gt;Journal&lt;/Ref_Type&gt;&lt;Ref_ID&gt;802&lt;/Ref_ID&gt;&lt;Title_Primary&gt;Financial incentives influencing the integration of mental health care and primary care&lt;/Title_Primary&gt;&lt;Authors_Primary&gt;Goldberg,R.J.&lt;/Authors_Primary&gt;&lt;Date_Primary&gt;1999&lt;/Date_Primary&gt;&lt;Keywords&gt;Capitation Fee&lt;/Keywords&gt;&lt;Keywords&gt;fee for service&lt;/Keywords&gt;&lt;Keywords&gt;fee-for-service&lt;/Keywords&gt;&lt;Keywords&gt;Fee-for-Service Plans&lt;/Keywords&gt;&lt;Keywords&gt;Fees,Medical&lt;/Keywords&gt;&lt;Keywords&gt;health&lt;/Keywords&gt;&lt;Keywords&gt;health care&lt;/Keywords&gt;&lt;Keywords&gt;Health Maintenance Organizations&lt;/Keywords&gt;&lt;Keywords&gt;Health Status&lt;/Keywords&gt;&lt;Keywords&gt;Humans&lt;/Keywords&gt;&lt;Keywords&gt;influence&lt;/Keywords&gt;&lt;Keywords&gt;Mental Disorders&lt;/Keywords&gt;&lt;Keywords&gt;therapy&lt;/Keywords&gt;&lt;Keywords&gt;mental health&lt;/Keywords&gt;&lt;Keywords&gt;mental health care&lt;/Keywords&gt;&lt;Keywords&gt;Models,Economic&lt;/Keywords&gt;&lt;Keywords&gt;Motivation&lt;/Keywords&gt;&lt;Keywords&gt;organization&lt;/Keywords&gt;&lt;Keywords&gt;patient&lt;/Keywords&gt;&lt;Keywords&gt;Patient Care Team&lt;/Keywords&gt;&lt;Keywords&gt;economics&lt;/Keywords&gt;&lt;Keywords&gt;patients&lt;/Keywords&gt;&lt;Keywords&gt;primary care&lt;/Keywords&gt;&lt;Keywords&gt;Primary Health Care&lt;/Keywords&gt;&lt;Keywords&gt;Primary Health Care&lt;/Keywords&gt;&lt;Keywords&gt;economics&lt;/Keywords&gt;&lt;Keywords&gt;organization &amp;amp; administration&lt;/Keywords&gt;&lt;Keywords&gt;utilization&lt;/Keywords&gt;&lt;Keywords&gt;Psychiatry&lt;/Keywords&gt;&lt;Keywords&gt;economics&lt;/Keywords&gt;&lt;Keywords&gt;organization &amp;amp; administration&lt;/Keywords&gt;&lt;Keywords&gt;Reimbursement,Incentive&lt;/Keywords&gt;&lt;Keywords&gt;study&lt;/Keywords&gt;&lt;Keywords&gt;treatment&lt;/Keywords&gt;&lt;Keywords&gt;United States&lt;/Keywords&gt;&lt;Keywords&gt;USA&lt;/Keywords&gt;&lt;Reprint&gt;Not in File&lt;/Reprint&gt;&lt;Start_Page&gt;1071&lt;/Start_Page&gt;&lt;End_Page&gt;1075&lt;/End_Page&gt;&lt;Periodical&gt;Psychiatric services (Washington, D.C.)&lt;/Periodical&gt;&lt;Volume&gt;50&lt;/Volume&gt;&lt;Issue&gt;8&lt;/Issue&gt;&lt;Address&gt;Brown University, Rhode Island Hospital, Providence 02903, USA. rjgoldberg@lifespan.org&lt;/Address&gt;&lt;ZZ_JournalFull&gt;&lt;f name="System"&gt;Psychiatric services (Washington, D.C.)&lt;/f&gt;&lt;/ZZ_JournalFull&gt;&lt;ZZ_WorkformID&gt;1&lt;/ZZ_WorkformID&gt;&lt;/MDL&gt;&lt;/Cite&gt;&lt;Cite&gt;&lt;Author&gt;Gosden&lt;/Author&gt;&lt;Year&gt;2001&lt;/Year&gt;&lt;RecNum&gt;161&lt;/RecNum&gt;&lt;IDText&gt;Impact of payment method on behaviour of primary care physicians: a systematic review&lt;/IDText&gt;&lt;MDL Ref_Type="Journal"&gt;&lt;Ref_Type&gt;Journal&lt;/Ref_Type&gt;&lt;Ref_ID&gt;161&lt;/Ref_ID&gt;&lt;Title_Primary&gt;Impact of payment method on behaviour of primary care physicians: a systematic review&lt;/Title_Primary&gt;&lt;Authors_Primary&gt;Gosden,T.&lt;/Authors_Primary&gt;&lt;Authors_Primary&gt;Forland,F.&lt;/Authors_Primary&gt;&lt;Authors_Primary&gt;Kristiansen,I.S.&lt;/Authors_Primary&gt;&lt;Authors_Primary&gt;Sutton,M.&lt;/Authors_Primary&gt;&lt;Authors_Primary&gt;Leese,B.&lt;/Authors_Primary&gt;&lt;Authors_Primary&gt;Giuffrida,A.&lt;/Authors_Primary&gt;&lt;Authors_Primary&gt;Sergison,M.&lt;/Authors_Primary&gt;&lt;Authors_Primary&gt;Pedersen,L.&lt;/Authors_Primary&gt;&lt;Date_Primary&gt;2001&lt;/Date_Primary&gt;&lt;Keywords&gt;Capitation Fee&lt;/Keywords&gt;&lt;Keywords&gt;Fee-for-Service Plans&lt;/Keywords&gt;&lt;Keywords&gt;Humans&lt;/Keywords&gt;&lt;Keywords&gt;Patient Satisfaction&lt;/Keywords&gt;&lt;Keywords&gt;Physician&amp;apos;s Practice Patterns&lt;/Keywords&gt;&lt;Keywords&gt;economics&lt;/Keywords&gt;&lt;Keywords&gt;statistics &amp;amp; numerical data&lt;/Keywords&gt;&lt;Keywords&gt;Physicians,Family&lt;/Keywords&gt;&lt;Keywords&gt;economics&lt;/Keywords&gt;&lt;Keywords&gt;Randomized Controlled Trials as Topic&lt;/Keywords&gt;&lt;Keywords&gt;Reimbursement,Incentive&lt;/Keywords&gt;&lt;Keywords&gt;Salaries and Fringe Benefits&lt;/Keywords&gt;&lt;Reprint&gt;Not in File&lt;/Reprint&gt;&lt;Start_Page&gt;44&lt;/Start_Page&gt;&lt;End_Page&gt;55&lt;/End_Page&gt;&lt;Periodical&gt;J.Health Serv.Res.Policy&lt;/Periodical&gt;&lt;Volume&gt;6&lt;/Volume&gt;&lt;Issue&gt;1&lt;/Issue&gt;&lt;Address&gt;National Primary Care Research and Development Centre, 5th Floor Williamson Building, University of Manchester, Oxford Road, Manchester M13 9PL, UK&lt;/Address&gt;&lt;ZZ_JournalFull&gt;&lt;f name="System"&gt;Journal of health services research &amp;amp; policy&lt;/f&gt;&lt;/ZZ_JournalFull&gt;&lt;ZZ_JournalStdAbbrev&gt;&lt;f name="System"&gt;J.Health Serv.Res.Policy&lt;/f&gt;&lt;/ZZ_JournalStdAbbrev&gt;&lt;ZZ_WorkformID&gt;1&lt;/ZZ_WorkformID&gt;&lt;/MDL&gt;&lt;/Cite&gt;&lt;Cite&gt;&lt;Author&gt;Pauly&lt;/Author&gt;&lt;Year&gt;1988&lt;/Year&gt;&lt;RecNum&gt;1398&lt;/RecNum&gt;&lt;IDText&gt;Lessons from the first twenty years of Medicare: research implications for public and private sector policy&lt;/IDText&gt;&lt;MDL Ref_Type="Book, Whole"&gt;&lt;Ref_Type&gt;Book, Whole&lt;/Ref_Type&gt;&lt;Ref_ID&gt;1398&lt;/Ref_ID&gt;&lt;Title_Primary&gt;Lessons from the first twenty years of Medicare: research implications for public and private sector policy&lt;/Title_Primary&gt;&lt;Authors_Primary&gt;Pauly,M.V.&lt;/Authors_Primary&gt;&lt;Authors_Primary&gt;Kissick,W.L.&lt;/Authors_Primary&gt;&lt;Authors_Primary&gt;Roper,L.E.&lt;/Authors_Primary&gt;&lt;Date_Primary&gt;1988&lt;/Date_Primary&gt;&lt;Keywords&gt;Medicare&lt;/Keywords&gt;&lt;Keywords&gt;Private Sector&lt;/Keywords&gt;&lt;Keywords&gt;Research&lt;/Keywords&gt;&lt;Reprint&gt;Not in File&lt;/Reprint&gt;&lt;Publisher&gt;University of Pennsylvania Press&lt;/Publisher&gt;&lt;Misc_1&gt;Book, Whole&lt;/Misc_1&gt;&lt;Web_URL&gt;http://books.google.ca/books?id=Jd25jyZ4C7QC&amp;amp;pg=PA223&amp;amp;lpg=PA223&amp;amp;dq=pauly+financial+incentive+physician&amp;amp;source=bl&amp;amp;ots=gqxxzCY_Mu&amp;amp;sig=T5a2JoV7AOWN-Rpcka6Tlb_tK0E&amp;amp;hl=en&amp;amp;ei=uYaKTcvvNIiCgAffk_zMDQ&amp;amp;sa=X&amp;amp;oi=book_result&amp;amp;ct=result&amp;amp;resnum=9&amp;amp;ved=0CFsQ6AEwCA#v=onepage&amp;amp;q=capitation&amp;amp;f=false&lt;/Web_URL&gt;&lt;ZZ_WorkformID&gt;2&lt;/ZZ_WorkformID&gt;&lt;/MDL&gt;&lt;/Cite&gt;&lt;/Refman&gt;</w:instrText>
      </w:r>
      <w:r>
        <w:fldChar w:fldCharType="separate"/>
      </w:r>
      <w:bookmarkStart w:id="22" w:name="__Fieldmark__1047_1322453857"/>
      <w:r>
        <w:rPr>
          <w:rFonts w:cs="Arial" w:ascii="Arial" w:hAnsi="Arial"/>
        </w:rPr>
        <w:t>25,34,35</w:t>
      </w:r>
      <w:r>
        <w:rPr>
          <w:rFonts w:cs="Arial" w:ascii="Arial" w:hAnsi="Arial"/>
        </w:rPr>
      </w:r>
      <w:r>
        <w:fldChar w:fldCharType="end"/>
      </w:r>
      <w:bookmarkEnd w:id="22"/>
      <w:r>
        <w:rPr>
          <w:rFonts w:cs="Arial" w:ascii="Arial" w:hAnsi="Arial"/>
        </w:rPr>
        <w:t>] One view is that physicians in capitation models may select low-needs patients in order to maximize their income relative to the volume of service provision required (‘cream skimming’). [</w:t>
      </w:r>
      <w:r>
        <w:fldChar w:fldCharType="begin"/>
      </w:r>
      <w:r>
        <w:instrText> ADDIN REFMGR.CITE &lt;Refman&gt;&lt;Cite&gt;&lt;Author&gt;Goldberg&lt;/Author&gt;&lt;Year&gt;1999&lt;/Year&gt;&lt;RecNum&gt;802&lt;/RecNum&gt;&lt;IDText&gt;Financial incentives influencing the integration of mental health care and primary care&lt;/IDText&gt;&lt;MDL Ref_Type="Journal"&gt;&lt;Ref_Type&gt;Journal&lt;/Ref_Type&gt;&lt;Ref_ID&gt;802&lt;/Ref_ID&gt;&lt;Title_Primary&gt;Financial incentives influencing the integration of mental health care and primary care&lt;/Title_Primary&gt;&lt;Authors_Primary&gt;Goldberg,R.J.&lt;/Authors_Primary&gt;&lt;Date_Primary&gt;1999&lt;/Date_Primary&gt;&lt;Keywords&gt;Capitation Fee&lt;/Keywords&gt;&lt;Keywords&gt;fee for service&lt;/Keywords&gt;&lt;Keywords&gt;fee-for-service&lt;/Keywords&gt;&lt;Keywords&gt;Fee-for-Service Plans&lt;/Keywords&gt;&lt;Keywords&gt;Fees,Medical&lt;/Keywords&gt;&lt;Keywords&gt;health&lt;/Keywords&gt;&lt;Keywords&gt;health care&lt;/Keywords&gt;&lt;Keywords&gt;Health Maintenance Organizations&lt;/Keywords&gt;&lt;Keywords&gt;Health Status&lt;/Keywords&gt;&lt;Keywords&gt;Humans&lt;/Keywords&gt;&lt;Keywords&gt;influence&lt;/Keywords&gt;&lt;Keywords&gt;Mental Disorders&lt;/Keywords&gt;&lt;Keywords&gt;therapy&lt;/Keywords&gt;&lt;Keywords&gt;mental health&lt;/Keywords&gt;&lt;Keywords&gt;mental health care&lt;/Keywords&gt;&lt;Keywords&gt;Models,Economic&lt;/Keywords&gt;&lt;Keywords&gt;Motivation&lt;/Keywords&gt;&lt;Keywords&gt;organization&lt;/Keywords&gt;&lt;Keywords&gt;patient&lt;/Keywords&gt;&lt;Keywords&gt;Patient Care Team&lt;/Keywords&gt;&lt;Keywords&gt;economics&lt;/Keywords&gt;&lt;Keywords&gt;patients&lt;/Keywords&gt;&lt;Keywords&gt;primary care&lt;/Keywords&gt;&lt;Keywords&gt;Primary Health Care&lt;/Keywords&gt;&lt;Keywords&gt;Primary Health Care&lt;/Keywords&gt;&lt;Keywords&gt;economics&lt;/Keywords&gt;&lt;Keywords&gt;organization &amp;amp; administration&lt;/Keywords&gt;&lt;Keywords&gt;utilization&lt;/Keywords&gt;&lt;Keywords&gt;Psychiatry&lt;/Keywords&gt;&lt;Keywords&gt;economics&lt;/Keywords&gt;&lt;Keywords&gt;organization &amp;amp; administration&lt;/Keywords&gt;&lt;Keywords&gt;Reimbursement,Incentive&lt;/Keywords&gt;&lt;Keywords&gt;study&lt;/Keywords&gt;&lt;Keywords&gt;treatment&lt;/Keywords&gt;&lt;Keywords&gt;United States&lt;/Keywords&gt;&lt;Keywords&gt;USA&lt;/Keywords&gt;&lt;Reprint&gt;Not in File&lt;/Reprint&gt;&lt;Start_Page&gt;1071&lt;/Start_Page&gt;&lt;End_Page&gt;1075&lt;/End_Page&gt;&lt;Periodical&gt;Psychiatric services (Washington, D.C.)&lt;/Periodical&gt;&lt;Volume&gt;50&lt;/Volume&gt;&lt;Issue&gt;8&lt;/Issue&gt;&lt;Address&gt;Brown University, Rhode Island Hospital, Providence 02903, USA. rjgoldberg@lifespan.org&lt;/Address&gt;&lt;ZZ_JournalFull&gt;&lt;f name="System"&gt;Psychiatric services (Washington, D.C.)&lt;/f&gt;&lt;/ZZ_JournalFull&gt;&lt;ZZ_WorkformID&gt;1&lt;/ZZ_WorkformID&gt;&lt;/MDL&gt;&lt;/Cite&gt;&lt;Cite&gt;&lt;Author&gt;Gold&lt;/Author&gt;&lt;Year&gt;1999&lt;/Year&gt;&lt;RecNum&gt;797&lt;/RecNum&gt;&lt;IDText&gt;Financial incentives: current realities and challenges for physicians&lt;/IDText&gt;&lt;MDL Ref_Type="Journal"&gt;&lt;Ref_Type&gt;Journal&lt;/Ref_Type&gt;&lt;Ref_ID&gt;797&lt;/Ref_ID&gt;&lt;Title_Primary&gt;Financial incentives: current realities and challenges for physicians&lt;/Title_Primary&gt;&lt;Authors_Primary&gt;Gold,M.&lt;/Authors_Primary&gt;&lt;Date_Primary&gt;1999&lt;/Date_Primary&gt;&lt;Keywords&gt;Fee-for-Service Plans&lt;/Keywords&gt;&lt;Keywords&gt;economics&lt;/Keywords&gt;&lt;Keywords&gt;Humans&lt;/Keywords&gt;&lt;Keywords&gt;Managed Care Programs&lt;/Keywords&gt;&lt;Keywords&gt;economics&lt;/Keywords&gt;&lt;Keywords&gt;Policy Making&lt;/Keywords&gt;&lt;Keywords&gt;Primary Health Care&lt;/Keywords&gt;&lt;Keywords&gt;economics&lt;/Keywords&gt;&lt;Keywords&gt;Reimbursement,Incentive&lt;/Keywords&gt;&lt;Keywords&gt;organization &amp;amp; administration&lt;/Keywords&gt;&lt;Keywords&gt;Research&lt;/Keywords&gt;&lt;Keywords&gt;Risk Management&lt;/Keywords&gt;&lt;Keywords&gt;United States&lt;/Keywords&gt;&lt;Keywords&gt;USA&lt;/Keywords&gt;&lt;Reprint&gt;Not in File&lt;/Reprint&gt;&lt;Start_Page&gt;S6&lt;/Start_Page&gt;&lt;End_Page&gt;S12&lt;/End_Page&gt;&lt;Periodical&gt;J.Gen.Intern.Med.&lt;/Periodical&gt;&lt;Volume&gt;14 Suppl 1&lt;/Volume&gt;&lt;Address&gt;Mathematica Policy Research Inc., Washington, DC 20014, USA&lt;/Address&gt;&lt;ZZ_JournalFull&gt;&lt;f name="System"&gt;Journal of General Internal Medicine&lt;/f&gt;&lt;/ZZ_JournalFull&gt;&lt;ZZ_JournalStdAbbrev&gt;&lt;f name="System"&gt;J.Gen.Intern.Med.&lt;/f&gt;&lt;/ZZ_JournalStdAbbrev&gt;&lt;ZZ_WorkformID&gt;1&lt;/ZZ_WorkformID&gt;&lt;/MDL&gt;&lt;/Cite&gt;&lt;/Refman&gt;</w:instrText>
      </w:r>
      <w:r>
        <w:fldChar w:fldCharType="separate"/>
      </w:r>
      <w:bookmarkStart w:id="23" w:name="__Fieldmark__1048_1322453857"/>
      <w:r>
        <w:rPr>
          <w:rFonts w:cs="Arial" w:ascii="Arial" w:hAnsi="Arial"/>
        </w:rPr>
        <w:t>25, 36</w:t>
      </w:r>
      <w:r>
        <w:rPr>
          <w:rFonts w:cs="Arial" w:ascii="Arial" w:hAnsi="Arial"/>
        </w:rPr>
      </w:r>
      <w:r>
        <w:fldChar w:fldCharType="end"/>
      </w:r>
      <w:bookmarkEnd w:id="23"/>
      <w:r>
        <w:rPr>
          <w:rFonts w:cs="Arial" w:ascii="Arial" w:hAnsi="Arial"/>
        </w:rPr>
        <w:t>]  Patients with mental illness belong to a high needs population. [</w:t>
      </w:r>
      <w:r>
        <w:fldChar w:fldCharType="begin"/>
      </w:r>
      <w:r>
        <w:instrText> ADDIN REFMGR.CITE &lt;Refman&gt;&lt;Cite&gt;&lt;Author&gt;McAlpine&lt;/Author&gt;&lt;Year&gt;2000&lt;/Year&gt;&lt;RecNum&gt;103&lt;/RecNum&gt;&lt;IDText&gt;Utilization of specialty mental health care among persons with severe mental illness: the roles of demographics, need, insurance, and risk&lt;/IDText&gt;&lt;MDL Ref_Type="Journal"&gt;&lt;Ref_Type&gt;Journal&lt;/Ref_Type&gt;&lt;Ref_ID&gt;103&lt;/Ref_ID&gt;&lt;Title_Primary&gt;Utilization of specialty mental health care among persons with severe mental illness: the roles of demographics, need, insurance, and risk&lt;/Title_Primary&gt;&lt;Authors_Primary&gt;McAlpine,D.D.&lt;/Authors_Primary&gt;&lt;Authors_Primary&gt;Mechanic,D.&lt;/Authors_Primary&gt;&lt;Date_Primary&gt;2000&lt;/Date_Primary&gt;&lt;Keywords&gt;Acute Disease&lt;/Keywords&gt;&lt;Keywords&gt;Adult&lt;/Keywords&gt;&lt;Keywords&gt;Demography&lt;/Keywords&gt;&lt;Keywords&gt;Female&lt;/Keywords&gt;&lt;Keywords&gt;Health Services Needs and Demand&lt;/Keywords&gt;&lt;Keywords&gt;statistics &amp;amp; numerical data&lt;/Keywords&gt;&lt;Keywords&gt;utilization&lt;/Keywords&gt;&lt;Keywords&gt;Health Services Research&lt;/Keywords&gt;&lt;Keywords&gt;methods&lt;/Keywords&gt;&lt;Keywords&gt;statistics &amp;amp; numerical data&lt;/Keywords&gt;&lt;Keywords&gt;Humans&lt;/Keywords&gt;&lt;Keywords&gt;Income&lt;/Keywords&gt;&lt;Keywords&gt;Insurance,Psychiatric&lt;/Keywords&gt;&lt;Keywords&gt;statistics &amp;amp; numerical data&lt;/Keywords&gt;&lt;Keywords&gt;utilization&lt;/Keywords&gt;&lt;Keywords&gt;Male&lt;/Keywords&gt;&lt;Keywords&gt;Medicare&lt;/Keywords&gt;&lt;Keywords&gt;Mental Disorders&lt;/Keywords&gt;&lt;Keywords&gt;therapy&lt;/Keywords&gt;&lt;Keywords&gt;Mental Health Services&lt;/Keywords&gt;&lt;Keywords&gt;Mental Health Services&lt;/Keywords&gt;&lt;Keywords&gt;statistics &amp;amp; numerical data&lt;/Keywords&gt;&lt;Keywords&gt;utilization&lt;/Keywords&gt;&lt;Keywords&gt;Middle Aged&lt;/Keywords&gt;&lt;Keywords&gt;Random Allocation&lt;/Keywords&gt;&lt;Keywords&gt;Risk Factors&lt;/Keywords&gt;&lt;Keywords&gt;Socioeconomic Factors&lt;/Keywords&gt;&lt;Keywords&gt;Specialties,Medical&lt;/Keywords&gt;&lt;Keywords&gt;statistics &amp;amp; numerical data&lt;/Keywords&gt;&lt;Keywords&gt;United States&lt;/Keywords&gt;&lt;Reprint&gt;Not in File&lt;/Reprint&gt;&lt;Start_Page&gt;277&lt;/Start_Page&gt;&lt;End_Page&gt;292&lt;/End_Page&gt;&lt;Periodical&gt;Health Serv.Res.&lt;/Periodical&gt;&lt;Volume&gt;35&lt;/Volume&gt;&lt;Issue&gt;1 Pt 2&lt;/Issue&gt;&lt;Address&gt;Institute for Health, Health Care Policy and Aging Research, Rutgers University, New Brunswick, NJ 08901-1293, USA&lt;/Address&gt;&lt;ZZ_JournalFull&gt;&lt;f name="System"&gt;Health services research&lt;/f&gt;&lt;/ZZ_JournalFull&gt;&lt;ZZ_JournalStdAbbrev&gt;&lt;f name="System"&gt;Health Serv.Res.&lt;/f&gt;&lt;/ZZ_JournalStdAbbrev&gt;&lt;ZZ_WorkformID&gt;1&lt;/ZZ_WorkformID&gt;&lt;/MDL&gt;&lt;/Cite&gt;&lt;Cite&gt;&lt;Author&gt;Samele&lt;/Author&gt;&lt;Year&gt;2007&lt;/Year&gt;&lt;RecNum&gt;216&lt;/RecNum&gt;&lt;IDText&gt;Physical illness and lifestyle risk factors in people with their first presentation of psychosis&lt;/IDText&gt;&lt;MDL Ref_Type="Journal"&gt;&lt;Ref_Type&gt;Journal&lt;/Ref_Type&gt;&lt;Ref_ID&gt;216&lt;/Ref_ID&gt;&lt;Title_Primary&gt;Physical illness and lifestyle risk factors in people with their first presentation of psychosis&lt;/Title_Primary&gt;&lt;Authors_Primary&gt;Samele,C.&lt;/Authors_Primary&gt;&lt;Authors_Primary&gt;Patel,M.&lt;/Authors_Primary&gt;&lt;Authors_Primary&gt;Boydell,J.&lt;/Authors_Primary&gt;&lt;Authors_Primary&gt;Leese,M.&lt;/Authors_Primary&gt;&lt;Authors_Primary&gt;Wessely,S.&lt;/Authors_Primary&gt;&lt;Authors_Primary&gt;Murray,R.&lt;/Authors_Primary&gt;&lt;Date_Primary&gt;2007&lt;/Date_Primary&gt;&lt;Keywords&gt;Adult&lt;/Keywords&gt;&lt;Keywords&gt;Age Factors&lt;/Keywords&gt;&lt;Keywords&gt;Female&lt;/Keywords&gt;&lt;Keywords&gt;Health Status&lt;/Keywords&gt;&lt;Keywords&gt;Health Status Indicators&lt;/Keywords&gt;&lt;Keywords&gt;Humans&lt;/Keywords&gt;&lt;Keywords&gt;Life Style&lt;/Keywords&gt;&lt;Keywords&gt;Male&lt;/Keywords&gt;&lt;Keywords&gt;Physical Fitness&lt;/Keywords&gt;&lt;Keywords&gt;Prevalence&lt;/Keywords&gt;&lt;Keywords&gt;Psychotic Disorders&lt;/Keywords&gt;&lt;Keywords&gt;diagnosis&lt;/Keywords&gt;&lt;Keywords&gt;epidemiology&lt;/Keywords&gt;&lt;Keywords&gt;psychology&lt;/Keywords&gt;&lt;Keywords&gt;Risk Factors&lt;/Keywords&gt;&lt;Keywords&gt;Smoking&lt;/Keywords&gt;&lt;Keywords&gt;epidemiology&lt;/Keywords&gt;&lt;Reprint&gt;Not in File&lt;/Reprint&gt;&lt;Start_Page&gt;117&lt;/Start_Page&gt;&lt;End_Page&gt;124&lt;/End_Page&gt;&lt;Periodical&gt;Soc.Psychiatry Psychiatr.Epidemiol.&lt;/Periodical&gt;&lt;Volume&gt;42&lt;/Volume&gt;&lt;Issue&gt;2&lt;/Issue&gt;&lt;Address&gt;Sainsbury Centre for Mental Health, 34-138 Borough High Street, London, SE1 1LB, UK. chiara.samele@scmh.org.uk&lt;/Address&gt;&lt;ZZ_JournalFull&gt;&lt;f name="System"&gt;Social psychiatry and psychiatric epidemiology&lt;/f&gt;&lt;/ZZ_JournalFull&gt;&lt;ZZ_JournalStdAbbrev&gt;&lt;f name="System"&gt;Soc.Psychiatry Psychiatr.Epidemiol.&lt;/f&gt;&lt;/ZZ_JournalStdAbbrev&gt;&lt;ZZ_WorkformID&gt;1&lt;/ZZ_WorkformID&gt;&lt;/MDL&gt;&lt;/Cite&gt;&lt;Cite&gt;&lt;Author&gt;Phelan&lt;/Author&gt;&lt;Year&gt;2001&lt;/Year&gt;&lt;RecNum&gt;1416&lt;/RecNum&gt;&lt;IDText&gt;Physical health of people with severe mental illness&lt;/IDText&gt;&lt;MDL Ref_Type="Journal"&gt;&lt;Ref_Type&gt;Journal&lt;/Ref_Type&gt;&lt;Ref_ID&gt;1416&lt;/Ref_ID&gt;&lt;Title_Primary&gt;Physical health of people with severe mental illness&lt;/Title_Primary&gt;&lt;Authors_Primary&gt;Phelan,M.&lt;/Authors_Primary&gt;&lt;Authors_Primary&gt;Stradins,L.&lt;/Authors_Primary&gt;&lt;Authors_Primary&gt;Morrison,S.&lt;/Authors_Primary&gt;&lt;Date_Primary&gt;2001&lt;/Date_Primary&gt;&lt;Keywords&gt;Community Mental Health Services&lt;/Keywords&gt;&lt;Keywords&gt;standards&lt;/Keywords&gt;&lt;Keywords&gt;Comorbidity&lt;/Keywords&gt;&lt;Keywords&gt;Great Britain&lt;/Keywords&gt;&lt;Keywords&gt;health&lt;/Keywords&gt;&lt;Keywords&gt;Health Behavior&lt;/Keywords&gt;&lt;Keywords&gt;Health Status&lt;/Keywords&gt;&lt;Keywords&gt;Humans&lt;/Keywords&gt;&lt;Keywords&gt;Mental Disorders&lt;/Keywords&gt;&lt;Keywords&gt;complications&lt;/Keywords&gt;&lt;Keywords&gt;psychology&lt;/Keywords&gt;&lt;Keywords&gt;Primary Health Care&lt;/Keywords&gt;&lt;Keywords&gt;standards&lt;/Keywords&gt;&lt;Reprint&gt;Not in File&lt;/Reprint&gt;&lt;Start_Page&gt;443&lt;/Start_Page&gt;&lt;End_Page&gt;444&lt;/End_Page&gt;&lt;Periodical&gt;BMJ&lt;/Periodical&gt;&lt;Volume&gt;322&lt;/Volume&gt;&lt;Issue&gt;7284&lt;/Issue&gt;&lt;ZZ_JournalFull&gt;&lt;f name="System"&gt;BMJ (Clinical research ed.)&lt;/f&gt;&lt;/ZZ_JournalFull&gt;&lt;ZZ_JournalStdAbbrev&gt;&lt;f name="System"&gt;BMJ&lt;/f&gt;&lt;/ZZ_JournalStdAbbrev&gt;&lt;ZZ_WorkformID&gt;1&lt;/ZZ_WorkformID&gt;&lt;/MDL&gt;&lt;/Cite&gt;&lt;/Refman&gt;</w:instrText>
      </w:r>
      <w:r>
        <w:fldChar w:fldCharType="separate"/>
      </w:r>
      <w:bookmarkStart w:id="24" w:name="__Fieldmark__1049_1322453857"/>
      <w:r>
        <w:rPr>
          <w:rFonts w:cs="Arial" w:ascii="Arial" w:hAnsi="Arial"/>
        </w:rPr>
        <w:t>10,37,38</w:t>
      </w:r>
      <w:r>
        <w:rPr>
          <w:rFonts w:cs="Arial" w:ascii="Arial" w:hAnsi="Arial"/>
        </w:rPr>
      </w:r>
      <w:r>
        <w:fldChar w:fldCharType="end"/>
      </w:r>
      <w:bookmarkEnd w:id="24"/>
      <w:r>
        <w:rPr>
          <w:rFonts w:cs="Arial" w:ascii="Arial" w:hAnsi="Arial"/>
        </w:rPr>
        <w:t>]  In Ontario, where capitation compensation in patient-centered medical homes is determined by rostered patients’ age and sex, and not by health status, physicians could suffer negative financial repercussions for rostering mentally ill patients.  Even with the additional financial incentives provided by the government for rostering patients with severe mental illness (the maximum possible amount is $2000 per year), it may still be financially advantageous for Ontario physicians to selectively roster healthier patients.  This may reduce access for persons with mental illness in capitation based models.[</w:t>
      </w:r>
      <w:r>
        <w:fldChar w:fldCharType="begin"/>
      </w:r>
      <w:r>
        <w:instrText> ADDIN REFMGR.CITE &lt;Refman&gt;&lt;Cite&gt;&lt;Author&gt;Goldberg&lt;/Author&gt;&lt;Year&gt;1999&lt;/Year&gt;&lt;RecNum&gt;802&lt;/RecNum&gt;&lt;IDText&gt;Financial incentives influencing the integration of mental health care and primary care&lt;/IDText&gt;&lt;MDL Ref_Type="Journal"&gt;&lt;Ref_Type&gt;Journal&lt;/Ref_Type&gt;&lt;Ref_ID&gt;802&lt;/Ref_ID&gt;&lt;Title_Primary&gt;Financial incentives influencing the integration of mental health care and primary care&lt;/Title_Primary&gt;&lt;Authors_Primary&gt;Goldberg,R.J.&lt;/Authors_Primary&gt;&lt;Date_Primary&gt;1999&lt;/Date_Primary&gt;&lt;Keywords&gt;Capitation Fee&lt;/Keywords&gt;&lt;Keywords&gt;fee for service&lt;/Keywords&gt;&lt;Keywords&gt;fee-for-service&lt;/Keywords&gt;&lt;Keywords&gt;Fee-for-Service Plans&lt;/Keywords&gt;&lt;Keywords&gt;Fees,Medical&lt;/Keywords&gt;&lt;Keywords&gt;health&lt;/Keywords&gt;&lt;Keywords&gt;health care&lt;/Keywords&gt;&lt;Keywords&gt;Health Maintenance Organizations&lt;/Keywords&gt;&lt;Keywords&gt;Health Status&lt;/Keywords&gt;&lt;Keywords&gt;Humans&lt;/Keywords&gt;&lt;Keywords&gt;influence&lt;/Keywords&gt;&lt;Keywords&gt;Mental Disorders&lt;/Keywords&gt;&lt;Keywords&gt;therapy&lt;/Keywords&gt;&lt;Keywords&gt;mental health&lt;/Keywords&gt;&lt;Keywords&gt;mental health care&lt;/Keywords&gt;&lt;Keywords&gt;Models,Economic&lt;/Keywords&gt;&lt;Keywords&gt;Motivation&lt;/Keywords&gt;&lt;Keywords&gt;organization&lt;/Keywords&gt;&lt;Keywords&gt;patient&lt;/Keywords&gt;&lt;Keywords&gt;Patient Care Team&lt;/Keywords&gt;&lt;Keywords&gt;economics&lt;/Keywords&gt;&lt;Keywords&gt;patients&lt;/Keywords&gt;&lt;Keywords&gt;primary care&lt;/Keywords&gt;&lt;Keywords&gt;Primary Health Care&lt;/Keywords&gt;&lt;Keywords&gt;Primary Health Care&lt;/Keywords&gt;&lt;Keywords&gt;economics&lt;/Keywords&gt;&lt;Keywords&gt;organization &amp;amp; administration&lt;/Keywords&gt;&lt;Keywords&gt;utilization&lt;/Keywords&gt;&lt;Keywords&gt;Psychiatry&lt;/Keywords&gt;&lt;Keywords&gt;economics&lt;/Keywords&gt;&lt;Keywords&gt;organization &amp;amp; administration&lt;/Keywords&gt;&lt;Keywords&gt;Reimbursement,Incentive&lt;/Keywords&gt;&lt;Keywords&gt;study&lt;/Keywords&gt;&lt;Keywords&gt;treatment&lt;/Keywords&gt;&lt;Keywords&gt;United States&lt;/Keywords&gt;&lt;Keywords&gt;USA&lt;/Keywords&gt;&lt;Reprint&gt;Not in File&lt;/Reprint&gt;&lt;Start_Page&gt;1071&lt;/Start_Page&gt;&lt;End_Page&gt;1075&lt;/End_Page&gt;&lt;Periodical&gt;Psychiatric services (Washington, D.C.)&lt;/Periodical&gt;&lt;Volume&gt;50&lt;/Volume&gt;&lt;Issue&gt;8&lt;/Issue&gt;&lt;Address&gt;Brown University, Rhode Island Hospital, Providence 02903, USA. rjgoldberg@lifespan.org&lt;/Address&gt;&lt;ZZ_JournalFull&gt;&lt;f name="System"&gt;Psychiatric services (Washington, D.C.)&lt;/f&gt;&lt;/ZZ_JournalFull&gt;&lt;ZZ_WorkformID&gt;1&lt;/ZZ_WorkformID&gt;&lt;/MDL&gt;&lt;/Cite&gt;&lt;Cite&gt;&lt;Author&gt;Rothbard&lt;/Author&gt;&lt;Year&gt;2004&lt;/Year&gt;&lt;RecNum&gt;1509&lt;/RecNum&gt;&lt;IDText&gt;Psychiatric service utilization and cost for persons with schizophrenia in a Medicaid managed care program&lt;/IDText&gt;&lt;MDL Ref_Type="Journal"&gt;&lt;Ref_Type&gt;Journal&lt;/Ref_Type&gt;&lt;Ref_ID&gt;1509&lt;/Ref_ID&gt;&lt;Title_Primary&gt;Psychiatric service utilization and cost for persons with schizophrenia in a Medicaid managed care program&lt;/Title_Primary&gt;&lt;Authors_Primary&gt;Rothbard,A.B.&lt;/Authors_Primary&gt;&lt;Authors_Primary&gt;Kuno,E.&lt;/Authors_Primary&gt;&lt;Authors_Primary&gt;Hadley,T.R.&lt;/Authors_Primary&gt;&lt;Authors_Primary&gt;Dogin,J.&lt;/Authors_Primary&gt;&lt;Date_Primary&gt;2004&lt;/Date_Primary&gt;&lt;Keywords&gt;Adult&lt;/Keywords&gt;&lt;Keywords&gt;change&lt;/Keywords&gt;&lt;Keywords&gt;cost&lt;/Keywords&gt;&lt;Keywords&gt;costs&lt;/Keywords&gt;&lt;Keywords&gt;Diagnosis,Dual (Psychiatry)&lt;/Keywords&gt;&lt;Keywords&gt;economics&lt;/Keywords&gt;&lt;Keywords&gt;fee for service&lt;/Keywords&gt;&lt;Keywords&gt;fee-for-service&lt;/Keywords&gt;&lt;Keywords&gt;Fee-for-Service Plans&lt;/Keywords&gt;&lt;Keywords&gt;economics&lt;/Keywords&gt;&lt;Keywords&gt;Female&lt;/Keywords&gt;&lt;Keywords&gt;health&lt;/Keywords&gt;&lt;Keywords&gt;health care&lt;/Keywords&gt;&lt;Keywords&gt;Health Care Costs&lt;/Keywords&gt;&lt;Keywords&gt;statistics &amp;amp; numerical data&lt;/Keywords&gt;&lt;Keywords&gt;Health Care Services&lt;/Keywords&gt;&lt;Keywords&gt;Health Policy&lt;/Keywords&gt;&lt;Keywords&gt;Hospital Costs&lt;/Keywords&gt;&lt;Keywords&gt;Hospital Costs&lt;/Keywords&gt;&lt;Keywords&gt;statistics &amp;amp; numerical data&lt;/Keywords&gt;&lt;Keywords&gt;Hospitals&lt;/Keywords&gt;&lt;Keywords&gt;Humans&lt;/Keywords&gt;&lt;Keywords&gt;individual&lt;/Keywords&gt;&lt;Keywords&gt;individuals&lt;/Keywords&gt;&lt;Keywords&gt;Male&lt;/Keywords&gt;&lt;Keywords&gt;managed care&lt;/Keywords&gt;&lt;Keywords&gt;managed care program&lt;/Keywords&gt;&lt;Keywords&gt;Managed Care Programs&lt;/Keywords&gt;&lt;Keywords&gt;economics&lt;/Keywords&gt;&lt;Keywords&gt;Medicaid&lt;/Keywords&gt;&lt;Keywords&gt;Medicaid&lt;/Keywords&gt;&lt;Keywords&gt;economics&lt;/Keywords&gt;&lt;Keywords&gt;mental health&lt;/Keywords&gt;&lt;Keywords&gt;Mental Health Services&lt;/Keywords&gt;&lt;Keywords&gt;economics&lt;/Keywords&gt;&lt;Keywords&gt;utilization&lt;/Keywords&gt;&lt;Keywords&gt;Middle Aged&lt;/Keywords&gt;&lt;Keywords&gt;outpatient&lt;/Keywords&gt;&lt;Keywords&gt;Pennsylvania&lt;/Keywords&gt;&lt;Keywords&gt;Private Sector&lt;/Keywords&gt;&lt;Keywords&gt;program&lt;/Keywords&gt;&lt;Keywords&gt;Psychiatric Department,Hospital&lt;/Keywords&gt;&lt;Keywords&gt;economics&lt;/Keywords&gt;&lt;Keywords&gt;utilization&lt;/Keywords&gt;&lt;Keywords&gt;Psychiatry&lt;/Keywords&gt;&lt;Keywords&gt;Research&lt;/Keywords&gt;&lt;Keywords&gt;Schizophrenia&lt;/Keywords&gt;&lt;Keywords&gt;Schizophrenia&lt;/Keywords&gt;&lt;Keywords&gt;complications&lt;/Keywords&gt;&lt;Keywords&gt;economics&lt;/Keywords&gt;&lt;Keywords&gt;therapy&lt;/Keywords&gt;&lt;Keywords&gt;State Health Plans&lt;/Keywords&gt;&lt;Keywords&gt;economics&lt;/Keywords&gt;&lt;Keywords&gt;study&lt;/Keywords&gt;&lt;Keywords&gt;Substance-Related Disorders&lt;/Keywords&gt;&lt;Keywords&gt;complications&lt;/Keywords&gt;&lt;Keywords&gt;economics&lt;/Keywords&gt;&lt;Keywords&gt;therapy&lt;/Keywords&gt;&lt;Keywords&gt;United States&lt;/Keywords&gt;&lt;Keywords&gt;Universities&lt;/Keywords&gt;&lt;Keywords&gt;USA&lt;/Keywords&gt;&lt;Keywords&gt;Work&lt;/Keywords&gt;&lt;Reprint&gt;Not in File&lt;/Reprint&gt;&lt;Start_Page&gt;1&lt;/Start_Page&gt;&lt;End_Page&gt;12&lt;/End_Page&gt;&lt;Periodical&gt;The journal of behavioral health services &amp;amp; research&lt;/Periodical&gt;&lt;Volume&gt;31&lt;/Volume&gt;&lt;Issue&gt;1&lt;/Issue&gt;&lt;Address&gt;School of Social Work, and the Center for Mental Health Policy and Services Research, Department of Psychiatry, University of Pennsylvania, Medical Center, 3535 Market St, Rm 3014, Philadelphia, PA 19104, USA. rothbard@mail.med.upenn.edu&lt;/Address&gt;&lt;ZZ_JournalFull&gt;&lt;f name="System"&gt;The journal of behavioral health services &amp;amp; research&lt;/f&gt;&lt;/ZZ_JournalFull&gt;&lt;ZZ_WorkformID&gt;1&lt;/ZZ_WorkformID&gt;&lt;/MDL&gt;&lt;/Cite&gt;&lt;/Refman&gt;</w:instrText>
      </w:r>
      <w:r>
        <w:fldChar w:fldCharType="separate"/>
      </w:r>
      <w:bookmarkStart w:id="25" w:name="__Fieldmark__1050_1322453857"/>
      <w:r>
        <w:rPr>
          <w:rFonts w:cs="Arial" w:ascii="Arial" w:hAnsi="Arial"/>
        </w:rPr>
        <w:t>25,39</w:t>
      </w:r>
      <w:r>
        <w:rPr>
          <w:rFonts w:cs="Arial" w:ascii="Arial" w:hAnsi="Arial"/>
        </w:rPr>
      </w:r>
      <w:r>
        <w:fldChar w:fldCharType="end"/>
      </w:r>
      <w:bookmarkEnd w:id="25"/>
      <w:r>
        <w:rPr>
          <w:rFonts w:cs="Arial" w:ascii="Arial" w:hAnsi="Arial"/>
        </w:rPr>
        <w:t>]</w:t>
      </w:r>
    </w:p>
    <w:p>
      <w:pPr>
        <w:pStyle w:val="Normal"/>
        <w:widowControl w:val="false"/>
        <w:autoSpaceDE w:val="false"/>
        <w:spacing w:lineRule="auto" w:line="480" w:before="0" w:after="0"/>
        <w:ind w:firstLine="720"/>
        <w:rPr/>
      </w:pPr>
      <w:r>
        <w:rPr>
          <w:rFonts w:cs="Arial" w:ascii="Arial" w:hAnsi="Arial"/>
        </w:rPr>
        <w:t>There is limited research on enrolment of patients with mental illness in capitation models relative to fee-for-service models.  In managed care or prepaid plans in the USA, purchasers arrange with selected providers to deliver a defined set of services at an agreed per-capita price.[</w:t>
      </w:r>
      <w:r>
        <w:fldChar w:fldCharType="begin"/>
      </w:r>
      <w:r>
        <w:instrText> ADDIN REFMGR.CITE &lt;Refman&gt;&lt;Cite&gt;&lt;Author&gt;Sekhri&lt;/Author&gt;&lt;Year&gt;2000&lt;/Year&gt;&lt;RecNum&gt;1554&lt;/RecNum&gt;&lt;IDText&gt;Managed care: the US experience&lt;/IDText&gt;&lt;MDL Ref_Type="Journal"&gt;&lt;Ref_Type&gt;Journal&lt;/Ref_Type&gt;&lt;Ref_ID&gt;1554&lt;/Ref_ID&gt;&lt;Title_Primary&gt;Managed care: the US experience&lt;/Title_Primary&gt;&lt;Authors_Primary&gt;Sekhri,N.&lt;/Authors_Primary&gt;&lt;Date_Primary&gt;2000&lt;/Date_Primary&gt;&lt;Keywords&gt;experience&lt;/Keywords&gt;&lt;Keywords&gt;managed care&lt;/Keywords&gt;&lt;Keywords&gt;US&lt;/Keywords&gt;&lt;Reprint&gt;Not in File&lt;/Reprint&gt;&lt;Start_Page&gt;830&lt;/Start_Page&gt;&lt;End_Page&gt;844&lt;/End_Page&gt;&lt;Periodical&gt;Bulletin of the World Health Organization&lt;/Periodical&gt;&lt;Volume&gt;78&lt;/Volume&gt;&lt;Issue&gt;6&lt;/Issue&gt;&lt;Misc_1&gt;Web Page&lt;/Misc_1&gt;&lt;ZZ_JournalFull&gt;&lt;f name="System"&gt;Bulletin of the World Health Organization&lt;/f&gt;&lt;/ZZ_JournalFull&gt;&lt;ZZ_WorkformID&gt;1&lt;/ZZ_WorkformID&gt;&lt;/MDL&gt;&lt;/Cite&gt;&lt;/Refman&gt;</w:instrText>
      </w:r>
      <w:r>
        <w:fldChar w:fldCharType="separate"/>
      </w:r>
      <w:bookmarkStart w:id="26" w:name="__Fieldmark__1051_1322453857"/>
      <w:r>
        <w:rPr>
          <w:rFonts w:cs="Arial" w:ascii="Arial" w:hAnsi="Arial"/>
        </w:rPr>
        <w:t>40</w:t>
      </w:r>
      <w:r>
        <w:rPr>
          <w:rFonts w:cs="Arial" w:ascii="Arial" w:hAnsi="Arial"/>
        </w:rPr>
      </w:r>
      <w:r>
        <w:fldChar w:fldCharType="end"/>
      </w:r>
      <w:bookmarkEnd w:id="26"/>
      <w:r>
        <w:rPr>
          <w:rFonts w:cs="Arial" w:ascii="Arial" w:hAnsi="Arial"/>
        </w:rPr>
        <w:t xml:space="preserve">] These plans are similar to the capitation based models included in the present study.  Findings from these US studies are mixed.  McFarland </w:t>
      </w:r>
      <w:r>
        <w:rPr>
          <w:rFonts w:cs="Arial" w:ascii="Arial" w:hAnsi="Arial"/>
          <w:i/>
        </w:rPr>
        <w:t>et al</w:t>
      </w:r>
      <w:r>
        <w:rPr>
          <w:rFonts w:cs="Arial" w:ascii="Arial" w:hAnsi="Arial"/>
        </w:rPr>
        <w:t xml:space="preserve"> examined the length of enrolment in a health maintenance organization (a type of managed care organization) for patients with severe mental illness, compared to two control groups:  patients with diabetes mellitus and patients without diabetes mellitus, who did not have severe mental illness. There was no evidence of exclusion of persons with chronic mental illness from health maintenance organizations. [</w:t>
      </w:r>
      <w:r>
        <w:fldChar w:fldCharType="begin"/>
      </w:r>
      <w:r>
        <w:instrText> ADDIN REFMGR.CITE &lt;Refman&gt;&lt;Cite&gt;&lt;Author&gt;McFarland&lt;/Author&gt;&lt;Year&gt;1996&lt;/Year&gt;&lt;RecNum&gt;1192&lt;/RecNum&gt;&lt;IDText&gt;Enrollment duration, service use, and costs of care for severely mentally ill members of a health maintenance organization&lt;/IDText&gt;&lt;MDL Ref_Type="Journal"&gt;&lt;Ref_Type&gt;Journal&lt;/Ref_Type&gt;&lt;Ref_ID&gt;1192&lt;/Ref_ID&gt;&lt;Title_Primary&gt;Enrollment duration, service use, and costs of care for severely mentally ill members of a health maintenance organization&lt;/Title_Primary&gt;&lt;Authors_Primary&gt;McFarland,B.H.&lt;/Authors_Primary&gt;&lt;Authors_Primary&gt;Johnson,R.E.&lt;/Authors_Primary&gt;&lt;Authors_Primary&gt;Hornbrook,M.C.&lt;/Authors_Primary&gt;&lt;Date_Primary&gt;1996&lt;/Date_Primary&gt;&lt;Keywords&gt;Adolescent&lt;/Keywords&gt;&lt;Keywords&gt;Adult&lt;/Keywords&gt;&lt;Keywords&gt;Bipolar Disorder&lt;/Keywords&gt;&lt;Keywords&gt;economics&lt;/Keywords&gt;&lt;Keywords&gt;epidemiology&lt;/Keywords&gt;&lt;Keywords&gt;therapy&lt;/Keywords&gt;&lt;Keywords&gt;Capitation Fee&lt;/Keywords&gt;&lt;Keywords&gt;Cohort Studies&lt;/Keywords&gt;&lt;Keywords&gt;Communities&lt;/Keywords&gt;&lt;Keywords&gt;community&lt;/Keywords&gt;&lt;Keywords&gt;Community Mental Health Services&lt;/Keywords&gt;&lt;Keywords&gt;economics&lt;/Keywords&gt;&lt;Keywords&gt;utilization&lt;/Keywords&gt;&lt;Keywords&gt;Comorbidity&lt;/Keywords&gt;&lt;Keywords&gt;control&lt;/Keywords&gt;&lt;Keywords&gt;cost&lt;/Keywords&gt;&lt;Keywords&gt;costs&lt;/Keywords&gt;&lt;Keywords&gt;Diabetes Mellitus&lt;/Keywords&gt;&lt;Keywords&gt;economics&lt;/Keywords&gt;&lt;Keywords&gt;epidemiology&lt;/Keywords&gt;&lt;Keywords&gt;Female&lt;/Keywords&gt;&lt;Keywords&gt;Follow-Up Studies&lt;/Keywords&gt;&lt;Keywords&gt;health&lt;/Keywords&gt;&lt;Keywords&gt;health care&lt;/Keywords&gt;&lt;Keywords&gt;Health Care Costs&lt;/Keywords&gt;&lt;Keywords&gt;Health Maintenance Organizations&lt;/Keywords&gt;&lt;Keywords&gt;Health Maintenance Organizations&lt;/Keywords&gt;&lt;Keywords&gt;economics&lt;/Keywords&gt;&lt;Keywords&gt;utilization&lt;/Keywords&gt;&lt;Keywords&gt;Health Services&lt;/Keywords&gt;&lt;Keywords&gt;Humans&lt;/Keywords&gt;&lt;Keywords&gt;Male&lt;/Keywords&gt;&lt;Keywords&gt;Medicaid&lt;/Keywords&gt;&lt;Keywords&gt;Medicaid&lt;/Keywords&gt;&lt;Keywords&gt;economics&lt;/Keywords&gt;&lt;Keywords&gt;Mental Disorders&lt;/Keywords&gt;&lt;Keywords&gt;economics&lt;/Keywords&gt;&lt;Keywords&gt;epidemiology&lt;/Keywords&gt;&lt;Keywords&gt;therapy&lt;/Keywords&gt;&lt;Keywords&gt;mental health&lt;/Keywords&gt;&lt;Keywords&gt;mental health care&lt;/Keywords&gt;&lt;Keywords&gt;Mental Health Services&lt;/Keywords&gt;&lt;Keywords&gt;mentally ill&lt;/Keywords&gt;&lt;Keywords&gt;method&lt;/Keywords&gt;&lt;Keywords&gt;methods&lt;/Keywords&gt;&lt;Keywords&gt;Middle Aged&lt;/Keywords&gt;&lt;Keywords&gt;Oregon&lt;/Keywords&gt;&lt;Keywords&gt;organization&lt;/Keywords&gt;&lt;Keywords&gt;organizations&lt;/Keywords&gt;&lt;Keywords&gt;patient&lt;/Keywords&gt;&lt;Keywords&gt;patients&lt;/Keywords&gt;&lt;Keywords&gt;record&lt;/Keywords&gt;&lt;Keywords&gt;records&lt;/Keywords&gt;&lt;Keywords&gt;Research&lt;/Keywords&gt;&lt;Keywords&gt;Schizophrenia&lt;/Keywords&gt;&lt;Keywords&gt;Schizophrenia&lt;/Keywords&gt;&lt;Keywords&gt;economics&lt;/Keywords&gt;&lt;Keywords&gt;epidemiology&lt;/Keywords&gt;&lt;Keywords&gt;therapy&lt;/Keywords&gt;&lt;Keywords&gt;Severity of Illness Index&lt;/Keywords&gt;&lt;Keywords&gt;study&lt;/Keywords&gt;&lt;Keywords&gt;United States&lt;/Keywords&gt;&lt;Keywords&gt;USA&lt;/Keywords&gt;&lt;Reprint&gt;Not in File&lt;/Reprint&gt;&lt;Start_Page&gt;938&lt;/Start_Page&gt;&lt;End_Page&gt;944&lt;/End_Page&gt;&lt;Periodical&gt;Arch.Gen.Psychiatry&lt;/Periodical&gt;&lt;Volume&gt;53&lt;/Volume&gt;&lt;Issue&gt;10&lt;/Issue&gt;&lt;Address&gt;Kaiser Permanente Center for Health Research, Portland, USA&lt;/Address&gt;&lt;ZZ_JournalFull&gt;&lt;f name="System"&gt;Archives of General Psychiatry&lt;/f&gt;&lt;/ZZ_JournalFull&gt;&lt;ZZ_JournalStdAbbrev&gt;&lt;f name="System"&gt;Arch.Gen.Psychiatry&lt;/f&gt;&lt;/ZZ_JournalStdAbbrev&gt;&lt;ZZ_WorkformID&gt;1&lt;/ZZ_WorkformID&gt;&lt;/MDL&gt;&lt;/Cite&gt;&lt;/Refman&gt;</w:instrText>
      </w:r>
      <w:r>
        <w:fldChar w:fldCharType="separate"/>
      </w:r>
      <w:bookmarkStart w:id="27" w:name="__Fieldmark__1052_1322453857"/>
      <w:r>
        <w:rPr>
          <w:rFonts w:cs="Arial" w:ascii="Arial" w:hAnsi="Arial"/>
        </w:rPr>
        <w:t>41</w:t>
      </w:r>
      <w:r>
        <w:rPr>
          <w:rFonts w:cs="Arial" w:ascii="Arial" w:hAnsi="Arial"/>
        </w:rPr>
      </w:r>
      <w:r>
        <w:fldChar w:fldCharType="end"/>
      </w:r>
      <w:bookmarkEnd w:id="27"/>
      <w:r>
        <w:rPr>
          <w:rFonts w:cs="Arial" w:ascii="Arial" w:hAnsi="Arial"/>
        </w:rPr>
        <w:t>]  In contrast, a later study [</w:t>
      </w:r>
      <w:r>
        <w:fldChar w:fldCharType="begin"/>
      </w:r>
      <w:r>
        <w:instrText> ADDIN REFMGR.CITE &lt;Refman&gt;&lt;Cite&gt;&lt;Author&gt;Gresenz&lt;/Author&gt;&lt;Year&gt;1999&lt;/Year&gt;&lt;RecNum&gt;827&lt;/RecNum&gt;&lt;IDText&gt;Who leaves managed behavioral health care?&lt;/IDText&gt;&lt;MDL Ref_Type="Journal"&gt;&lt;Ref_Type&gt;Journal&lt;/Ref_Type&gt;&lt;Ref_ID&gt;827&lt;/Ref_ID&gt;&lt;Title_Primary&gt;Who leaves managed behavioral health care?&lt;/Title_Primary&gt;&lt;Authors_Primary&gt;Gresenz,C.R.&lt;/Authors_Primary&gt;&lt;Authors_Primary&gt;Sturm,R.&lt;/Authors_Primary&gt;&lt;Date_Primary&gt;1999&lt;/Date_Primary&gt;&lt;Keywords&gt;Adolescent&lt;/Keywords&gt;&lt;Keywords&gt;Adult&lt;/Keywords&gt;&lt;Keywords&gt;Aged&lt;/Keywords&gt;&lt;Keywords&gt;Behavior Therapy&lt;/Keywords&gt;&lt;Keywords&gt;economics&lt;/Keywords&gt;&lt;Keywords&gt;statistics &amp;amp; numerical data&lt;/Keywords&gt;&lt;Keywords&gt;CA&lt;/Keywords&gt;&lt;Keywords&gt;Cost Allocation&lt;/Keywords&gt;&lt;Keywords&gt;depression&lt;/Keywords&gt;&lt;Keywords&gt;health&lt;/Keywords&gt;&lt;Keywords&gt;Health Benefit Plans,Employee&lt;/Keywords&gt;&lt;Keywords&gt;economics&lt;/Keywords&gt;&lt;Keywords&gt;utilization&lt;/Keywords&gt;&lt;Keywords&gt;health care&lt;/Keywords&gt;&lt;Keywords&gt;Health Services&lt;/Keywords&gt;&lt;Keywords&gt;Humans&lt;/Keywords&gt;&lt;Keywords&gt;Male&lt;/Keywords&gt;&lt;Keywords&gt;managed care&lt;/Keywords&gt;&lt;Keywords&gt;Managed Care Programs&lt;/Keywords&gt;&lt;Keywords&gt;economics&lt;/Keywords&gt;&lt;Keywords&gt;statistics &amp;amp; numerical data&lt;/Keywords&gt;&lt;Keywords&gt;Mental Disorders&lt;/Keywords&gt;&lt;Keywords&gt;economics&lt;/Keywords&gt;&lt;Keywords&gt;epidemiology&lt;/Keywords&gt;&lt;Keywords&gt;mental health&lt;/Keywords&gt;&lt;Keywords&gt;Middle Aged&lt;/Keywords&gt;&lt;Keywords&gt;organization&lt;/Keywords&gt;&lt;Keywords&gt;patient&lt;/Keywords&gt;&lt;Keywords&gt;Patient Dropouts&lt;/Keywords&gt;&lt;Keywords&gt;statistics &amp;amp; numerical data&lt;/Keywords&gt;&lt;Keywords&gt;patients&lt;/Keywords&gt;&lt;Keywords&gt;performance&lt;/Keywords&gt;&lt;Keywords&gt;United States&lt;/Keywords&gt;&lt;Keywords&gt;USA&lt;/Keywords&gt;&lt;Reprint&gt;Not in File&lt;/Reprint&gt;&lt;Start_Page&gt;390&lt;/Start_Page&gt;&lt;End_Page&gt;399&lt;/End_Page&gt;&lt;Periodical&gt;The journal of behavioral health services &amp;amp; research&lt;/Periodical&gt;&lt;Volume&gt;26&lt;/Volume&gt;&lt;Issue&gt;4&lt;/Issue&gt;&lt;Address&gt;RAND Corporation, Santa Monica, CA 90401, USA. gresenz@rand.org&lt;/Address&gt;&lt;ZZ_JournalFull&gt;&lt;f name="System"&gt;The journal of behavioral health services &amp;amp; research&lt;/f&gt;&lt;/ZZ_JournalFull&gt;&lt;ZZ_WorkformID&gt;1&lt;/ZZ_WorkformID&gt;&lt;/MDL&gt;&lt;/Cite&gt;&lt;/Refman&gt;</w:instrText>
      </w:r>
      <w:r>
        <w:fldChar w:fldCharType="separate"/>
      </w:r>
      <w:bookmarkStart w:id="28" w:name="__Fieldmark__1053_1322453857"/>
      <w:r>
        <w:rPr>
          <w:rFonts w:cs="Arial" w:ascii="Arial" w:hAnsi="Arial"/>
        </w:rPr>
        <w:t>42]</w:t>
      </w:r>
      <w:r>
        <w:rPr>
          <w:rFonts w:cs="Arial" w:ascii="Arial" w:hAnsi="Arial"/>
        </w:rPr>
      </w:r>
      <w:r>
        <w:fldChar w:fldCharType="end"/>
      </w:r>
      <w:bookmarkEnd w:id="28"/>
      <w:r>
        <w:rPr>
          <w:rFonts w:cs="Arial" w:ascii="Arial" w:hAnsi="Arial"/>
        </w:rPr>
        <w:t xml:space="preserve"> reported that among employed individuals, patients with more severe types of mental disorders (e.g., schizophrenia, bipolar depressive disorder)  or substance abuse disorders were significantly more likely to be derostered than patients with less severe mental health problems (anxiety disorder, adjustment disorder). The inconsistency in evidence of cream-skimming among limited studies highlights the need for future Canadian and American research on this topic. </w:t>
      </w:r>
    </w:p>
    <w:p>
      <w:pPr>
        <w:pStyle w:val="Normal"/>
        <w:widowControl w:val="false"/>
        <w:autoSpaceDE w:val="false"/>
        <w:spacing w:lineRule="auto" w:line="480" w:before="0" w:after="0"/>
        <w:ind w:firstLine="720"/>
        <w:rPr/>
      </w:pPr>
      <w:r>
        <w:rPr>
          <w:rFonts w:cs="Arial" w:ascii="Arial" w:hAnsi="Arial"/>
        </w:rPr>
        <w:t>Although financial incentive payments are provided by the Ontario government to minimize the financial disincentive of rostering persons with severe mental illness, our findings suggest that incentive payments may be insufficient to offset the financial cost of rostering patients with mental illness for physicians in capitation models. If this is the case, policy options would include higher payment amounts, different incentives for enrolment and care of these patients, and/or the inclusion of a case-mix adjustment calculation to physician remuneration. Dewa and colleagues [</w:t>
      </w:r>
      <w:r>
        <w:rPr>
          <w:rFonts w:cs="Arial" w:ascii="Arial" w:hAnsi="Arial"/>
          <w:vertAlign w:val="superscript"/>
        </w:rPr>
        <w:t xml:space="preserve"> </w:t>
      </w:r>
      <w:r>
        <w:fldChar w:fldCharType="begin"/>
      </w:r>
      <w:r>
        <w:instrText> ADDIN REFMGR.CITE &lt;Refman&gt;&lt;Cite&gt;&lt;Author&gt;Dewa&lt;/Author&gt;&lt;Year&gt;2001&lt;/Year&gt;&lt;RecNum&gt;639&lt;/RecNum&gt;&lt;IDText&gt;Using financial incentives to promote shared mental health care&lt;/IDText&gt;&lt;MDL Ref_Type="Journal"&gt;&lt;Ref_Type&gt;Journal&lt;/Ref_Type&gt;&lt;Ref_ID&gt;639&lt;/Ref_ID&gt;&lt;Title_Primary&gt;Using financial incentives to promote shared mental health care&lt;/Title_Primary&gt;&lt;Authors_Primary&gt;Dewa,C.S.&lt;/Authors_Primary&gt;&lt;Authors_Primary&gt;Hoch,J.S.&lt;/Authors_Primary&gt;&lt;Authors_Primary&gt;Goering,P.&lt;/Authors_Primary&gt;&lt;Date_Primary&gt;2001&lt;/Date_Primary&gt;&lt;Keywords&gt;Canada&lt;/Keywords&gt;&lt;Keywords&gt;Capitation Fee&lt;/Keywords&gt;&lt;Keywords&gt;Cost-Benefit Analysis&lt;/Keywords&gt;&lt;Keywords&gt;Fee Schedules&lt;/Keywords&gt;&lt;Keywords&gt;Fee-for-Service Plans&lt;/Keywords&gt;&lt;Keywords&gt;economics&lt;/Keywords&gt;&lt;Keywords&gt;health&lt;/Keywords&gt;&lt;Keywords&gt;health care&lt;/Keywords&gt;&lt;Keywords&gt;health systems&lt;/Keywords&gt;&lt;Keywords&gt;Humans&lt;/Keywords&gt;&lt;Keywords&gt;Mental Disorders&lt;/Keywords&gt;&lt;Keywords&gt;Mental Disorders&lt;/Keywords&gt;&lt;Keywords&gt;economics&lt;/Keywords&gt;&lt;Keywords&gt;therapy&lt;/Keywords&gt;&lt;Keywords&gt;mental health&lt;/Keywords&gt;&lt;Keywords&gt;National Health Programs&lt;/Keywords&gt;&lt;Keywords&gt;economics&lt;/Keywords&gt;&lt;Keywords&gt;Ontario&lt;/Keywords&gt;&lt;Keywords&gt;Patient Care Team&lt;/Keywords&gt;&lt;Keywords&gt;economics&lt;/Keywords&gt;&lt;Keywords&gt;Physician Incentive Plans&lt;/Keywords&gt;&lt;Keywords&gt;economics&lt;/Keywords&gt;&lt;Keywords&gt;primary care&lt;/Keywords&gt;&lt;Keywords&gt;Primary Health Care&lt;/Keywords&gt;&lt;Keywords&gt;economics&lt;/Keywords&gt;&lt;Keywords&gt;Psychiatry&lt;/Keywords&gt;&lt;Keywords&gt;Research&lt;/Keywords&gt;&lt;Reprint&gt;Not in File&lt;/Reprint&gt;&lt;Start_Page&gt;488&lt;/Start_Page&gt;&lt;End_Page&gt;495&lt;/End_Page&gt;&lt;Periodical&gt;Can.J.Psychiatry&lt;/Periodical&gt;&lt;Volume&gt;46&lt;/Volume&gt;&lt;Issue&gt;6&lt;/Issue&gt;&lt;Address&gt;Centre for Addiction and Mental Health, Health Systems Research and Consulting Unit, Department of Psychiatry, University of Toronto, Toronto, Ontario. carolyn_dewa@camh.net&lt;/Address&gt;&lt;ZZ_JournalFull&gt;&lt;f name="System"&gt;Canadian journal of psychiatry.Revue canadienne de psychiatrie&lt;/f&gt;&lt;/ZZ_JournalFull&gt;&lt;ZZ_JournalStdAbbrev&gt;&lt;f name="System"&gt;Can.J.Psychiatry&lt;/f&gt;&lt;/ZZ_JournalStdAbbrev&gt;&lt;ZZ_WorkformID&gt;1&lt;/ZZ_WorkformID&gt;&lt;/MDL&gt;&lt;/Cite&gt;&lt;/Refman&gt;</w:instrText>
      </w:r>
      <w:r>
        <w:fldChar w:fldCharType="separate"/>
      </w:r>
      <w:bookmarkStart w:id="29" w:name="__Fieldmark__1054_1322453857"/>
      <w:r>
        <w:rPr>
          <w:rFonts w:cs="Arial" w:ascii="Arial" w:hAnsi="Arial"/>
        </w:rPr>
        <w:t>43]</w:t>
      </w:r>
      <w:r>
        <w:rPr>
          <w:rFonts w:cs="Arial" w:ascii="Arial" w:hAnsi="Arial"/>
        </w:rPr>
      </w:r>
      <w:r>
        <w:fldChar w:fldCharType="end"/>
      </w:r>
      <w:bookmarkEnd w:id="29"/>
      <w:r>
        <w:rPr>
          <w:rFonts w:cs="Arial" w:ascii="Arial" w:hAnsi="Arial"/>
        </w:rPr>
        <w:t xml:space="preserve"> accentuated the importance of financial incentives for increasing collaborative, coordinated mental health care, and emphasized the need for future research on this topic. </w:t>
      </w:r>
    </w:p>
    <w:p>
      <w:pPr>
        <w:pStyle w:val="Normal"/>
        <w:widowControl w:val="false"/>
        <w:autoSpaceDE w:val="false"/>
        <w:spacing w:lineRule="auto" w:line="480" w:before="0" w:after="0"/>
        <w:ind w:firstLine="720"/>
        <w:rPr>
          <w:rFonts w:ascii="Arial" w:hAnsi="Arial" w:cs="Arial"/>
        </w:rPr>
      </w:pPr>
      <w:r>
        <w:rPr>
          <w:rFonts w:cs="Arial" w:ascii="Arial" w:hAnsi="Arial"/>
        </w:rPr>
        <w:t>Present findings suggest that persons with mental illness are under-represented among patients enrolled in Ontario’s blended capitation-based medical homes. It is unclear how exclusion from enrolment in medical home models affects access to care and quality of care for patients with mental illness in Canada. It is possible that capitation physicians are able to provide intensive care for higher needs patients without suffering a financial insult by keeping mentally ill patients off their rosters, which ensures fee-for-service remuneration.  When patients are not enrolled, however, physicians do not receive incentive payments for preventive health care or chronic disease management, two areas in which people with mental illness are already vulnerable  to receiving worse care than other individuals.</w:t>
      </w:r>
      <w:r>
        <w:fldChar w:fldCharType="begin"/>
      </w:r>
      <w:r>
        <w:instrText> ADDIN REFMGR.CITE &lt;Refman&gt;&lt;Cite&gt;&lt;Author&gt;Druss&lt;/Author&gt;&lt;Year&gt;2002&lt;/Year&gt;&lt;RecNum&gt;151&lt;/RecNum&gt;&lt;IDText&gt;Quality of preventive medical care for patients with mental disorders&lt;/IDText&gt;&lt;MDL Ref_Type="Journal"&gt;&lt;Ref_Type&gt;Journal&lt;/Ref_Type&gt;&lt;Ref_ID&gt;151&lt;/Ref_ID&gt;&lt;Title_Primary&gt;Quality of preventive medical care for patients with mental disorders&lt;/Title_Primary&gt;&lt;Authors_Primary&gt;Druss,B.G.&lt;/Authors_Primary&gt;&lt;Authors_Primary&gt;Rosenheck,R.A.&lt;/Authors_Primary&gt;&lt;Authors_Primary&gt;Desai,M.M.&lt;/Authors_Primary&gt;&lt;Authors_Primary&gt;Perlin,J.B.&lt;/Authors_Primary&gt;&lt;Date_Primary&gt;2002&lt;/Date_Primary&gt;&lt;Keywords&gt;Chi-Square Distribution&lt;/Keywords&gt;&lt;Keywords&gt;Health Services Research&lt;/Keywords&gt;&lt;Keywords&gt;Health Status&lt;/Keywords&gt;&lt;Keywords&gt;Humans&lt;/Keywords&gt;&lt;Keywords&gt;Mental Disorders&lt;/Keywords&gt;&lt;Keywords&gt;Multivariate Analysis&lt;/Keywords&gt;&lt;Keywords&gt;Preventive Health Services&lt;/Keywords&gt;&lt;Keywords&gt;standards&lt;/Keywords&gt;&lt;Keywords&gt;utilization&lt;/Keywords&gt;&lt;Keywords&gt;Private Sector&lt;/Keywords&gt;&lt;Keywords&gt;Program Evaluation&lt;/Keywords&gt;&lt;Keywords&gt;Quality of Health Care&lt;/Keywords&gt;&lt;Keywords&gt;United States&lt;/Keywords&gt;&lt;Keywords&gt;Veterans&lt;/Keywords&gt;&lt;Keywords&gt;statistics &amp;amp; numerical data&lt;/Keywords&gt;&lt;Reprint&gt;Not in File&lt;/Reprint&gt;&lt;Start_Page&gt;129&lt;/Start_Page&gt;&lt;End_Page&gt;136&lt;/End_Page&gt;&lt;Periodical&gt;Med.Care&lt;/Periodical&gt;&lt;Volume&gt;40&lt;/Volume&gt;&lt;Issue&gt;2&lt;/Issue&gt;&lt;Address&gt;Department of Veterans Affairs Northeast Program Evaluation Center, West Haven, Connecticut, USA. benjamin.druss@yale.edu&lt;/Address&gt;&lt;ZZ_JournalFull&gt;&lt;f name="System"&gt;Medical care&lt;/f&gt;&lt;/ZZ_JournalFull&gt;&lt;ZZ_JournalStdAbbrev&gt;&lt;f name="System"&gt;Med.Care&lt;/f&gt;&lt;/ZZ_JournalStdAbbrev&gt;&lt;ZZ_WorkformID&gt;1&lt;/ZZ_WorkformID&gt;&lt;/MDL&gt;&lt;/Cite&gt;&lt;Cite&gt;&lt;Author&gt;Carney&lt;/Author&gt;&lt;Year&gt;2006&lt;/Year&gt;&lt;RecNum&gt;498&lt;/RecNum&gt;&lt;IDText&gt;The influence of type and severity of mental illness on receipt of screening mammography&lt;/IDText&gt;&lt;MDL Ref_Type="Journal"&gt;&lt;Ref_Type&gt;Journal&lt;/Ref_Type&gt;&lt;Ref_ID&gt;498&lt;/Ref_ID&gt;&lt;Title_Primary&gt;The influence of type and severity of mental illness on receipt of screening mammography&lt;/Title_Primary&gt;&lt;Authors_Primary&gt;Carney,C.P.&lt;/Authors_Primary&gt;&lt;Authors_Primary&gt;Jones,L.E.&lt;/Authors_Primary&gt;&lt;Date_Primary&gt;2006&lt;/Date_Primary&gt;&lt;Keywords&gt;Adult&lt;/Keywords&gt;&lt;Keywords&gt;data&lt;/Keywords&gt;&lt;Keywords&gt;Female&lt;/Keywords&gt;&lt;Keywords&gt;Follow-Up Studies&lt;/Keywords&gt;&lt;Keywords&gt;health&lt;/Keywords&gt;&lt;Keywords&gt;Health Services&lt;/Keywords&gt;&lt;Keywords&gt;Health Services Accessibility&lt;/Keywords&gt;&lt;Keywords&gt;Humans&lt;/Keywords&gt;&lt;Keywords&gt;Indiana&lt;/Keywords&gt;&lt;Keywords&gt;influence&lt;/Keywords&gt;&lt;Keywords&gt;Mammography&lt;/Keywords&gt;&lt;Keywords&gt;statistics &amp;amp; numerical data&lt;/Keywords&gt;&lt;Keywords&gt;medicine&lt;/Keywords&gt;&lt;Keywords&gt;Mental Disorders&lt;/Keywords&gt;&lt;Keywords&gt;Mental Disorders&lt;/Keywords&gt;&lt;Keywords&gt;diagnosis&lt;/Keywords&gt;&lt;Keywords&gt;epidemiology&lt;/Keywords&gt;&lt;Keywords&gt;psychology&lt;/Keywords&gt;&lt;Keywords&gt;mental health&lt;/Keywords&gt;&lt;Keywords&gt;Mental Health Services&lt;/Keywords&gt;&lt;Keywords&gt;Middle Aged&lt;/Keywords&gt;&lt;Keywords&gt;Odds Ratio&lt;/Keywords&gt;&lt;Keywords&gt;Retrospective Studies&lt;/Keywords&gt;&lt;Keywords&gt;Risk&lt;/Keywords&gt;&lt;Keywords&gt;Severity of Illness Index&lt;/Keywords&gt;&lt;Keywords&gt;study&lt;/Keywords&gt;&lt;Keywords&gt;USA&lt;/Keywords&gt;&lt;Reprint&gt;Not in File&lt;/Reprint&gt;&lt;Start_Page&gt;1097&lt;/Start_Page&gt;&lt;End_Page&gt;1104&lt;/End_Page&gt;&lt;Periodical&gt;J.Gen.Intern.Med.&lt;/Periodical&gt;&lt;Volume&gt;21&lt;/Volume&gt;&lt;Issue&gt;10&lt;/Issue&gt;&lt;Address&gt;Department of Internal Medicine, Indiana University School of Medicine, Indianapolis, IN, USA. ccarneyd@iupui.edu&lt;/Address&gt;&lt;ZZ_JournalFull&gt;&lt;f name="System"&gt;Journal of General Internal Medicine&lt;/f&gt;&lt;/ZZ_JournalFull&gt;&lt;ZZ_JournalStdAbbrev&gt;&lt;f name="System"&gt;J.Gen.Intern.Med.&lt;/f&gt;&lt;/ZZ_JournalStdAbbrev&gt;&lt;ZZ_WorkformID&gt;1&lt;/ZZ_WorkformID&gt;&lt;/MDL&gt;&lt;/Cite&gt;&lt;Cite&gt;&lt;Author&gt;Pirraglia&lt;/Author&gt;&lt;Year&gt;2004&lt;/Year&gt;&lt;RecNum&gt;1426&lt;/RecNum&gt;&lt;IDText&gt;Depressive symptom burden as a barrier to screening for breast and cervical cancers&lt;/IDText&gt;&lt;MDL Ref_Type="Journal"&gt;&lt;Ref_Type&gt;Journal&lt;/Ref_Type&gt;&lt;Ref_ID&gt;1426&lt;/Ref_ID&gt;&lt;Title_Primary&gt;Depressive symptom burden as a barrier to screening for breast and cervical cancers&lt;/Title_Primary&gt;&lt;Authors_Primary&gt;Pirraglia,P.A.&lt;/Authors_Primary&gt;&lt;Authors_Primary&gt;Sanyal,P.&lt;/Authors_Primary&gt;&lt;Authors_Primary&gt;Singer,D.E.&lt;/Authors_Primary&gt;&lt;Authors_Primary&gt;Ferris,T.G.&lt;/Authors_Primary&gt;&lt;Date_Primary&gt;2004&lt;/Date_Primary&gt;&lt;Keywords&gt;Adult&lt;/Keywords&gt;&lt;Keywords&gt;Affect&lt;/Keywords&gt;&lt;Keywords&gt;Attitude to Health&lt;/Keywords&gt;&lt;Keywords&gt;Breast Neoplasms&lt;/Keywords&gt;&lt;Keywords&gt;prevention &amp;amp; control&lt;/Keywords&gt;&lt;Keywords&gt;psychology&lt;/Keywords&gt;&lt;Keywords&gt;Cohort Studies&lt;/Keywords&gt;&lt;Keywords&gt;Confidence Intervals&lt;/Keywords&gt;&lt;Keywords&gt;data&lt;/Keywords&gt;&lt;Keywords&gt;depression&lt;/Keywords&gt;&lt;Keywords&gt;Depression&lt;/Keywords&gt;&lt;Keywords&gt;complications&lt;/Keywords&gt;&lt;Keywords&gt;epidemiology&lt;/Keywords&gt;&lt;Keywords&gt;Female&lt;/Keywords&gt;&lt;Keywords&gt;health&lt;/Keywords&gt;&lt;Keywords&gt;health insurance&lt;/Keywords&gt;&lt;Keywords&gt;history&lt;/Keywords&gt;&lt;Keywords&gt;Humans&lt;/Keywords&gt;&lt;Keywords&gt;internal medicine&lt;/Keywords&gt;&lt;Keywords&gt;Logistic Models&lt;/Keywords&gt;&lt;Keywords&gt;Mammography&lt;/Keywords&gt;&lt;Keywords&gt;statistics &amp;amp; numerical data&lt;/Keywords&gt;&lt;Keywords&gt;utilization&lt;/Keywords&gt;&lt;Keywords&gt;Mass Screening&lt;/Keywords&gt;&lt;Keywords&gt;methods&lt;/Keywords&gt;&lt;Keywords&gt;statistics &amp;amp; numerical data&lt;/Keywords&gt;&lt;Keywords&gt;measure&lt;/Keywords&gt;&lt;Keywords&gt;measures&lt;/Keywords&gt;&lt;Keywords&gt;medicine&lt;/Keywords&gt;&lt;Keywords&gt;method&lt;/Keywords&gt;&lt;Keywords&gt;methods&lt;/Keywords&gt;&lt;Keywords&gt;Middle Aged&lt;/Keywords&gt;&lt;Keywords&gt;Odds Ratio&lt;/Keywords&gt;&lt;Keywords&gt;patient&lt;/Keywords&gt;&lt;Keywords&gt;Patient Acceptance of Health Care&lt;/Keywords&gt;&lt;Keywords&gt;psychology&lt;/Keywords&gt;&lt;Keywords&gt;statistics &amp;amp; numerical data&lt;/Keywords&gt;&lt;Keywords&gt;patients&lt;/Keywords&gt;&lt;Keywords&gt;Prospective Studies&lt;/Keywords&gt;&lt;Keywords&gt;relationship&lt;/Keywords&gt;&lt;Keywords&gt;Risk&lt;/Keywords&gt;&lt;Keywords&gt;Risk Factors&lt;/Keywords&gt;&lt;Keywords&gt;study&lt;/Keywords&gt;&lt;Keywords&gt;symptom&lt;/Keywords&gt;&lt;Keywords&gt;testing&lt;/Keywords&gt;&lt;Keywords&gt;United States&lt;/Keywords&gt;&lt;Keywords&gt;epidemiology&lt;/Keywords&gt;&lt;Keywords&gt;USA&lt;/Keywords&gt;&lt;Keywords&gt;Uterine Cervical Neoplasms&lt;/Keywords&gt;&lt;Keywords&gt;prevention &amp;amp; control&lt;/Keywords&gt;&lt;Keywords&gt;psychology&lt;/Keywords&gt;&lt;Keywords&gt;Vaginal Smears&lt;/Keywords&gt;&lt;Keywords&gt;statistics &amp;amp; numerical data&lt;/Keywords&gt;&lt;Keywords&gt;utilization&lt;/Keywords&gt;&lt;Keywords&gt;Women&amp;apos;s Health&lt;/Keywords&gt;&lt;Reprint&gt;Not in File&lt;/Reprint&gt;&lt;Start_Page&gt;731&lt;/Start_Page&gt;&lt;End_Page&gt;738&lt;/End_Page&gt;&lt;Periodical&gt;J.Womens Health.(Larchmt)&lt;/Periodical&gt;&lt;Volume&gt;13&lt;/Volume&gt;&lt;Issue&gt;6&lt;/Issue&gt;&lt;Address&gt;Division of General Internal Medicine, Rhode Island Hospital, Providence, RI, USA&lt;/Address&gt;&lt;ZZ_JournalFull&gt;&lt;f name="System"&gt;Journal of women&amp;apos;s health (2002)&lt;/f&gt;&lt;/ZZ_JournalFull&gt;&lt;ZZ_JournalStdAbbrev&gt;&lt;f name="System"&gt;J.Womens Health.(Larchmt)&lt;/f&gt;&lt;/ZZ_JournalStdAbbrev&gt;&lt;ZZ_WorkformID&gt;1&lt;/ZZ_WorkformID&gt;&lt;/MDL&gt;&lt;/Cite&gt;&lt;Cite&gt;&lt;Author&gt;Vigod&lt;/Author&gt;&lt;Year&gt;2011&lt;/Year&gt;&lt;RecNum&gt;1816&lt;/RecNum&gt;&lt;IDText&gt;Depressive symptoms as a determinant of breast and cervical cancer screening in women: a population-based study in Ontario, Canada&lt;/IDText&gt;&lt;MDL Ref_Type="Journal"&gt;&lt;Ref_Type&gt;Journal&lt;/Ref_Type&gt;&lt;Ref_ID&gt;1816&lt;/Ref_ID&gt;&lt;Title_Primary&gt;Depressive symptoms as a determinant of breast and cervical cancer screening in women: a population-based study in Ontario, Canada&lt;/Title_Primary&gt;&lt;Authors_Primary&gt;Vigod,S.N.&lt;/Authors_Primary&gt;&lt;Authors_Primary&gt;Kurdyak,P.A.&lt;/Authors_Primary&gt;&lt;Authors_Primary&gt;Stewart,D.E.&lt;/Authors_Primary&gt;&lt;Authors_Primary&gt;Gnam,W.H.&lt;/Authors_Primary&gt;&lt;Authors_Primary&gt;Goering,P.N.&lt;/Authors_Primary&gt;&lt;Date_Primary&gt;2011&lt;/Date_Primary&gt;&lt;Keywords&gt;Canada&lt;/Keywords&gt;&lt;Keywords&gt;college&lt;/Keywords&gt;&lt;Keywords&gt;Communities&lt;/Keywords&gt;&lt;Keywords&gt;community&lt;/Keywords&gt;&lt;Keywords&gt;Composite International Diagnostic Interview&lt;/Keywords&gt;&lt;Keywords&gt;data&lt;/Keywords&gt;&lt;Keywords&gt;depression&lt;/Keywords&gt;&lt;Keywords&gt;depressive disorder&lt;/Keywords&gt;&lt;Keywords&gt;Female&lt;/Keywords&gt;&lt;Keywords&gt;health&lt;/Keywords&gt;&lt;Keywords&gt;institute&lt;/Keywords&gt;&lt;Keywords&gt;interview&lt;/Keywords&gt;&lt;Keywords&gt;mental health&lt;/Keywords&gt;&lt;Keywords&gt;objective&lt;/Keywords&gt;&lt;Keywords&gt;Odds Ratio&lt;/Keywords&gt;&lt;Keywords&gt;Ontario&lt;/Keywords&gt;&lt;Keywords&gt;outcome&lt;/Keywords&gt;&lt;Keywords&gt;outcomes&lt;/Keywords&gt;&lt;Keywords&gt;relationship&lt;/Keywords&gt;&lt;Keywords&gt;Research&lt;/Keywords&gt;&lt;Keywords&gt;respondent&lt;/Keywords&gt;&lt;Keywords&gt;respondents&lt;/Keywords&gt;&lt;Keywords&gt;study&lt;/Keywords&gt;&lt;Keywords&gt;survey&lt;/Keywords&gt;&lt;Keywords&gt;symptom&lt;/Keywords&gt;&lt;Keywords&gt;symptoms&lt;/Keywords&gt;&lt;Reprint&gt;Not in File&lt;/Reprint&gt;&lt;Start_Page&gt;159&lt;/Start_Page&gt;&lt;End_Page&gt;168&lt;/End_Page&gt;&lt;Periodical&gt;Arch.Womens Ment.Health.&lt;/Periodical&gt;&lt;Volume&gt;14&lt;/Volume&gt;&lt;Issue&gt;2&lt;/Issue&gt;&lt;Address&gt;Women&amp;apos;s College Hospital, Women&amp;apos;s College Research Institute, Toronto, ON, Canada. simone.vigod@wchospital.ca&lt;/Address&gt;&lt;ZZ_JournalFull&gt;&lt;f name="System"&gt;Archives of Women&amp;apos;s Mental Health&lt;/f&gt;&lt;/ZZ_JournalFull&gt;&lt;ZZ_JournalStdAbbrev&gt;&lt;f name="System"&gt;Arch.Womens Ment.Health.&lt;/f&gt;&lt;/ZZ_JournalStdAbbrev&gt;&lt;ZZ_WorkformID&gt;1&lt;/ZZ_WorkformID&gt;&lt;/MDL&gt;&lt;/Cite&gt;&lt;/Refman&gt;</w:instrText>
      </w:r>
      <w:r>
        <w:fldChar w:fldCharType="separate"/>
      </w:r>
      <w:bookmarkStart w:id="30" w:name="__Fieldmark__1055_1322453857"/>
      <w:r>
        <w:rPr>
          <w:rFonts w:cs="Arial" w:ascii="Arial" w:hAnsi="Arial"/>
        </w:rPr>
        <w:t>[44-47</w:t>
      </w:r>
      <w:r>
        <w:rPr>
          <w:rFonts w:cs="Arial" w:ascii="Arial" w:hAnsi="Arial"/>
        </w:rPr>
      </w:r>
      <w:r>
        <w:fldChar w:fldCharType="end"/>
      </w:r>
      <w:bookmarkEnd w:id="30"/>
      <w:r>
        <w:rPr>
          <w:rFonts w:cs="Arial" w:ascii="Arial" w:hAnsi="Arial"/>
        </w:rPr>
        <w:t>]  Non-enrolled patients would also be less likely to be included in quality improvement initiatives that generate reports or reminders, nor would they be eligible for incentives for after-hours care. Further analyses using a longitudinal approach and comparing the service patterns and outcomes of patients with mental illness who are rostered and not rostered across model types will help understand these issues in more depth.  There is consensus about a need to measure the long term effects of membership in capitation (or managed care) models on mental health service use. [</w:t>
      </w:r>
      <w:r>
        <w:fldChar w:fldCharType="begin"/>
      </w:r>
      <w:r>
        <w:instrText> ADDIN REFMGR.CITE &lt;Refman&gt;&lt;Cite&gt;&lt;Author&gt;Leff&lt;/Author&gt;&lt;Year&gt;2005&lt;/Year&gt;&lt;RecNum&gt;99&lt;/RecNum&gt;&lt;IDText&gt;Assessment of Medicaid managed behavioral health care for persons with serious mental illness&lt;/IDText&gt;&lt;MDL Ref_Type="Journal"&gt;&lt;Ref_Type&gt;Journal&lt;/Ref_Type&gt;&lt;Ref_ID&gt;99&lt;/Ref_ID&gt;&lt;Title_Primary&gt;Assessment of Medicaid managed behavioral health care for persons with serious mental illness&lt;/Title_Primary&gt;&lt;Authors_Primary&gt;Leff,H.S.&lt;/Authors_Primary&gt;&lt;Authors_Primary&gt;Wieman,D.A.&lt;/Authors_Primary&gt;&lt;Authors_Primary&gt;McFarland,B.H.&lt;/Authors_Primary&gt;&lt;Authors_Primary&gt;Morrissey,J.P.&lt;/Authors_Primary&gt;&lt;Authors_Primary&gt;Rothbard,A.&lt;/Authors_Primary&gt;&lt;Authors_Primary&gt;Shern,D.L.&lt;/Authors_Primary&gt;&lt;Authors_Primary&gt;Wylie,A.M.&lt;/Authors_Primary&gt;&lt;Authors_Primary&gt;Boothroyd,R.A.&lt;/Authors_Primary&gt;&lt;Authors_Primary&gt;Stroup,T.S.&lt;/Authors_Primary&gt;&lt;Authors_Primary&gt;Allen,I.E.&lt;/Authors_Primary&gt;&lt;Date_Primary&gt;2005&lt;/Date_Primary&gt;&lt;Keywords&gt;Adult&lt;/Keywords&gt;&lt;Keywords&gt;Fee-for-Service Plans&lt;/Keywords&gt;&lt;Keywords&gt;Female&lt;/Keywords&gt;&lt;Keywords&gt;Florida&lt;/Keywords&gt;&lt;Keywords&gt;Hawaii&lt;/Keywords&gt;&lt;Keywords&gt;Humans&lt;/Keywords&gt;&lt;Keywords&gt;Male&lt;/Keywords&gt;&lt;Keywords&gt;Managed Care Programs&lt;/Keywords&gt;&lt;Keywords&gt;Managed Care Programs&lt;/Keywords&gt;&lt;Keywords&gt;standards&lt;/Keywords&gt;&lt;Keywords&gt;Medicaid&lt;/Keywords&gt;&lt;Keywords&gt;standards&lt;/Keywords&gt;&lt;Keywords&gt;Mental Disorders&lt;/Keywords&gt;&lt;Keywords&gt;psychology&lt;/Keywords&gt;&lt;Keywords&gt;therapy&lt;/Keywords&gt;&lt;Keywords&gt;Mental Health Services&lt;/Keywords&gt;&lt;Keywords&gt;standards&lt;/Keywords&gt;&lt;Keywords&gt;Oregon&lt;/Keywords&gt;&lt;Keywords&gt;Pennsylvania&lt;/Keywords&gt;&lt;Keywords&gt;Quality of Health Care&lt;/Keywords&gt;&lt;Keywords&gt;Questionnaires&lt;/Keywords&gt;&lt;Keywords&gt;Severity of Illness Index&lt;/Keywords&gt;&lt;Keywords&gt;Virginia&lt;/Keywords&gt;&lt;Reprint&gt;Not in File&lt;/Reprint&gt;&lt;Start_Page&gt;1245&lt;/Start_Page&gt;&lt;End_Page&gt;1253&lt;/End_Page&gt;&lt;Periodical&gt;Psychiatric services (Washington, D.C.)&lt;/Periodical&gt;&lt;Volume&gt;56&lt;/Volume&gt;&lt;Issue&gt;10&lt;/Issue&gt;&lt;Address&gt;Human Services Research Institute, 2336 Massachusetts Avenue, Cambridge, Massachusetts 02140, USA. sleff@hsri.org&lt;/Address&gt;&lt;ZZ_JournalFull&gt;&lt;f name="System"&gt;Psychiatric services (Washington, D.C.)&lt;/f&gt;&lt;/ZZ_JournalFull&gt;&lt;ZZ_WorkformID&gt;1&lt;/ZZ_WorkformID&gt;&lt;/MDL&gt;&lt;/Cite&gt;&lt;Cite&gt;&lt;Author&gt;Chou&lt;/Author&gt;&lt;Year&gt;2005&lt;/Year&gt;&lt;RecNum&gt;529&lt;/RecNum&gt;&lt;IDText&gt;Variation in outpatient mental health service utilization under capitation&lt;/IDText&gt;&lt;MDL Ref_Type="Journal"&gt;&lt;Ref_Type&gt;Journal&lt;/Ref_Type&gt;&lt;Ref_ID&gt;529&lt;/Ref_ID&gt;&lt;Title_Primary&gt;Variation in outpatient mental health service utilization under capitation&lt;/Title_Primary&gt;&lt;Authors_Primary&gt;Chou,A.F.&lt;/Authors_Primary&gt;&lt;Authors_Primary&gt;Wallace,N.&lt;/Authors_Primary&gt;&lt;Authors_Primary&gt;Bloom,J.R.&lt;/Authors_Primary&gt;&lt;Authors_Primary&gt;Hu,T.W.&lt;/Authors_Primary&gt;&lt;Date_Primary&gt;2005&lt;/Date_Primary&gt;&lt;Keywords&gt;Adolescent&lt;/Keywords&gt;&lt;Keywords&gt;Adult&lt;/Keywords&gt;&lt;Keywords&gt;Aged&lt;/Keywords&gt;&lt;Keywords&gt;Bipolar Disorder&lt;/Keywords&gt;&lt;Keywords&gt;economics&lt;/Keywords&gt;&lt;Keywords&gt;epidemiology&lt;/Keywords&gt;&lt;Keywords&gt;Capitation Fee&lt;/Keywords&gt;&lt;Keywords&gt;utilization&lt;/Keywords&gt;&lt;Keywords&gt;Case Management&lt;/Keywords&gt;&lt;Keywords&gt;Colorado&lt;/Keywords&gt;&lt;Keywords&gt;Community Mental Health Centers&lt;/Keywords&gt;&lt;Keywords&gt;Community Mental Health Services&lt;/Keywords&gt;&lt;Keywords&gt;economics&lt;/Keywords&gt;&lt;Keywords&gt;utilization&lt;/Keywords&gt;&lt;Keywords&gt;Cost-Benefit Analysis&lt;/Keywords&gt;&lt;Keywords&gt;statistics &amp;amp; numerical data&lt;/Keywords&gt;&lt;Keywords&gt;data&lt;/Keywords&gt;&lt;Keywords&gt;evaluation&lt;/Keywords&gt;&lt;Keywords&gt;Fee-for-Service Plans&lt;/Keywords&gt;&lt;Keywords&gt;economics&lt;/Keywords&gt;&lt;Keywords&gt;utilization&lt;/Keywords&gt;&lt;Keywords&gt;Female&lt;/Keywords&gt;&lt;Keywords&gt;health&lt;/Keywords&gt;&lt;Keywords&gt;health care&lt;/Keywords&gt;&lt;Keywords&gt;Health Services&lt;/Keywords&gt;&lt;Keywords&gt;health systems&lt;/Keywords&gt;&lt;Keywords&gt;human&lt;/Keywords&gt;&lt;Keywords&gt;Humans&lt;/Keywords&gt;&lt;Keywords&gt;Indiana&lt;/Keywords&gt;&lt;Keywords&gt;Male&lt;/Keywords&gt;&lt;Keywords&gt;Managed Care Programs&lt;/Keywords&gt;&lt;Keywords&gt;economics&lt;/Keywords&gt;&lt;Keywords&gt;utilization&lt;/Keywords&gt;&lt;Keywords&gt;Medicaid&lt;/Keywords&gt;&lt;Keywords&gt;economics&lt;/Keywords&gt;&lt;Keywords&gt;utilization&lt;/Keywords&gt;&lt;Keywords&gt;Mental Disorders&lt;/Keywords&gt;&lt;Keywords&gt;economics&lt;/Keywords&gt;&lt;Keywords&gt;epidemiology&lt;/Keywords&gt;&lt;Keywords&gt;mental health&lt;/Keywords&gt;&lt;Keywords&gt;Mental Health Services&lt;/Keywords&gt;&lt;Keywords&gt;Michigan&lt;/Keywords&gt;&lt;Keywords&gt;Middle Aged&lt;/Keywords&gt;&lt;Keywords&gt;organization&lt;/Keywords&gt;&lt;Keywords&gt;patient&lt;/Keywords&gt;&lt;Keywords&gt;patients&lt;/Keywords&gt;&lt;Keywords&gt;Psychotherapy&lt;/Keywords&gt;&lt;Keywords&gt;Research&lt;/Keywords&gt;&lt;Keywords&gt;Schizophrenia&lt;/Keywords&gt;&lt;Keywords&gt;economics&lt;/Keywords&gt;&lt;Keywords&gt;epidemiology&lt;/Keywords&gt;&lt;Keywords&gt;State Health Plans&lt;/Keywords&gt;&lt;Keywords&gt;economics&lt;/Keywords&gt;&lt;Keywords&gt;utilization&lt;/Keywords&gt;&lt;Keywords&gt;study&lt;/Keywords&gt;&lt;Keywords&gt;therapy&lt;/Keywords&gt;&lt;Keywords&gt;treatment&lt;/Keywords&gt;&lt;Keywords&gt;United States&lt;/Keywords&gt;&lt;Keywords&gt;USA&lt;/Keywords&gt;&lt;Keywords&gt;Utilization Review&lt;/Keywords&gt;&lt;Keywords&gt;statistics &amp;amp; numerical data&lt;/Keywords&gt;&lt;Reprint&gt;Not in File&lt;/Reprint&gt;&lt;Start_Page&gt;3&lt;/Start_Page&gt;&lt;End_Page&gt;14&lt;/End_Page&gt;&lt;Periodical&gt;J.Ment.Health.Policy.Econ.&lt;/Periodical&gt;&lt;Volume&gt;8&lt;/Volume&gt;&lt;Issue&gt;1&lt;/Issue&gt;&lt;Address&gt;Health Services and Research Development, Richard L. Roudebush VA Medical Center, and Indiana University Purdue University, 801 W. Michigan St., Indianapolis, IN 46202, USA. achou@iupui.edu&lt;/Address&gt;&lt;ZZ_JournalFull&gt;&lt;f name="System"&gt;The journal of mental health policy and economics&lt;/f&gt;&lt;/ZZ_JournalFull&gt;&lt;ZZ_JournalStdAbbrev&gt;&lt;f name="System"&gt;J.Ment.Health.Policy.Econ.&lt;/f&gt;&lt;/ZZ_JournalStdAbbrev&gt;&lt;ZZ_WorkformID&gt;1&lt;/ZZ_WorkformID&gt;&lt;/MDL&gt;&lt;/Cite&gt;&lt;/Refman&gt;</w:instrText>
      </w:r>
      <w:r>
        <w:fldChar w:fldCharType="separate"/>
      </w:r>
      <w:bookmarkStart w:id="31" w:name="__Fieldmark__1056_1322453857"/>
      <w:r>
        <w:rPr>
          <w:rFonts w:cs="Arial" w:ascii="Arial" w:hAnsi="Arial"/>
        </w:rPr>
        <w:t>22,48</w:t>
      </w:r>
      <w:r>
        <w:rPr>
          <w:rFonts w:cs="Arial" w:ascii="Arial" w:hAnsi="Arial"/>
        </w:rPr>
      </w:r>
      <w:r>
        <w:fldChar w:fldCharType="end"/>
      </w:r>
      <w:bookmarkEnd w:id="31"/>
      <w:r>
        <w:rPr>
          <w:rFonts w:cs="Arial" w:ascii="Arial" w:hAnsi="Arial"/>
        </w:rPr>
        <w:t>]</w:t>
      </w:r>
    </w:p>
    <w:p>
      <w:pPr>
        <w:pStyle w:val="Normal"/>
        <w:widowControl w:val="false"/>
        <w:autoSpaceDE w:val="false"/>
        <w:spacing w:lineRule="auto" w:line="480" w:before="0" w:after="0"/>
        <w:ind w:firstLine="720"/>
        <w:rPr>
          <w:rFonts w:ascii="Arial" w:hAnsi="Arial" w:cs="Arial"/>
        </w:rPr>
      </w:pPr>
      <w:r>
        <w:rPr>
          <w:rFonts w:cs="Arial" w:ascii="Arial" w:hAnsi="Arial"/>
        </w:rPr>
        <w:t>Our study evaluates models of the patient-centered medical home that are unique to Ontario.  However, aspects of these models, such as physician-led multidisciplinary teams, expanded hours, and incentives to enhance evidence-based quality care, are common to primary care reform efforts in other settings. [</w:t>
      </w:r>
      <w:r>
        <w:fldChar w:fldCharType="begin"/>
      </w:r>
      <w:r>
        <w:instrText> ADDIN REFMGR.CITE &lt;Refman&gt;&lt;Cite&gt;&lt;Author&gt;Glazier&lt;/Author&gt;&lt;Year&gt;2010&lt;/Year&gt;&lt;RecNum&gt;158&lt;/RecNum&gt;&lt;IDText&gt;Building the patient-centered medical home in Ontario&lt;/IDText&gt;&lt;MDL Ref_Type="Journal"&gt;&lt;Ref_Type&gt;Journal&lt;/Ref_Type&gt;&lt;Ref_ID&gt;158&lt;/Ref_ID&gt;&lt;Title_Primary&gt;Building the patient-centered medical home in Ontario&lt;/Title_Primary&gt;&lt;Authors_Primary&gt;Glazier,R.H.&lt;/Authors_Primary&gt;&lt;Authors_Primary&gt;Redelmeier,D.A.&lt;/Authors_Primary&gt;&lt;Date_Primary&gt;2010&lt;/Date_Primary&gt;&lt;Keywords&gt;Capitation Fee&lt;/Keywords&gt;&lt;Keywords&gt;Disease Management&lt;/Keywords&gt;&lt;Keywords&gt;Emergency Service,Hospital&lt;/Keywords&gt;&lt;Keywords&gt;utilization&lt;/Keywords&gt;&lt;Keywords&gt;Fee-for-Service Plans&lt;/Keywords&gt;&lt;Keywords&gt;Health Care Reform&lt;/Keywords&gt;&lt;Keywords&gt;Healthcare Disparities&lt;/Keywords&gt;&lt;Keywords&gt;Humans&lt;/Keywords&gt;&lt;Keywords&gt;Ontario&lt;/Keywords&gt;&lt;Keywords&gt;Outcome Assessment (Health Care)&lt;/Keywords&gt;&lt;Keywords&gt;Patient-Centered Care&lt;/Keywords&gt;&lt;Keywords&gt;economics&lt;/Keywords&gt;&lt;Keywords&gt;statistics &amp;amp; numerical data&lt;/Keywords&gt;&lt;Keywords&gt;Primary Health Care&lt;/Keywords&gt;&lt;Keywords&gt;economics&lt;/Keywords&gt;&lt;Keywords&gt;statistics &amp;amp; numerical data&lt;/Keywords&gt;&lt;Reprint&gt;Not in File&lt;/Reprint&gt;&lt;Start_Page&gt;2186&lt;/Start_Page&gt;&lt;End_Page&gt;2187&lt;/End_Page&gt;&lt;Periodical&gt;JAMA&lt;/Periodical&gt;&lt;Volume&gt;303&lt;/Volume&gt;&lt;Issue&gt;21&lt;/Issue&gt;&lt;Address&gt;Institute for Clinical Evaluative Sciences, Centre for Research on Inner City Health, St. Michael&amp;apos;s Hospital, and Department of Family and Community Medicine, University of Toronto, Toronto, Canada. rick.glazier@ices.on.ca&lt;/Address&gt;&lt;ZZ_JournalFull&gt;&lt;f name="System"&gt;JAMA : the journal of the American Medical Association&lt;/f&gt;&lt;/ZZ_JournalFull&gt;&lt;ZZ_JournalStdAbbrev&gt;&lt;f name="System"&gt;JAMA&lt;/f&gt;&lt;/ZZ_JournalStdAbbrev&gt;&lt;ZZ_WorkformID&gt;1&lt;/ZZ_WorkformID&gt;&lt;/MDL&gt;&lt;/Cite&gt;&lt;/Refman&gt;</w:instrText>
      </w:r>
      <w:r>
        <w:fldChar w:fldCharType="separate"/>
      </w:r>
      <w:bookmarkStart w:id="32" w:name="__Fieldmark__1057_1322453857"/>
      <w:r>
        <w:rPr>
          <w:rFonts w:cs="Arial" w:ascii="Arial" w:hAnsi="Arial"/>
        </w:rPr>
        <w:t>2</w:t>
      </w:r>
      <w:r>
        <w:rPr>
          <w:rFonts w:cs="Arial" w:ascii="Arial" w:hAnsi="Arial"/>
        </w:rPr>
      </w:r>
      <w:r>
        <w:fldChar w:fldCharType="end"/>
      </w:r>
      <w:bookmarkEnd w:id="32"/>
      <w:r>
        <w:rPr>
          <w:rFonts w:cs="Arial" w:ascii="Arial" w:hAnsi="Arial"/>
        </w:rPr>
        <w:t>] Our evaluation of the Ontario experience for serving patients with mental illness could inform primary care reform efforts in the US and other countries with similar resident populations. [</w:t>
      </w:r>
      <w:r>
        <w:fldChar w:fldCharType="begin"/>
      </w:r>
      <w:r>
        <w:instrText> ADDIN REFMGR.CITE &lt;Refman&gt;&lt;Cite&gt;&lt;Author&gt;Rosser&lt;/Author&gt;&lt;Year&gt;2010&lt;/Year&gt;&lt;RecNum&gt;1504&lt;/RecNum&gt;&lt;IDText&gt;Patient-Centered Medical Homes in Ontario&lt;/IDText&gt;&lt;MDL Ref_Type="Journal"&gt;&lt;Ref_Type&gt;Journal&lt;/Ref_Type&gt;&lt;Ref_ID&gt;1504&lt;/Ref_ID&gt;&lt;Title_Primary&gt;Patient-Centered Medical Homes in Ontario&lt;/Title_Primary&gt;&lt;Authors_Primary&gt;Rosser,W.W.&lt;/Authors_Primary&gt;&lt;Authors_Primary&gt;Colwill,J.M.&lt;/Authors_Primary&gt;&lt;Authors_Primary&gt;Kasperski,J.&lt;/Authors_Primary&gt;&lt;Authors_Primary&gt;Wilson,L.&lt;/Authors_Primary&gt;&lt;Date_Primary&gt;2010&lt;/Date_Primary&gt;&lt;Keywords&gt;Ontario&lt;/Keywords&gt;&lt;Reprint&gt;Not in File&lt;/Reprint&gt;&lt;Periodical&gt;New England Journal of Medicine&lt;/Periodical&gt;&lt;ZZ_JournalFull&gt;&lt;f name="System"&gt;New England Journal of Medicine&lt;/f&gt;&lt;/ZZ_JournalFull&gt;&lt;ZZ_WorkformID&gt;1&lt;/ZZ_WorkformID&gt;&lt;/MDL&gt;&lt;/Cite&gt;&lt;/Refman&gt;</w:instrText>
      </w:r>
      <w:r>
        <w:fldChar w:fldCharType="separate"/>
      </w:r>
      <w:bookmarkStart w:id="33" w:name="__Fieldmark__1058_1322453857"/>
      <w:r>
        <w:rPr>
          <w:rFonts w:cs="Arial" w:ascii="Arial" w:hAnsi="Arial"/>
        </w:rPr>
        <w:t>49</w:t>
      </w:r>
      <w:r>
        <w:rPr>
          <w:rFonts w:cs="Arial" w:ascii="Arial" w:hAnsi="Arial"/>
        </w:rPr>
      </w:r>
      <w:r>
        <w:fldChar w:fldCharType="end"/>
      </w:r>
      <w:bookmarkEnd w:id="33"/>
      <w:r>
        <w:rPr>
          <w:rFonts w:cs="Arial" w:ascii="Arial" w:hAnsi="Arial"/>
        </w:rPr>
        <w:t>]</w:t>
      </w:r>
    </w:p>
    <w:p>
      <w:pPr>
        <w:pStyle w:val="Normal"/>
        <w:widowControl w:val="false"/>
        <w:autoSpaceDE w:val="false"/>
        <w:spacing w:lineRule="auto" w:line="480" w:before="0" w:after="0"/>
        <w:ind w:firstLine="720"/>
        <w:rPr>
          <w:rFonts w:ascii="Arial" w:hAnsi="Arial" w:cs="Arial"/>
        </w:rPr>
      </w:pPr>
      <w:r>
        <w:rPr>
          <w:rFonts w:cs="Arial" w:ascii="Arial" w:hAnsi="Arial"/>
        </w:rPr>
        <w:t>We conclude that people with mental illness are under-represented in Ontario’s capitation based medical homes.  Determining appropriate payment structures and getting incentives right for mental health care in capitation-based medical homes may be challenging.  This highlights the importance  of monitoring health care use and outcomes for patients with mental illness in medical home models in order to inform payment and incentive structures that optimize  access to care and improve health outcomes.</w:t>
      </w:r>
      <w:r>
        <w:br w:type="page"/>
      </w:r>
    </w:p>
    <w:p>
      <w:pPr>
        <w:pStyle w:val="Normal"/>
        <w:tabs>
          <w:tab w:val="left" w:pos="2127" w:leader="none"/>
        </w:tabs>
        <w:spacing w:before="0" w:after="0"/>
        <w:ind w:left="851" w:hanging="567"/>
        <w:jc w:val="center"/>
        <w:rPr>
          <w:rFonts w:ascii="Arial" w:hAnsi="Arial" w:cs="Arial"/>
        </w:rPr>
      </w:pPr>
      <w:r>
        <w:rPr>
          <w:rFonts w:cs="Arial" w:ascii="Arial" w:hAnsi="Arial"/>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tabs>
          <w:tab w:val="left" w:pos="1260" w:leader="none"/>
        </w:tabs>
        <w:spacing w:lineRule="auto" w:line="480" w:before="0" w:after="0"/>
        <w:ind w:left="851" w:hanging="567"/>
        <w:jc w:val="center"/>
        <w:rPr>
          <w:rFonts w:ascii="Arial" w:hAnsi="Arial" w:cs="Arial"/>
        </w:rPr>
      </w:pPr>
      <w:r>
        <w:rPr>
          <w:rFonts w:cs="Arial" w:ascii="Arial" w:hAnsi="Arial"/>
        </w:rPr>
      </w:r>
    </w:p>
    <w:tbl>
      <w:tblPr>
        <w:tblW w:w="12047" w:type="dxa"/>
        <w:jc w:val="left"/>
        <w:tblInd w:w="-459" w:type="dxa"/>
        <w:tblBorders>
          <w:bottom w:val="single" w:sz="4" w:space="0" w:color="000000"/>
          <w:insideH w:val="single" w:sz="4" w:space="0" w:color="000000"/>
        </w:tblBorders>
        <w:tblCellMar>
          <w:top w:w="0" w:type="dxa"/>
          <w:left w:w="108" w:type="dxa"/>
          <w:bottom w:w="0" w:type="dxa"/>
          <w:right w:w="108" w:type="dxa"/>
        </w:tblCellMar>
      </w:tblPr>
      <w:tblGrid>
        <w:gridCol w:w="2410"/>
        <w:gridCol w:w="222"/>
        <w:gridCol w:w="17"/>
        <w:gridCol w:w="1824"/>
        <w:gridCol w:w="239"/>
        <w:gridCol w:w="1745"/>
        <w:gridCol w:w="239"/>
        <w:gridCol w:w="1914"/>
        <w:gridCol w:w="239"/>
        <w:gridCol w:w="1914"/>
        <w:gridCol w:w="222"/>
        <w:gridCol w:w="17"/>
        <w:gridCol w:w="1045"/>
      </w:tblGrid>
      <w:tr>
        <w:trPr>
          <w:trHeight w:val="255" w:hRule="atLeast"/>
        </w:trPr>
        <w:tc>
          <w:tcPr>
            <w:tcW w:w="10985" w:type="dxa"/>
            <w:gridSpan w:val="11"/>
            <w:tcBorders>
              <w:bottom w:val="single" w:sz="4" w:space="0" w:color="000000"/>
              <w:insideH w:val="single" w:sz="4" w:space="0" w:color="000000"/>
            </w:tcBorders>
            <w:shd w:fill="auto" w:val="clear"/>
          </w:tcPr>
          <w:p>
            <w:pPr>
              <w:pStyle w:val="Normal"/>
              <w:pBdr>
                <w:top w:val="single" w:sz="4" w:space="1" w:color="000000"/>
                <w:bottom w:val="single" w:sz="4" w:space="1" w:color="000000"/>
              </w:pBdr>
              <w:spacing w:before="0" w:after="0"/>
              <w:rPr/>
            </w:pPr>
            <w:r>
              <w:rPr>
                <w:rFonts w:cs="Arial" w:ascii="Arial" w:hAnsi="Arial"/>
                <w:b/>
                <w:bCs/>
                <w:sz w:val="18"/>
                <w:szCs w:val="18"/>
              </w:rPr>
              <w:t xml:space="preserve">Table 1.  </w:t>
            </w:r>
            <w:r>
              <w:rPr>
                <w:rFonts w:cs="Arial" w:ascii="Arial" w:hAnsi="Arial"/>
                <w:sz w:val="18"/>
                <w:szCs w:val="18"/>
              </w:rPr>
              <w:t>Characteristics of patients* (on the roster and virtual roster</w:t>
            </w:r>
            <w:r>
              <w:rPr>
                <w:rFonts w:cs="Arial" w:ascii="Arial" w:hAnsi="Arial"/>
                <w:sz w:val="18"/>
                <w:szCs w:val="18"/>
                <w:vertAlign w:val="superscript"/>
              </w:rPr>
              <w:t>†</w:t>
            </w:r>
            <w:r>
              <w:rPr>
                <w:rFonts w:cs="Arial" w:ascii="Arial" w:hAnsi="Arial"/>
                <w:sz w:val="18"/>
                <w:szCs w:val="18"/>
              </w:rPr>
              <w:t>) in Ontario over 18 years by mental health category, August 2008</w:t>
            </w:r>
          </w:p>
        </w:tc>
        <w:tc>
          <w:tcPr>
            <w:tcW w:w="1062" w:type="dxa"/>
            <w:gridSpan w:val="2"/>
            <w:tcBorders>
              <w:bottom w:val="single" w:sz="4" w:space="0" w:color="000000"/>
              <w:insideH w:val="single" w:sz="4" w:space="0" w:color="000000"/>
            </w:tcBorders>
            <w:shd w:fill="auto" w:val="clear"/>
          </w:tcPr>
          <w:p>
            <w:pPr>
              <w:pStyle w:val="Normal"/>
              <w:pBdr>
                <w:top w:val="single" w:sz="4" w:space="1" w:color="000000"/>
                <w:bottom w:val="single" w:sz="4" w:space="1" w:color="000000"/>
              </w:pBdr>
              <w:spacing w:before="0" w:after="0"/>
              <w:rPr>
                <w:rFonts w:ascii="Arial" w:hAnsi="Arial" w:cs="Arial"/>
                <w:sz w:val="18"/>
                <w:szCs w:val="18"/>
              </w:rPr>
            </w:pPr>
            <w:r>
              <w:rPr>
                <w:rFonts w:cs="Arial" w:ascii="Arial" w:hAnsi="Arial"/>
                <w:sz w:val="18"/>
                <w:szCs w:val="18"/>
              </w:rPr>
              <w:t> </w:t>
            </w:r>
          </w:p>
        </w:tc>
      </w:tr>
      <w:tr>
        <w:trPr>
          <w:trHeight w:val="393" w:hRule="atLeast"/>
        </w:trPr>
        <w:tc>
          <w:tcPr>
            <w:tcW w:w="2410"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 </w:t>
            </w:r>
          </w:p>
          <w:p>
            <w:pPr>
              <w:pStyle w:val="Normal"/>
              <w:spacing w:before="0" w:after="0"/>
              <w:rPr>
                <w:rFonts w:ascii="Arial" w:hAnsi="Arial" w:cs="Arial"/>
                <w:sz w:val="18"/>
                <w:szCs w:val="18"/>
              </w:rPr>
            </w:pPr>
            <w:r>
              <w:rPr>
                <w:rFonts w:cs="Arial" w:ascii="Arial" w:hAnsi="Arial"/>
                <w:sz w:val="18"/>
                <w:szCs w:val="18"/>
              </w:rPr>
            </w:r>
          </w:p>
        </w:tc>
        <w:tc>
          <w:tcPr>
            <w:tcW w:w="239" w:type="dxa"/>
            <w:gridSpan w:val="2"/>
            <w:tcBorders>
              <w:top w:val="single" w:sz="4" w:space="0" w:color="000000"/>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cs="Arial"/>
                <w:sz w:val="18"/>
                <w:szCs w:val="18"/>
              </w:rPr>
            </w:pPr>
            <w:r>
              <w:rPr>
                <w:rFonts w:cs="Arial" w:ascii="Arial" w:hAnsi="Arial"/>
                <w:bCs/>
                <w:sz w:val="18"/>
                <w:szCs w:val="18"/>
              </w:rPr>
              <w:t>Psychosis - Bipolar diagnoses</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cs="Arial"/>
                <w:sz w:val="18"/>
                <w:szCs w:val="18"/>
              </w:rPr>
            </w:pPr>
            <w:r>
              <w:rPr>
                <w:rFonts w:cs="Arial" w:ascii="Arial" w:hAnsi="Arial"/>
                <w:bCs/>
                <w:sz w:val="18"/>
                <w:szCs w:val="18"/>
              </w:rPr>
              <w:t>Other mental diagnoses</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cs="Arial"/>
                <w:sz w:val="18"/>
                <w:szCs w:val="18"/>
              </w:rPr>
            </w:pPr>
            <w:r>
              <w:rPr>
                <w:rFonts w:cs="Arial" w:ascii="Arial" w:hAnsi="Arial"/>
                <w:bCs/>
                <w:sz w:val="18"/>
                <w:szCs w:val="18"/>
              </w:rPr>
              <w:t>No mental diagnoses</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Total</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P-value</w:t>
            </w:r>
          </w:p>
        </w:tc>
      </w:tr>
      <w:tr>
        <w:trPr>
          <w:trHeight w:val="255" w:hRule="atLeast"/>
        </w:trPr>
        <w:tc>
          <w:tcPr>
            <w:tcW w:w="2410"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 </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N=136,405</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N=1,830,470</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N=5,367,533</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N=7,334,408</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top w:val="single" w:sz="4" w:space="0" w:color="000000"/>
              <w:bottom w:val="single" w:sz="4" w:space="0" w:color="000000"/>
              <w:insideH w:val="single" w:sz="4" w:space="0" w:color="000000"/>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410" w:type="dxa"/>
            <w:tcBorders>
              <w:top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Age, mean (SD)</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top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47.76 (17.01)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top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47.78 (17.20)</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top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47.33 (18.03)</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top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47.45 (17.81)</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top w:val="single" w:sz="4" w:space="0" w:color="000000"/>
            </w:tcBorders>
            <w:shd w:fill="auto" w:val="clear"/>
          </w:tcPr>
          <w:p>
            <w:pPr>
              <w:pStyle w:val="Normal"/>
              <w:spacing w:before="0" w:after="0"/>
              <w:rPr>
                <w:rFonts w:ascii="Arial" w:hAnsi="Arial" w:cs="Arial"/>
                <w:sz w:val="18"/>
                <w:szCs w:val="18"/>
              </w:rPr>
            </w:pPr>
            <w:r>
              <w:rPr>
                <w:rFonts w:cs="Arial" w:ascii="Arial" w:hAnsi="Arial"/>
                <w:sz w:val="18"/>
                <w:szCs w:val="18"/>
              </w:rPr>
              <w:t>&lt;.001</w:t>
            </w:r>
          </w:p>
        </w:tc>
      </w:tr>
      <w:tr>
        <w:trPr>
          <w:trHeight w:val="255" w:hRule="atLeast"/>
        </w:trPr>
        <w:tc>
          <w:tcPr>
            <w:tcW w:w="2632" w:type="dxa"/>
            <w:gridSpan w:val="2"/>
            <w:tcBorders/>
            <w:shd w:fill="auto" w:val="clear"/>
          </w:tcPr>
          <w:p>
            <w:pPr>
              <w:pStyle w:val="Normal"/>
              <w:spacing w:before="0" w:after="0"/>
              <w:rPr>
                <w:rFonts w:ascii="Arial" w:hAnsi="Arial" w:cs="Arial"/>
                <w:sz w:val="18"/>
                <w:szCs w:val="18"/>
              </w:rPr>
            </w:pPr>
            <w:r>
              <w:rPr>
                <w:rFonts w:cs="Arial" w:ascii="Arial" w:hAnsi="Arial"/>
                <w:sz w:val="18"/>
                <w:szCs w:val="18"/>
              </w:rPr>
              <w:t>Age, median (IQR)</w:t>
            </w:r>
          </w:p>
        </w:tc>
        <w:tc>
          <w:tcPr>
            <w:tcW w:w="1841" w:type="dxa"/>
            <w:gridSpan w:val="2"/>
            <w:tcBorders/>
            <w:shd w:fill="auto" w:val="clear"/>
          </w:tcPr>
          <w:p>
            <w:pPr>
              <w:pStyle w:val="Normal"/>
              <w:spacing w:before="0" w:after="0"/>
              <w:rPr>
                <w:rFonts w:ascii="Arial" w:hAnsi="Arial" w:cs="Arial"/>
                <w:sz w:val="18"/>
                <w:szCs w:val="18"/>
              </w:rPr>
            </w:pPr>
            <w:r>
              <w:rPr>
                <w:rFonts w:cs="Arial" w:ascii="Arial" w:hAnsi="Arial"/>
                <w:sz w:val="18"/>
                <w:szCs w:val="18"/>
              </w:rPr>
              <w:t>47 (35-58)</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47 (35-59)</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46 (33-60)</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46 (33-60)</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cs="Arial"/>
                <w:sz w:val="18"/>
                <w:szCs w:val="18"/>
              </w:rPr>
            </w:pPr>
            <w:r>
              <w:rPr>
                <w:rFonts w:cs="Arial" w:ascii="Arial" w:hAnsi="Arial"/>
                <w:sz w:val="18"/>
                <w:szCs w:val="18"/>
              </w:rPr>
              <w:t>&lt;.001</w:t>
            </w:r>
          </w:p>
        </w:tc>
      </w:tr>
      <w:tr>
        <w:trPr>
          <w:trHeight w:val="255" w:hRule="atLeast"/>
        </w:trPr>
        <w:tc>
          <w:tcPr>
            <w:tcW w:w="2410" w:type="dxa"/>
            <w:tcBorders/>
            <w:shd w:fill="auto" w:val="clear"/>
          </w:tcPr>
          <w:p>
            <w:pPr>
              <w:pStyle w:val="Normal"/>
              <w:spacing w:before="0" w:after="0"/>
              <w:rPr>
                <w:rFonts w:ascii="Arial" w:hAnsi="Arial" w:cs="Arial"/>
                <w:sz w:val="18"/>
                <w:szCs w:val="18"/>
              </w:rPr>
            </w:pPr>
            <w:r>
              <w:rPr>
                <w:rFonts w:cs="Arial" w:ascii="Arial" w:hAnsi="Arial"/>
                <w:sz w:val="18"/>
                <w:szCs w:val="18"/>
              </w:rPr>
              <w:t xml:space="preserve">Age categories </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r>
      <w:tr>
        <w:trPr>
          <w:trHeight w:val="255" w:hRule="atLeast"/>
        </w:trPr>
        <w:tc>
          <w:tcPr>
            <w:tcW w:w="2410" w:type="dxa"/>
            <w:tcBorders/>
            <w:shd w:fill="auto" w:val="clear"/>
          </w:tcPr>
          <w:p>
            <w:pPr>
              <w:pStyle w:val="Normal"/>
              <w:spacing w:before="0" w:after="0"/>
              <w:ind w:left="317" w:hanging="142"/>
              <w:rPr>
                <w:rFonts w:ascii="Arial" w:hAnsi="Arial" w:cs="Arial"/>
                <w:sz w:val="18"/>
                <w:szCs w:val="18"/>
              </w:rPr>
            </w:pPr>
            <w:r>
              <w:rPr>
                <w:rFonts w:cs="Arial" w:ascii="Arial" w:hAnsi="Arial"/>
                <w:sz w:val="18"/>
                <w:szCs w:val="18"/>
              </w:rPr>
              <w:t xml:space="preserve">18-39 years </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45,473 (33.3%)</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624,875 (34.1%)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1,955,407 (36.4%)</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2,625,755 (35.8%)</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cs="Arial"/>
                <w:sz w:val="18"/>
                <w:szCs w:val="18"/>
              </w:rPr>
            </w:pPr>
            <w:r>
              <w:rPr>
                <w:rFonts w:cs="Arial" w:ascii="Arial" w:hAnsi="Arial"/>
                <w:sz w:val="18"/>
                <w:szCs w:val="18"/>
              </w:rPr>
              <w:t>&lt;.001</w:t>
            </w:r>
          </w:p>
        </w:tc>
      </w:tr>
      <w:tr>
        <w:trPr>
          <w:trHeight w:val="255" w:hRule="atLeast"/>
        </w:trPr>
        <w:tc>
          <w:tcPr>
            <w:tcW w:w="2410" w:type="dxa"/>
            <w:tcBorders/>
            <w:shd w:fill="auto" w:val="clear"/>
          </w:tcPr>
          <w:p>
            <w:pPr>
              <w:pStyle w:val="Normal"/>
              <w:spacing w:before="0" w:after="0"/>
              <w:ind w:left="317" w:hanging="142"/>
              <w:rPr>
                <w:rFonts w:ascii="Arial" w:hAnsi="Arial" w:cs="Arial"/>
                <w:sz w:val="18"/>
                <w:szCs w:val="18"/>
              </w:rPr>
            </w:pPr>
            <w:r>
              <w:rPr>
                <w:rFonts w:cs="Arial" w:ascii="Arial" w:hAnsi="Arial"/>
                <w:sz w:val="18"/>
                <w:szCs w:val="18"/>
              </w:rPr>
              <w:t>40-64 years</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68,875 (50.5%)</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887,377 (48.5%)</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2,405,557 (44.8%)</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3,361,809 (45.8%)</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410" w:type="dxa"/>
            <w:tcBorders/>
            <w:shd w:fill="auto" w:val="clear"/>
          </w:tcPr>
          <w:p>
            <w:pPr>
              <w:pStyle w:val="Normal"/>
              <w:spacing w:before="0" w:after="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65+ years</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22,057 (16.2%)</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318,218 (17.4%)</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1,006,569 (18.8%)</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1,346,844 (18.4%)</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410" w:type="dxa"/>
            <w:tcBorders/>
            <w:shd w:fill="auto" w:val="clear"/>
          </w:tcPr>
          <w:p>
            <w:pPr>
              <w:pStyle w:val="Normal"/>
              <w:spacing w:before="0" w:after="0"/>
              <w:rPr>
                <w:rFonts w:ascii="Arial" w:hAnsi="Arial" w:cs="Arial"/>
                <w:sz w:val="18"/>
                <w:szCs w:val="18"/>
              </w:rPr>
            </w:pPr>
            <w:r>
              <w:rPr>
                <w:rFonts w:cs="Arial" w:ascii="Arial" w:hAnsi="Arial"/>
                <w:sz w:val="18"/>
                <w:szCs w:val="18"/>
              </w:rPr>
              <w:t>Diabetes</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19,619 (14.4%)</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184,578 (10.1%)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522,455 (9.7%)</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726,652 (9.9%)</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cs="Arial"/>
                <w:sz w:val="18"/>
                <w:szCs w:val="18"/>
              </w:rPr>
            </w:pPr>
            <w:r>
              <w:rPr>
                <w:rFonts w:cs="Arial" w:ascii="Arial" w:hAnsi="Arial"/>
                <w:sz w:val="18"/>
                <w:szCs w:val="18"/>
              </w:rPr>
              <w:t>&lt;.001</w:t>
            </w:r>
          </w:p>
        </w:tc>
      </w:tr>
      <w:tr>
        <w:trPr>
          <w:trHeight w:val="285" w:hRule="atLeast"/>
        </w:trPr>
        <w:tc>
          <w:tcPr>
            <w:tcW w:w="2410" w:type="dxa"/>
            <w:tcBorders/>
            <w:shd w:fill="auto" w:val="clear"/>
          </w:tcPr>
          <w:p>
            <w:pPr>
              <w:pStyle w:val="Normal"/>
              <w:spacing w:before="0" w:after="0"/>
              <w:rPr>
                <w:rFonts w:ascii="Arial" w:hAnsi="Arial" w:cs="Arial"/>
                <w:sz w:val="18"/>
                <w:szCs w:val="18"/>
              </w:rPr>
            </w:pPr>
            <w:r>
              <w:rPr>
                <w:rFonts w:cs="Arial" w:ascii="Arial" w:hAnsi="Arial"/>
                <w:sz w:val="18"/>
                <w:szCs w:val="18"/>
              </w:rPr>
              <w:t xml:space="preserve">Immigrants </w:t>
            </w:r>
            <w:r>
              <w:rPr>
                <w:rFonts w:cs="Arial" w:ascii="Arial" w:hAnsi="Arial"/>
                <w:sz w:val="18"/>
                <w:szCs w:val="18"/>
                <w:vertAlign w:val="superscript"/>
              </w:rPr>
              <w:t>‡</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7,721 (5.7%)</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150,007 (8.2%)</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555,228 (10.3%)</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712,956 (9.7%)</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cs="Arial"/>
                <w:sz w:val="18"/>
                <w:szCs w:val="18"/>
              </w:rPr>
            </w:pPr>
            <w:r>
              <w:rPr>
                <w:rFonts w:cs="Arial" w:ascii="Arial" w:hAnsi="Arial"/>
                <w:sz w:val="18"/>
                <w:szCs w:val="18"/>
              </w:rPr>
              <w:t>&lt;.001</w:t>
            </w:r>
          </w:p>
        </w:tc>
      </w:tr>
      <w:tr>
        <w:trPr>
          <w:trHeight w:val="255" w:hRule="atLeast"/>
        </w:trPr>
        <w:tc>
          <w:tcPr>
            <w:tcW w:w="2410" w:type="dxa"/>
            <w:tcBorders/>
            <w:shd w:fill="auto" w:val="clear"/>
          </w:tcPr>
          <w:p>
            <w:pPr>
              <w:pStyle w:val="Normal"/>
              <w:spacing w:before="0" w:after="0"/>
              <w:rPr>
                <w:rFonts w:ascii="Arial" w:hAnsi="Arial" w:cs="Arial"/>
                <w:sz w:val="18"/>
                <w:szCs w:val="18"/>
              </w:rPr>
            </w:pPr>
            <w:r>
              <w:rPr>
                <w:rFonts w:cs="Arial" w:ascii="Arial" w:hAnsi="Arial"/>
                <w:sz w:val="18"/>
                <w:szCs w:val="18"/>
              </w:rPr>
              <w:t>Income quintile (missing)</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481 (0.4%)</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4,117 (0.2%)</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11,211 (0.2%)</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15,809 (0.2%)</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cs="Arial"/>
                <w:sz w:val="18"/>
                <w:szCs w:val="18"/>
              </w:rPr>
            </w:pPr>
            <w:r>
              <w:rPr>
                <w:rFonts w:cs="Arial" w:ascii="Arial" w:hAnsi="Arial"/>
                <w:sz w:val="18"/>
                <w:szCs w:val="18"/>
              </w:rPr>
              <w:t>&lt;.001</w:t>
            </w:r>
          </w:p>
        </w:tc>
      </w:tr>
      <w:tr>
        <w:trPr>
          <w:trHeight w:val="255" w:hRule="atLeast"/>
        </w:trPr>
        <w:tc>
          <w:tcPr>
            <w:tcW w:w="2410" w:type="dxa"/>
            <w:tcBorders/>
            <w:shd w:fill="auto" w:val="clear"/>
          </w:tcPr>
          <w:p>
            <w:pPr>
              <w:pStyle w:val="Normal"/>
              <w:spacing w:before="0" w:after="0"/>
              <w:ind w:left="317" w:hanging="142"/>
              <w:rPr>
                <w:rFonts w:ascii="Arial" w:hAnsi="Arial" w:cs="Arial"/>
                <w:sz w:val="18"/>
                <w:szCs w:val="18"/>
              </w:rPr>
            </w:pPr>
            <w:r>
              <w:rPr>
                <w:rFonts w:cs="Arial" w:ascii="Arial" w:hAnsi="Arial"/>
                <w:sz w:val="18"/>
                <w:szCs w:val="18"/>
              </w:rPr>
              <w:t>Quintile 1 (low)</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37,455 (27.5%)</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348,968 (19.1%)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930,760 (17.3%)</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1,317,183 (18.0%)</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410" w:type="dxa"/>
            <w:tcBorders/>
            <w:shd w:fill="auto" w:val="clear"/>
          </w:tcPr>
          <w:p>
            <w:pPr>
              <w:pStyle w:val="Normal"/>
              <w:spacing w:before="0" w:after="0"/>
              <w:ind w:left="317" w:hanging="142"/>
              <w:rPr>
                <w:rFonts w:ascii="Arial" w:hAnsi="Arial" w:cs="Arial"/>
                <w:sz w:val="18"/>
                <w:szCs w:val="18"/>
              </w:rPr>
            </w:pPr>
            <w:r>
              <w:rPr>
                <w:rFonts w:cs="Arial" w:ascii="Arial" w:hAnsi="Arial"/>
                <w:sz w:val="18"/>
                <w:szCs w:val="18"/>
              </w:rPr>
              <w:t>Quintile 2</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28,539 (20.9%)</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358,093 (19.6%)</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1,038,996 (19.4%)</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1,425,628 (19.4%)</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410" w:type="dxa"/>
            <w:tcBorders/>
            <w:shd w:fill="auto" w:val="clear"/>
          </w:tcPr>
          <w:p>
            <w:pPr>
              <w:pStyle w:val="Normal"/>
              <w:spacing w:before="0" w:after="0"/>
              <w:ind w:left="317" w:hanging="142"/>
              <w:rPr>
                <w:rFonts w:ascii="Arial" w:hAnsi="Arial" w:cs="Arial"/>
                <w:sz w:val="18"/>
                <w:szCs w:val="18"/>
              </w:rPr>
            </w:pPr>
            <w:r>
              <w:rPr>
                <w:rFonts w:cs="Arial" w:ascii="Arial" w:hAnsi="Arial"/>
                <w:sz w:val="18"/>
                <w:szCs w:val="18"/>
              </w:rPr>
              <w:t>Quintile 3</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24,627 (18.1%)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363,600 (19.9%)</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1,090,805 (20.3%)</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1,479,032 (20.2%)</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410" w:type="dxa"/>
            <w:tcBorders/>
            <w:shd w:fill="auto" w:val="clear"/>
          </w:tcPr>
          <w:p>
            <w:pPr>
              <w:pStyle w:val="Normal"/>
              <w:spacing w:before="0" w:after="0"/>
              <w:ind w:left="317" w:hanging="142"/>
              <w:rPr>
                <w:rFonts w:ascii="Arial" w:hAnsi="Arial" w:cs="Arial"/>
                <w:sz w:val="18"/>
                <w:szCs w:val="18"/>
              </w:rPr>
            </w:pPr>
            <w:r>
              <w:rPr>
                <w:rFonts w:cs="Arial" w:ascii="Arial" w:hAnsi="Arial"/>
                <w:sz w:val="18"/>
                <w:szCs w:val="18"/>
              </w:rPr>
              <w:t>Quintile 4</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23,281 (17.1%)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377,641 (20.6%)</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1,151,995 (21.5%)</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1,552,917 (21.2%)</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410" w:type="dxa"/>
            <w:tcBorders/>
            <w:shd w:fill="auto" w:val="clear"/>
          </w:tcPr>
          <w:p>
            <w:pPr>
              <w:pStyle w:val="Normal"/>
              <w:spacing w:before="0" w:after="0"/>
              <w:ind w:left="317" w:hanging="142"/>
              <w:rPr>
                <w:rFonts w:ascii="Arial" w:hAnsi="Arial" w:cs="Arial"/>
                <w:sz w:val="18"/>
                <w:szCs w:val="18"/>
              </w:rPr>
            </w:pPr>
            <w:r>
              <w:rPr>
                <w:rFonts w:cs="Arial" w:ascii="Arial" w:hAnsi="Arial"/>
                <w:sz w:val="18"/>
                <w:szCs w:val="18"/>
              </w:rPr>
              <w:t>Quintile 5 (high)</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22,022 (16.1%)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378,051 (20.7%)</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1,143,766 (21.3%)</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1,543,839 (21.0%)</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410" w:type="dxa"/>
            <w:tcBorders/>
            <w:shd w:fill="auto" w:val="clear"/>
          </w:tcPr>
          <w:p>
            <w:pPr>
              <w:pStyle w:val="Normal"/>
              <w:spacing w:before="0" w:after="0"/>
              <w:rPr>
                <w:rFonts w:ascii="Arial" w:hAnsi="Arial" w:cs="Arial"/>
                <w:sz w:val="18"/>
                <w:szCs w:val="18"/>
              </w:rPr>
            </w:pPr>
            <w:r>
              <w:rPr>
                <w:rFonts w:cs="Arial" w:ascii="Arial" w:hAnsi="Arial"/>
                <w:sz w:val="18"/>
                <w:szCs w:val="18"/>
              </w:rPr>
              <w:t>Female</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76,385 (56.0%)</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1,138,946 (62.2%)</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2,733,871 (50.9%)</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3,949,202 (53.8%)</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cs="Arial"/>
                <w:sz w:val="18"/>
                <w:szCs w:val="18"/>
              </w:rPr>
            </w:pPr>
            <w:r>
              <w:rPr>
                <w:rFonts w:cs="Arial" w:ascii="Arial" w:hAnsi="Arial"/>
                <w:sz w:val="18"/>
                <w:szCs w:val="18"/>
              </w:rPr>
              <w:t>&lt;.001</w:t>
            </w:r>
          </w:p>
        </w:tc>
      </w:tr>
      <w:tr>
        <w:trPr>
          <w:trHeight w:val="255" w:hRule="atLeast"/>
        </w:trPr>
        <w:tc>
          <w:tcPr>
            <w:tcW w:w="2410" w:type="dxa"/>
            <w:tcBorders/>
            <w:shd w:fill="auto" w:val="clear"/>
          </w:tcPr>
          <w:p>
            <w:pPr>
              <w:pStyle w:val="Normal"/>
              <w:spacing w:before="0" w:after="0"/>
              <w:rPr>
                <w:rFonts w:ascii="Arial" w:hAnsi="Arial" w:cs="Arial"/>
                <w:sz w:val="18"/>
                <w:szCs w:val="18"/>
              </w:rPr>
            </w:pPr>
            <w:r>
              <w:rPr>
                <w:rFonts w:cs="Arial" w:ascii="Arial" w:hAnsi="Arial"/>
                <w:sz w:val="18"/>
                <w:szCs w:val="18"/>
              </w:rPr>
              <w:t xml:space="preserve">Male </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60,020 (44.0%)</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691,524 (37.8%)</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2,633,662 (49.1%)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3,385,206 (46.2%)</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632" w:type="dxa"/>
            <w:gridSpan w:val="2"/>
            <w:tcBorders/>
            <w:shd w:fill="auto" w:val="clear"/>
          </w:tcPr>
          <w:p>
            <w:pPr>
              <w:pStyle w:val="Normal"/>
              <w:spacing w:before="0" w:after="0"/>
              <w:rPr>
                <w:rFonts w:ascii="Arial" w:hAnsi="Arial" w:cs="Arial"/>
                <w:sz w:val="18"/>
                <w:szCs w:val="18"/>
              </w:rPr>
            </w:pPr>
            <w:r>
              <w:rPr>
                <w:rFonts w:cs="Arial" w:ascii="Arial" w:hAnsi="Arial"/>
                <w:sz w:val="18"/>
                <w:szCs w:val="18"/>
              </w:rPr>
              <w:t>Comorbidity score</w:t>
            </w:r>
          </w:p>
        </w:tc>
        <w:tc>
          <w:tcPr>
            <w:tcW w:w="1841"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r>
      <w:tr>
        <w:trPr>
          <w:trHeight w:val="255" w:hRule="atLeast"/>
        </w:trPr>
        <w:tc>
          <w:tcPr>
            <w:tcW w:w="2632" w:type="dxa"/>
            <w:gridSpan w:val="2"/>
            <w:tcBorders/>
            <w:shd w:fill="auto" w:val="clear"/>
          </w:tcPr>
          <w:p>
            <w:pPr>
              <w:pStyle w:val="Normal"/>
              <w:spacing w:before="0" w:after="0"/>
              <w:ind w:left="175" w:hanging="0"/>
              <w:rPr>
                <w:rFonts w:ascii="Arial" w:hAnsi="Arial" w:cs="Arial"/>
                <w:sz w:val="18"/>
                <w:szCs w:val="18"/>
              </w:rPr>
            </w:pPr>
            <w:r>
              <w:rPr>
                <w:rFonts w:cs="Arial" w:ascii="Arial" w:hAnsi="Arial"/>
                <w:sz w:val="18"/>
                <w:szCs w:val="18"/>
              </w:rPr>
              <w:t>Aggregated Diagnosis Groups (ADGs), Mean (SD)</w:t>
            </w:r>
          </w:p>
        </w:tc>
        <w:tc>
          <w:tcPr>
            <w:tcW w:w="1841" w:type="dxa"/>
            <w:gridSpan w:val="2"/>
            <w:tcBorders/>
            <w:shd w:fill="auto" w:val="clear"/>
          </w:tcPr>
          <w:p>
            <w:pPr>
              <w:pStyle w:val="Normal"/>
              <w:spacing w:before="0" w:after="0"/>
              <w:rPr>
                <w:rFonts w:ascii="Arial" w:hAnsi="Arial" w:cs="Arial"/>
                <w:sz w:val="18"/>
                <w:szCs w:val="18"/>
              </w:rPr>
            </w:pPr>
            <w:r>
              <w:rPr>
                <w:rFonts w:cs="Arial" w:ascii="Arial" w:hAnsi="Arial"/>
                <w:sz w:val="18"/>
                <w:szCs w:val="18"/>
              </w:rPr>
              <w:t>7.74 (3.63)</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6.97 (3.20</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4.49 (2.85)</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5.17 (3.17)</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cs="Arial"/>
                <w:sz w:val="18"/>
                <w:szCs w:val="18"/>
              </w:rPr>
            </w:pPr>
            <w:r>
              <w:rPr>
                <w:rFonts w:cs="Arial" w:ascii="Arial" w:hAnsi="Arial"/>
                <w:sz w:val="18"/>
                <w:szCs w:val="18"/>
              </w:rPr>
              <w:t>&lt;.001</w:t>
            </w:r>
          </w:p>
        </w:tc>
      </w:tr>
      <w:tr>
        <w:trPr>
          <w:trHeight w:val="285" w:hRule="atLeast"/>
        </w:trPr>
        <w:tc>
          <w:tcPr>
            <w:tcW w:w="2410" w:type="dxa"/>
            <w:tcBorders/>
            <w:shd w:fill="auto" w:val="clear"/>
          </w:tcPr>
          <w:p>
            <w:pPr>
              <w:pStyle w:val="Normal"/>
              <w:spacing w:before="0" w:after="0"/>
              <w:rPr/>
            </w:pPr>
            <w:r>
              <w:rPr>
                <w:rFonts w:cs="Arial" w:ascii="Arial" w:hAnsi="Arial"/>
                <w:sz w:val="18"/>
                <w:szCs w:val="18"/>
              </w:rPr>
              <w:t>Rurality</w:t>
            </w:r>
            <w:r>
              <w:rPr>
                <w:rFonts w:cs="Arial" w:ascii="Arial" w:hAnsi="Arial"/>
                <w:sz w:val="18"/>
                <w:szCs w:val="18"/>
                <w:vertAlign w:val="superscript"/>
              </w:rPr>
              <w:t xml:space="preserve"> </w:t>
            </w:r>
            <w:r>
              <w:rPr>
                <w:rFonts w:cs="Arial" w:ascii="Arial" w:hAnsi="Arial"/>
                <w:sz w:val="18"/>
                <w:szCs w:val="18"/>
              </w:rPr>
              <w:t xml:space="preserve">score </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r>
      <w:tr>
        <w:trPr>
          <w:trHeight w:val="255" w:hRule="atLeast"/>
        </w:trPr>
        <w:tc>
          <w:tcPr>
            <w:tcW w:w="2410" w:type="dxa"/>
            <w:tcBorders/>
            <w:shd w:fill="auto" w:val="clear"/>
          </w:tcPr>
          <w:p>
            <w:pPr>
              <w:pStyle w:val="Normal"/>
              <w:spacing w:before="0" w:after="0"/>
              <w:ind w:firstLine="175"/>
              <w:rPr>
                <w:rFonts w:ascii="Arial" w:hAnsi="Arial" w:cs="Arial"/>
                <w:sz w:val="18"/>
                <w:szCs w:val="18"/>
              </w:rPr>
            </w:pPr>
            <w:r>
              <w:rPr>
                <w:rFonts w:cs="Arial" w:ascii="Arial" w:hAnsi="Arial"/>
                <w:sz w:val="18"/>
                <w:szCs w:val="18"/>
              </w:rPr>
              <w:t>Missing</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703 (0.5%)</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11,621 (0.6%)</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39,518 (0.7%)</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51,842 (0.7%)</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cs="Arial"/>
                <w:sz w:val="18"/>
                <w:szCs w:val="18"/>
              </w:rPr>
            </w:pPr>
            <w:r>
              <w:rPr>
                <w:rFonts w:cs="Arial" w:ascii="Arial" w:hAnsi="Arial"/>
                <w:sz w:val="18"/>
                <w:szCs w:val="18"/>
              </w:rPr>
              <w:t>&lt;.001</w:t>
            </w:r>
          </w:p>
        </w:tc>
      </w:tr>
      <w:tr>
        <w:trPr>
          <w:trHeight w:val="255" w:hRule="atLeast"/>
        </w:trPr>
        <w:tc>
          <w:tcPr>
            <w:tcW w:w="2410" w:type="dxa"/>
            <w:tcBorders/>
            <w:shd w:fill="auto" w:val="clear"/>
          </w:tcPr>
          <w:p>
            <w:pPr>
              <w:pStyle w:val="Normal"/>
              <w:spacing w:before="0" w:after="0"/>
              <w:ind w:firstLine="175"/>
              <w:rPr>
                <w:rFonts w:ascii="Arial" w:hAnsi="Arial" w:cs="Arial"/>
                <w:sz w:val="18"/>
                <w:szCs w:val="18"/>
              </w:rPr>
            </w:pPr>
            <w:r>
              <w:rPr>
                <w:rFonts w:cs="Arial" w:ascii="Arial" w:hAnsi="Arial"/>
                <w:sz w:val="18"/>
                <w:szCs w:val="18"/>
              </w:rPr>
              <w:t xml:space="preserve">Major urban </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96,416 (70.7%)</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1,246,914 (68.1%)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3,514,494 (65.5%)</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4,857,824 (66.2%)</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410" w:type="dxa"/>
            <w:tcBorders/>
            <w:shd w:fill="auto" w:val="clear"/>
          </w:tcPr>
          <w:p>
            <w:pPr>
              <w:pStyle w:val="Normal"/>
              <w:spacing w:before="0" w:after="0"/>
              <w:ind w:firstLine="175"/>
              <w:rPr>
                <w:rFonts w:ascii="Arial" w:hAnsi="Arial" w:cs="Arial"/>
                <w:sz w:val="18"/>
                <w:szCs w:val="18"/>
              </w:rPr>
            </w:pPr>
            <w:r>
              <w:rPr>
                <w:rFonts w:cs="Arial" w:ascii="Arial" w:hAnsi="Arial"/>
                <w:sz w:val="18"/>
                <w:szCs w:val="18"/>
              </w:rPr>
              <w:t xml:space="preserve">Non major urban </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27,664 (20.3%)</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404,507 (22.1%)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1,218,012 (22.7%)</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1,650,183 (22.5%)</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410" w:type="dxa"/>
            <w:tcBorders/>
            <w:shd w:fill="auto" w:val="clear"/>
          </w:tcPr>
          <w:p>
            <w:pPr>
              <w:pStyle w:val="Normal"/>
              <w:spacing w:before="0" w:after="0"/>
              <w:ind w:firstLine="175"/>
              <w:rPr>
                <w:rFonts w:ascii="Arial" w:hAnsi="Arial" w:cs="Arial"/>
                <w:sz w:val="18"/>
                <w:szCs w:val="18"/>
              </w:rPr>
            </w:pPr>
            <w:r>
              <w:rPr>
                <w:rFonts w:cs="Arial" w:ascii="Arial" w:hAnsi="Arial"/>
                <w:sz w:val="18"/>
                <w:szCs w:val="18"/>
              </w:rPr>
              <w:t xml:space="preserve">Rural </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11,622 (8.5%)</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167,428 (9.1%)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595,509 (11.1%)</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774,559 (10.6%)</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eastAsia="Arial" w:cs="Arial"/>
                <w:sz w:val="18"/>
                <w:szCs w:val="18"/>
              </w:rPr>
            </w:pPr>
            <w:r>
              <w:rPr>
                <w:rFonts w:eastAsia="Arial" w:cs="Arial" w:ascii="Arial" w:hAnsi="Arial"/>
                <w:sz w:val="18"/>
                <w:szCs w:val="18"/>
              </w:rPr>
              <w:t xml:space="preserve"> </w:t>
            </w:r>
          </w:p>
        </w:tc>
      </w:tr>
      <w:tr>
        <w:trPr>
          <w:trHeight w:val="255" w:hRule="atLeast"/>
        </w:trPr>
        <w:tc>
          <w:tcPr>
            <w:tcW w:w="2410" w:type="dxa"/>
            <w:tcBorders/>
            <w:shd w:fill="auto" w:val="clear"/>
          </w:tcPr>
          <w:p>
            <w:pPr>
              <w:pStyle w:val="Normal"/>
              <w:spacing w:before="0" w:after="0"/>
              <w:rPr>
                <w:rFonts w:ascii="Arial" w:hAnsi="Arial" w:cs="Arial"/>
                <w:sz w:val="18"/>
                <w:szCs w:val="18"/>
              </w:rPr>
            </w:pPr>
            <w:r>
              <w:rPr>
                <w:rStyle w:val="Ft"/>
                <w:rFonts w:cs="Arial" w:ascii="Arial" w:hAnsi="Arial"/>
                <w:bCs/>
                <w:color w:val="000000"/>
                <w:sz w:val="18"/>
                <w:szCs w:val="18"/>
                <w:lang w:val="en"/>
              </w:rPr>
              <w:t>Resource Utilization Bands</w:t>
            </w:r>
            <w:r>
              <w:rPr>
                <w:rFonts w:cs="Arial" w:ascii="Arial" w:hAnsi="Arial"/>
                <w:sz w:val="18"/>
                <w:szCs w:val="18"/>
              </w:rPr>
              <w:t xml:space="preserve"> (RUBs)</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r>
      <w:tr>
        <w:trPr>
          <w:trHeight w:val="255" w:hRule="atLeast"/>
        </w:trPr>
        <w:tc>
          <w:tcPr>
            <w:tcW w:w="2410" w:type="dxa"/>
            <w:tcBorders/>
            <w:shd w:fill="auto" w:val="clear"/>
          </w:tcPr>
          <w:p>
            <w:pPr>
              <w:pStyle w:val="Normal"/>
              <w:spacing w:before="0" w:after="0"/>
              <w:ind w:left="175" w:hanging="0"/>
              <w:rPr>
                <w:rFonts w:ascii="Arial" w:hAnsi="Arial" w:cs="Arial"/>
                <w:sz w:val="18"/>
                <w:szCs w:val="18"/>
              </w:rPr>
            </w:pPr>
            <w:r>
              <w:rPr>
                <w:rFonts w:cs="Arial" w:ascii="Arial" w:hAnsi="Arial"/>
                <w:sz w:val="18"/>
                <w:szCs w:val="18"/>
              </w:rPr>
              <w:t>RUB, mean (SD)</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824" w:type="dxa"/>
            <w:tcBorders/>
            <w:shd w:fill="auto" w:val="clear"/>
          </w:tcPr>
          <w:p>
            <w:pPr>
              <w:pStyle w:val="Normal"/>
              <w:spacing w:before="0" w:after="0"/>
              <w:rPr>
                <w:rFonts w:ascii="Arial" w:hAnsi="Arial" w:cs="Arial"/>
                <w:sz w:val="18"/>
                <w:szCs w:val="18"/>
              </w:rPr>
            </w:pPr>
            <w:r>
              <w:rPr>
                <w:rFonts w:cs="Arial" w:ascii="Arial" w:hAnsi="Arial"/>
                <w:sz w:val="18"/>
                <w:szCs w:val="18"/>
              </w:rPr>
              <w:t>3.73 (0.78)</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745" w:type="dxa"/>
            <w:tcBorders/>
            <w:shd w:fill="auto" w:val="clear"/>
          </w:tcPr>
          <w:p>
            <w:pPr>
              <w:pStyle w:val="Normal"/>
              <w:spacing w:before="0" w:after="0"/>
              <w:rPr>
                <w:rFonts w:ascii="Arial" w:hAnsi="Arial" w:cs="Arial"/>
                <w:sz w:val="18"/>
                <w:szCs w:val="18"/>
              </w:rPr>
            </w:pPr>
            <w:r>
              <w:rPr>
                <w:rFonts w:cs="Arial" w:ascii="Arial" w:hAnsi="Arial"/>
                <w:sz w:val="18"/>
                <w:szCs w:val="18"/>
              </w:rPr>
              <w:t>3.32 (0.68)</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2.69 (1.02)</w:t>
            </w:r>
          </w:p>
        </w:tc>
        <w:tc>
          <w:tcPr>
            <w:tcW w:w="239" w:type="dxa"/>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914" w:type="dxa"/>
            <w:tcBorders/>
            <w:shd w:fill="auto" w:val="clear"/>
          </w:tcPr>
          <w:p>
            <w:pPr>
              <w:pStyle w:val="Normal"/>
              <w:spacing w:before="0" w:after="0"/>
              <w:rPr>
                <w:rFonts w:ascii="Arial" w:hAnsi="Arial" w:cs="Arial"/>
                <w:sz w:val="18"/>
                <w:szCs w:val="18"/>
              </w:rPr>
            </w:pPr>
            <w:r>
              <w:rPr>
                <w:rFonts w:cs="Arial" w:ascii="Arial" w:hAnsi="Arial"/>
                <w:sz w:val="18"/>
                <w:szCs w:val="18"/>
              </w:rPr>
              <w:t>2.87 (0.99)</w:t>
            </w:r>
          </w:p>
        </w:tc>
        <w:tc>
          <w:tcPr>
            <w:tcW w:w="239" w:type="dxa"/>
            <w:gridSpan w:val="2"/>
            <w:tcBorders/>
            <w:shd w:fill="auto" w:val="clear"/>
          </w:tcPr>
          <w:p>
            <w:pPr>
              <w:pStyle w:val="Normal"/>
              <w:snapToGrid w:val="false"/>
              <w:spacing w:before="0" w:after="0"/>
              <w:rPr>
                <w:rFonts w:ascii="Arial" w:hAnsi="Arial" w:cs="Arial"/>
                <w:sz w:val="18"/>
                <w:szCs w:val="18"/>
              </w:rPr>
            </w:pPr>
            <w:r>
              <w:rPr>
                <w:rFonts w:cs="Arial" w:ascii="Arial" w:hAnsi="Arial"/>
                <w:sz w:val="18"/>
                <w:szCs w:val="18"/>
              </w:rPr>
            </w:r>
          </w:p>
        </w:tc>
        <w:tc>
          <w:tcPr>
            <w:tcW w:w="1045" w:type="dxa"/>
            <w:tcBorders/>
            <w:shd w:fill="auto" w:val="clear"/>
          </w:tcPr>
          <w:p>
            <w:pPr>
              <w:pStyle w:val="Normal"/>
              <w:spacing w:before="0" w:after="0"/>
              <w:rPr>
                <w:rFonts w:ascii="Arial" w:hAnsi="Arial" w:cs="Arial"/>
                <w:sz w:val="18"/>
                <w:szCs w:val="18"/>
              </w:rPr>
            </w:pPr>
            <w:r>
              <w:rPr>
                <w:rFonts w:cs="Arial" w:ascii="Arial" w:hAnsi="Arial"/>
                <w:sz w:val="18"/>
                <w:szCs w:val="18"/>
              </w:rPr>
              <w:t>&lt;.001</w:t>
            </w:r>
          </w:p>
        </w:tc>
      </w:tr>
      <w:tr>
        <w:trPr>
          <w:trHeight w:val="285" w:hRule="atLeast"/>
        </w:trPr>
        <w:tc>
          <w:tcPr>
            <w:tcW w:w="12047" w:type="dxa"/>
            <w:gridSpan w:val="13"/>
            <w:tcBorders>
              <w:top w:val="single" w:sz="4" w:space="0" w:color="000000"/>
            </w:tcBorders>
            <w:shd w:fill="auto" w:val="clear"/>
          </w:tcPr>
          <w:p>
            <w:pPr>
              <w:pStyle w:val="Normal"/>
              <w:spacing w:before="0" w:after="0"/>
              <w:rPr/>
            </w:pPr>
            <w:r>
              <w:rPr>
                <w:rFonts w:cs="Arial" w:ascii="Arial" w:hAnsi="Arial"/>
                <w:sz w:val="18"/>
                <w:szCs w:val="18"/>
                <w:vertAlign w:val="superscript"/>
              </w:rPr>
              <w:t xml:space="preserve">* </w:t>
            </w:r>
            <w:r>
              <w:rPr>
                <w:rFonts w:cs="Arial" w:ascii="Arial" w:hAnsi="Arial"/>
                <w:sz w:val="18"/>
                <w:szCs w:val="18"/>
              </w:rPr>
              <w:t>The study population was comprised of Ontario residents who had a valid Ontario Health Insurance Plan (OHIP) number who were 18 years or older as of August 31, 2008.</w:t>
            </w:r>
          </w:p>
        </w:tc>
      </w:tr>
      <w:tr>
        <w:trPr>
          <w:trHeight w:val="285" w:hRule="atLeast"/>
        </w:trPr>
        <w:tc>
          <w:tcPr>
            <w:tcW w:w="12047" w:type="dxa"/>
            <w:gridSpan w:val="13"/>
            <w:tcBorders/>
            <w:shd w:fill="auto" w:val="clear"/>
          </w:tcPr>
          <w:p>
            <w:pPr>
              <w:pStyle w:val="Normal"/>
              <w:spacing w:before="0" w:after="0"/>
              <w:rPr/>
            </w:pPr>
            <w:r>
              <w:rPr>
                <w:rFonts w:eastAsia="Arial" w:cs="Arial" w:ascii="Arial" w:hAnsi="Arial"/>
                <w:sz w:val="18"/>
                <w:szCs w:val="18"/>
                <w:vertAlign w:val="superscript"/>
              </w:rPr>
              <w:t xml:space="preserve">† </w:t>
            </w:r>
            <w:r>
              <w:rPr>
                <w:rFonts w:cs="Arial" w:ascii="Arial" w:hAnsi="Arial"/>
                <w:sz w:val="18"/>
                <w:szCs w:val="18"/>
              </w:rPr>
              <w:t xml:space="preserve">The virtual roster included patients who were not rostered to a physician but were cared for by a physician who belonged to a patient --centered medical home model. </w:t>
            </w:r>
          </w:p>
        </w:tc>
      </w:tr>
      <w:tr>
        <w:trPr>
          <w:trHeight w:val="285" w:hRule="atLeast"/>
        </w:trPr>
        <w:tc>
          <w:tcPr>
            <w:tcW w:w="12047" w:type="dxa"/>
            <w:gridSpan w:val="13"/>
            <w:tcBorders>
              <w:bottom w:val="single" w:sz="4" w:space="0" w:color="000000"/>
              <w:insideH w:val="single" w:sz="4" w:space="0" w:color="000000"/>
            </w:tcBorders>
            <w:shd w:fill="auto" w:val="clear"/>
          </w:tcPr>
          <w:p>
            <w:pPr>
              <w:pStyle w:val="Normal"/>
              <w:spacing w:before="0" w:after="0"/>
              <w:rPr/>
            </w:pPr>
            <w:r>
              <w:rPr>
                <w:rFonts w:eastAsia="Arial" w:cs="Arial" w:ascii="Arial" w:hAnsi="Arial"/>
                <w:sz w:val="18"/>
                <w:szCs w:val="18"/>
                <w:vertAlign w:val="superscript"/>
              </w:rPr>
              <w:t>‡</w:t>
            </w:r>
            <w:r>
              <w:rPr>
                <w:rFonts w:eastAsia="Arial" w:cs="Arial" w:ascii="Arial" w:hAnsi="Arial"/>
                <w:sz w:val="18"/>
                <w:szCs w:val="18"/>
              </w:rPr>
              <w:t xml:space="preserve"> </w:t>
            </w:r>
            <w:r>
              <w:rPr>
                <w:rFonts w:cs="Arial" w:ascii="Arial" w:hAnsi="Arial"/>
                <w:sz w:val="18"/>
                <w:szCs w:val="18"/>
              </w:rPr>
              <w:t>Patients with OHIP registration after April 1, 1998 (excluding newborns) were defined as immigrants</w:t>
            </w:r>
          </w:p>
        </w:tc>
      </w:tr>
    </w:tbl>
    <w:p>
      <w:pPr>
        <w:pStyle w:val="Normal"/>
        <w:widowControl w:val="false"/>
        <w:autoSpaceDE w:val="false"/>
        <w:spacing w:lineRule="auto" w:line="480" w:before="0" w:after="0"/>
        <w:ind w:firstLine="720"/>
        <w:rPr/>
      </w:pPr>
      <w:r>
        <w:rPr/>
      </w:r>
    </w:p>
    <w:tbl>
      <w:tblPr>
        <w:tblW w:w="10429" w:type="dxa"/>
        <w:jc w:val="left"/>
        <w:tblInd w:w="88"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835"/>
        <w:gridCol w:w="852"/>
        <w:gridCol w:w="978"/>
        <w:gridCol w:w="883"/>
        <w:gridCol w:w="999"/>
        <w:gridCol w:w="884"/>
        <w:gridCol w:w="994"/>
        <w:gridCol w:w="974"/>
        <w:gridCol w:w="1030"/>
      </w:tblGrid>
      <w:tr>
        <w:trPr>
          <w:trHeight w:val="270" w:hRule="atLeast"/>
        </w:trPr>
        <w:tc>
          <w:tcPr>
            <w:tcW w:w="10429" w:type="dxa"/>
            <w:gridSpan w:val="9"/>
            <w:tcBorders>
              <w:top w:val="single" w:sz="4" w:space="0" w:color="000000"/>
              <w:bottom w:val="single" w:sz="4" w:space="0" w:color="000000"/>
              <w:insideH w:val="single" w:sz="4" w:space="0" w:color="000000"/>
            </w:tcBorders>
            <w:shd w:fill="auto" w:val="clear"/>
            <w:vAlign w:val="bottom"/>
          </w:tcPr>
          <w:p>
            <w:pPr>
              <w:pStyle w:val="Normal"/>
              <w:spacing w:before="0" w:after="0"/>
              <w:rPr>
                <w:rFonts w:ascii="Arial" w:hAnsi="Arial" w:cs="Arial"/>
                <w:sz w:val="20"/>
                <w:szCs w:val="20"/>
                <w:lang w:val="en-US" w:eastAsia="en-US"/>
              </w:rPr>
            </w:pPr>
            <w:r>
              <w:rPr>
                <w:rFonts w:cs="Arial" w:ascii="Arial" w:hAnsi="Arial"/>
                <w:b/>
                <w:sz w:val="20"/>
                <w:szCs w:val="20"/>
                <w:lang w:val="en-US" w:eastAsia="en-US"/>
              </w:rPr>
              <w:t>T</w:t>
            </w:r>
            <w:r>
              <w:rPr>
                <w:rFonts w:cs="Arial" w:ascii="Arial" w:hAnsi="Arial"/>
                <w:b/>
                <w:bCs/>
                <w:sz w:val="20"/>
                <w:szCs w:val="20"/>
                <w:lang w:val="en-US" w:eastAsia="en-US"/>
              </w:rPr>
              <w:t>able 2.</w:t>
            </w:r>
            <w:r>
              <w:rPr>
                <w:rFonts w:cs="Arial" w:ascii="Arial" w:hAnsi="Arial"/>
                <w:bCs/>
                <w:sz w:val="20"/>
                <w:szCs w:val="20"/>
                <w:lang w:val="en-US" w:eastAsia="en-US"/>
              </w:rPr>
              <w:t xml:space="preserve">  </w:t>
            </w:r>
            <w:r>
              <w:rPr>
                <w:rFonts w:cs="Arial" w:ascii="Arial" w:hAnsi="Arial"/>
                <w:sz w:val="20"/>
                <w:szCs w:val="20"/>
                <w:lang w:val="en-US" w:eastAsia="en-US"/>
              </w:rPr>
              <w:t>Characteristics of  Ontario physicians*in enhanced fee-for-service, blended capitation and team based capitation models, as of August 31, 2008</w:t>
            </w:r>
            <w:r>
              <w:rPr>
                <w:rFonts w:cs="Arial" w:ascii="Arial" w:hAnsi="Arial"/>
                <w:sz w:val="20"/>
                <w:szCs w:val="20"/>
                <w:vertAlign w:val="superscript"/>
                <w:lang w:val="en-US" w:eastAsia="en-US"/>
              </w:rPr>
              <w:t xml:space="preserve"> †</w:t>
            </w:r>
          </w:p>
        </w:tc>
      </w:tr>
      <w:tr>
        <w:trPr>
          <w:trHeight w:val="510" w:hRule="atLeast"/>
        </w:trPr>
        <w:tc>
          <w:tcPr>
            <w:tcW w:w="2835" w:type="dxa"/>
            <w:tcBorders>
              <w:top w:val="single" w:sz="4" w:space="0" w:color="000000"/>
              <w:bottom w:val="single" w:sz="4" w:space="0" w:color="000000"/>
              <w:insideH w:val="single" w:sz="4" w:space="0" w:color="000000"/>
            </w:tcBorders>
            <w:shd w:fill="auto" w:val="clear"/>
            <w:vAlign w:val="bottom"/>
          </w:tcPr>
          <w:p>
            <w:pPr>
              <w:pStyle w:val="Normal"/>
              <w:snapToGrid w:val="false"/>
              <w:spacing w:before="0" w:after="0"/>
              <w:rPr>
                <w:rFonts w:ascii="Arial" w:hAnsi="Arial" w:cs="Arial"/>
                <w:sz w:val="20"/>
                <w:szCs w:val="20"/>
                <w:lang w:val="en-US" w:eastAsia="en-US"/>
              </w:rPr>
            </w:pPr>
            <w:r>
              <w:rPr>
                <w:rFonts w:cs="Arial" w:ascii="Arial" w:hAnsi="Arial"/>
                <w:sz w:val="20"/>
                <w:szCs w:val="20"/>
                <w:lang w:val="en-US" w:eastAsia="en-US"/>
              </w:rPr>
            </w:r>
          </w:p>
        </w:tc>
        <w:tc>
          <w:tcPr>
            <w:tcW w:w="1830" w:type="dxa"/>
            <w:gridSpan w:val="2"/>
            <w:tcBorders>
              <w:top w:val="single" w:sz="4" w:space="0" w:color="000000"/>
              <w:bottom w:val="single" w:sz="4" w:space="0" w:color="000000"/>
              <w:insideH w:val="single" w:sz="4" w:space="0" w:color="000000"/>
            </w:tcBorders>
            <w:shd w:fill="auto" w:val="clear"/>
            <w:vAlign w:val="bottom"/>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Enhanced fee-for-service</w:t>
            </w:r>
          </w:p>
        </w:tc>
        <w:tc>
          <w:tcPr>
            <w:tcW w:w="1882" w:type="dxa"/>
            <w:gridSpan w:val="2"/>
            <w:tcBorders>
              <w:top w:val="single" w:sz="4" w:space="0" w:color="000000"/>
              <w:bottom w:val="single" w:sz="4" w:space="0" w:color="000000"/>
              <w:insideH w:val="single" w:sz="4" w:space="0" w:color="000000"/>
            </w:tcBorders>
            <w:shd w:fill="auto" w:val="clear"/>
            <w:vAlign w:val="bottom"/>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Blended Capitation</w:t>
            </w:r>
          </w:p>
        </w:tc>
        <w:tc>
          <w:tcPr>
            <w:tcW w:w="1878" w:type="dxa"/>
            <w:gridSpan w:val="2"/>
            <w:tcBorders>
              <w:top w:val="single" w:sz="4" w:space="0" w:color="000000"/>
              <w:bottom w:val="single" w:sz="4" w:space="0" w:color="000000"/>
              <w:insideH w:val="single" w:sz="4" w:space="0" w:color="000000"/>
            </w:tcBorders>
            <w:shd w:fill="auto" w:val="clear"/>
            <w:vAlign w:val="bottom"/>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 xml:space="preserve">Team Based Capitation </w:t>
            </w:r>
          </w:p>
        </w:tc>
        <w:tc>
          <w:tcPr>
            <w:tcW w:w="2004" w:type="dxa"/>
            <w:gridSpan w:val="2"/>
            <w:tcBorders>
              <w:top w:val="single" w:sz="4" w:space="0" w:color="000000"/>
              <w:bottom w:val="single" w:sz="4" w:space="0" w:color="000000"/>
              <w:insideH w:val="single" w:sz="4" w:space="0" w:color="000000"/>
            </w:tcBorders>
            <w:shd w:fill="auto" w:val="clear"/>
            <w:vAlign w:val="bottom"/>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 xml:space="preserve">Total </w:t>
            </w:r>
          </w:p>
        </w:tc>
      </w:tr>
      <w:tr>
        <w:trPr>
          <w:trHeight w:val="270" w:hRule="atLeast"/>
        </w:trPr>
        <w:tc>
          <w:tcPr>
            <w:tcW w:w="2835" w:type="dxa"/>
            <w:tcBorders>
              <w:top w:val="single" w:sz="4" w:space="0" w:color="000000"/>
              <w:bottom w:val="single" w:sz="4" w:space="0" w:color="000000"/>
              <w:insideH w:val="single" w:sz="4" w:space="0" w:color="000000"/>
            </w:tcBorders>
            <w:shd w:fill="auto" w:val="clear"/>
            <w:vAlign w:val="bottom"/>
          </w:tcPr>
          <w:p>
            <w:pPr>
              <w:pStyle w:val="Normal"/>
              <w:snapToGrid w:val="false"/>
              <w:spacing w:before="0" w:after="0"/>
              <w:rPr>
                <w:rFonts w:ascii="Arial" w:hAnsi="Arial" w:cs="Arial"/>
                <w:bCs/>
                <w:sz w:val="20"/>
                <w:szCs w:val="20"/>
                <w:lang w:val="en-US" w:eastAsia="en-US"/>
              </w:rPr>
            </w:pPr>
            <w:r>
              <w:rPr>
                <w:rFonts w:cs="Arial" w:ascii="Arial" w:hAnsi="Arial"/>
                <w:bCs/>
                <w:sz w:val="20"/>
                <w:szCs w:val="20"/>
                <w:lang w:val="en-US" w:eastAsia="en-US"/>
              </w:rPr>
            </w:r>
          </w:p>
        </w:tc>
        <w:tc>
          <w:tcPr>
            <w:tcW w:w="1830" w:type="dxa"/>
            <w:gridSpan w:val="2"/>
            <w:tcBorders>
              <w:top w:val="single" w:sz="4" w:space="0" w:color="000000"/>
              <w:bottom w:val="single" w:sz="4" w:space="0" w:color="000000"/>
              <w:insideH w:val="single" w:sz="4" w:space="0" w:color="000000"/>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N= 3,870</w:t>
            </w:r>
          </w:p>
        </w:tc>
        <w:tc>
          <w:tcPr>
            <w:tcW w:w="1882" w:type="dxa"/>
            <w:gridSpan w:val="2"/>
            <w:tcBorders>
              <w:top w:val="single" w:sz="4" w:space="0" w:color="000000"/>
              <w:bottom w:val="single" w:sz="4" w:space="0" w:color="000000"/>
              <w:insideH w:val="single" w:sz="4" w:space="0" w:color="000000"/>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N=1,074</w:t>
            </w:r>
          </w:p>
        </w:tc>
        <w:tc>
          <w:tcPr>
            <w:tcW w:w="1878" w:type="dxa"/>
            <w:gridSpan w:val="2"/>
            <w:tcBorders>
              <w:top w:val="single" w:sz="4" w:space="0" w:color="000000"/>
              <w:bottom w:val="single" w:sz="4" w:space="0" w:color="000000"/>
              <w:insideH w:val="single" w:sz="4" w:space="0" w:color="000000"/>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N=1,089</w:t>
            </w:r>
          </w:p>
        </w:tc>
        <w:tc>
          <w:tcPr>
            <w:tcW w:w="2004" w:type="dxa"/>
            <w:gridSpan w:val="2"/>
            <w:tcBorders>
              <w:top w:val="single" w:sz="4" w:space="0" w:color="000000"/>
              <w:bottom w:val="single" w:sz="4" w:space="0" w:color="000000"/>
              <w:insideH w:val="single" w:sz="4" w:space="0" w:color="000000"/>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N=6,033</w:t>
            </w:r>
          </w:p>
        </w:tc>
      </w:tr>
      <w:tr>
        <w:trPr>
          <w:trHeight w:val="255" w:hRule="atLeast"/>
        </w:trPr>
        <w:tc>
          <w:tcPr>
            <w:tcW w:w="2835" w:type="dxa"/>
            <w:tcBorders/>
            <w:shd w:fill="auto" w:val="clear"/>
          </w:tcPr>
          <w:p>
            <w:pPr>
              <w:pStyle w:val="Normal"/>
              <w:snapToGrid w:val="false"/>
              <w:spacing w:before="0" w:after="0"/>
              <w:rPr>
                <w:rFonts w:ascii="Arial" w:hAnsi="Arial" w:cs="Arial"/>
                <w:bCs/>
                <w:sz w:val="20"/>
                <w:szCs w:val="20"/>
                <w:lang w:val="en-US" w:eastAsia="en-US"/>
              </w:rPr>
            </w:pPr>
            <w:r>
              <w:rPr>
                <w:rFonts w:cs="Arial" w:ascii="Arial" w:hAnsi="Arial"/>
                <w:bCs/>
                <w:sz w:val="20"/>
                <w:szCs w:val="20"/>
                <w:lang w:val="en-US" w:eastAsia="en-US"/>
              </w:rPr>
            </w:r>
          </w:p>
        </w:tc>
        <w:tc>
          <w:tcPr>
            <w:tcW w:w="852" w:type="dxa"/>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N</w:t>
            </w:r>
          </w:p>
        </w:tc>
        <w:tc>
          <w:tcPr>
            <w:tcW w:w="978" w:type="dxa"/>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 (SD)</w:t>
            </w:r>
          </w:p>
        </w:tc>
        <w:tc>
          <w:tcPr>
            <w:tcW w:w="883" w:type="dxa"/>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N</w:t>
            </w:r>
          </w:p>
        </w:tc>
        <w:tc>
          <w:tcPr>
            <w:tcW w:w="999" w:type="dxa"/>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 (SD)</w:t>
            </w:r>
          </w:p>
        </w:tc>
        <w:tc>
          <w:tcPr>
            <w:tcW w:w="884" w:type="dxa"/>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N</w:t>
            </w:r>
          </w:p>
        </w:tc>
        <w:tc>
          <w:tcPr>
            <w:tcW w:w="994" w:type="dxa"/>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 (SD)</w:t>
            </w:r>
          </w:p>
        </w:tc>
        <w:tc>
          <w:tcPr>
            <w:tcW w:w="974" w:type="dxa"/>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N</w:t>
            </w:r>
          </w:p>
        </w:tc>
        <w:tc>
          <w:tcPr>
            <w:tcW w:w="1030" w:type="dxa"/>
            <w:tcBorders/>
            <w:shd w:fill="auto" w:val="clear"/>
          </w:tcPr>
          <w:p>
            <w:pPr>
              <w:pStyle w:val="Normal"/>
              <w:spacing w:before="0" w:after="0"/>
              <w:jc w:val="center"/>
              <w:rPr>
                <w:rFonts w:ascii="Arial" w:hAnsi="Arial" w:cs="Arial"/>
                <w:bCs/>
                <w:sz w:val="20"/>
                <w:szCs w:val="20"/>
                <w:lang w:val="en-US" w:eastAsia="en-US"/>
              </w:rPr>
            </w:pPr>
            <w:r>
              <w:rPr>
                <w:rFonts w:cs="Arial" w:ascii="Arial" w:hAnsi="Arial"/>
                <w:bCs/>
                <w:sz w:val="20"/>
                <w:szCs w:val="20"/>
                <w:lang w:val="en-US" w:eastAsia="en-US"/>
              </w:rPr>
              <w:t>% (SD)</w:t>
            </w:r>
          </w:p>
        </w:tc>
      </w:tr>
      <w:tr>
        <w:trPr>
          <w:trHeight w:val="255" w:hRule="atLeast"/>
        </w:trPr>
        <w:tc>
          <w:tcPr>
            <w:tcW w:w="2835" w:type="dxa"/>
            <w:tcBorders>
              <w:top w:val="single" w:sz="4" w:space="0" w:color="000000"/>
            </w:tcBorders>
            <w:shd w:fill="auto" w:val="clear"/>
            <w:vAlign w:val="bottom"/>
          </w:tcPr>
          <w:p>
            <w:pPr>
              <w:pStyle w:val="Normal"/>
              <w:spacing w:before="0" w:after="0"/>
              <w:rPr>
                <w:rFonts w:ascii="Arial" w:hAnsi="Arial" w:cs="Arial"/>
                <w:sz w:val="20"/>
                <w:szCs w:val="20"/>
                <w:lang w:val="en-US" w:eastAsia="en-US"/>
              </w:rPr>
            </w:pPr>
            <w:r>
              <w:rPr>
                <w:rFonts w:cs="Arial" w:ascii="Arial" w:hAnsi="Arial"/>
                <w:sz w:val="20"/>
                <w:szCs w:val="20"/>
                <w:lang w:val="en-US" w:eastAsia="en-US"/>
              </w:rPr>
              <w:t xml:space="preserve">Groups </w:t>
            </w:r>
          </w:p>
        </w:tc>
        <w:tc>
          <w:tcPr>
            <w:tcW w:w="852" w:type="dxa"/>
            <w:tcBorders>
              <w:top w:val="single" w:sz="4" w:space="0" w:color="000000"/>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289</w:t>
            </w:r>
          </w:p>
        </w:tc>
        <w:tc>
          <w:tcPr>
            <w:tcW w:w="978" w:type="dxa"/>
            <w:tcBorders>
              <w:top w:val="single" w:sz="4" w:space="0" w:color="000000"/>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 </w:t>
            </w:r>
          </w:p>
        </w:tc>
        <w:tc>
          <w:tcPr>
            <w:tcW w:w="883" w:type="dxa"/>
            <w:tcBorders>
              <w:top w:val="single" w:sz="4" w:space="0" w:color="000000"/>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152</w:t>
            </w:r>
          </w:p>
        </w:tc>
        <w:tc>
          <w:tcPr>
            <w:tcW w:w="999" w:type="dxa"/>
            <w:tcBorders>
              <w:top w:val="single" w:sz="4" w:space="0" w:color="000000"/>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 </w:t>
            </w:r>
          </w:p>
        </w:tc>
        <w:tc>
          <w:tcPr>
            <w:tcW w:w="884" w:type="dxa"/>
            <w:tcBorders>
              <w:top w:val="single" w:sz="4" w:space="0" w:color="000000"/>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113</w:t>
            </w:r>
          </w:p>
        </w:tc>
        <w:tc>
          <w:tcPr>
            <w:tcW w:w="994" w:type="dxa"/>
            <w:tcBorders>
              <w:top w:val="single" w:sz="4" w:space="0" w:color="000000"/>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 </w:t>
            </w:r>
          </w:p>
        </w:tc>
        <w:tc>
          <w:tcPr>
            <w:tcW w:w="974" w:type="dxa"/>
            <w:tcBorders>
              <w:top w:val="single" w:sz="4" w:space="0" w:color="000000"/>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554</w:t>
            </w:r>
          </w:p>
        </w:tc>
        <w:tc>
          <w:tcPr>
            <w:tcW w:w="1030" w:type="dxa"/>
            <w:tcBorders>
              <w:top w:val="single" w:sz="4" w:space="0" w:color="000000"/>
            </w:tcBorders>
            <w:shd w:fill="auto" w:val="clear"/>
            <w:vAlign w:val="bottom"/>
          </w:tcPr>
          <w:p>
            <w:pPr>
              <w:pStyle w:val="Normal"/>
              <w:snapToGrid w:val="false"/>
              <w:spacing w:before="0" w:after="0"/>
              <w:jc w:val="right"/>
              <w:rPr>
                <w:rFonts w:ascii="Arial" w:hAnsi="Arial" w:cs="Arial"/>
                <w:sz w:val="20"/>
                <w:szCs w:val="20"/>
                <w:lang w:val="en-US" w:eastAsia="en-US"/>
              </w:rPr>
            </w:pPr>
            <w:r>
              <w:rPr>
                <w:rFonts w:cs="Arial" w:ascii="Arial" w:hAnsi="Arial"/>
                <w:sz w:val="20"/>
                <w:szCs w:val="20"/>
                <w:lang w:val="en-US" w:eastAsia="en-US"/>
              </w:rPr>
            </w:r>
          </w:p>
        </w:tc>
      </w:tr>
      <w:tr>
        <w:trPr>
          <w:trHeight w:val="255" w:hRule="atLeast"/>
        </w:trPr>
        <w:tc>
          <w:tcPr>
            <w:tcW w:w="2835" w:type="dxa"/>
            <w:tcBorders/>
            <w:shd w:fill="auto" w:val="clear"/>
            <w:vAlign w:val="bottom"/>
          </w:tcPr>
          <w:p>
            <w:pPr>
              <w:pStyle w:val="Normal"/>
              <w:spacing w:before="0" w:after="0"/>
              <w:rPr>
                <w:rFonts w:ascii="Arial" w:hAnsi="Arial" w:cs="Arial"/>
                <w:sz w:val="20"/>
                <w:szCs w:val="20"/>
                <w:lang w:val="en-US" w:eastAsia="en-US"/>
              </w:rPr>
            </w:pPr>
            <w:r>
              <w:rPr>
                <w:rFonts w:cs="Arial" w:ascii="Arial" w:hAnsi="Arial"/>
                <w:sz w:val="20"/>
                <w:szCs w:val="20"/>
                <w:lang w:val="en-US" w:eastAsia="en-US"/>
              </w:rPr>
              <w:t>Physician age, mean (SD)</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50.51</w:t>
            </w:r>
          </w:p>
        </w:tc>
        <w:tc>
          <w:tcPr>
            <w:tcW w:w="978"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(10.42)</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49.56</w:t>
            </w:r>
          </w:p>
        </w:tc>
        <w:tc>
          <w:tcPr>
            <w:tcW w:w="999"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(10.05)</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48.53</w:t>
            </w:r>
          </w:p>
        </w:tc>
        <w:tc>
          <w:tcPr>
            <w:tcW w:w="99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(10.18)</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49.98  </w:t>
            </w:r>
          </w:p>
        </w:tc>
        <w:tc>
          <w:tcPr>
            <w:tcW w:w="1030" w:type="dxa"/>
            <w:tcBorders/>
            <w:shd w:fill="auto" w:val="clear"/>
            <w:vAlign w:val="bottom"/>
          </w:tcPr>
          <w:p>
            <w:pPr>
              <w:pStyle w:val="Normal"/>
              <w:spacing w:before="0" w:after="0"/>
              <w:rPr>
                <w:rFonts w:ascii="Arial" w:hAnsi="Arial" w:cs="Arial"/>
                <w:sz w:val="20"/>
                <w:szCs w:val="20"/>
                <w:lang w:val="en-US" w:eastAsia="en-US"/>
              </w:rPr>
            </w:pPr>
            <w:r>
              <w:rPr>
                <w:rFonts w:eastAsia="Arial" w:cs="Arial" w:ascii="Arial" w:hAnsi="Arial"/>
                <w:sz w:val="20"/>
                <w:szCs w:val="20"/>
                <w:lang w:val="en-US" w:eastAsia="en-US"/>
              </w:rPr>
              <w:t xml:space="preserve"> </w:t>
            </w:r>
            <w:r>
              <w:rPr>
                <w:rFonts w:cs="Arial" w:ascii="Arial" w:hAnsi="Arial"/>
                <w:sz w:val="20"/>
                <w:szCs w:val="20"/>
                <w:lang w:val="en-US" w:eastAsia="en-US"/>
              </w:rPr>
              <w:t>(10.40)</w:t>
            </w:r>
          </w:p>
        </w:tc>
      </w:tr>
      <w:tr>
        <w:trPr>
          <w:trHeight w:val="255" w:hRule="atLeast"/>
        </w:trPr>
        <w:tc>
          <w:tcPr>
            <w:tcW w:w="2835" w:type="dxa"/>
            <w:tcBorders/>
            <w:shd w:fill="auto" w:val="clear"/>
            <w:vAlign w:val="bottom"/>
          </w:tcPr>
          <w:p>
            <w:pPr>
              <w:pStyle w:val="Normal"/>
              <w:spacing w:before="0" w:after="0"/>
              <w:rPr>
                <w:rFonts w:ascii="Arial" w:hAnsi="Arial" w:cs="Arial"/>
                <w:sz w:val="20"/>
                <w:szCs w:val="20"/>
                <w:lang w:val="en-US" w:eastAsia="en-US"/>
              </w:rPr>
            </w:pPr>
            <w:r>
              <w:rPr>
                <w:rFonts w:cs="Arial" w:ascii="Arial" w:hAnsi="Arial"/>
                <w:sz w:val="20"/>
                <w:szCs w:val="20"/>
                <w:lang w:val="en-US" w:eastAsia="en-US"/>
              </w:rPr>
              <w:t xml:space="preserve">Physicians who are females </w:t>
            </w:r>
          </w:p>
        </w:tc>
        <w:tc>
          <w:tcPr>
            <w:tcW w:w="852"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1,490</w:t>
            </w:r>
          </w:p>
        </w:tc>
        <w:tc>
          <w:tcPr>
            <w:tcW w:w="978" w:type="dxa"/>
            <w:tcBorders/>
            <w:shd w:fill="FFFFFF" w:val="clear"/>
          </w:tcPr>
          <w:p>
            <w:pPr>
              <w:pStyle w:val="Normal"/>
              <w:spacing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38.5%</w:t>
            </w:r>
          </w:p>
        </w:tc>
        <w:tc>
          <w:tcPr>
            <w:tcW w:w="883" w:type="dxa"/>
            <w:tcBorders/>
            <w:shd w:fill="FFFFFF" w:val="clear"/>
          </w:tcPr>
          <w:p>
            <w:pPr>
              <w:pStyle w:val="Normal"/>
              <w:spacing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415</w:t>
            </w:r>
          </w:p>
        </w:tc>
        <w:tc>
          <w:tcPr>
            <w:tcW w:w="999" w:type="dxa"/>
            <w:tcBorders/>
            <w:shd w:fill="FFFFFF" w:val="clear"/>
          </w:tcPr>
          <w:p>
            <w:pPr>
              <w:pStyle w:val="Normal"/>
              <w:spacing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38.6%</w:t>
            </w:r>
          </w:p>
        </w:tc>
        <w:tc>
          <w:tcPr>
            <w:tcW w:w="884" w:type="dxa"/>
            <w:tcBorders/>
            <w:shd w:fill="FFFFFF" w:val="clear"/>
          </w:tcPr>
          <w:p>
            <w:pPr>
              <w:pStyle w:val="Normal"/>
              <w:spacing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429</w:t>
            </w:r>
          </w:p>
        </w:tc>
        <w:tc>
          <w:tcPr>
            <w:tcW w:w="994" w:type="dxa"/>
            <w:tcBorders/>
            <w:shd w:fill="FFFFFF" w:val="clear"/>
          </w:tcPr>
          <w:p>
            <w:pPr>
              <w:pStyle w:val="Normal"/>
              <w:spacing w:before="0" w:after="0"/>
              <w:jc w:val="center"/>
              <w:rPr>
                <w:rFonts w:ascii="Arial" w:hAnsi="Arial" w:cs="Arial"/>
                <w:color w:val="000000"/>
                <w:sz w:val="20"/>
                <w:szCs w:val="20"/>
                <w:lang w:val="en-US" w:eastAsia="en-US"/>
              </w:rPr>
            </w:pPr>
            <w:r>
              <w:rPr>
                <w:rFonts w:cs="Arial" w:ascii="Arial" w:hAnsi="Arial"/>
                <w:color w:val="000000"/>
                <w:sz w:val="20"/>
                <w:szCs w:val="20"/>
                <w:lang w:val="en-US" w:eastAsia="en-US"/>
              </w:rPr>
              <w:t>39.4%</w:t>
            </w:r>
          </w:p>
        </w:tc>
        <w:tc>
          <w:tcPr>
            <w:tcW w:w="974" w:type="dxa"/>
            <w:tcBorders/>
            <w:shd w:fill="FFFFFF" w:val="clear"/>
          </w:tcPr>
          <w:p>
            <w:pPr>
              <w:pStyle w:val="Normal"/>
              <w:spacing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2,334</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38.7%</w:t>
            </w:r>
          </w:p>
        </w:tc>
      </w:tr>
      <w:tr>
        <w:trPr>
          <w:trHeight w:val="255" w:hRule="atLeast"/>
        </w:trPr>
        <w:tc>
          <w:tcPr>
            <w:tcW w:w="2835" w:type="dxa"/>
            <w:tcBorders/>
            <w:shd w:fill="auto" w:val="clear"/>
          </w:tcPr>
          <w:p>
            <w:pPr>
              <w:pStyle w:val="Normal"/>
              <w:spacing w:before="0" w:after="0"/>
              <w:rPr>
                <w:rFonts w:ascii="Arial" w:hAnsi="Arial" w:cs="Arial"/>
                <w:sz w:val="20"/>
                <w:szCs w:val="20"/>
                <w:lang w:val="en-US" w:eastAsia="en-US"/>
              </w:rPr>
            </w:pPr>
            <w:r>
              <w:rPr>
                <w:rFonts w:cs="Arial" w:ascii="Arial" w:hAnsi="Arial"/>
                <w:sz w:val="20"/>
                <w:szCs w:val="20"/>
                <w:lang w:val="en-US" w:eastAsia="en-US"/>
              </w:rPr>
              <w:t xml:space="preserve">Canadian Medical graduate </w:t>
            </w:r>
          </w:p>
        </w:tc>
        <w:tc>
          <w:tcPr>
            <w:tcW w:w="852"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2,822</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72.9%</w:t>
            </w:r>
          </w:p>
        </w:tc>
        <w:tc>
          <w:tcPr>
            <w:tcW w:w="883"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916</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85.3%</w:t>
            </w:r>
          </w:p>
        </w:tc>
        <w:tc>
          <w:tcPr>
            <w:tcW w:w="88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936</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86.0%</w:t>
            </w:r>
          </w:p>
        </w:tc>
        <w:tc>
          <w:tcPr>
            <w:tcW w:w="97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4,674</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77.5%</w:t>
            </w:r>
          </w:p>
        </w:tc>
      </w:tr>
      <w:tr>
        <w:trPr>
          <w:trHeight w:val="255" w:hRule="atLeast"/>
        </w:trPr>
        <w:tc>
          <w:tcPr>
            <w:tcW w:w="9399" w:type="dxa"/>
            <w:gridSpan w:val="8"/>
            <w:tcBorders/>
            <w:shd w:fill="auto" w:val="clear"/>
            <w:vAlign w:val="bottom"/>
          </w:tcPr>
          <w:p>
            <w:pPr>
              <w:pStyle w:val="Normal"/>
              <w:spacing w:before="0" w:after="0"/>
              <w:rPr>
                <w:rFonts w:ascii="Arial" w:hAnsi="Arial" w:cs="Arial"/>
                <w:sz w:val="20"/>
                <w:szCs w:val="20"/>
                <w:lang w:val="en-US" w:eastAsia="en-US"/>
              </w:rPr>
            </w:pPr>
            <w:r>
              <w:rPr>
                <w:rFonts w:cs="Arial" w:ascii="Arial" w:hAnsi="Arial"/>
                <w:sz w:val="20"/>
                <w:szCs w:val="20"/>
                <w:lang w:val="en-US" w:eastAsia="en-US"/>
              </w:rPr>
              <w:t>Years since graduation</w:t>
            </w:r>
          </w:p>
        </w:tc>
        <w:tc>
          <w:tcPr>
            <w:tcW w:w="1030" w:type="dxa"/>
            <w:tcBorders/>
            <w:shd w:fill="auto" w:val="clear"/>
            <w:vAlign w:val="bottom"/>
          </w:tcPr>
          <w:p>
            <w:pPr>
              <w:pStyle w:val="Normal"/>
              <w:snapToGrid w:val="false"/>
              <w:spacing w:before="0" w:after="0"/>
              <w:rPr>
                <w:rFonts w:ascii="Arial" w:hAnsi="Arial" w:cs="Arial"/>
                <w:sz w:val="20"/>
                <w:szCs w:val="20"/>
                <w:lang w:val="en-US" w:eastAsia="en-US"/>
              </w:rPr>
            </w:pPr>
            <w:r>
              <w:rPr>
                <w:rFonts w:cs="Arial" w:ascii="Arial" w:hAnsi="Arial"/>
                <w:sz w:val="20"/>
                <w:szCs w:val="20"/>
                <w:lang w:val="en-US" w:eastAsia="en-US"/>
              </w:rPr>
            </w:r>
          </w:p>
        </w:tc>
      </w:tr>
      <w:tr>
        <w:trPr>
          <w:trHeight w:val="255" w:hRule="atLeast"/>
        </w:trPr>
        <w:tc>
          <w:tcPr>
            <w:tcW w:w="2835" w:type="dxa"/>
            <w:tcBorders/>
            <w:shd w:fill="auto" w:val="clear"/>
            <w:vAlign w:val="bottom"/>
          </w:tcPr>
          <w:p>
            <w:pPr>
              <w:pStyle w:val="Normal"/>
              <w:spacing w:before="0" w:after="0"/>
              <w:ind w:firstLine="452"/>
              <w:rPr>
                <w:rFonts w:ascii="Arial" w:hAnsi="Arial" w:cs="Arial"/>
                <w:sz w:val="20"/>
                <w:szCs w:val="20"/>
                <w:lang w:val="en-US" w:eastAsia="en-US"/>
              </w:rPr>
            </w:pPr>
            <w:r>
              <w:rPr>
                <w:rFonts w:cs="Arial" w:ascii="Arial" w:hAnsi="Arial"/>
                <w:bCs/>
                <w:sz w:val="20"/>
                <w:szCs w:val="20"/>
                <w:lang w:val="en-US" w:eastAsia="en-US"/>
              </w:rPr>
              <w:t>Less than 5 years</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124</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3.2%</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22</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2.1%</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37</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3.4%</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183</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3.0%</w:t>
            </w:r>
          </w:p>
        </w:tc>
      </w:tr>
      <w:tr>
        <w:trPr>
          <w:trHeight w:val="255" w:hRule="atLeast"/>
        </w:trPr>
        <w:tc>
          <w:tcPr>
            <w:tcW w:w="2835" w:type="dxa"/>
            <w:tcBorders/>
            <w:shd w:fill="auto" w:val="clear"/>
            <w:vAlign w:val="bottom"/>
          </w:tcPr>
          <w:p>
            <w:pPr>
              <w:pStyle w:val="Normal"/>
              <w:spacing w:before="0" w:after="0"/>
              <w:ind w:firstLine="452"/>
              <w:rPr>
                <w:rFonts w:ascii="Arial" w:hAnsi="Arial" w:cs="Arial"/>
                <w:sz w:val="20"/>
                <w:szCs w:val="20"/>
                <w:lang w:val="en-US" w:eastAsia="en-US"/>
              </w:rPr>
            </w:pPr>
            <w:r>
              <w:rPr>
                <w:rFonts w:cs="Arial" w:ascii="Arial" w:hAnsi="Arial"/>
                <w:sz w:val="20"/>
                <w:szCs w:val="20"/>
                <w:lang w:val="en-US" w:eastAsia="en-US"/>
              </w:rPr>
              <w:t>5 to 9 years</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241</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6.2%</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106</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9.9%</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131</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12.0%</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478</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7.9%</w:t>
            </w:r>
          </w:p>
        </w:tc>
      </w:tr>
      <w:tr>
        <w:trPr>
          <w:trHeight w:val="255" w:hRule="atLeast"/>
        </w:trPr>
        <w:tc>
          <w:tcPr>
            <w:tcW w:w="2835" w:type="dxa"/>
            <w:tcBorders/>
            <w:shd w:fill="auto" w:val="clear"/>
            <w:vAlign w:val="bottom"/>
          </w:tcPr>
          <w:p>
            <w:pPr>
              <w:pStyle w:val="Normal"/>
              <w:spacing w:before="0" w:after="0"/>
              <w:ind w:firstLine="452"/>
              <w:rPr>
                <w:rFonts w:ascii="Arial" w:hAnsi="Arial" w:cs="Arial"/>
                <w:sz w:val="20"/>
                <w:szCs w:val="20"/>
                <w:lang w:val="en-US" w:eastAsia="en-US"/>
              </w:rPr>
            </w:pPr>
            <w:r>
              <w:rPr>
                <w:rFonts w:cs="Arial" w:ascii="Arial" w:hAnsi="Arial"/>
                <w:sz w:val="20"/>
                <w:szCs w:val="20"/>
                <w:lang w:val="en-US" w:eastAsia="en-US"/>
              </w:rPr>
              <w:t>10 to 19 years</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970</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25.1%</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281</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26.2%</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279</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25.6%</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1,530</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25.4%</w:t>
            </w:r>
          </w:p>
        </w:tc>
      </w:tr>
      <w:tr>
        <w:trPr>
          <w:trHeight w:val="255" w:hRule="atLeast"/>
        </w:trPr>
        <w:tc>
          <w:tcPr>
            <w:tcW w:w="2835" w:type="dxa"/>
            <w:tcBorders/>
            <w:shd w:fill="auto" w:val="clear"/>
            <w:vAlign w:val="bottom"/>
          </w:tcPr>
          <w:p>
            <w:pPr>
              <w:pStyle w:val="Normal"/>
              <w:spacing w:before="0" w:after="0"/>
              <w:ind w:firstLine="452"/>
              <w:rPr>
                <w:rFonts w:ascii="Arial" w:hAnsi="Arial" w:cs="Arial"/>
                <w:sz w:val="20"/>
                <w:szCs w:val="20"/>
                <w:lang w:val="en-US" w:eastAsia="en-US"/>
              </w:rPr>
            </w:pPr>
            <w:r>
              <w:rPr>
                <w:rFonts w:cs="Arial" w:ascii="Arial" w:hAnsi="Arial"/>
                <w:sz w:val="20"/>
                <w:szCs w:val="20"/>
                <w:lang w:val="en-US" w:eastAsia="en-US"/>
              </w:rPr>
              <w:t>20 to 29 years</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1,279</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33.1%</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351</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32.7%</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362</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33.2%</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1,992</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33.0%</w:t>
            </w:r>
          </w:p>
        </w:tc>
      </w:tr>
      <w:tr>
        <w:trPr>
          <w:trHeight w:val="255" w:hRule="atLeast"/>
        </w:trPr>
        <w:tc>
          <w:tcPr>
            <w:tcW w:w="2835" w:type="dxa"/>
            <w:tcBorders/>
            <w:shd w:fill="auto" w:val="clear"/>
            <w:vAlign w:val="bottom"/>
          </w:tcPr>
          <w:p>
            <w:pPr>
              <w:pStyle w:val="Normal"/>
              <w:spacing w:before="0" w:after="0"/>
              <w:ind w:firstLine="452"/>
              <w:rPr>
                <w:rFonts w:ascii="Arial" w:hAnsi="Arial" w:cs="Arial"/>
                <w:sz w:val="20"/>
                <w:szCs w:val="20"/>
                <w:lang w:val="en-US" w:eastAsia="en-US"/>
              </w:rPr>
            </w:pPr>
            <w:r>
              <w:rPr>
                <w:rFonts w:cs="Arial" w:ascii="Arial" w:hAnsi="Arial"/>
                <w:sz w:val="20"/>
                <w:szCs w:val="20"/>
                <w:lang w:val="en-US" w:eastAsia="en-US"/>
              </w:rPr>
              <w:t>30 years or more</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1,256</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32.5%</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314</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29.2%</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280</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25.7%</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1,850</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30.7%</w:t>
            </w:r>
          </w:p>
        </w:tc>
      </w:tr>
      <w:tr>
        <w:trPr>
          <w:trHeight w:val="255" w:hRule="atLeast"/>
        </w:trPr>
        <w:tc>
          <w:tcPr>
            <w:tcW w:w="2835" w:type="dxa"/>
            <w:tcBorders/>
            <w:shd w:fill="auto" w:val="clear"/>
            <w:vAlign w:val="bottom"/>
          </w:tcPr>
          <w:p>
            <w:pPr>
              <w:pStyle w:val="Normal"/>
              <w:spacing w:before="0" w:after="0"/>
              <w:rPr>
                <w:rFonts w:ascii="Arial" w:hAnsi="Arial" w:cs="Arial"/>
                <w:sz w:val="20"/>
                <w:szCs w:val="20"/>
                <w:lang w:val="en-US" w:eastAsia="en-US"/>
              </w:rPr>
            </w:pPr>
            <w:r>
              <w:rPr>
                <w:rFonts w:cs="Arial" w:ascii="Arial" w:hAnsi="Arial"/>
                <w:bCs/>
                <w:sz w:val="20"/>
                <w:szCs w:val="20"/>
                <w:lang w:val="en-US" w:eastAsia="en-US"/>
              </w:rPr>
              <w:t xml:space="preserve">Physician Months in Group </w:t>
            </w:r>
          </w:p>
        </w:tc>
        <w:tc>
          <w:tcPr>
            <w:tcW w:w="1830" w:type="dxa"/>
            <w:gridSpan w:val="2"/>
            <w:tcBorders/>
            <w:shd w:fill="auto" w:val="clear"/>
            <w:vAlign w:val="bottom"/>
          </w:tcPr>
          <w:p>
            <w:pPr>
              <w:pStyle w:val="Normal"/>
              <w:snapToGrid w:val="false"/>
              <w:spacing w:before="0" w:after="0"/>
              <w:jc w:val="center"/>
              <w:rPr>
                <w:rFonts w:ascii="Arial" w:hAnsi="Arial" w:cs="Arial"/>
                <w:bCs/>
                <w:sz w:val="20"/>
                <w:szCs w:val="20"/>
                <w:lang w:val="en-US" w:eastAsia="en-US"/>
              </w:rPr>
            </w:pPr>
            <w:r>
              <w:rPr>
                <w:rFonts w:cs="Arial" w:ascii="Arial" w:hAnsi="Arial"/>
                <w:bCs/>
                <w:sz w:val="20"/>
                <w:szCs w:val="20"/>
                <w:lang w:val="en-US" w:eastAsia="en-US"/>
              </w:rPr>
            </w:r>
          </w:p>
        </w:tc>
        <w:tc>
          <w:tcPr>
            <w:tcW w:w="1882" w:type="dxa"/>
            <w:gridSpan w:val="2"/>
            <w:tcBorders/>
            <w:shd w:fill="auto" w:val="clear"/>
            <w:vAlign w:val="bottom"/>
          </w:tcPr>
          <w:p>
            <w:pPr>
              <w:pStyle w:val="Normal"/>
              <w:snapToGrid w:val="false"/>
              <w:spacing w:before="0" w:after="0"/>
              <w:jc w:val="center"/>
              <w:rPr>
                <w:rFonts w:ascii="Arial" w:hAnsi="Arial" w:cs="Arial"/>
                <w:bCs/>
                <w:sz w:val="20"/>
                <w:szCs w:val="20"/>
                <w:lang w:val="en-US" w:eastAsia="en-US"/>
              </w:rPr>
            </w:pPr>
            <w:r>
              <w:rPr>
                <w:rFonts w:cs="Arial" w:ascii="Arial" w:hAnsi="Arial"/>
                <w:bCs/>
                <w:sz w:val="20"/>
                <w:szCs w:val="20"/>
                <w:lang w:val="en-US" w:eastAsia="en-US"/>
              </w:rPr>
            </w:r>
          </w:p>
        </w:tc>
        <w:tc>
          <w:tcPr>
            <w:tcW w:w="1878" w:type="dxa"/>
            <w:gridSpan w:val="2"/>
            <w:tcBorders/>
            <w:shd w:fill="auto" w:val="clear"/>
            <w:vAlign w:val="bottom"/>
          </w:tcPr>
          <w:p>
            <w:pPr>
              <w:pStyle w:val="Normal"/>
              <w:snapToGrid w:val="false"/>
              <w:spacing w:before="0" w:after="0"/>
              <w:jc w:val="center"/>
              <w:rPr>
                <w:rFonts w:ascii="Arial" w:hAnsi="Arial" w:cs="Arial"/>
                <w:bCs/>
                <w:sz w:val="20"/>
                <w:szCs w:val="20"/>
                <w:lang w:val="en-US" w:eastAsia="en-US"/>
              </w:rPr>
            </w:pPr>
            <w:r>
              <w:rPr>
                <w:rFonts w:cs="Arial" w:ascii="Arial" w:hAnsi="Arial"/>
                <w:bCs/>
                <w:sz w:val="20"/>
                <w:szCs w:val="20"/>
                <w:lang w:val="en-US" w:eastAsia="en-US"/>
              </w:rPr>
            </w:r>
          </w:p>
        </w:tc>
        <w:tc>
          <w:tcPr>
            <w:tcW w:w="974" w:type="dxa"/>
            <w:tcBorders/>
            <w:shd w:fill="auto" w:val="clear"/>
            <w:vAlign w:val="bottom"/>
          </w:tcPr>
          <w:p>
            <w:pPr>
              <w:pStyle w:val="Normal"/>
              <w:snapToGrid w:val="false"/>
              <w:spacing w:before="0" w:after="0"/>
              <w:jc w:val="right"/>
              <w:rPr>
                <w:rFonts w:ascii="Arial" w:hAnsi="Arial" w:cs="Arial"/>
                <w:bCs/>
                <w:sz w:val="20"/>
                <w:szCs w:val="20"/>
                <w:lang w:val="en-US" w:eastAsia="en-US"/>
              </w:rPr>
            </w:pPr>
            <w:r>
              <w:rPr>
                <w:rFonts w:cs="Arial" w:ascii="Arial" w:hAnsi="Arial"/>
                <w:bCs/>
                <w:sz w:val="20"/>
                <w:szCs w:val="20"/>
                <w:lang w:val="en-US" w:eastAsia="en-US"/>
              </w:rPr>
            </w:r>
          </w:p>
        </w:tc>
        <w:tc>
          <w:tcPr>
            <w:tcW w:w="1030" w:type="dxa"/>
            <w:tcBorders/>
            <w:shd w:fill="auto" w:val="clear"/>
            <w:vAlign w:val="bottom"/>
          </w:tcPr>
          <w:p>
            <w:pPr>
              <w:pStyle w:val="Normal"/>
              <w:snapToGrid w:val="false"/>
              <w:spacing w:before="0" w:after="0"/>
              <w:rPr>
                <w:rFonts w:ascii="Arial" w:hAnsi="Arial" w:cs="Arial"/>
                <w:bCs/>
                <w:sz w:val="20"/>
                <w:szCs w:val="20"/>
                <w:lang w:val="en-US" w:eastAsia="en-US"/>
              </w:rPr>
            </w:pPr>
            <w:r>
              <w:rPr>
                <w:rFonts w:cs="Arial" w:ascii="Arial" w:hAnsi="Arial"/>
                <w:bCs/>
                <w:sz w:val="20"/>
                <w:szCs w:val="20"/>
                <w:lang w:val="en-US" w:eastAsia="en-US"/>
              </w:rPr>
            </w:r>
          </w:p>
        </w:tc>
      </w:tr>
      <w:tr>
        <w:trPr>
          <w:trHeight w:val="255" w:hRule="atLeast"/>
        </w:trPr>
        <w:tc>
          <w:tcPr>
            <w:tcW w:w="2835" w:type="dxa"/>
            <w:tcBorders/>
            <w:shd w:fill="auto" w:val="clear"/>
            <w:vAlign w:val="bottom"/>
          </w:tcPr>
          <w:p>
            <w:pPr>
              <w:pStyle w:val="Normal"/>
              <w:spacing w:before="0" w:after="0"/>
              <w:ind w:firstLine="452"/>
              <w:rPr>
                <w:rFonts w:ascii="Arial" w:hAnsi="Arial" w:cs="Arial"/>
                <w:sz w:val="20"/>
                <w:szCs w:val="20"/>
                <w:lang w:val="en-US" w:eastAsia="en-US"/>
              </w:rPr>
            </w:pPr>
            <w:r>
              <w:rPr>
                <w:rFonts w:cs="Arial" w:ascii="Arial" w:hAnsi="Arial"/>
                <w:sz w:val="20"/>
                <w:szCs w:val="20"/>
                <w:lang w:val="en-US" w:eastAsia="en-US"/>
              </w:rPr>
              <w:t xml:space="preserve">Less than 12 months </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337</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8.7%</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593</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55.2%</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622</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57.1%</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1,552</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25.7%</w:t>
            </w:r>
          </w:p>
        </w:tc>
      </w:tr>
      <w:tr>
        <w:trPr>
          <w:trHeight w:val="255" w:hRule="atLeast"/>
        </w:trPr>
        <w:tc>
          <w:tcPr>
            <w:tcW w:w="2835" w:type="dxa"/>
            <w:tcBorders/>
            <w:shd w:fill="auto" w:val="clear"/>
            <w:vAlign w:val="bottom"/>
          </w:tcPr>
          <w:p>
            <w:pPr>
              <w:pStyle w:val="Normal"/>
              <w:spacing w:before="0" w:after="0"/>
              <w:ind w:firstLine="452"/>
              <w:rPr>
                <w:rFonts w:ascii="Arial" w:hAnsi="Arial" w:cs="Arial"/>
                <w:sz w:val="20"/>
                <w:szCs w:val="20"/>
                <w:lang w:val="en-US" w:eastAsia="en-US"/>
              </w:rPr>
            </w:pPr>
            <w:r>
              <w:rPr>
                <w:rFonts w:cs="Arial" w:ascii="Arial" w:hAnsi="Arial"/>
                <w:sz w:val="20"/>
                <w:szCs w:val="20"/>
                <w:lang w:val="en-US" w:eastAsia="en-US"/>
              </w:rPr>
              <w:t xml:space="preserve">12 to 23 months </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677</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17.5%</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138</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12.9%</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207</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19.0%</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1,022</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16.9%</w:t>
            </w:r>
          </w:p>
        </w:tc>
      </w:tr>
      <w:tr>
        <w:trPr>
          <w:trHeight w:val="255" w:hRule="atLeast"/>
        </w:trPr>
        <w:tc>
          <w:tcPr>
            <w:tcW w:w="2835" w:type="dxa"/>
            <w:tcBorders/>
            <w:shd w:fill="auto" w:val="clear"/>
            <w:vAlign w:val="bottom"/>
          </w:tcPr>
          <w:p>
            <w:pPr>
              <w:pStyle w:val="Normal"/>
              <w:spacing w:before="0" w:after="0"/>
              <w:ind w:firstLine="452"/>
              <w:rPr>
                <w:rFonts w:ascii="Arial" w:hAnsi="Arial" w:cs="Arial"/>
                <w:sz w:val="20"/>
                <w:szCs w:val="20"/>
                <w:lang w:val="en-US" w:eastAsia="en-US"/>
              </w:rPr>
            </w:pPr>
            <w:r>
              <w:rPr>
                <w:rFonts w:cs="Arial" w:ascii="Arial" w:hAnsi="Arial"/>
                <w:sz w:val="20"/>
                <w:szCs w:val="20"/>
                <w:lang w:val="en-US" w:eastAsia="en-US"/>
              </w:rPr>
              <w:t xml:space="preserve">24 to 35 months </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634</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16.4%</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31</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2.9%</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83</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7.6%</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748</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12.4%</w:t>
            </w:r>
          </w:p>
        </w:tc>
      </w:tr>
      <w:tr>
        <w:trPr>
          <w:trHeight w:val="255" w:hRule="atLeast"/>
        </w:trPr>
        <w:tc>
          <w:tcPr>
            <w:tcW w:w="2835" w:type="dxa"/>
            <w:tcBorders/>
            <w:shd w:fill="auto" w:val="clear"/>
            <w:vAlign w:val="bottom"/>
          </w:tcPr>
          <w:p>
            <w:pPr>
              <w:pStyle w:val="Normal"/>
              <w:spacing w:before="0" w:after="0"/>
              <w:ind w:firstLine="452"/>
              <w:rPr>
                <w:rFonts w:ascii="Arial" w:hAnsi="Arial" w:cs="Arial"/>
                <w:sz w:val="20"/>
                <w:szCs w:val="20"/>
                <w:lang w:val="en-US" w:eastAsia="en-US"/>
              </w:rPr>
            </w:pPr>
            <w:r>
              <w:rPr>
                <w:rFonts w:cs="Arial" w:ascii="Arial" w:hAnsi="Arial"/>
                <w:sz w:val="20"/>
                <w:szCs w:val="20"/>
                <w:lang w:val="en-US" w:eastAsia="en-US"/>
              </w:rPr>
              <w:t xml:space="preserve">36 to 47 months </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1,102</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28.5%</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121</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11.3%</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92</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8.5%</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1,315</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21.80%</w:t>
            </w:r>
          </w:p>
        </w:tc>
      </w:tr>
      <w:tr>
        <w:trPr>
          <w:trHeight w:val="255" w:hRule="atLeast"/>
        </w:trPr>
        <w:tc>
          <w:tcPr>
            <w:tcW w:w="2835" w:type="dxa"/>
            <w:tcBorders/>
            <w:shd w:fill="auto" w:val="clear"/>
            <w:vAlign w:val="bottom"/>
          </w:tcPr>
          <w:p>
            <w:pPr>
              <w:pStyle w:val="Normal"/>
              <w:spacing w:before="0" w:after="0"/>
              <w:ind w:firstLine="452"/>
              <w:rPr>
                <w:rFonts w:ascii="Arial" w:hAnsi="Arial" w:cs="Arial"/>
                <w:sz w:val="20"/>
                <w:szCs w:val="20"/>
                <w:lang w:val="en-US" w:eastAsia="en-US"/>
              </w:rPr>
            </w:pPr>
            <w:r>
              <w:rPr>
                <w:rFonts w:cs="Arial" w:ascii="Arial" w:hAnsi="Arial"/>
                <w:sz w:val="20"/>
                <w:szCs w:val="20"/>
                <w:lang w:val="en-US" w:eastAsia="en-US"/>
              </w:rPr>
              <w:t xml:space="preserve">48+ months </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1,120</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28.9%</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191</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17.8%</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85</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7.8%</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1,396</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23.14%</w:t>
            </w:r>
          </w:p>
        </w:tc>
      </w:tr>
      <w:tr>
        <w:trPr>
          <w:trHeight w:val="255" w:hRule="atLeast"/>
        </w:trPr>
        <w:tc>
          <w:tcPr>
            <w:tcW w:w="2835" w:type="dxa"/>
            <w:tcBorders/>
            <w:shd w:fill="auto" w:val="clear"/>
            <w:vAlign w:val="bottom"/>
          </w:tcPr>
          <w:p>
            <w:pPr>
              <w:pStyle w:val="Normal"/>
              <w:spacing w:before="0" w:after="0"/>
              <w:rPr>
                <w:rFonts w:ascii="Arial" w:hAnsi="Arial" w:cs="Arial"/>
                <w:sz w:val="20"/>
                <w:szCs w:val="20"/>
                <w:lang w:val="en-US" w:eastAsia="en-US"/>
              </w:rPr>
            </w:pPr>
            <w:r>
              <w:rPr>
                <w:rFonts w:cs="Arial" w:ascii="Arial" w:hAnsi="Arial"/>
                <w:bCs/>
                <w:sz w:val="20"/>
                <w:szCs w:val="20"/>
                <w:lang w:val="en-US" w:eastAsia="en-US"/>
              </w:rPr>
              <w:t>Number of rostered patients</w:t>
            </w:r>
          </w:p>
        </w:tc>
        <w:tc>
          <w:tcPr>
            <w:tcW w:w="1830" w:type="dxa"/>
            <w:gridSpan w:val="2"/>
            <w:tcBorders/>
            <w:shd w:fill="auto" w:val="clear"/>
            <w:vAlign w:val="bottom"/>
          </w:tcPr>
          <w:p>
            <w:pPr>
              <w:pStyle w:val="Normal"/>
              <w:snapToGrid w:val="false"/>
              <w:spacing w:before="0" w:after="0"/>
              <w:jc w:val="center"/>
              <w:rPr>
                <w:rFonts w:ascii="Arial" w:hAnsi="Arial" w:cs="Arial"/>
                <w:sz w:val="20"/>
                <w:szCs w:val="20"/>
                <w:lang w:val="en-US" w:eastAsia="en-US"/>
              </w:rPr>
            </w:pPr>
            <w:r>
              <w:rPr>
                <w:rFonts w:cs="Arial" w:ascii="Arial" w:hAnsi="Arial"/>
                <w:sz w:val="20"/>
                <w:szCs w:val="20"/>
                <w:lang w:val="en-US" w:eastAsia="en-US"/>
              </w:rPr>
            </w:r>
          </w:p>
        </w:tc>
        <w:tc>
          <w:tcPr>
            <w:tcW w:w="1882" w:type="dxa"/>
            <w:gridSpan w:val="2"/>
            <w:tcBorders/>
            <w:shd w:fill="auto" w:val="clear"/>
            <w:vAlign w:val="bottom"/>
          </w:tcPr>
          <w:p>
            <w:pPr>
              <w:pStyle w:val="Normal"/>
              <w:snapToGrid w:val="false"/>
              <w:spacing w:before="0" w:after="0"/>
              <w:jc w:val="center"/>
              <w:rPr>
                <w:rFonts w:ascii="Arial" w:hAnsi="Arial" w:cs="Arial"/>
                <w:sz w:val="20"/>
                <w:szCs w:val="20"/>
                <w:lang w:val="en-US" w:eastAsia="en-US"/>
              </w:rPr>
            </w:pPr>
            <w:r>
              <w:rPr>
                <w:rFonts w:cs="Arial" w:ascii="Arial" w:hAnsi="Arial"/>
                <w:sz w:val="20"/>
                <w:szCs w:val="20"/>
                <w:lang w:val="en-US" w:eastAsia="en-US"/>
              </w:rPr>
            </w:r>
          </w:p>
        </w:tc>
        <w:tc>
          <w:tcPr>
            <w:tcW w:w="1878" w:type="dxa"/>
            <w:gridSpan w:val="2"/>
            <w:tcBorders/>
            <w:shd w:fill="auto" w:val="clear"/>
            <w:vAlign w:val="bottom"/>
          </w:tcPr>
          <w:p>
            <w:pPr>
              <w:pStyle w:val="Normal"/>
              <w:snapToGrid w:val="false"/>
              <w:spacing w:before="0" w:after="0"/>
              <w:jc w:val="center"/>
              <w:rPr>
                <w:rFonts w:ascii="Arial" w:hAnsi="Arial" w:cs="Arial"/>
                <w:sz w:val="20"/>
                <w:szCs w:val="20"/>
                <w:lang w:val="en-US" w:eastAsia="en-US"/>
              </w:rPr>
            </w:pPr>
            <w:r>
              <w:rPr>
                <w:rFonts w:cs="Arial" w:ascii="Arial" w:hAnsi="Arial"/>
                <w:sz w:val="20"/>
                <w:szCs w:val="20"/>
                <w:lang w:val="en-US" w:eastAsia="en-US"/>
              </w:rPr>
            </w:r>
          </w:p>
        </w:tc>
        <w:tc>
          <w:tcPr>
            <w:tcW w:w="974" w:type="dxa"/>
            <w:tcBorders/>
            <w:shd w:fill="auto" w:val="clear"/>
            <w:vAlign w:val="bottom"/>
          </w:tcPr>
          <w:p>
            <w:pPr>
              <w:pStyle w:val="Normal"/>
              <w:snapToGrid w:val="false"/>
              <w:spacing w:before="0" w:after="0"/>
              <w:jc w:val="right"/>
              <w:rPr>
                <w:rFonts w:ascii="Arial" w:hAnsi="Arial" w:cs="Arial"/>
                <w:bCs/>
                <w:sz w:val="20"/>
                <w:szCs w:val="20"/>
                <w:lang w:val="en-US" w:eastAsia="en-US"/>
              </w:rPr>
            </w:pPr>
            <w:r>
              <w:rPr>
                <w:rFonts w:cs="Arial" w:ascii="Arial" w:hAnsi="Arial"/>
                <w:bCs/>
                <w:sz w:val="20"/>
                <w:szCs w:val="20"/>
                <w:lang w:val="en-US" w:eastAsia="en-US"/>
              </w:rPr>
            </w:r>
          </w:p>
        </w:tc>
        <w:tc>
          <w:tcPr>
            <w:tcW w:w="1030" w:type="dxa"/>
            <w:tcBorders/>
            <w:shd w:fill="auto" w:val="clear"/>
            <w:vAlign w:val="bottom"/>
          </w:tcPr>
          <w:p>
            <w:pPr>
              <w:pStyle w:val="Normal"/>
              <w:snapToGrid w:val="false"/>
              <w:spacing w:before="0" w:after="0"/>
              <w:rPr>
                <w:rFonts w:ascii="Arial" w:hAnsi="Arial" w:cs="Arial"/>
                <w:bCs/>
                <w:sz w:val="20"/>
                <w:szCs w:val="20"/>
                <w:lang w:val="en-US" w:eastAsia="en-US"/>
              </w:rPr>
            </w:pPr>
            <w:r>
              <w:rPr>
                <w:rFonts w:cs="Arial" w:ascii="Arial" w:hAnsi="Arial"/>
                <w:bCs/>
                <w:sz w:val="20"/>
                <w:szCs w:val="20"/>
                <w:lang w:val="en-US" w:eastAsia="en-US"/>
              </w:rPr>
            </w:r>
          </w:p>
        </w:tc>
      </w:tr>
      <w:tr>
        <w:trPr>
          <w:trHeight w:val="255" w:hRule="atLeast"/>
        </w:trPr>
        <w:tc>
          <w:tcPr>
            <w:tcW w:w="2835" w:type="dxa"/>
            <w:tcBorders/>
            <w:shd w:fill="auto" w:val="clear"/>
            <w:vAlign w:val="bottom"/>
          </w:tcPr>
          <w:p>
            <w:pPr>
              <w:pStyle w:val="Normal"/>
              <w:spacing w:before="0" w:after="0"/>
              <w:ind w:firstLine="400"/>
              <w:rPr>
                <w:rFonts w:ascii="Arial" w:hAnsi="Arial" w:cs="Arial"/>
                <w:sz w:val="20"/>
                <w:szCs w:val="20"/>
                <w:lang w:val="en-US" w:eastAsia="en-US"/>
              </w:rPr>
            </w:pPr>
            <w:r>
              <w:rPr>
                <w:rFonts w:cs="Arial" w:ascii="Arial" w:hAnsi="Arial"/>
                <w:sz w:val="20"/>
                <w:szCs w:val="20"/>
                <w:lang w:val="en-US" w:eastAsia="en-US"/>
              </w:rPr>
              <w:t>Less than 650 patients</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470</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12.1%</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85</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7.9%</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178</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16.4%</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733</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12.15%</w:t>
            </w:r>
          </w:p>
        </w:tc>
      </w:tr>
      <w:tr>
        <w:trPr>
          <w:trHeight w:val="255" w:hRule="atLeast"/>
        </w:trPr>
        <w:tc>
          <w:tcPr>
            <w:tcW w:w="2835" w:type="dxa"/>
            <w:tcBorders/>
            <w:shd w:fill="auto" w:val="clear"/>
            <w:vAlign w:val="bottom"/>
          </w:tcPr>
          <w:p>
            <w:pPr>
              <w:pStyle w:val="Normal"/>
              <w:spacing w:before="0" w:after="0"/>
              <w:ind w:firstLine="400"/>
              <w:rPr>
                <w:rFonts w:ascii="Arial" w:hAnsi="Arial" w:cs="Arial"/>
                <w:sz w:val="20"/>
                <w:szCs w:val="20"/>
                <w:lang w:val="en-US" w:eastAsia="en-US"/>
              </w:rPr>
            </w:pPr>
            <w:r>
              <w:rPr>
                <w:rFonts w:cs="Arial" w:ascii="Arial" w:hAnsi="Arial"/>
                <w:sz w:val="20"/>
                <w:szCs w:val="20"/>
                <w:lang w:val="en-US" w:eastAsia="en-US"/>
              </w:rPr>
              <w:t xml:space="preserve">650 to 999 patients </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560</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14.5%</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159</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14.8%</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166</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15.2%</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885</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14.67%</w:t>
            </w:r>
          </w:p>
        </w:tc>
      </w:tr>
      <w:tr>
        <w:trPr>
          <w:trHeight w:val="255" w:hRule="atLeast"/>
        </w:trPr>
        <w:tc>
          <w:tcPr>
            <w:tcW w:w="2835" w:type="dxa"/>
            <w:tcBorders/>
            <w:shd w:fill="auto" w:val="clear"/>
            <w:vAlign w:val="bottom"/>
          </w:tcPr>
          <w:p>
            <w:pPr>
              <w:pStyle w:val="Normal"/>
              <w:spacing w:before="0" w:after="0"/>
              <w:ind w:firstLine="400"/>
              <w:rPr>
                <w:rFonts w:ascii="Arial" w:hAnsi="Arial" w:cs="Arial"/>
                <w:sz w:val="20"/>
                <w:szCs w:val="20"/>
                <w:lang w:val="en-US" w:eastAsia="en-US"/>
              </w:rPr>
            </w:pPr>
            <w:r>
              <w:rPr>
                <w:rFonts w:cs="Arial" w:ascii="Arial" w:hAnsi="Arial"/>
                <w:sz w:val="20"/>
                <w:szCs w:val="20"/>
                <w:lang w:val="en-US" w:eastAsia="en-US"/>
              </w:rPr>
              <w:t xml:space="preserve">1000 to 1999 patients </w:t>
            </w:r>
          </w:p>
        </w:tc>
        <w:tc>
          <w:tcPr>
            <w:tcW w:w="852"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1,862</w:t>
            </w:r>
          </w:p>
        </w:tc>
        <w:tc>
          <w:tcPr>
            <w:tcW w:w="978"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48.1%</w:t>
            </w:r>
          </w:p>
        </w:tc>
        <w:tc>
          <w:tcPr>
            <w:tcW w:w="883"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552</w:t>
            </w:r>
          </w:p>
        </w:tc>
        <w:tc>
          <w:tcPr>
            <w:tcW w:w="999"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51.4%</w:t>
            </w:r>
          </w:p>
        </w:tc>
        <w:tc>
          <w:tcPr>
            <w:tcW w:w="88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574</w:t>
            </w:r>
          </w:p>
        </w:tc>
        <w:tc>
          <w:tcPr>
            <w:tcW w:w="994" w:type="dxa"/>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52.7%</w:t>
            </w:r>
          </w:p>
        </w:tc>
        <w:tc>
          <w:tcPr>
            <w:tcW w:w="974" w:type="dxa"/>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2,988</w:t>
            </w:r>
          </w:p>
        </w:tc>
        <w:tc>
          <w:tcPr>
            <w:tcW w:w="1030" w:type="dxa"/>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49.53%</w:t>
            </w:r>
          </w:p>
        </w:tc>
      </w:tr>
      <w:tr>
        <w:trPr>
          <w:trHeight w:val="255" w:hRule="atLeast"/>
        </w:trPr>
        <w:tc>
          <w:tcPr>
            <w:tcW w:w="2835" w:type="dxa"/>
            <w:tcBorders>
              <w:bottom w:val="single" w:sz="4" w:space="0" w:color="000000"/>
              <w:insideH w:val="single" w:sz="4" w:space="0" w:color="000000"/>
            </w:tcBorders>
            <w:shd w:fill="auto" w:val="clear"/>
            <w:vAlign w:val="bottom"/>
          </w:tcPr>
          <w:p>
            <w:pPr>
              <w:pStyle w:val="Normal"/>
              <w:spacing w:before="0" w:after="0"/>
              <w:ind w:firstLine="400"/>
              <w:rPr>
                <w:rFonts w:ascii="Arial" w:hAnsi="Arial" w:cs="Arial"/>
                <w:sz w:val="20"/>
                <w:szCs w:val="20"/>
                <w:lang w:val="en-US" w:eastAsia="en-US"/>
              </w:rPr>
            </w:pPr>
            <w:r>
              <w:rPr>
                <w:rFonts w:cs="Arial" w:ascii="Arial" w:hAnsi="Arial"/>
                <w:sz w:val="20"/>
                <w:szCs w:val="20"/>
                <w:lang w:val="en-US" w:eastAsia="en-US"/>
              </w:rPr>
              <w:t>2000 to more patients</w:t>
            </w:r>
          </w:p>
        </w:tc>
        <w:tc>
          <w:tcPr>
            <w:tcW w:w="852" w:type="dxa"/>
            <w:tcBorders>
              <w:bottom w:val="single" w:sz="4" w:space="0" w:color="000000"/>
              <w:insideH w:val="single" w:sz="4" w:space="0" w:color="000000"/>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978</w:t>
            </w:r>
          </w:p>
        </w:tc>
        <w:tc>
          <w:tcPr>
            <w:tcW w:w="978" w:type="dxa"/>
            <w:tcBorders>
              <w:bottom w:val="single" w:sz="4" w:space="0" w:color="000000"/>
              <w:insideH w:val="single" w:sz="4" w:space="0" w:color="000000"/>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25.3%</w:t>
            </w:r>
          </w:p>
        </w:tc>
        <w:tc>
          <w:tcPr>
            <w:tcW w:w="883" w:type="dxa"/>
            <w:tcBorders>
              <w:bottom w:val="single" w:sz="4" w:space="0" w:color="000000"/>
              <w:insideH w:val="single" w:sz="4" w:space="0" w:color="000000"/>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278</w:t>
            </w:r>
          </w:p>
        </w:tc>
        <w:tc>
          <w:tcPr>
            <w:tcW w:w="999" w:type="dxa"/>
            <w:tcBorders>
              <w:bottom w:val="single" w:sz="4" w:space="0" w:color="000000"/>
              <w:insideH w:val="single" w:sz="4" w:space="0" w:color="000000"/>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25.9%</w:t>
            </w:r>
          </w:p>
        </w:tc>
        <w:tc>
          <w:tcPr>
            <w:tcW w:w="884" w:type="dxa"/>
            <w:tcBorders>
              <w:bottom w:val="single" w:sz="4" w:space="0" w:color="000000"/>
              <w:insideH w:val="single" w:sz="4" w:space="0" w:color="000000"/>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171</w:t>
            </w:r>
          </w:p>
        </w:tc>
        <w:tc>
          <w:tcPr>
            <w:tcW w:w="994" w:type="dxa"/>
            <w:tcBorders>
              <w:bottom w:val="single" w:sz="4" w:space="0" w:color="000000"/>
              <w:insideH w:val="single" w:sz="4" w:space="0" w:color="000000"/>
            </w:tcBorders>
            <w:shd w:fill="FFFFFF"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15.7%</w:t>
            </w:r>
          </w:p>
        </w:tc>
        <w:tc>
          <w:tcPr>
            <w:tcW w:w="974" w:type="dxa"/>
            <w:tcBorders>
              <w:bottom w:val="single" w:sz="4" w:space="0" w:color="000000"/>
              <w:insideH w:val="single" w:sz="4" w:space="0" w:color="000000"/>
            </w:tcBorders>
            <w:shd w:fill="auto" w:val="clear"/>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1,427</w:t>
            </w:r>
          </w:p>
        </w:tc>
        <w:tc>
          <w:tcPr>
            <w:tcW w:w="1030" w:type="dxa"/>
            <w:tcBorders>
              <w:bottom w:val="single" w:sz="4" w:space="0" w:color="000000"/>
              <w:insideH w:val="single" w:sz="4" w:space="0" w:color="000000"/>
            </w:tcBorders>
            <w:shd w:fill="auto" w:val="clear"/>
            <w:vAlign w:val="bottom"/>
          </w:tcPr>
          <w:p>
            <w:pPr>
              <w:pStyle w:val="Normal"/>
              <w:spacing w:before="0" w:after="0"/>
              <w:jc w:val="right"/>
              <w:rPr>
                <w:rFonts w:ascii="Arial" w:hAnsi="Arial" w:cs="Arial"/>
                <w:sz w:val="20"/>
                <w:szCs w:val="20"/>
                <w:lang w:val="en-US" w:eastAsia="en-US"/>
              </w:rPr>
            </w:pPr>
            <w:r>
              <w:rPr>
                <w:rFonts w:cs="Arial" w:ascii="Arial" w:hAnsi="Arial"/>
                <w:sz w:val="20"/>
                <w:szCs w:val="20"/>
                <w:lang w:val="en-US" w:eastAsia="en-US"/>
              </w:rPr>
              <w:t>23.65%</w:t>
            </w:r>
          </w:p>
        </w:tc>
      </w:tr>
    </w:tbl>
    <w:p>
      <w:pPr>
        <w:pStyle w:val="Normal"/>
        <w:rPr/>
      </w:pPr>
      <w:r>
        <w:rPr>
          <w:rFonts w:cs="Arial" w:ascii="Arial" w:hAnsi="Arial"/>
          <w:sz w:val="20"/>
          <w:szCs w:val="20"/>
        </w:rPr>
        <w:t>*</w:t>
      </w:r>
      <w:r>
        <w:rPr>
          <w:rFonts w:cs="Arial" w:ascii="Arial" w:hAnsi="Arial"/>
          <w:sz w:val="20"/>
          <w:szCs w:val="20"/>
          <w:vertAlign w:val="superscript"/>
        </w:rPr>
        <w:t xml:space="preserve"> </w:t>
      </w:r>
      <w:r>
        <w:rPr>
          <w:rFonts w:cs="Arial" w:ascii="Arial" w:hAnsi="Arial"/>
          <w:sz w:val="20"/>
          <w:szCs w:val="20"/>
        </w:rPr>
        <w:t>Primary care physicians belonging to medical home models in Ontario as of August 31, 2008</w:t>
      </w:r>
    </w:p>
    <w:p>
      <w:pPr>
        <w:pStyle w:val="Normal"/>
        <w:rPr>
          <w:rFonts w:ascii="Arial" w:hAnsi="Arial" w:cs="Arial"/>
          <w:sz w:val="20"/>
          <w:szCs w:val="20"/>
        </w:rPr>
      </w:pPr>
      <w:r>
        <w:rPr>
          <w:rFonts w:eastAsia="Arial" w:cs="Arial" w:ascii="Arial" w:hAnsi="Arial"/>
          <w:sz w:val="20"/>
          <w:szCs w:val="20"/>
          <w:vertAlign w:val="superscript"/>
        </w:rPr>
        <w:t>†</w:t>
      </w:r>
      <w:r>
        <w:rPr>
          <w:rFonts w:eastAsia="Arial" w:cs="Arial" w:ascii="Arial" w:hAnsi="Arial"/>
          <w:sz w:val="20"/>
          <w:szCs w:val="20"/>
        </w:rPr>
        <w:t xml:space="preserve"> </w:t>
      </w:r>
      <w:r>
        <w:rPr>
          <w:rFonts w:cs="Arial" w:ascii="Arial" w:hAnsi="Arial"/>
          <w:sz w:val="20"/>
          <w:szCs w:val="20"/>
        </w:rPr>
        <w:t xml:space="preserve">The unit of analysis was the physician </w:t>
      </w:r>
    </w:p>
    <w:p>
      <w:pPr>
        <w:pStyle w:val="Normal"/>
        <w:widowControl w:val="false"/>
        <w:autoSpaceDE w:val="false"/>
        <w:spacing w:lineRule="auto" w:line="480" w:before="0" w:after="0"/>
        <w:ind w:firstLine="720"/>
        <w:rPr>
          <w:rFonts w:ascii="Arial" w:hAnsi="Arial" w:cs="Arial"/>
          <w:sz w:val="20"/>
          <w:szCs w:val="20"/>
        </w:rPr>
      </w:pPr>
      <w:r>
        <w:rPr>
          <w:rFonts w:cs="Arial" w:ascii="Arial" w:hAnsi="Arial"/>
          <w:sz w:val="20"/>
          <w:szCs w:val="20"/>
        </w:rPr>
      </w:r>
      <w:r>
        <w:br w:type="page"/>
      </w:r>
    </w:p>
    <w:p>
      <w:pPr>
        <w:pStyle w:val="Normal"/>
        <w:widowControl w:val="false"/>
        <w:autoSpaceDE w:val="false"/>
        <w:spacing w:lineRule="auto" w:line="480" w:before="0" w:after="0"/>
        <w:ind w:firstLine="720"/>
        <w:rPr/>
      </w:pPr>
      <w:r>
        <w:rPr/>
      </w:r>
    </w:p>
    <w:tbl>
      <w:tblPr>
        <w:tblW w:w="9987" w:type="dxa"/>
        <w:jc w:val="left"/>
        <w:tblInd w:w="108"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1220"/>
        <w:gridCol w:w="2182"/>
        <w:gridCol w:w="272"/>
        <w:gridCol w:w="1749"/>
        <w:gridCol w:w="272"/>
        <w:gridCol w:w="1181"/>
        <w:gridCol w:w="272"/>
        <w:gridCol w:w="1166"/>
        <w:gridCol w:w="272"/>
        <w:gridCol w:w="708"/>
        <w:gridCol w:w="615"/>
        <w:gridCol w:w="78"/>
      </w:tblGrid>
      <w:tr>
        <w:trPr>
          <w:trHeight w:val="255" w:hRule="atLeast"/>
        </w:trPr>
        <w:tc>
          <w:tcPr>
            <w:tcW w:w="9294" w:type="dxa"/>
            <w:gridSpan w:val="10"/>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rPr>
                <w:rFonts w:ascii="Arial" w:hAnsi="Arial" w:cs="Arial"/>
                <w:b/>
                <w:b/>
                <w:bCs/>
                <w:sz w:val="20"/>
                <w:szCs w:val="20"/>
                <w:u w:val="single"/>
              </w:rPr>
            </w:pPr>
            <w:r>
              <w:rPr>
                <w:rFonts w:cs="Arial" w:ascii="Arial" w:hAnsi="Arial"/>
                <w:b/>
                <w:bCs/>
                <w:sz w:val="20"/>
                <w:szCs w:val="20"/>
                <w:lang w:val="en-US"/>
              </w:rPr>
              <w:t xml:space="preserve">Table 3. </w:t>
            </w:r>
            <w:r>
              <w:rPr>
                <w:rFonts w:cs="Arial" w:ascii="Arial" w:hAnsi="Arial"/>
                <w:sz w:val="20"/>
                <w:szCs w:val="20"/>
                <w:lang w:val="en-US"/>
              </w:rPr>
              <w:t xml:space="preserve">Percent of Ontario patients on primary care physicians' virtual roster and rosters (total practice) in each medical home type by patient mental health </w:t>
            </w:r>
            <w:r>
              <w:rPr>
                <w:rFonts w:cs="Arial" w:ascii="Arial" w:hAnsi="Arial"/>
                <w:b/>
                <w:bCs/>
                <w:sz w:val="20"/>
                <w:szCs w:val="20"/>
                <w:u w:val="single"/>
                <w:lang w:val="en-US"/>
              </w:rPr>
              <w:t>c</w:t>
            </w:r>
            <w:r>
              <w:rPr>
                <w:rFonts w:cs="Arial" w:ascii="Arial" w:hAnsi="Arial"/>
                <w:sz w:val="20"/>
                <w:szCs w:val="20"/>
                <w:lang w:val="en-US"/>
              </w:rPr>
              <w:t>ategory, August 2008* (unadjusted)</w:t>
            </w:r>
          </w:p>
        </w:tc>
        <w:tc>
          <w:tcPr>
            <w:tcW w:w="693" w:type="dxa"/>
            <w:gridSpan w:val="2"/>
            <w:tcBorders/>
            <w:shd w:fill="auto" w:val="clear"/>
            <w:tcMar>
              <w:left w:w="0" w:type="dxa"/>
              <w:right w:w="0" w:type="dxa"/>
            </w:tcMar>
          </w:tcPr>
          <w:p>
            <w:pPr>
              <w:pStyle w:val="Normal"/>
              <w:snapToGrid w:val="false"/>
              <w:spacing w:before="0" w:after="200"/>
              <w:rPr>
                <w:rFonts w:ascii="Times New Roman" w:hAnsi="Times New Roman" w:cs="Times New Roman"/>
                <w:b/>
                <w:b/>
                <w:bCs/>
                <w:sz w:val="24"/>
                <w:szCs w:val="24"/>
                <w:u w:val="single"/>
                <w:lang w:val="en-US" w:eastAsia="en-US"/>
              </w:rPr>
            </w:pPr>
            <w:r>
              <w:rPr>
                <w:rFonts w:cs="Times New Roman" w:ascii="Times New Roman" w:hAnsi="Times New Roman"/>
                <w:b/>
                <w:bCs/>
                <w:sz w:val="24"/>
                <w:szCs w:val="24"/>
                <w:u w:val="single"/>
                <w:lang w:val="en-US" w:eastAsia="en-US"/>
              </w:rPr>
            </w:r>
          </w:p>
        </w:tc>
      </w:tr>
      <w:tr>
        <w:trPr>
          <w:trHeight w:val="120" w:hRule="atLeast"/>
        </w:trPr>
        <w:tc>
          <w:tcPr>
            <w:tcW w:w="1220" w:type="dxa"/>
            <w:tcBorders>
              <w:top w:val="single" w:sz="4" w:space="0" w:color="000000"/>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182" w:type="dxa"/>
            <w:tcBorders>
              <w:top w:val="single" w:sz="4" w:space="0" w:color="000000"/>
            </w:tcBorders>
            <w:shd w:fill="auto" w:val="clear"/>
            <w:vAlign w:val="bottom"/>
          </w:tcPr>
          <w:p>
            <w:pPr>
              <w:pStyle w:val="Normal"/>
              <w:snapToGrid w:val="false"/>
              <w:spacing w:lineRule="auto" w:line="240" w:before="0" w:after="0"/>
              <w:rPr>
                <w:rFonts w:ascii="Arial" w:hAnsi="Arial" w:cs="Arial"/>
                <w:sz w:val="20"/>
                <w:szCs w:val="20"/>
              </w:rPr>
            </w:pPr>
            <w:r>
              <w:rPr>
                <w:rFonts w:cs="Arial" w:ascii="Arial" w:hAnsi="Arial"/>
                <w:sz w:val="20"/>
                <w:szCs w:val="20"/>
              </w:rPr>
            </w:r>
          </w:p>
        </w:tc>
        <w:tc>
          <w:tcPr>
            <w:tcW w:w="272" w:type="dxa"/>
            <w:tcBorders>
              <w:top w:val="single" w:sz="4" w:space="0" w:color="000000"/>
            </w:tcBorders>
            <w:shd w:fill="auto" w:val="clear"/>
            <w:vAlign w:val="bottom"/>
          </w:tcPr>
          <w:p>
            <w:pPr>
              <w:pStyle w:val="Normal"/>
              <w:snapToGrid w:val="false"/>
              <w:spacing w:lineRule="auto" w:line="240" w:before="0" w:after="0"/>
              <w:rPr>
                <w:rFonts w:ascii="Arial" w:hAnsi="Arial" w:cs="Arial"/>
                <w:sz w:val="20"/>
                <w:szCs w:val="20"/>
              </w:rPr>
            </w:pPr>
            <w:r>
              <w:rPr>
                <w:rFonts w:cs="Arial" w:ascii="Arial" w:hAnsi="Arial"/>
                <w:sz w:val="20"/>
                <w:szCs w:val="20"/>
              </w:rPr>
            </w:r>
          </w:p>
        </w:tc>
        <w:tc>
          <w:tcPr>
            <w:tcW w:w="1749" w:type="dxa"/>
            <w:tcBorders>
              <w:top w:val="single" w:sz="4" w:space="0" w:color="000000"/>
            </w:tcBorders>
            <w:shd w:fill="auto" w:val="clear"/>
            <w:vAlign w:val="bottom"/>
          </w:tcPr>
          <w:p>
            <w:pPr>
              <w:pStyle w:val="Normal"/>
              <w:snapToGrid w:val="false"/>
              <w:spacing w:lineRule="auto" w:line="240" w:before="0" w:after="0"/>
              <w:rPr>
                <w:rFonts w:ascii="Arial" w:hAnsi="Arial" w:cs="Arial"/>
                <w:sz w:val="20"/>
                <w:szCs w:val="20"/>
              </w:rPr>
            </w:pPr>
            <w:r>
              <w:rPr>
                <w:rFonts w:cs="Arial" w:ascii="Arial" w:hAnsi="Arial"/>
                <w:sz w:val="20"/>
                <w:szCs w:val="20"/>
              </w:rPr>
            </w:r>
          </w:p>
        </w:tc>
        <w:tc>
          <w:tcPr>
            <w:tcW w:w="272" w:type="dxa"/>
            <w:tcBorders>
              <w:top w:val="single" w:sz="4" w:space="0" w:color="000000"/>
            </w:tcBorders>
            <w:shd w:fill="auto" w:val="clear"/>
            <w:vAlign w:val="bottom"/>
          </w:tcPr>
          <w:p>
            <w:pPr>
              <w:pStyle w:val="Normal"/>
              <w:snapToGrid w:val="false"/>
              <w:spacing w:lineRule="auto" w:line="240" w:before="0" w:after="0"/>
              <w:rPr>
                <w:rFonts w:ascii="Arial" w:hAnsi="Arial" w:cs="Arial"/>
                <w:sz w:val="20"/>
                <w:szCs w:val="20"/>
              </w:rPr>
            </w:pPr>
            <w:r>
              <w:rPr>
                <w:rFonts w:cs="Arial" w:ascii="Arial" w:hAnsi="Arial"/>
                <w:sz w:val="20"/>
                <w:szCs w:val="20"/>
              </w:rPr>
            </w:r>
          </w:p>
        </w:tc>
        <w:tc>
          <w:tcPr>
            <w:tcW w:w="1181" w:type="dxa"/>
            <w:tcBorders>
              <w:top w:val="single" w:sz="4" w:space="0" w:color="000000"/>
            </w:tcBorders>
            <w:shd w:fill="auto" w:val="clear"/>
            <w:vAlign w:val="bottom"/>
          </w:tcPr>
          <w:p>
            <w:pPr>
              <w:pStyle w:val="Normal"/>
              <w:snapToGrid w:val="false"/>
              <w:spacing w:lineRule="auto" w:line="240" w:before="0" w:after="0"/>
              <w:rPr>
                <w:rFonts w:ascii="Arial" w:hAnsi="Arial" w:cs="Arial"/>
                <w:sz w:val="20"/>
                <w:szCs w:val="20"/>
              </w:rPr>
            </w:pPr>
            <w:r>
              <w:rPr>
                <w:rFonts w:cs="Arial" w:ascii="Arial" w:hAnsi="Arial"/>
                <w:sz w:val="20"/>
                <w:szCs w:val="20"/>
              </w:rPr>
            </w:r>
          </w:p>
        </w:tc>
        <w:tc>
          <w:tcPr>
            <w:tcW w:w="272" w:type="dxa"/>
            <w:tcBorders>
              <w:top w:val="single" w:sz="4" w:space="0" w:color="000000"/>
            </w:tcBorders>
            <w:shd w:fill="auto" w:val="clear"/>
            <w:vAlign w:val="bottom"/>
          </w:tcPr>
          <w:p>
            <w:pPr>
              <w:pStyle w:val="Normal"/>
              <w:snapToGrid w:val="false"/>
              <w:spacing w:lineRule="auto" w:line="240" w:before="0" w:after="0"/>
              <w:rPr>
                <w:rFonts w:ascii="Arial" w:hAnsi="Arial" w:cs="Arial"/>
                <w:sz w:val="20"/>
                <w:szCs w:val="20"/>
              </w:rPr>
            </w:pPr>
            <w:r>
              <w:rPr>
                <w:rFonts w:cs="Arial" w:ascii="Arial" w:hAnsi="Arial"/>
                <w:sz w:val="20"/>
                <w:szCs w:val="20"/>
              </w:rPr>
            </w:r>
          </w:p>
        </w:tc>
        <w:tc>
          <w:tcPr>
            <w:tcW w:w="1166" w:type="dxa"/>
            <w:tcBorders>
              <w:top w:val="single" w:sz="4" w:space="0" w:color="000000"/>
            </w:tcBorders>
            <w:shd w:fill="auto" w:val="clear"/>
            <w:vAlign w:val="bottom"/>
          </w:tcPr>
          <w:p>
            <w:pPr>
              <w:pStyle w:val="Normal"/>
              <w:snapToGrid w:val="false"/>
              <w:spacing w:lineRule="auto" w:line="240" w:before="0" w:after="0"/>
              <w:rPr>
                <w:rFonts w:ascii="Arial" w:hAnsi="Arial" w:cs="Arial"/>
                <w:sz w:val="20"/>
                <w:szCs w:val="20"/>
              </w:rPr>
            </w:pPr>
            <w:r>
              <w:rPr>
                <w:rFonts w:cs="Arial" w:ascii="Arial" w:hAnsi="Arial"/>
                <w:sz w:val="20"/>
                <w:szCs w:val="20"/>
              </w:rPr>
            </w:r>
          </w:p>
        </w:tc>
        <w:tc>
          <w:tcPr>
            <w:tcW w:w="272" w:type="dxa"/>
            <w:tcBorders>
              <w:top w:val="single" w:sz="4" w:space="0" w:color="000000"/>
            </w:tcBorders>
            <w:shd w:fill="auto" w:val="clear"/>
            <w:vAlign w:val="bottom"/>
          </w:tcPr>
          <w:p>
            <w:pPr>
              <w:pStyle w:val="Normal"/>
              <w:snapToGrid w:val="false"/>
              <w:spacing w:lineRule="auto" w:line="240" w:before="0" w:after="0"/>
              <w:rPr>
                <w:rFonts w:ascii="Arial" w:hAnsi="Arial" w:cs="Arial"/>
                <w:sz w:val="20"/>
                <w:szCs w:val="20"/>
              </w:rPr>
            </w:pPr>
            <w:r>
              <w:rPr>
                <w:rFonts w:cs="Arial" w:ascii="Arial" w:hAnsi="Arial"/>
                <w:sz w:val="20"/>
                <w:szCs w:val="20"/>
              </w:rPr>
            </w:r>
          </w:p>
        </w:tc>
        <w:tc>
          <w:tcPr>
            <w:tcW w:w="708" w:type="dxa"/>
            <w:tcBorders>
              <w:top w:val="single" w:sz="4" w:space="0" w:color="000000"/>
            </w:tcBorders>
            <w:shd w:fill="auto" w:val="clear"/>
            <w:vAlign w:val="bottom"/>
          </w:tcPr>
          <w:p>
            <w:pPr>
              <w:pStyle w:val="Normal"/>
              <w:tabs>
                <w:tab w:val="left" w:pos="1055" w:leader="none"/>
                <w:tab w:val="left" w:pos="1163" w:leader="none"/>
                <w:tab w:val="left" w:pos="1304" w:leader="none"/>
              </w:tabs>
              <w:snapToGrid w:val="false"/>
              <w:spacing w:lineRule="auto" w:line="240" w:before="0" w:after="0"/>
              <w:ind w:right="176" w:hanging="0"/>
              <w:rPr>
                <w:rFonts w:ascii="Arial" w:hAnsi="Arial" w:cs="Arial"/>
                <w:sz w:val="20"/>
                <w:szCs w:val="20"/>
              </w:rPr>
            </w:pPr>
            <w:r>
              <w:rPr>
                <w:rFonts w:cs="Arial" w:ascii="Arial" w:hAnsi="Arial"/>
                <w:sz w:val="20"/>
                <w:szCs w:val="20"/>
              </w:rPr>
            </w:r>
          </w:p>
        </w:tc>
        <w:tc>
          <w:tcPr>
            <w:tcW w:w="693" w:type="dxa"/>
            <w:gridSpan w:val="2"/>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525" w:hRule="atLeast"/>
        </w:trPr>
        <w:tc>
          <w:tcPr>
            <w:tcW w:w="1220" w:type="dxa"/>
            <w:tcBorders>
              <w:bottom w:val="single" w:sz="4" w:space="0" w:color="000000"/>
              <w:insideH w:val="single" w:sz="4" w:space="0" w:color="000000"/>
            </w:tcBorders>
            <w:shd w:fill="FFFFFF" w:val="clear"/>
            <w:vAlign w:val="center"/>
          </w:tcPr>
          <w:p>
            <w:pPr>
              <w:pStyle w:val="Normal"/>
              <w:spacing w:lineRule="auto" w:line="240" w:before="0" w:after="0"/>
              <w:jc w:val="right"/>
              <w:rPr>
                <w:rFonts w:ascii="Arial" w:hAnsi="Arial" w:cs="Arial"/>
                <w:sz w:val="20"/>
                <w:szCs w:val="20"/>
              </w:rPr>
            </w:pPr>
            <w:r>
              <w:rPr>
                <w:rFonts w:cs="Arial" w:ascii="Arial" w:hAnsi="Arial"/>
                <w:sz w:val="20"/>
                <w:szCs w:val="20"/>
              </w:rPr>
              <w:t> </w:t>
            </w:r>
          </w:p>
        </w:tc>
        <w:tc>
          <w:tcPr>
            <w:tcW w:w="2182" w:type="dxa"/>
            <w:tcBorders>
              <w:bottom w:val="single" w:sz="4" w:space="0" w:color="000000"/>
              <w:insideH w:val="single" w:sz="4" w:space="0" w:color="000000"/>
            </w:tcBorders>
            <w:shd w:fill="FFFFFF" w:val="clear"/>
            <w:vAlign w:val="center"/>
          </w:tcPr>
          <w:p>
            <w:pPr>
              <w:pStyle w:val="Normal"/>
              <w:spacing w:lineRule="auto" w:line="240" w:before="0" w:after="0"/>
              <w:jc w:val="right"/>
              <w:rPr>
                <w:rFonts w:ascii="Arial" w:hAnsi="Arial" w:cs="Arial"/>
                <w:sz w:val="20"/>
                <w:szCs w:val="20"/>
              </w:rPr>
            </w:pPr>
            <w:r>
              <w:rPr>
                <w:rFonts w:cs="Arial" w:ascii="Arial" w:hAnsi="Arial"/>
                <w:sz w:val="20"/>
                <w:szCs w:val="20"/>
              </w:rPr>
              <w:t> </w:t>
            </w:r>
          </w:p>
        </w:tc>
        <w:tc>
          <w:tcPr>
            <w:tcW w:w="272" w:type="dxa"/>
            <w:tcBorders/>
            <w:shd w:fill="FFFFFF" w:val="clear"/>
            <w:vAlign w:val="center"/>
          </w:tcPr>
          <w:p>
            <w:pPr>
              <w:pStyle w:val="Normal"/>
              <w:spacing w:lineRule="auto" w:line="240" w:before="0" w:after="0"/>
              <w:jc w:val="right"/>
              <w:rPr>
                <w:rFonts w:ascii="Arial" w:hAnsi="Arial" w:cs="Arial"/>
                <w:sz w:val="20"/>
                <w:szCs w:val="20"/>
              </w:rPr>
            </w:pPr>
            <w:r>
              <w:rPr>
                <w:rFonts w:cs="Arial" w:ascii="Arial" w:hAnsi="Arial"/>
                <w:sz w:val="20"/>
                <w:szCs w:val="20"/>
              </w:rPr>
              <w:t> </w:t>
            </w:r>
          </w:p>
        </w:tc>
        <w:tc>
          <w:tcPr>
            <w:tcW w:w="1749" w:type="dxa"/>
            <w:tcBorders>
              <w:bottom w:val="single" w:sz="8" w:space="0" w:color="000000"/>
              <w:insideH w:val="single" w:sz="8" w:space="0" w:color="000000"/>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Psychosis-- Bipolar diagnoses</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81" w:type="dxa"/>
            <w:tcBorders>
              <w:bottom w:val="single" w:sz="8" w:space="0" w:color="000000"/>
              <w:insideH w:val="single" w:sz="8" w:space="0" w:color="000000"/>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Other mental diagnoses</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66" w:type="dxa"/>
            <w:tcBorders>
              <w:bottom w:val="single" w:sz="8" w:space="0" w:color="000000"/>
              <w:insideH w:val="single" w:sz="8" w:space="0" w:color="000000"/>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No mental diagnoses</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401" w:type="dxa"/>
            <w:gridSpan w:val="3"/>
            <w:tcBorders>
              <w:bottom w:val="single" w:sz="8" w:space="0" w:color="000000"/>
              <w:insideH w:val="single" w:sz="8" w:space="0" w:color="000000"/>
            </w:tcBorders>
            <w:shd w:fill="FFFFFF" w:val="clear"/>
            <w:vAlign w:val="center"/>
          </w:tcPr>
          <w:p>
            <w:pPr>
              <w:pStyle w:val="Normal"/>
              <w:tabs>
                <w:tab w:val="left" w:pos="1055" w:leader="none"/>
                <w:tab w:val="left" w:pos="1163" w:leader="none"/>
                <w:tab w:val="left" w:pos="1304" w:leader="none"/>
              </w:tabs>
              <w:spacing w:lineRule="auto" w:line="240" w:before="0" w:after="0"/>
              <w:ind w:right="176" w:hanging="0"/>
              <w:jc w:val="center"/>
              <w:rPr>
                <w:rFonts w:ascii="Arial" w:hAnsi="Arial" w:cs="Arial"/>
                <w:b/>
                <w:b/>
                <w:bCs/>
                <w:sz w:val="20"/>
                <w:szCs w:val="20"/>
              </w:rPr>
            </w:pPr>
            <w:r>
              <w:rPr>
                <w:rFonts w:cs="Arial" w:ascii="Arial" w:hAnsi="Arial"/>
                <w:b/>
                <w:bCs/>
                <w:sz w:val="20"/>
                <w:szCs w:val="20"/>
              </w:rPr>
              <w:t xml:space="preserve">Total </w:t>
            </w:r>
          </w:p>
        </w:tc>
      </w:tr>
      <w:tr>
        <w:trPr>
          <w:trHeight w:val="82" w:hRule="atLeast"/>
        </w:trPr>
        <w:tc>
          <w:tcPr>
            <w:tcW w:w="3402" w:type="dxa"/>
            <w:gridSpan w:val="2"/>
            <w:tcBorders>
              <w:top w:val="single" w:sz="4" w:space="0" w:color="000000"/>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Rostered patients, N</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749" w:type="dxa"/>
            <w:tcBorders/>
            <w:shd w:fill="FFFFFF" w:val="clear"/>
            <w:vAlign w:val="bottom"/>
          </w:tcPr>
          <w:p>
            <w:pPr>
              <w:pStyle w:val="Normal"/>
              <w:spacing w:lineRule="auto" w:line="240" w:before="0" w:after="0"/>
              <w:jc w:val="right"/>
              <w:rPr>
                <w:rFonts w:ascii="Arial" w:hAnsi="Arial" w:cs="Arial"/>
                <w:sz w:val="20"/>
                <w:szCs w:val="20"/>
              </w:rPr>
            </w:pPr>
            <w:r>
              <w:rPr>
                <w:rFonts w:cs="Arial" w:ascii="Arial" w:hAnsi="Arial"/>
                <w:sz w:val="20"/>
                <w:szCs w:val="20"/>
              </w:rPr>
              <w:t>115,030</w:t>
            </w:r>
          </w:p>
        </w:tc>
        <w:tc>
          <w:tcPr>
            <w:tcW w:w="272" w:type="dxa"/>
            <w:tcBorders/>
            <w:shd w:fill="FFFFFF" w:val="clear"/>
            <w:vAlign w:val="bottom"/>
          </w:tcPr>
          <w:p>
            <w:pPr>
              <w:pStyle w:val="Normal"/>
              <w:spacing w:lineRule="auto" w:line="240" w:before="0" w:after="0"/>
              <w:rPr>
                <w:rFonts w:ascii="Arial" w:hAnsi="Arial" w:cs="Arial"/>
                <w:sz w:val="20"/>
                <w:szCs w:val="20"/>
              </w:rPr>
            </w:pPr>
            <w:r>
              <w:rPr>
                <w:rFonts w:cs="Arial" w:ascii="Arial" w:hAnsi="Arial"/>
                <w:sz w:val="20"/>
                <w:szCs w:val="20"/>
              </w:rPr>
              <w:t> </w:t>
            </w:r>
          </w:p>
        </w:tc>
        <w:tc>
          <w:tcPr>
            <w:tcW w:w="1181" w:type="dxa"/>
            <w:tcBorders/>
            <w:shd w:fill="FFFFFF" w:val="clear"/>
            <w:vAlign w:val="bottom"/>
          </w:tcPr>
          <w:p>
            <w:pPr>
              <w:pStyle w:val="Normal"/>
              <w:spacing w:lineRule="auto" w:line="240" w:before="0" w:after="0"/>
              <w:jc w:val="right"/>
              <w:rPr>
                <w:rFonts w:ascii="Arial" w:hAnsi="Arial" w:cs="Arial"/>
                <w:sz w:val="20"/>
                <w:szCs w:val="20"/>
              </w:rPr>
            </w:pPr>
            <w:r>
              <w:rPr>
                <w:rFonts w:cs="Arial" w:ascii="Arial" w:hAnsi="Arial"/>
                <w:sz w:val="20"/>
                <w:szCs w:val="20"/>
              </w:rPr>
              <w:t>1,596,903</w:t>
            </w:r>
          </w:p>
        </w:tc>
        <w:tc>
          <w:tcPr>
            <w:tcW w:w="272" w:type="dxa"/>
            <w:tcBorders/>
            <w:shd w:fill="FFFFFF" w:val="clear"/>
            <w:vAlign w:val="bottom"/>
          </w:tcPr>
          <w:p>
            <w:pPr>
              <w:pStyle w:val="Normal"/>
              <w:spacing w:lineRule="auto" w:line="240" w:before="0" w:after="0"/>
              <w:rPr>
                <w:rFonts w:ascii="Arial" w:hAnsi="Arial" w:cs="Arial"/>
                <w:sz w:val="20"/>
                <w:szCs w:val="20"/>
              </w:rPr>
            </w:pPr>
            <w:r>
              <w:rPr>
                <w:rFonts w:cs="Arial" w:ascii="Arial" w:hAnsi="Arial"/>
                <w:sz w:val="20"/>
                <w:szCs w:val="20"/>
              </w:rPr>
              <w:t> </w:t>
            </w:r>
          </w:p>
        </w:tc>
        <w:tc>
          <w:tcPr>
            <w:tcW w:w="1166" w:type="dxa"/>
            <w:tcBorders/>
            <w:shd w:fill="FFFFFF" w:val="clear"/>
            <w:vAlign w:val="bottom"/>
          </w:tcPr>
          <w:p>
            <w:pPr>
              <w:pStyle w:val="Normal"/>
              <w:spacing w:lineRule="auto" w:line="240" w:before="0" w:after="0"/>
              <w:jc w:val="right"/>
              <w:rPr>
                <w:rFonts w:ascii="Arial" w:hAnsi="Arial" w:cs="Arial"/>
                <w:sz w:val="20"/>
                <w:szCs w:val="20"/>
              </w:rPr>
            </w:pPr>
            <w:r>
              <w:rPr>
                <w:rFonts w:cs="Arial" w:ascii="Arial" w:hAnsi="Arial"/>
                <w:sz w:val="20"/>
                <w:szCs w:val="20"/>
              </w:rPr>
              <w:t>4,547,785</w:t>
            </w:r>
          </w:p>
        </w:tc>
        <w:tc>
          <w:tcPr>
            <w:tcW w:w="272" w:type="dxa"/>
            <w:tcBorders/>
            <w:shd w:fill="FFFFFF" w:val="clear"/>
            <w:vAlign w:val="bottom"/>
          </w:tcPr>
          <w:p>
            <w:pPr>
              <w:pStyle w:val="Normal"/>
              <w:spacing w:lineRule="auto" w:line="240" w:before="0" w:after="0"/>
              <w:rPr>
                <w:rFonts w:ascii="Arial" w:hAnsi="Arial" w:cs="Arial"/>
                <w:sz w:val="20"/>
                <w:szCs w:val="20"/>
              </w:rPr>
            </w:pPr>
            <w:r>
              <w:rPr>
                <w:rFonts w:cs="Arial" w:ascii="Arial" w:hAnsi="Arial"/>
                <w:sz w:val="20"/>
                <w:szCs w:val="20"/>
              </w:rPr>
              <w:t> </w:t>
            </w:r>
          </w:p>
        </w:tc>
        <w:tc>
          <w:tcPr>
            <w:tcW w:w="1323" w:type="dxa"/>
            <w:gridSpan w:val="2"/>
            <w:tcBorders/>
            <w:shd w:fill="FFFFFF" w:val="clear"/>
            <w:vAlign w:val="bottom"/>
          </w:tcPr>
          <w:p>
            <w:pPr>
              <w:pStyle w:val="Normal"/>
              <w:tabs>
                <w:tab w:val="left" w:pos="1055" w:leader="none"/>
                <w:tab w:val="left" w:pos="1163" w:leader="none"/>
                <w:tab w:val="left" w:pos="1304" w:leader="none"/>
              </w:tabs>
              <w:spacing w:lineRule="auto" w:line="240" w:before="0" w:after="0"/>
              <w:ind w:right="176" w:hanging="0"/>
              <w:jc w:val="right"/>
              <w:rPr>
                <w:rFonts w:ascii="Arial" w:hAnsi="Arial" w:cs="Arial"/>
                <w:sz w:val="20"/>
                <w:szCs w:val="20"/>
              </w:rPr>
            </w:pPr>
            <w:r>
              <w:rPr>
                <w:rFonts w:cs="Arial" w:ascii="Arial" w:hAnsi="Arial"/>
                <w:sz w:val="20"/>
                <w:szCs w:val="20"/>
              </w:rPr>
              <w:t>6,259,718</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70" w:hRule="atLeast"/>
        </w:trPr>
        <w:tc>
          <w:tcPr>
            <w:tcW w:w="3402" w:type="dxa"/>
            <w:gridSpan w:val="2"/>
            <w:tcBorders/>
            <w:shd w:fill="FFFFFF" w:val="clear"/>
            <w:vAlign w:val="center"/>
          </w:tcPr>
          <w:p>
            <w:pPr>
              <w:pStyle w:val="Normal"/>
              <w:spacing w:lineRule="auto" w:line="240" w:before="0" w:after="0"/>
              <w:rPr/>
            </w:pPr>
            <w:r>
              <w:rPr>
                <w:rFonts w:cs="Arial" w:ascii="Arial" w:hAnsi="Arial"/>
                <w:sz w:val="20"/>
                <w:szCs w:val="20"/>
              </w:rPr>
              <w:t>Total practice</w:t>
            </w:r>
            <w:r>
              <w:rPr>
                <w:rFonts w:cs="Arial" w:ascii="Arial" w:hAnsi="Arial"/>
                <w:sz w:val="20"/>
                <w:szCs w:val="20"/>
                <w:vertAlign w:val="superscript"/>
              </w:rPr>
              <w:t>†</w:t>
            </w:r>
            <w:r>
              <w:rPr>
                <w:rFonts w:cs="Arial" w:ascii="Arial" w:hAnsi="Arial"/>
                <w:sz w:val="20"/>
                <w:szCs w:val="20"/>
              </w:rPr>
              <w:t>, N</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749" w:type="dxa"/>
            <w:tcBorders/>
            <w:shd w:fill="FFFFFF" w:val="clear"/>
            <w:vAlign w:val="bottom"/>
          </w:tcPr>
          <w:p>
            <w:pPr>
              <w:pStyle w:val="Normal"/>
              <w:spacing w:lineRule="auto" w:line="240" w:before="0" w:after="0"/>
              <w:jc w:val="right"/>
              <w:rPr>
                <w:rFonts w:ascii="Arial" w:hAnsi="Arial" w:cs="Arial"/>
                <w:sz w:val="20"/>
                <w:szCs w:val="20"/>
              </w:rPr>
            </w:pPr>
            <w:r>
              <w:rPr>
                <w:rFonts w:cs="Arial" w:ascii="Arial" w:hAnsi="Arial"/>
                <w:sz w:val="20"/>
                <w:szCs w:val="20"/>
              </w:rPr>
              <w:t>136,405</w:t>
            </w:r>
          </w:p>
        </w:tc>
        <w:tc>
          <w:tcPr>
            <w:tcW w:w="272" w:type="dxa"/>
            <w:tcBorders/>
            <w:shd w:fill="FFFFFF" w:val="clear"/>
            <w:vAlign w:val="bottom"/>
          </w:tcPr>
          <w:p>
            <w:pPr>
              <w:pStyle w:val="Normal"/>
              <w:spacing w:lineRule="auto" w:line="240" w:before="0" w:after="0"/>
              <w:rPr>
                <w:rFonts w:ascii="Arial" w:hAnsi="Arial" w:cs="Arial"/>
                <w:sz w:val="20"/>
                <w:szCs w:val="20"/>
              </w:rPr>
            </w:pPr>
            <w:r>
              <w:rPr>
                <w:rFonts w:cs="Arial" w:ascii="Arial" w:hAnsi="Arial"/>
                <w:sz w:val="20"/>
                <w:szCs w:val="20"/>
              </w:rPr>
              <w:t> </w:t>
            </w:r>
          </w:p>
        </w:tc>
        <w:tc>
          <w:tcPr>
            <w:tcW w:w="1181" w:type="dxa"/>
            <w:tcBorders/>
            <w:shd w:fill="FFFFFF" w:val="clear"/>
            <w:vAlign w:val="bottom"/>
          </w:tcPr>
          <w:p>
            <w:pPr>
              <w:pStyle w:val="Normal"/>
              <w:spacing w:lineRule="auto" w:line="240" w:before="0" w:after="0"/>
              <w:jc w:val="right"/>
              <w:rPr>
                <w:rFonts w:ascii="Arial" w:hAnsi="Arial" w:cs="Arial"/>
                <w:sz w:val="20"/>
                <w:szCs w:val="20"/>
              </w:rPr>
            </w:pPr>
            <w:r>
              <w:rPr>
                <w:rFonts w:cs="Arial" w:ascii="Arial" w:hAnsi="Arial"/>
                <w:sz w:val="20"/>
                <w:szCs w:val="20"/>
              </w:rPr>
              <w:t>1,830,470</w:t>
            </w:r>
          </w:p>
        </w:tc>
        <w:tc>
          <w:tcPr>
            <w:tcW w:w="272" w:type="dxa"/>
            <w:tcBorders/>
            <w:shd w:fill="FFFFFF" w:val="clear"/>
            <w:vAlign w:val="bottom"/>
          </w:tcPr>
          <w:p>
            <w:pPr>
              <w:pStyle w:val="Normal"/>
              <w:spacing w:lineRule="auto" w:line="240" w:before="0" w:after="0"/>
              <w:rPr>
                <w:rFonts w:ascii="Arial" w:hAnsi="Arial" w:cs="Arial"/>
                <w:sz w:val="20"/>
                <w:szCs w:val="20"/>
              </w:rPr>
            </w:pPr>
            <w:r>
              <w:rPr>
                <w:rFonts w:cs="Arial" w:ascii="Arial" w:hAnsi="Arial"/>
                <w:sz w:val="20"/>
                <w:szCs w:val="20"/>
              </w:rPr>
              <w:t> </w:t>
            </w:r>
          </w:p>
        </w:tc>
        <w:tc>
          <w:tcPr>
            <w:tcW w:w="1166" w:type="dxa"/>
            <w:tcBorders/>
            <w:shd w:fill="FFFFFF" w:val="clear"/>
            <w:vAlign w:val="bottom"/>
          </w:tcPr>
          <w:p>
            <w:pPr>
              <w:pStyle w:val="Normal"/>
              <w:spacing w:lineRule="auto" w:line="240" w:before="0" w:after="0"/>
              <w:jc w:val="right"/>
              <w:rPr>
                <w:rFonts w:ascii="Arial" w:hAnsi="Arial" w:cs="Arial"/>
                <w:sz w:val="20"/>
                <w:szCs w:val="20"/>
              </w:rPr>
            </w:pPr>
            <w:r>
              <w:rPr>
                <w:rFonts w:cs="Arial" w:ascii="Arial" w:hAnsi="Arial"/>
                <w:sz w:val="20"/>
                <w:szCs w:val="20"/>
              </w:rPr>
              <w:t>5,367,534</w:t>
            </w:r>
          </w:p>
        </w:tc>
        <w:tc>
          <w:tcPr>
            <w:tcW w:w="272" w:type="dxa"/>
            <w:tcBorders/>
            <w:shd w:fill="FFFFFF" w:val="clear"/>
            <w:vAlign w:val="bottom"/>
          </w:tcPr>
          <w:p>
            <w:pPr>
              <w:pStyle w:val="Normal"/>
              <w:spacing w:lineRule="auto" w:line="240" w:before="0" w:after="0"/>
              <w:rPr>
                <w:rFonts w:ascii="Arial" w:hAnsi="Arial" w:cs="Arial"/>
                <w:sz w:val="20"/>
                <w:szCs w:val="20"/>
              </w:rPr>
            </w:pPr>
            <w:r>
              <w:rPr>
                <w:rFonts w:cs="Arial" w:ascii="Arial" w:hAnsi="Arial"/>
                <w:sz w:val="20"/>
                <w:szCs w:val="20"/>
              </w:rPr>
              <w:t> </w:t>
            </w:r>
          </w:p>
        </w:tc>
        <w:tc>
          <w:tcPr>
            <w:tcW w:w="1323" w:type="dxa"/>
            <w:gridSpan w:val="2"/>
            <w:tcBorders/>
            <w:shd w:fill="FFFFFF" w:val="clear"/>
            <w:vAlign w:val="bottom"/>
          </w:tcPr>
          <w:p>
            <w:pPr>
              <w:pStyle w:val="Normal"/>
              <w:tabs>
                <w:tab w:val="left" w:pos="1055" w:leader="none"/>
                <w:tab w:val="left" w:pos="1163" w:leader="none"/>
                <w:tab w:val="left" w:pos="1304" w:leader="none"/>
              </w:tabs>
              <w:spacing w:lineRule="auto" w:line="240" w:before="0" w:after="0"/>
              <w:ind w:right="176" w:hanging="0"/>
              <w:jc w:val="right"/>
              <w:rPr>
                <w:rFonts w:ascii="Arial" w:hAnsi="Arial" w:cs="Arial"/>
                <w:sz w:val="20"/>
                <w:szCs w:val="20"/>
              </w:rPr>
            </w:pPr>
            <w:r>
              <w:rPr>
                <w:rFonts w:cs="Arial" w:ascii="Arial" w:hAnsi="Arial"/>
                <w:sz w:val="20"/>
                <w:szCs w:val="20"/>
              </w:rPr>
              <w:t>7,334,408</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55" w:hRule="atLeast"/>
        </w:trPr>
        <w:tc>
          <w:tcPr>
            <w:tcW w:w="1220"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218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749"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181"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166"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323" w:type="dxa"/>
            <w:gridSpan w:val="2"/>
            <w:tcBorders/>
            <w:shd w:fill="FFFFFF" w:val="clear"/>
            <w:vAlign w:val="center"/>
          </w:tcPr>
          <w:p>
            <w:pPr>
              <w:pStyle w:val="Normal"/>
              <w:tabs>
                <w:tab w:val="left" w:pos="1055" w:leader="none"/>
                <w:tab w:val="left" w:pos="1163" w:leader="none"/>
                <w:tab w:val="left" w:pos="1304" w:leader="none"/>
              </w:tabs>
              <w:spacing w:lineRule="auto" w:line="240" w:before="0" w:after="0"/>
              <w:ind w:right="176" w:hanging="0"/>
              <w:rPr>
                <w:rFonts w:ascii="Arial" w:hAnsi="Arial" w:cs="Arial"/>
                <w:sz w:val="20"/>
                <w:szCs w:val="20"/>
              </w:rPr>
            </w:pPr>
            <w:r>
              <w:rPr>
                <w:rFonts w:cs="Arial" w:ascii="Arial" w:hAnsi="Arial"/>
                <w:sz w:val="20"/>
                <w:szCs w:val="20"/>
              </w:rPr>
              <w:t> </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55" w:hRule="atLeast"/>
          <w:cantSplit w:val="true"/>
        </w:trPr>
        <w:tc>
          <w:tcPr>
            <w:tcW w:w="1220" w:type="dxa"/>
            <w:vMerge w:val="restart"/>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Enhanced fee for service</w:t>
            </w:r>
          </w:p>
        </w:tc>
        <w:tc>
          <w:tcPr>
            <w:tcW w:w="218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xml:space="preserve">Rostered (%)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749"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1.9%</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81"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27.5%</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66"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70.6%</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323" w:type="dxa"/>
            <w:gridSpan w:val="2"/>
            <w:tcBorders/>
            <w:shd w:fill="FFFFFF" w:val="clear"/>
            <w:vAlign w:val="bottom"/>
          </w:tcPr>
          <w:p>
            <w:pPr>
              <w:pStyle w:val="Normal"/>
              <w:tabs>
                <w:tab w:val="left" w:pos="1055" w:leader="none"/>
                <w:tab w:val="left" w:pos="1163" w:leader="none"/>
                <w:tab w:val="left" w:pos="1304" w:leader="none"/>
              </w:tabs>
              <w:spacing w:lineRule="auto" w:line="240" w:before="0" w:after="0"/>
              <w:ind w:right="176" w:hanging="0"/>
              <w:jc w:val="right"/>
              <w:rPr>
                <w:rFonts w:ascii="Arial" w:hAnsi="Arial" w:cs="Arial"/>
                <w:sz w:val="20"/>
                <w:szCs w:val="20"/>
              </w:rPr>
            </w:pPr>
            <w:r>
              <w:rPr>
                <w:rFonts w:cs="Arial" w:ascii="Arial" w:hAnsi="Arial"/>
                <w:sz w:val="20"/>
                <w:szCs w:val="20"/>
              </w:rPr>
              <w:t>3,984,105</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315" w:hRule="atLeast"/>
          <w:cantSplit w:val="true"/>
        </w:trPr>
        <w:tc>
          <w:tcPr>
            <w:tcW w:w="1220" w:type="dxa"/>
            <w:vMerge w:val="continue"/>
            <w:tcBorders/>
            <w:shd w:fill="auto" w:val="clear"/>
            <w:vAlign w:val="center"/>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18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Total Practice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749"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1.9%</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81"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26.5%</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66"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71.7%</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323" w:type="dxa"/>
            <w:gridSpan w:val="2"/>
            <w:tcBorders/>
            <w:shd w:fill="FFFFFF" w:val="clear"/>
            <w:vAlign w:val="bottom"/>
          </w:tcPr>
          <w:p>
            <w:pPr>
              <w:pStyle w:val="Normal"/>
              <w:tabs>
                <w:tab w:val="left" w:pos="1055" w:leader="none"/>
                <w:tab w:val="left" w:pos="1163" w:leader="none"/>
                <w:tab w:val="left" w:pos="1304" w:leader="none"/>
              </w:tabs>
              <w:spacing w:lineRule="auto" w:line="240" w:before="0" w:after="0"/>
              <w:ind w:right="176" w:hanging="0"/>
              <w:jc w:val="right"/>
              <w:rPr>
                <w:rFonts w:ascii="Arial" w:hAnsi="Arial" w:cs="Arial"/>
                <w:sz w:val="20"/>
                <w:szCs w:val="20"/>
              </w:rPr>
            </w:pPr>
            <w:r>
              <w:rPr>
                <w:rFonts w:cs="Arial" w:ascii="Arial" w:hAnsi="Arial"/>
                <w:sz w:val="20"/>
                <w:szCs w:val="20"/>
              </w:rPr>
              <w:t>4,834,179</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70" w:hRule="atLeast"/>
          <w:cantSplit w:val="true"/>
        </w:trPr>
        <w:tc>
          <w:tcPr>
            <w:tcW w:w="1220" w:type="dxa"/>
            <w:vMerge w:val="continue"/>
            <w:tcBorders/>
            <w:shd w:fill="auto" w:val="clear"/>
            <w:vAlign w:val="center"/>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182" w:type="dxa"/>
            <w:tcBorders/>
            <w:shd w:fill="FFFFFF" w:val="clear"/>
            <w:vAlign w:val="center"/>
          </w:tcPr>
          <w:p>
            <w:pPr>
              <w:pStyle w:val="Normal"/>
              <w:spacing w:lineRule="auto" w:line="240" w:before="0" w:after="0"/>
              <w:rPr>
                <w:rFonts w:ascii="Arial" w:hAnsi="Arial" w:cs="Arial"/>
                <w:b/>
                <w:b/>
                <w:bCs/>
                <w:sz w:val="20"/>
                <w:szCs w:val="20"/>
              </w:rPr>
            </w:pPr>
            <w:r>
              <w:rPr>
                <w:rFonts w:cs="Arial" w:ascii="Arial" w:hAnsi="Arial"/>
                <w:b/>
                <w:bCs/>
                <w:sz w:val="20"/>
                <w:szCs w:val="20"/>
              </w:rPr>
              <w:t xml:space="preserve">Ratio </w:t>
            </w:r>
          </w:p>
        </w:tc>
        <w:tc>
          <w:tcPr>
            <w:tcW w:w="272" w:type="dxa"/>
            <w:tcBorders/>
            <w:shd w:fill="FFFFFF" w:val="clear"/>
            <w:vAlign w:val="center"/>
          </w:tcPr>
          <w:p>
            <w:pPr>
              <w:pStyle w:val="Normal"/>
              <w:spacing w:lineRule="auto" w:line="240" w:before="0" w:after="0"/>
              <w:rPr>
                <w:rFonts w:ascii="Arial" w:hAnsi="Arial" w:cs="Arial"/>
                <w:b/>
                <w:b/>
                <w:bCs/>
                <w:sz w:val="20"/>
                <w:szCs w:val="20"/>
              </w:rPr>
            </w:pPr>
            <w:r>
              <w:rPr>
                <w:rFonts w:cs="Arial" w:ascii="Arial" w:hAnsi="Arial"/>
                <w:b/>
                <w:bCs/>
                <w:sz w:val="20"/>
                <w:szCs w:val="20"/>
              </w:rPr>
              <w:t> </w:t>
            </w:r>
          </w:p>
        </w:tc>
        <w:tc>
          <w:tcPr>
            <w:tcW w:w="1749"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1.01</w:t>
            </w:r>
          </w:p>
        </w:tc>
        <w:tc>
          <w:tcPr>
            <w:tcW w:w="272"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1181"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1.04</w:t>
            </w:r>
          </w:p>
        </w:tc>
        <w:tc>
          <w:tcPr>
            <w:tcW w:w="272"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1166"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0.98</w:t>
            </w:r>
          </w:p>
        </w:tc>
        <w:tc>
          <w:tcPr>
            <w:tcW w:w="272"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1323" w:type="dxa"/>
            <w:gridSpan w:val="2"/>
            <w:tcBorders/>
            <w:shd w:fill="FFFFFF" w:val="clear"/>
            <w:vAlign w:val="center"/>
          </w:tcPr>
          <w:p>
            <w:pPr>
              <w:pStyle w:val="Normal"/>
              <w:tabs>
                <w:tab w:val="left" w:pos="1055" w:leader="none"/>
                <w:tab w:val="left" w:pos="1163" w:leader="none"/>
                <w:tab w:val="left" w:pos="1304" w:leader="none"/>
              </w:tabs>
              <w:spacing w:lineRule="auto" w:line="240" w:before="0" w:after="0"/>
              <w:ind w:right="176" w:hanging="0"/>
              <w:jc w:val="center"/>
              <w:rPr>
                <w:rFonts w:ascii="Arial" w:hAnsi="Arial" w:cs="Arial"/>
                <w:sz w:val="20"/>
                <w:szCs w:val="20"/>
              </w:rPr>
            </w:pPr>
            <w:r>
              <w:rPr>
                <w:rFonts w:cs="Arial" w:ascii="Arial" w:hAnsi="Arial"/>
                <w:sz w:val="20"/>
                <w:szCs w:val="20"/>
              </w:rPr>
              <w:t> </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55" w:hRule="atLeast"/>
          <w:cantSplit w:val="true"/>
        </w:trPr>
        <w:tc>
          <w:tcPr>
            <w:tcW w:w="1220" w:type="dxa"/>
            <w:vMerge w:val="restart"/>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Blended capitation</w:t>
            </w:r>
          </w:p>
        </w:tc>
        <w:tc>
          <w:tcPr>
            <w:tcW w:w="218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xml:space="preserve">Rostered (%)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749"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1.6%</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81"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23.1%</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66"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75.4%</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323" w:type="dxa"/>
            <w:gridSpan w:val="2"/>
            <w:tcBorders/>
            <w:shd w:fill="FFFFFF" w:val="clear"/>
            <w:vAlign w:val="center"/>
          </w:tcPr>
          <w:p>
            <w:pPr>
              <w:pStyle w:val="Normal"/>
              <w:tabs>
                <w:tab w:val="left" w:pos="1055" w:leader="none"/>
                <w:tab w:val="left" w:pos="1163" w:leader="none"/>
                <w:tab w:val="left" w:pos="1304" w:leader="none"/>
              </w:tabs>
              <w:spacing w:lineRule="auto" w:line="240" w:before="0" w:after="0"/>
              <w:ind w:right="176" w:hanging="0"/>
              <w:jc w:val="right"/>
              <w:rPr>
                <w:rFonts w:ascii="Arial" w:hAnsi="Arial" w:cs="Arial"/>
                <w:sz w:val="20"/>
                <w:szCs w:val="20"/>
              </w:rPr>
            </w:pPr>
            <w:r>
              <w:rPr>
                <w:rFonts w:cs="Arial" w:ascii="Arial" w:hAnsi="Arial"/>
                <w:sz w:val="20"/>
                <w:szCs w:val="20"/>
              </w:rPr>
              <w:t>986,619</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85" w:hRule="atLeast"/>
          <w:cantSplit w:val="true"/>
        </w:trPr>
        <w:tc>
          <w:tcPr>
            <w:tcW w:w="1220" w:type="dxa"/>
            <w:vMerge w:val="continue"/>
            <w:tcBorders/>
            <w:shd w:fill="auto" w:val="clear"/>
            <w:vAlign w:val="center"/>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18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Total Practice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749"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1.7%</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81"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23.1%</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66"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75.3%</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323" w:type="dxa"/>
            <w:gridSpan w:val="2"/>
            <w:tcBorders/>
            <w:shd w:fill="FFFFFF" w:val="clear"/>
            <w:vAlign w:val="bottom"/>
          </w:tcPr>
          <w:p>
            <w:pPr>
              <w:pStyle w:val="Normal"/>
              <w:tabs>
                <w:tab w:val="left" w:pos="1055" w:leader="none"/>
                <w:tab w:val="left" w:pos="1163" w:leader="none"/>
                <w:tab w:val="left" w:pos="1304" w:leader="none"/>
              </w:tabs>
              <w:spacing w:lineRule="auto" w:line="240" w:before="0" w:after="0"/>
              <w:ind w:right="176" w:hanging="0"/>
              <w:jc w:val="right"/>
              <w:rPr>
                <w:rFonts w:ascii="Arial" w:hAnsi="Arial" w:cs="Arial"/>
                <w:sz w:val="20"/>
                <w:szCs w:val="20"/>
              </w:rPr>
            </w:pPr>
            <w:r>
              <w:rPr>
                <w:rFonts w:cs="Arial" w:ascii="Arial" w:hAnsi="Arial"/>
                <w:sz w:val="20"/>
                <w:szCs w:val="20"/>
              </w:rPr>
              <w:t>1,076,338</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70" w:hRule="atLeast"/>
          <w:cantSplit w:val="true"/>
        </w:trPr>
        <w:tc>
          <w:tcPr>
            <w:tcW w:w="1220" w:type="dxa"/>
            <w:vMerge w:val="continue"/>
            <w:tcBorders/>
            <w:shd w:fill="auto" w:val="clear"/>
            <w:vAlign w:val="center"/>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182" w:type="dxa"/>
            <w:tcBorders/>
            <w:shd w:fill="FFFFFF" w:val="clear"/>
            <w:vAlign w:val="center"/>
          </w:tcPr>
          <w:p>
            <w:pPr>
              <w:pStyle w:val="Normal"/>
              <w:spacing w:lineRule="auto" w:line="240" w:before="0" w:after="0"/>
              <w:rPr>
                <w:rFonts w:ascii="Arial" w:hAnsi="Arial" w:cs="Arial"/>
                <w:b/>
                <w:b/>
                <w:bCs/>
                <w:sz w:val="20"/>
                <w:szCs w:val="20"/>
              </w:rPr>
            </w:pPr>
            <w:r>
              <w:rPr>
                <w:rFonts w:cs="Arial" w:ascii="Arial" w:hAnsi="Arial"/>
                <w:b/>
                <w:bCs/>
                <w:sz w:val="20"/>
                <w:szCs w:val="20"/>
              </w:rPr>
              <w:t>Ratio</w:t>
            </w:r>
          </w:p>
        </w:tc>
        <w:tc>
          <w:tcPr>
            <w:tcW w:w="272" w:type="dxa"/>
            <w:tcBorders/>
            <w:shd w:fill="FFFFFF" w:val="clear"/>
            <w:vAlign w:val="center"/>
          </w:tcPr>
          <w:p>
            <w:pPr>
              <w:pStyle w:val="Normal"/>
              <w:spacing w:lineRule="auto" w:line="240" w:before="0" w:after="0"/>
              <w:rPr>
                <w:rFonts w:ascii="Arial" w:hAnsi="Arial" w:cs="Arial"/>
                <w:b/>
                <w:b/>
                <w:bCs/>
                <w:sz w:val="20"/>
                <w:szCs w:val="20"/>
              </w:rPr>
            </w:pPr>
            <w:r>
              <w:rPr>
                <w:rFonts w:cs="Arial" w:ascii="Arial" w:hAnsi="Arial"/>
                <w:b/>
                <w:bCs/>
                <w:sz w:val="20"/>
                <w:szCs w:val="20"/>
              </w:rPr>
              <w:t> </w:t>
            </w:r>
          </w:p>
        </w:tc>
        <w:tc>
          <w:tcPr>
            <w:tcW w:w="1749"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0.96</w:t>
            </w:r>
          </w:p>
        </w:tc>
        <w:tc>
          <w:tcPr>
            <w:tcW w:w="272"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1181"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1.00</w:t>
            </w:r>
          </w:p>
        </w:tc>
        <w:tc>
          <w:tcPr>
            <w:tcW w:w="272"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1166"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1.00</w:t>
            </w:r>
          </w:p>
        </w:tc>
        <w:tc>
          <w:tcPr>
            <w:tcW w:w="272"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1323" w:type="dxa"/>
            <w:gridSpan w:val="2"/>
            <w:tcBorders/>
            <w:shd w:fill="FFFFFF" w:val="clear"/>
            <w:vAlign w:val="center"/>
          </w:tcPr>
          <w:p>
            <w:pPr>
              <w:pStyle w:val="Normal"/>
              <w:tabs>
                <w:tab w:val="left" w:pos="1055" w:leader="none"/>
                <w:tab w:val="left" w:pos="1163" w:leader="none"/>
                <w:tab w:val="left" w:pos="1304" w:leader="none"/>
              </w:tabs>
              <w:spacing w:lineRule="auto" w:line="240" w:before="0" w:after="0"/>
              <w:ind w:right="176" w:hanging="0"/>
              <w:jc w:val="center"/>
              <w:rPr>
                <w:rFonts w:ascii="Arial" w:hAnsi="Arial" w:cs="Arial"/>
                <w:sz w:val="20"/>
                <w:szCs w:val="20"/>
              </w:rPr>
            </w:pPr>
            <w:r>
              <w:rPr>
                <w:rFonts w:cs="Arial" w:ascii="Arial" w:hAnsi="Arial"/>
                <w:sz w:val="20"/>
                <w:szCs w:val="20"/>
              </w:rPr>
              <w:t> </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55" w:hRule="atLeast"/>
          <w:cantSplit w:val="true"/>
        </w:trPr>
        <w:tc>
          <w:tcPr>
            <w:tcW w:w="1220" w:type="dxa"/>
            <w:vMerge w:val="restart"/>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Team Based capitation</w:t>
            </w:r>
          </w:p>
        </w:tc>
        <w:tc>
          <w:tcPr>
            <w:tcW w:w="218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xml:space="preserve">Rostered (%)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749"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1.8%</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81"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21.1%</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66"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77.1%</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323" w:type="dxa"/>
            <w:gridSpan w:val="2"/>
            <w:tcBorders/>
            <w:shd w:fill="FFFFFF" w:val="clear"/>
            <w:vAlign w:val="bottom"/>
          </w:tcPr>
          <w:p>
            <w:pPr>
              <w:pStyle w:val="Normal"/>
              <w:tabs>
                <w:tab w:val="left" w:pos="1055" w:leader="none"/>
                <w:tab w:val="left" w:pos="1163" w:leader="none"/>
                <w:tab w:val="left" w:pos="1304" w:leader="none"/>
              </w:tabs>
              <w:spacing w:lineRule="auto" w:line="240" w:before="0" w:after="0"/>
              <w:ind w:right="176" w:hanging="0"/>
              <w:jc w:val="right"/>
              <w:rPr>
                <w:rFonts w:ascii="Arial" w:hAnsi="Arial" w:cs="Arial"/>
                <w:sz w:val="20"/>
                <w:szCs w:val="20"/>
              </w:rPr>
            </w:pPr>
            <w:r>
              <w:rPr>
                <w:rFonts w:cs="Arial" w:ascii="Arial" w:hAnsi="Arial"/>
                <w:sz w:val="20"/>
                <w:szCs w:val="20"/>
              </w:rPr>
              <w:t>1,288,994</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345" w:hRule="atLeast"/>
          <w:cantSplit w:val="true"/>
        </w:trPr>
        <w:tc>
          <w:tcPr>
            <w:tcW w:w="1220" w:type="dxa"/>
            <w:vMerge w:val="continue"/>
            <w:tcBorders/>
            <w:shd w:fill="auto" w:val="clear"/>
            <w:vAlign w:val="center"/>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18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Total Practice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749"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1.9%</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81"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21.3%</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66"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76.8%</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323" w:type="dxa"/>
            <w:gridSpan w:val="2"/>
            <w:tcBorders/>
            <w:shd w:fill="FFFFFF" w:val="clear"/>
            <w:vAlign w:val="bottom"/>
          </w:tcPr>
          <w:p>
            <w:pPr>
              <w:pStyle w:val="Normal"/>
              <w:tabs>
                <w:tab w:val="left" w:pos="1055" w:leader="none"/>
                <w:tab w:val="left" w:pos="1163" w:leader="none"/>
                <w:tab w:val="left" w:pos="1304" w:leader="none"/>
              </w:tabs>
              <w:spacing w:lineRule="auto" w:line="240" w:before="0" w:after="0"/>
              <w:ind w:right="176" w:hanging="0"/>
              <w:jc w:val="right"/>
              <w:rPr>
                <w:rFonts w:ascii="Arial" w:hAnsi="Arial" w:cs="Arial"/>
                <w:sz w:val="20"/>
                <w:szCs w:val="20"/>
              </w:rPr>
            </w:pPr>
            <w:r>
              <w:rPr>
                <w:rFonts w:cs="Arial" w:ascii="Arial" w:hAnsi="Arial"/>
                <w:sz w:val="20"/>
                <w:szCs w:val="20"/>
              </w:rPr>
              <w:t>1,423,891</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70" w:hRule="atLeast"/>
          <w:cantSplit w:val="true"/>
        </w:trPr>
        <w:tc>
          <w:tcPr>
            <w:tcW w:w="1220" w:type="dxa"/>
            <w:vMerge w:val="continue"/>
            <w:tcBorders/>
            <w:shd w:fill="auto" w:val="clear"/>
            <w:vAlign w:val="center"/>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182" w:type="dxa"/>
            <w:tcBorders/>
            <w:shd w:fill="FFFFFF" w:val="clear"/>
            <w:vAlign w:val="center"/>
          </w:tcPr>
          <w:p>
            <w:pPr>
              <w:pStyle w:val="Normal"/>
              <w:spacing w:lineRule="auto" w:line="240" w:before="0" w:after="0"/>
              <w:rPr>
                <w:rFonts w:ascii="Arial" w:hAnsi="Arial" w:cs="Arial"/>
                <w:b/>
                <w:b/>
                <w:bCs/>
                <w:sz w:val="20"/>
                <w:szCs w:val="20"/>
              </w:rPr>
            </w:pPr>
            <w:r>
              <w:rPr>
                <w:rFonts w:cs="Arial" w:ascii="Arial" w:hAnsi="Arial"/>
                <w:b/>
                <w:bCs/>
                <w:sz w:val="20"/>
                <w:szCs w:val="20"/>
              </w:rPr>
              <w:t>Ratio</w:t>
            </w:r>
          </w:p>
        </w:tc>
        <w:tc>
          <w:tcPr>
            <w:tcW w:w="272" w:type="dxa"/>
            <w:tcBorders/>
            <w:shd w:fill="FFFFFF" w:val="clear"/>
            <w:vAlign w:val="center"/>
          </w:tcPr>
          <w:p>
            <w:pPr>
              <w:pStyle w:val="Normal"/>
              <w:spacing w:lineRule="auto" w:line="240" w:before="0" w:after="0"/>
              <w:rPr>
                <w:rFonts w:ascii="Arial" w:hAnsi="Arial" w:cs="Arial"/>
                <w:b/>
                <w:b/>
                <w:bCs/>
                <w:sz w:val="20"/>
                <w:szCs w:val="20"/>
              </w:rPr>
            </w:pPr>
            <w:r>
              <w:rPr>
                <w:rFonts w:cs="Arial" w:ascii="Arial" w:hAnsi="Arial"/>
                <w:b/>
                <w:bCs/>
                <w:sz w:val="20"/>
                <w:szCs w:val="20"/>
              </w:rPr>
              <w:t> </w:t>
            </w:r>
          </w:p>
        </w:tc>
        <w:tc>
          <w:tcPr>
            <w:tcW w:w="1749"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0.95</w:t>
            </w:r>
          </w:p>
        </w:tc>
        <w:tc>
          <w:tcPr>
            <w:tcW w:w="272"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1181"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0.99</w:t>
            </w:r>
          </w:p>
        </w:tc>
        <w:tc>
          <w:tcPr>
            <w:tcW w:w="272"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1166"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1.00</w:t>
            </w:r>
          </w:p>
        </w:tc>
        <w:tc>
          <w:tcPr>
            <w:tcW w:w="272" w:type="dxa"/>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1323" w:type="dxa"/>
            <w:gridSpan w:val="2"/>
            <w:tcBorders/>
            <w:shd w:fill="FFFFFF" w:val="clear"/>
            <w:vAlign w:val="center"/>
          </w:tcPr>
          <w:p>
            <w:pPr>
              <w:pStyle w:val="Normal"/>
              <w:tabs>
                <w:tab w:val="left" w:pos="1055" w:leader="none"/>
                <w:tab w:val="left" w:pos="1163" w:leader="none"/>
                <w:tab w:val="left" w:pos="1304" w:leader="none"/>
              </w:tabs>
              <w:spacing w:lineRule="auto" w:line="240" w:before="0" w:after="0"/>
              <w:ind w:right="176" w:hanging="0"/>
              <w:jc w:val="center"/>
              <w:rPr>
                <w:rFonts w:ascii="Arial" w:hAnsi="Arial" w:cs="Arial"/>
                <w:sz w:val="20"/>
                <w:szCs w:val="20"/>
              </w:rPr>
            </w:pPr>
            <w:r>
              <w:rPr>
                <w:rFonts w:cs="Arial" w:ascii="Arial" w:hAnsi="Arial"/>
                <w:sz w:val="20"/>
                <w:szCs w:val="20"/>
              </w:rPr>
              <w:t> </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55" w:hRule="atLeast"/>
          <w:cantSplit w:val="true"/>
        </w:trPr>
        <w:tc>
          <w:tcPr>
            <w:tcW w:w="1220" w:type="dxa"/>
            <w:vMerge w:val="restart"/>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Total</w:t>
            </w:r>
          </w:p>
        </w:tc>
        <w:tc>
          <w:tcPr>
            <w:tcW w:w="218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xml:space="preserve">Rostered (%)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749"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1.8%</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81"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25.5%</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66"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72.7%</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323" w:type="dxa"/>
            <w:gridSpan w:val="2"/>
            <w:tcBorders/>
            <w:shd w:fill="FFFFFF" w:val="clear"/>
            <w:vAlign w:val="bottom"/>
          </w:tcPr>
          <w:p>
            <w:pPr>
              <w:pStyle w:val="Normal"/>
              <w:tabs>
                <w:tab w:val="left" w:pos="1055" w:leader="none"/>
                <w:tab w:val="left" w:pos="1163" w:leader="none"/>
                <w:tab w:val="left" w:pos="1304" w:leader="none"/>
              </w:tabs>
              <w:spacing w:lineRule="auto" w:line="240" w:before="0" w:after="0"/>
              <w:ind w:right="176" w:hanging="0"/>
              <w:jc w:val="right"/>
              <w:rPr>
                <w:rFonts w:ascii="Arial" w:hAnsi="Arial" w:cs="Arial"/>
                <w:sz w:val="20"/>
                <w:szCs w:val="20"/>
              </w:rPr>
            </w:pPr>
            <w:r>
              <w:rPr>
                <w:rFonts w:cs="Arial" w:ascii="Arial" w:hAnsi="Arial"/>
                <w:sz w:val="20"/>
                <w:szCs w:val="20"/>
              </w:rPr>
              <w:t>6,259,718</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300" w:hRule="atLeast"/>
          <w:cantSplit w:val="true"/>
        </w:trPr>
        <w:tc>
          <w:tcPr>
            <w:tcW w:w="1220" w:type="dxa"/>
            <w:vMerge w:val="continue"/>
            <w:tcBorders/>
            <w:shd w:fill="auto" w:val="clear"/>
            <w:vAlign w:val="center"/>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18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Total Practice (%)</w:t>
            </w:r>
          </w:p>
        </w:tc>
        <w:tc>
          <w:tcPr>
            <w:tcW w:w="272" w:type="dxa"/>
            <w:tcBorders/>
            <w:shd w:fill="FFFFFF" w:val="clear"/>
            <w:vAlign w:val="center"/>
          </w:tcPr>
          <w:p>
            <w:pPr>
              <w:pStyle w:val="Normal"/>
              <w:spacing w:lineRule="auto" w:line="240" w:before="0" w:after="0"/>
              <w:rPr>
                <w:rFonts w:ascii="Arial" w:hAnsi="Arial" w:cs="Arial"/>
                <w:sz w:val="20"/>
                <w:szCs w:val="20"/>
              </w:rPr>
            </w:pPr>
            <w:r>
              <w:rPr>
                <w:rFonts w:cs="Arial" w:ascii="Arial" w:hAnsi="Arial"/>
                <w:sz w:val="20"/>
                <w:szCs w:val="20"/>
              </w:rPr>
              <w:t> </w:t>
            </w:r>
          </w:p>
        </w:tc>
        <w:tc>
          <w:tcPr>
            <w:tcW w:w="1749"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1.9%</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81"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25.0%</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166"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73.2%</w:t>
            </w:r>
          </w:p>
        </w:tc>
        <w:tc>
          <w:tcPr>
            <w:tcW w:w="272" w:type="dxa"/>
            <w:tcBorders/>
            <w:shd w:fill="FFFFFF"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 </w:t>
            </w:r>
          </w:p>
        </w:tc>
        <w:tc>
          <w:tcPr>
            <w:tcW w:w="1323" w:type="dxa"/>
            <w:gridSpan w:val="2"/>
            <w:tcBorders/>
            <w:shd w:fill="FFFFFF" w:val="clear"/>
            <w:vAlign w:val="bottom"/>
          </w:tcPr>
          <w:p>
            <w:pPr>
              <w:pStyle w:val="Normal"/>
              <w:tabs>
                <w:tab w:val="left" w:pos="1055" w:leader="none"/>
                <w:tab w:val="left" w:pos="1163" w:leader="none"/>
                <w:tab w:val="left" w:pos="1304" w:leader="none"/>
              </w:tabs>
              <w:spacing w:lineRule="auto" w:line="240" w:before="0" w:after="0"/>
              <w:ind w:right="176" w:hanging="0"/>
              <w:jc w:val="right"/>
              <w:rPr>
                <w:rFonts w:ascii="Arial" w:hAnsi="Arial" w:cs="Arial"/>
                <w:sz w:val="20"/>
                <w:szCs w:val="20"/>
              </w:rPr>
            </w:pPr>
            <w:r>
              <w:rPr>
                <w:rFonts w:cs="Arial" w:ascii="Arial" w:hAnsi="Arial"/>
                <w:sz w:val="20"/>
                <w:szCs w:val="20"/>
              </w:rPr>
              <w:t>7,334,408</w:t>
            </w:r>
          </w:p>
        </w:tc>
        <w:tc>
          <w:tcPr>
            <w:tcW w:w="78" w:type="dxa"/>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55" w:hRule="atLeast"/>
          <w:cantSplit w:val="true"/>
        </w:trPr>
        <w:tc>
          <w:tcPr>
            <w:tcW w:w="12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182" w:type="dxa"/>
            <w:tcBorders>
              <w:bottom w:val="single" w:sz="4" w:space="0" w:color="000000"/>
              <w:insideH w:val="single" w:sz="4" w:space="0" w:color="000000"/>
            </w:tcBorders>
            <w:shd w:fill="FFFFFF" w:val="clear"/>
            <w:vAlign w:val="center"/>
          </w:tcPr>
          <w:p>
            <w:pPr>
              <w:pStyle w:val="Normal"/>
              <w:spacing w:lineRule="auto" w:line="240" w:before="0" w:after="0"/>
              <w:rPr>
                <w:rFonts w:ascii="Arial" w:hAnsi="Arial" w:cs="Arial"/>
                <w:b/>
                <w:b/>
                <w:bCs/>
                <w:sz w:val="20"/>
                <w:szCs w:val="20"/>
              </w:rPr>
            </w:pPr>
            <w:r>
              <w:rPr>
                <w:rFonts w:cs="Arial" w:ascii="Arial" w:hAnsi="Arial"/>
                <w:b/>
                <w:bCs/>
                <w:sz w:val="20"/>
                <w:szCs w:val="20"/>
              </w:rPr>
              <w:t>Ratio</w:t>
            </w:r>
          </w:p>
        </w:tc>
        <w:tc>
          <w:tcPr>
            <w:tcW w:w="272" w:type="dxa"/>
            <w:tcBorders>
              <w:bottom w:val="single" w:sz="4" w:space="0" w:color="000000"/>
              <w:insideH w:val="single" w:sz="4" w:space="0" w:color="000000"/>
            </w:tcBorders>
            <w:shd w:fill="FFFFFF" w:val="clear"/>
            <w:vAlign w:val="center"/>
          </w:tcPr>
          <w:p>
            <w:pPr>
              <w:pStyle w:val="Normal"/>
              <w:spacing w:lineRule="auto" w:line="240" w:before="0" w:after="0"/>
              <w:rPr>
                <w:rFonts w:ascii="Arial" w:hAnsi="Arial" w:cs="Arial"/>
                <w:b/>
                <w:b/>
                <w:bCs/>
                <w:sz w:val="20"/>
                <w:szCs w:val="20"/>
              </w:rPr>
            </w:pPr>
            <w:r>
              <w:rPr>
                <w:rFonts w:cs="Arial" w:ascii="Arial" w:hAnsi="Arial"/>
                <w:b/>
                <w:bCs/>
                <w:sz w:val="20"/>
                <w:szCs w:val="20"/>
              </w:rPr>
              <w:t> </w:t>
            </w:r>
          </w:p>
        </w:tc>
        <w:tc>
          <w:tcPr>
            <w:tcW w:w="1749" w:type="dxa"/>
            <w:tcBorders>
              <w:bottom w:val="single" w:sz="4" w:space="0" w:color="000000"/>
              <w:insideH w:val="single" w:sz="4" w:space="0" w:color="000000"/>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0.99</w:t>
            </w:r>
          </w:p>
        </w:tc>
        <w:tc>
          <w:tcPr>
            <w:tcW w:w="272" w:type="dxa"/>
            <w:tcBorders>
              <w:bottom w:val="single" w:sz="4" w:space="0" w:color="000000"/>
              <w:insideH w:val="single" w:sz="4" w:space="0" w:color="000000"/>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1181" w:type="dxa"/>
            <w:tcBorders>
              <w:bottom w:val="single" w:sz="4" w:space="0" w:color="000000"/>
              <w:insideH w:val="single" w:sz="4" w:space="0" w:color="000000"/>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1.02</w:t>
            </w:r>
          </w:p>
        </w:tc>
        <w:tc>
          <w:tcPr>
            <w:tcW w:w="272" w:type="dxa"/>
            <w:tcBorders>
              <w:bottom w:val="single" w:sz="4" w:space="0" w:color="000000"/>
              <w:insideH w:val="single" w:sz="4" w:space="0" w:color="000000"/>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1166" w:type="dxa"/>
            <w:tcBorders>
              <w:bottom w:val="single" w:sz="4" w:space="0" w:color="000000"/>
              <w:insideH w:val="single" w:sz="4" w:space="0" w:color="000000"/>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0.99</w:t>
            </w:r>
          </w:p>
        </w:tc>
        <w:tc>
          <w:tcPr>
            <w:tcW w:w="272" w:type="dxa"/>
            <w:tcBorders>
              <w:bottom w:val="single" w:sz="4" w:space="0" w:color="000000"/>
              <w:insideH w:val="single" w:sz="4" w:space="0" w:color="000000"/>
            </w:tcBorders>
            <w:shd w:fill="FFFFFF" w:val="clear"/>
            <w:vAlign w:val="center"/>
          </w:tcPr>
          <w:p>
            <w:pPr>
              <w:pStyle w:val="Normal"/>
              <w:spacing w:lineRule="auto" w:line="240" w:before="0" w:after="0"/>
              <w:jc w:val="center"/>
              <w:rPr>
                <w:rFonts w:ascii="Arial" w:hAnsi="Arial" w:cs="Arial"/>
                <w:b/>
                <w:b/>
                <w:bCs/>
                <w:sz w:val="20"/>
                <w:szCs w:val="20"/>
              </w:rPr>
            </w:pPr>
            <w:r>
              <w:rPr>
                <w:rFonts w:cs="Arial" w:ascii="Arial" w:hAnsi="Arial"/>
                <w:b/>
                <w:bCs/>
                <w:sz w:val="20"/>
                <w:szCs w:val="20"/>
              </w:rPr>
              <w:t> </w:t>
            </w:r>
          </w:p>
        </w:tc>
        <w:tc>
          <w:tcPr>
            <w:tcW w:w="708" w:type="dxa"/>
            <w:tcBorders>
              <w:bottom w:val="single" w:sz="4" w:space="0" w:color="000000"/>
              <w:insideH w:val="single" w:sz="4" w:space="0" w:color="000000"/>
            </w:tcBorders>
            <w:shd w:fill="FFFFFF" w:val="clear"/>
            <w:vAlign w:val="center"/>
          </w:tcPr>
          <w:p>
            <w:pPr>
              <w:pStyle w:val="Normal"/>
              <w:spacing w:lineRule="auto" w:line="240" w:before="0" w:after="0"/>
              <w:rPr>
                <w:rFonts w:ascii="Times New Roman" w:hAnsi="Times New Roman" w:cs="Times New Roman"/>
                <w:sz w:val="24"/>
                <w:szCs w:val="24"/>
                <w:lang w:val="en-US" w:eastAsia="en-US"/>
              </w:rPr>
            </w:pPr>
            <w:r>
              <w:rPr>
                <w:rFonts w:cs="Times New Roman" w:ascii="Times New Roman" w:hAnsi="Times New Roman"/>
                <w:sz w:val="24"/>
                <w:szCs w:val="24"/>
                <w:lang w:val="en-US" w:eastAsia="en-US"/>
              </w:rPr>
              <w:t> </w:t>
            </w:r>
          </w:p>
        </w:tc>
        <w:tc>
          <w:tcPr>
            <w:tcW w:w="693" w:type="dxa"/>
            <w:gridSpan w:val="2"/>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255" w:hRule="atLeast"/>
        </w:trPr>
        <w:tc>
          <w:tcPr>
            <w:tcW w:w="9294" w:type="dxa"/>
            <w:gridSpan w:val="10"/>
            <w:tcBorders>
              <w:top w:val="single" w:sz="4" w:space="0" w:color="000000"/>
            </w:tcBorders>
            <w:shd w:fill="auto" w:val="clear"/>
            <w:vAlign w:val="center"/>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 xml:space="preserve">* The study population included Ontario residents with a valid Ontario Health Insurance Plan (OHIP) number who were 18 years or older as of August 31, 2008. </w:t>
            </w:r>
          </w:p>
        </w:tc>
        <w:tc>
          <w:tcPr>
            <w:tcW w:w="693" w:type="dxa"/>
            <w:gridSpan w:val="2"/>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r>
        <w:trPr>
          <w:trHeight w:val="1261" w:hRule="atLeast"/>
        </w:trPr>
        <w:tc>
          <w:tcPr>
            <w:tcW w:w="9294" w:type="dxa"/>
            <w:gridSpan w:val="10"/>
            <w:tcBorders/>
            <w:shd w:fill="auto" w:val="clear"/>
            <w:vAlign w:val="center"/>
          </w:tcPr>
          <w:p>
            <w:pPr>
              <w:pStyle w:val="Normal"/>
              <w:spacing w:lineRule="auto" w:line="240" w:before="0" w:after="0"/>
              <w:rPr>
                <w:rFonts w:ascii="Arial" w:hAnsi="Arial" w:cs="Arial"/>
                <w:sz w:val="20"/>
                <w:szCs w:val="20"/>
                <w:lang w:val="en-US" w:eastAsia="en-US"/>
              </w:rPr>
            </w:pPr>
            <w:r>
              <w:rPr>
                <w:rFonts w:eastAsia="Arial" w:cs="Arial" w:ascii="Arial" w:hAnsi="Arial"/>
                <w:sz w:val="20"/>
                <w:szCs w:val="20"/>
                <w:lang w:val="en-US" w:eastAsia="en-US"/>
              </w:rPr>
              <w:t xml:space="preserve">† </w:t>
            </w:r>
            <w:r>
              <w:rPr>
                <w:rFonts w:cs="Arial" w:ascii="Arial" w:hAnsi="Arial"/>
                <w:sz w:val="20"/>
                <w:szCs w:val="20"/>
                <w:lang w:val="en-US" w:eastAsia="en-US"/>
              </w:rPr>
              <w:t>The total practice included patients on physicians’ rosters and virtual roster. Virtual rosters included patients who were not rostered to a physician but were cared for by a physician in a patient enrollment model included in the study. To link patients to the caring physician we identified the physician who had billed the most claims over the two year study period from a basket of 18 fee schedule codes comprising primary care services. That patient was assigned to the physician’s “virtual roster” and included in the study as one of that physician’s “non-rostered” patients.</w:t>
            </w:r>
          </w:p>
        </w:tc>
        <w:tc>
          <w:tcPr>
            <w:tcW w:w="693" w:type="dxa"/>
            <w:gridSpan w:val="2"/>
            <w:tcBorders/>
            <w:shd w:fill="auto" w:val="clear"/>
            <w:tcMar>
              <w:left w:w="0" w:type="dxa"/>
              <w:right w:w="0" w:type="dxa"/>
            </w:tcMar>
          </w:tcPr>
          <w:p>
            <w:pPr>
              <w:pStyle w:val="Normal"/>
              <w:snapToGrid w:val="false"/>
              <w:spacing w:before="0" w:after="200"/>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tc>
      </w:tr>
    </w:tbl>
    <w:p>
      <w:pPr>
        <w:sectPr>
          <w:type w:val="nextPage"/>
          <w:pgSz w:orient="landscape" w:w="15840" w:h="12240"/>
          <w:pgMar w:left="1440" w:right="1440" w:header="0" w:top="1440" w:footer="0" w:bottom="1440" w:gutter="0"/>
          <w:pgNumType w:fmt="decimal"/>
          <w:formProt w:val="false"/>
          <w:textDirection w:val="lrTb"/>
          <w:docGrid w:type="default" w:linePitch="299" w:charSpace="0"/>
        </w:sectPr>
        <w:pStyle w:val="Normal"/>
        <w:tabs>
          <w:tab w:val="left" w:pos="9960" w:leader="none"/>
        </w:tabs>
        <w:rPr/>
      </w:pPr>
      <w:r>
        <w:rPr/>
      </w:r>
    </w:p>
    <w:p>
      <w:pPr>
        <w:pStyle w:val="Normal"/>
        <w:spacing w:before="0" w:after="0"/>
        <w:rPr>
          <w:vanish/>
        </w:rPr>
      </w:pPr>
      <w:r>
        <w:rPr>
          <w:vanish/>
        </w:rPr>
      </w:r>
      <w:r>
        <mc:AlternateContent>
          <mc:Choice Requires="wps">
            <w:drawing>
              <wp:anchor behindDoc="0" distT="0" distB="0" distL="114935" distR="114935" simplePos="0" locked="0" layoutInCell="1" allowOverlap="1" relativeHeight="2">
                <wp:simplePos x="0" y="0"/>
                <wp:positionH relativeFrom="margin">
                  <wp:align>center</wp:align>
                </wp:positionH>
                <wp:positionV relativeFrom="page">
                  <wp:posOffset>1080770</wp:posOffset>
                </wp:positionV>
                <wp:extent cx="7084695" cy="20955"/>
                <wp:effectExtent l="0" t="0" r="0" b="0"/>
                <wp:wrapSquare wrapText="bothSides"/>
                <wp:docPr id="1" name="Frame1"/>
                <a:graphic xmlns:a="http://schemas.openxmlformats.org/drawingml/2006/main">
                  <a:graphicData uri="http://schemas.microsoft.com/office/word/2010/wordprocessingShape">
                    <wps:wsp>
                      <wps:cNvSpPr txBox="1"/>
                      <wps:spPr>
                        <a:xfrm>
                          <a:off x="0" y="0"/>
                          <a:ext cx="7084695" cy="20955"/>
                        </a:xfrm>
                        <a:prstGeom prst="rect"/>
                        <a:solidFill>
                          <a:srgbClr val="FFFFFF">
                            <a:alpha val="0"/>
                          </a:srgbClr>
                        </a:solidFill>
                      </wps:spPr>
                      <wps:txbx>
                        <w:txbxContent>
                          <w:tbl>
                            <w:tblPr>
                              <w:tblW w:w="11157" w:type="dxa"/>
                              <w:jc w:val="left"/>
                              <w:tblInd w:w="108" w:type="dxa"/>
                              <w:tblBorders>
                                <w:top w:val="single" w:sz="8" w:space="0" w:color="000000"/>
                                <w:bottom w:val="single" w:sz="8" w:space="0" w:color="000000"/>
                                <w:insideH w:val="single" w:sz="8" w:space="0" w:color="000000"/>
                              </w:tblBorders>
                              <w:tblCellMar>
                                <w:top w:w="0" w:type="dxa"/>
                                <w:left w:w="108" w:type="dxa"/>
                                <w:bottom w:w="0" w:type="dxa"/>
                                <w:right w:w="108" w:type="dxa"/>
                              </w:tblCellMar>
                            </w:tblPr>
                            <w:tblGrid>
                              <w:gridCol w:w="2792"/>
                              <w:gridCol w:w="682"/>
                              <w:gridCol w:w="1144"/>
                              <w:gridCol w:w="789"/>
                              <w:gridCol w:w="1419"/>
                              <w:gridCol w:w="239"/>
                              <w:gridCol w:w="665"/>
                              <w:gridCol w:w="1266"/>
                              <w:gridCol w:w="789"/>
                              <w:gridCol w:w="1372"/>
                            </w:tblGrid>
                            <w:tr>
                              <w:trPr>
                                <w:trHeight w:val="551" w:hRule="atLeast"/>
                                <w:cantSplit w:val="true"/>
                              </w:trPr>
                              <w:tc>
                                <w:tcPr>
                                  <w:tcW w:w="11157" w:type="dxa"/>
                                  <w:gridSpan w:val="10"/>
                                  <w:tcBorders>
                                    <w:top w:val="single" w:sz="8" w:space="0" w:color="000000"/>
                                    <w:bottom w:val="single" w:sz="8" w:space="0" w:color="000000"/>
                                    <w:insideH w:val="single" w:sz="8" w:space="0" w:color="000000"/>
                                  </w:tcBorders>
                                  <w:shd w:fill="auto" w:val="clear"/>
                                  <w:vAlign w:val="bottom"/>
                                </w:tcPr>
                                <w:p>
                                  <w:pPr>
                                    <w:pStyle w:val="Normal"/>
                                    <w:spacing w:before="0" w:after="0"/>
                                    <w:rPr>
                                      <w:rFonts w:ascii="Arial" w:hAnsi="Arial" w:cs="Arial"/>
                                      <w:b/>
                                      <w:b/>
                                      <w:bCs/>
                                      <w:color w:val="000000"/>
                                      <w:sz w:val="18"/>
                                      <w:szCs w:val="18"/>
                                    </w:rPr>
                                  </w:pPr>
                                  <w:r>
                                    <w:rPr>
                                      <w:rFonts w:cs="Arial" w:ascii="Arial" w:hAnsi="Arial"/>
                                      <w:b/>
                                      <w:bCs/>
                                      <w:color w:val="000000"/>
                                      <w:sz w:val="18"/>
                                      <w:szCs w:val="18"/>
                                    </w:rPr>
                                    <w:t xml:space="preserve">Table 4. </w:t>
                                  </w:r>
                                  <w:r>
                                    <w:rPr>
                                      <w:rFonts w:cs="Arial" w:ascii="Arial" w:hAnsi="Arial"/>
                                      <w:color w:val="000000"/>
                                      <w:sz w:val="18"/>
                                      <w:szCs w:val="18"/>
                                    </w:rPr>
                                    <w:t>Poisson regression using general estimating equations to assess the association between medical home type and the proportion of patients*</w:t>
                                  </w:r>
                                  <w:r>
                                    <w:rPr>
                                      <w:rFonts w:cs="Arial" w:ascii="Arial" w:hAnsi="Arial"/>
                                      <w:color w:val="000000"/>
                                      <w:sz w:val="18"/>
                                      <w:szCs w:val="18"/>
                                      <w:vertAlign w:val="superscript"/>
                                    </w:rPr>
                                    <w:t xml:space="preserve"> </w:t>
                                  </w:r>
                                  <w:r>
                                    <w:rPr>
                                      <w:rFonts w:cs="Arial" w:ascii="Arial" w:hAnsi="Arial"/>
                                      <w:color w:val="000000"/>
                                      <w:sz w:val="18"/>
                                      <w:szCs w:val="18"/>
                                    </w:rPr>
                                    <w:t>with mental health diagnoses</w:t>
                                  </w:r>
                                  <w:r>
                                    <w:rPr>
                                      <w:rFonts w:cs="Arial" w:ascii="Arial" w:hAnsi="Arial"/>
                                      <w:color w:val="000000"/>
                                      <w:sz w:val="18"/>
                                      <w:szCs w:val="18"/>
                                      <w:vertAlign w:val="superscript"/>
                                    </w:rPr>
                                    <w:t xml:space="preserve">†  </w:t>
                                  </w:r>
                                  <w:r>
                                    <w:rPr>
                                      <w:rFonts w:cs="Arial" w:ascii="Arial" w:hAnsi="Arial"/>
                                      <w:color w:val="000000"/>
                                      <w:sz w:val="18"/>
                                      <w:szCs w:val="18"/>
                                    </w:rPr>
                                    <w:t>in physicians’ total practices</w:t>
                                  </w:r>
                                  <w:r>
                                    <w:rPr>
                                      <w:rFonts w:cs="Arial" w:ascii="Arial" w:hAnsi="Arial"/>
                                      <w:color w:val="000000"/>
                                      <w:sz w:val="18"/>
                                      <w:szCs w:val="18"/>
                                      <w:vertAlign w:val="superscript"/>
                                    </w:rPr>
                                    <w:t>†</w:t>
                                  </w:r>
                                  <w:r>
                                    <w:rPr>
                                      <w:rFonts w:cs="Arial" w:ascii="Arial" w:hAnsi="Arial"/>
                                      <w:color w:val="000000"/>
                                      <w:sz w:val="18"/>
                                      <w:szCs w:val="18"/>
                                    </w:rPr>
                                    <w:t xml:space="preserve">, </w:t>
                                  </w:r>
                                  <w:r>
                                    <w:rPr>
                                      <w:rFonts w:cs="Arial" w:ascii="Arial" w:hAnsi="Arial"/>
                                      <w:color w:val="000000"/>
                                      <w:sz w:val="18"/>
                                      <w:szCs w:val="18"/>
                                      <w:vertAlign w:val="superscript"/>
                                    </w:rPr>
                                    <w:t xml:space="preserve"> </w:t>
                                  </w:r>
                                  <w:r>
                                    <w:rPr>
                                      <w:rFonts w:cs="Arial" w:ascii="Arial" w:hAnsi="Arial"/>
                                      <w:color w:val="000000"/>
                                      <w:sz w:val="18"/>
                                      <w:szCs w:val="18"/>
                                    </w:rPr>
                                    <w:t xml:space="preserve">August 2008. </w:t>
                                  </w:r>
                                </w:p>
                              </w:tc>
                            </w:tr>
                            <w:tr>
                              <w:trPr>
                                <w:trHeight w:val="292" w:hRule="atLeast"/>
                                <w:cantSplit w:val="true"/>
                              </w:trPr>
                              <w:tc>
                                <w:tcPr>
                                  <w:tcW w:w="2792" w:type="dxa"/>
                                  <w:tcBorders/>
                                  <w:shd w:fill="auto" w:val="clear"/>
                                  <w:vAlign w:val="bottom"/>
                                </w:tcPr>
                                <w:p>
                                  <w:pPr>
                                    <w:pStyle w:val="Normal"/>
                                    <w:spacing w:before="0" w:after="0"/>
                                    <w:rPr>
                                      <w:rFonts w:ascii="Arial" w:hAnsi="Arial" w:cs="Arial"/>
                                      <w:color w:val="000000"/>
                                      <w:sz w:val="18"/>
                                      <w:szCs w:val="18"/>
                                    </w:rPr>
                                  </w:pPr>
                                  <w:r>
                                    <w:rPr>
                                      <w:rFonts w:cs="Arial" w:ascii="Arial" w:hAnsi="Arial"/>
                                      <w:color w:val="000000"/>
                                      <w:sz w:val="18"/>
                                      <w:szCs w:val="18"/>
                                    </w:rPr>
                                    <w:t> </w:t>
                                  </w:r>
                                </w:p>
                              </w:tc>
                              <w:tc>
                                <w:tcPr>
                                  <w:tcW w:w="4034" w:type="dxa"/>
                                  <w:gridSpan w:val="4"/>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Psychosis-- Bipolar diagnoses</w:t>
                                  </w:r>
                                </w:p>
                              </w:tc>
                              <w:tc>
                                <w:tcPr>
                                  <w:tcW w:w="239" w:type="dxa"/>
                                  <w:tcBorders/>
                                  <w:shd w:fill="auto" w:val="clear"/>
                                  <w:vAlign w:val="bottom"/>
                                </w:tcPr>
                                <w:p>
                                  <w:pPr>
                                    <w:pStyle w:val="Normal"/>
                                    <w:snapToGrid w:val="false"/>
                                    <w:spacing w:before="0" w:after="0"/>
                                    <w:rPr>
                                      <w:rFonts w:ascii="Arial" w:hAnsi="Arial" w:cs="Arial"/>
                                      <w:b/>
                                      <w:b/>
                                      <w:bCs/>
                                      <w:color w:val="000000"/>
                                      <w:sz w:val="18"/>
                                      <w:szCs w:val="18"/>
                                    </w:rPr>
                                  </w:pPr>
                                  <w:r>
                                    <w:rPr>
                                      <w:rFonts w:cs="Arial" w:ascii="Arial" w:hAnsi="Arial"/>
                                      <w:b/>
                                      <w:bCs/>
                                      <w:color w:val="000000"/>
                                      <w:sz w:val="18"/>
                                      <w:szCs w:val="18"/>
                                    </w:rPr>
                                  </w:r>
                                </w:p>
                              </w:tc>
                              <w:tc>
                                <w:tcPr>
                                  <w:tcW w:w="4092" w:type="dxa"/>
                                  <w:gridSpan w:val="4"/>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Other mental diagnoses</w:t>
                                  </w:r>
                                </w:p>
                              </w:tc>
                            </w:tr>
                            <w:tr>
                              <w:trPr>
                                <w:trHeight w:val="275" w:hRule="atLeast"/>
                                <w:cantSplit w:val="true"/>
                              </w:trPr>
                              <w:tc>
                                <w:tcPr>
                                  <w:tcW w:w="2792" w:type="dxa"/>
                                  <w:tcBorders/>
                                  <w:shd w:fill="auto" w:val="clear"/>
                                  <w:vAlign w:val="bottom"/>
                                </w:tcPr>
                                <w:p>
                                  <w:pPr>
                                    <w:pStyle w:val="Normal"/>
                                    <w:spacing w:before="0" w:after="0"/>
                                    <w:rPr>
                                      <w:rFonts w:ascii="Arial" w:hAnsi="Arial" w:cs="Arial"/>
                                      <w:color w:val="000000"/>
                                      <w:sz w:val="18"/>
                                      <w:szCs w:val="18"/>
                                    </w:rPr>
                                  </w:pPr>
                                  <w:r>
                                    <w:rPr>
                                      <w:rFonts w:cs="Arial" w:ascii="Arial" w:hAnsi="Arial"/>
                                      <w:color w:val="000000"/>
                                      <w:sz w:val="18"/>
                                      <w:szCs w:val="18"/>
                                    </w:rPr>
                                    <w:t> </w:t>
                                  </w:r>
                                </w:p>
                              </w:tc>
                              <w:tc>
                                <w:tcPr>
                                  <w:tcW w:w="1826" w:type="dxa"/>
                                  <w:gridSpan w:val="2"/>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color w:val="000000"/>
                                      <w:sz w:val="18"/>
                                      <w:szCs w:val="18"/>
                                    </w:rPr>
                                  </w:pPr>
                                  <w:r>
                                    <w:rPr>
                                      <w:rFonts w:cs="Arial" w:ascii="Arial" w:hAnsi="Arial"/>
                                      <w:color w:val="000000"/>
                                      <w:sz w:val="18"/>
                                      <w:szCs w:val="18"/>
                                    </w:rPr>
                                    <w:t>Unadjusted</w:t>
                                  </w:r>
                                </w:p>
                              </w:tc>
                              <w:tc>
                                <w:tcPr>
                                  <w:tcW w:w="2208" w:type="dxa"/>
                                  <w:gridSpan w:val="2"/>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sz w:val="18"/>
                                      <w:szCs w:val="18"/>
                                    </w:rPr>
                                  </w:pPr>
                                  <w:r>
                                    <w:rPr>
                                      <w:rFonts w:cs="Arial" w:ascii="Arial" w:hAnsi="Arial"/>
                                      <w:sz w:val="18"/>
                                      <w:szCs w:val="18"/>
                                    </w:rPr>
                                    <w:t xml:space="preserve">Adjusted </w:t>
                                  </w:r>
                                </w:p>
                              </w:tc>
                              <w:tc>
                                <w:tcPr>
                                  <w:tcW w:w="239" w:type="dxa"/>
                                  <w:tcBorders/>
                                  <w:shd w:fill="auto" w:val="clear"/>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1931" w:type="dxa"/>
                                  <w:gridSpan w:val="2"/>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color w:val="000000"/>
                                      <w:sz w:val="18"/>
                                      <w:szCs w:val="18"/>
                                    </w:rPr>
                                  </w:pPr>
                                  <w:r>
                                    <w:rPr>
                                      <w:rFonts w:cs="Arial" w:ascii="Arial" w:hAnsi="Arial"/>
                                      <w:color w:val="000000"/>
                                      <w:sz w:val="18"/>
                                      <w:szCs w:val="18"/>
                                    </w:rPr>
                                    <w:t>Unadjusted</w:t>
                                  </w:r>
                                </w:p>
                              </w:tc>
                              <w:tc>
                                <w:tcPr>
                                  <w:tcW w:w="2161" w:type="dxa"/>
                                  <w:gridSpan w:val="2"/>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sz w:val="18"/>
                                      <w:szCs w:val="18"/>
                                    </w:rPr>
                                  </w:pPr>
                                  <w:r>
                                    <w:rPr>
                                      <w:rFonts w:cs="Arial" w:ascii="Arial" w:hAnsi="Arial"/>
                                      <w:sz w:val="18"/>
                                      <w:szCs w:val="18"/>
                                    </w:rPr>
                                    <w:t xml:space="preserve">Adjusted </w:t>
                                  </w:r>
                                </w:p>
                              </w:tc>
                            </w:tr>
                            <w:tr>
                              <w:trPr>
                                <w:trHeight w:val="551" w:hRule="atLeast"/>
                                <w:cantSplit w:val="true"/>
                              </w:trPr>
                              <w:tc>
                                <w:tcPr>
                                  <w:tcW w:w="2792" w:type="dxa"/>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 </w:t>
                                  </w:r>
                                </w:p>
                              </w:tc>
                              <w:tc>
                                <w:tcPr>
                                  <w:tcW w:w="682" w:type="dxa"/>
                                  <w:tcBorders>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Rate Ratio</w:t>
                                  </w:r>
                                </w:p>
                              </w:tc>
                              <w:tc>
                                <w:tcPr>
                                  <w:tcW w:w="1144" w:type="dxa"/>
                                  <w:tcBorders>
                                    <w:bottom w:val="single" w:sz="8" w:space="0" w:color="000000"/>
                                    <w:insideH w:val="single" w:sz="8" w:space="0" w:color="000000"/>
                                  </w:tcBorders>
                                  <w:shd w:fill="auto" w:val="clear"/>
                                  <w:vAlign w:val="bottom"/>
                                </w:tcPr>
                                <w:p>
                                  <w:pPr>
                                    <w:pStyle w:val="Normal"/>
                                    <w:spacing w:before="0" w:after="0"/>
                                    <w:jc w:val="center"/>
                                    <w:rPr/>
                                  </w:pPr>
                                  <w:r>
                                    <w:rPr>
                                      <w:rFonts w:cs="Arial" w:ascii="Arial" w:hAnsi="Arial"/>
                                      <w:b/>
                                      <w:bCs/>
                                      <w:color w:val="000000"/>
                                      <w:sz w:val="18"/>
                                      <w:szCs w:val="18"/>
                                    </w:rPr>
                                    <w:t>(95% CI</w:t>
                                  </w:r>
                                  <w:r>
                                    <w:rPr>
                                      <w:rFonts w:cs="Arial" w:ascii="Arial" w:hAnsi="Arial"/>
                                      <w:color w:val="000000"/>
                                      <w:sz w:val="18"/>
                                      <w:szCs w:val="18"/>
                                      <w:vertAlign w:val="superscript"/>
                                    </w:rPr>
                                    <w:t>§</w:t>
                                  </w:r>
                                  <w:r>
                                    <w:rPr>
                                      <w:rFonts w:cs="Arial" w:ascii="Arial" w:hAnsi="Arial"/>
                                      <w:b/>
                                      <w:bCs/>
                                      <w:color w:val="000000"/>
                                      <w:sz w:val="18"/>
                                      <w:szCs w:val="18"/>
                                    </w:rPr>
                                    <w:t>)</w:t>
                                  </w:r>
                                </w:p>
                              </w:tc>
                              <w:tc>
                                <w:tcPr>
                                  <w:tcW w:w="789" w:type="dxa"/>
                                  <w:tcBorders>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Rate Ratio</w:t>
                                  </w:r>
                                </w:p>
                              </w:tc>
                              <w:tc>
                                <w:tcPr>
                                  <w:tcW w:w="1419" w:type="dxa"/>
                                  <w:tcBorders>
                                    <w:bottom w:val="single" w:sz="8" w:space="0" w:color="000000"/>
                                    <w:insideH w:val="single" w:sz="8" w:space="0" w:color="000000"/>
                                  </w:tcBorders>
                                  <w:shd w:fill="auto" w:val="clear"/>
                                  <w:vAlign w:val="bottom"/>
                                </w:tcPr>
                                <w:p>
                                  <w:pPr>
                                    <w:pStyle w:val="Normal"/>
                                    <w:spacing w:before="0" w:after="0"/>
                                    <w:jc w:val="center"/>
                                    <w:rPr/>
                                  </w:pPr>
                                  <w:r>
                                    <w:rPr>
                                      <w:rFonts w:cs="Arial" w:ascii="Arial" w:hAnsi="Arial"/>
                                      <w:b/>
                                      <w:bCs/>
                                      <w:color w:val="000000"/>
                                      <w:sz w:val="18"/>
                                      <w:szCs w:val="18"/>
                                    </w:rPr>
                                    <w:t>(95% CI</w:t>
                                  </w:r>
                                  <w:r>
                                    <w:rPr>
                                      <w:rFonts w:cs="Arial" w:ascii="Arial" w:hAnsi="Arial"/>
                                      <w:color w:val="000000"/>
                                      <w:sz w:val="18"/>
                                      <w:szCs w:val="18"/>
                                      <w:vertAlign w:val="superscript"/>
                                    </w:rPr>
                                    <w:t>§</w:t>
                                  </w:r>
                                  <w:r>
                                    <w:rPr>
                                      <w:rFonts w:cs="Arial" w:ascii="Arial" w:hAnsi="Arial"/>
                                      <w:b/>
                                      <w:bCs/>
                                      <w:color w:val="000000"/>
                                      <w:sz w:val="18"/>
                                      <w:szCs w:val="18"/>
                                    </w:rPr>
                                    <w:t>)</w:t>
                                  </w:r>
                                </w:p>
                              </w:tc>
                              <w:tc>
                                <w:tcPr>
                                  <w:tcW w:w="239" w:type="dxa"/>
                                  <w:tcBorders/>
                                  <w:shd w:fill="auto" w:val="clear"/>
                                  <w:vAlign w:val="bottom"/>
                                </w:tcPr>
                                <w:p>
                                  <w:pPr>
                                    <w:pStyle w:val="Normal"/>
                                    <w:snapToGrid w:val="false"/>
                                    <w:spacing w:before="0" w:after="0"/>
                                    <w:jc w:val="center"/>
                                    <w:rPr>
                                      <w:rFonts w:ascii="Arial" w:hAnsi="Arial" w:cs="Arial"/>
                                      <w:b/>
                                      <w:b/>
                                      <w:bCs/>
                                      <w:color w:val="000000"/>
                                      <w:sz w:val="18"/>
                                      <w:szCs w:val="18"/>
                                    </w:rPr>
                                  </w:pPr>
                                  <w:r>
                                    <w:rPr>
                                      <w:rFonts w:cs="Arial" w:ascii="Arial" w:hAnsi="Arial"/>
                                      <w:b/>
                                      <w:bCs/>
                                      <w:color w:val="000000"/>
                                      <w:sz w:val="18"/>
                                      <w:szCs w:val="18"/>
                                    </w:rPr>
                                  </w:r>
                                </w:p>
                              </w:tc>
                              <w:tc>
                                <w:tcPr>
                                  <w:tcW w:w="665" w:type="dxa"/>
                                  <w:tcBorders>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Rate Ratio</w:t>
                                  </w:r>
                                </w:p>
                              </w:tc>
                              <w:tc>
                                <w:tcPr>
                                  <w:tcW w:w="1266" w:type="dxa"/>
                                  <w:tcBorders>
                                    <w:bottom w:val="single" w:sz="8" w:space="0" w:color="000000"/>
                                    <w:insideH w:val="single" w:sz="8" w:space="0" w:color="000000"/>
                                  </w:tcBorders>
                                  <w:shd w:fill="auto" w:val="clear"/>
                                  <w:vAlign w:val="bottom"/>
                                </w:tcPr>
                                <w:p>
                                  <w:pPr>
                                    <w:pStyle w:val="Normal"/>
                                    <w:spacing w:before="0" w:after="0"/>
                                    <w:jc w:val="center"/>
                                    <w:rPr/>
                                  </w:pPr>
                                  <w:r>
                                    <w:rPr>
                                      <w:rFonts w:cs="Arial" w:ascii="Arial" w:hAnsi="Arial"/>
                                      <w:b/>
                                      <w:bCs/>
                                      <w:color w:val="000000"/>
                                      <w:sz w:val="18"/>
                                      <w:szCs w:val="18"/>
                                    </w:rPr>
                                    <w:t>(95% CI</w:t>
                                  </w:r>
                                  <w:r>
                                    <w:rPr>
                                      <w:rFonts w:cs="Arial" w:ascii="Arial" w:hAnsi="Arial"/>
                                      <w:color w:val="000000"/>
                                      <w:sz w:val="18"/>
                                      <w:szCs w:val="18"/>
                                      <w:vertAlign w:val="superscript"/>
                                    </w:rPr>
                                    <w:t>§</w:t>
                                  </w:r>
                                  <w:r>
                                    <w:rPr>
                                      <w:rFonts w:cs="Arial" w:ascii="Arial" w:hAnsi="Arial"/>
                                      <w:b/>
                                      <w:bCs/>
                                      <w:color w:val="000000"/>
                                      <w:sz w:val="18"/>
                                      <w:szCs w:val="18"/>
                                    </w:rPr>
                                    <w:t>)</w:t>
                                  </w:r>
                                </w:p>
                              </w:tc>
                              <w:tc>
                                <w:tcPr>
                                  <w:tcW w:w="789" w:type="dxa"/>
                                  <w:tcBorders>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Rate Ratio</w:t>
                                  </w:r>
                                </w:p>
                              </w:tc>
                              <w:tc>
                                <w:tcPr>
                                  <w:tcW w:w="1372" w:type="dxa"/>
                                  <w:tcBorders>
                                    <w:bottom w:val="single" w:sz="8" w:space="0" w:color="000000"/>
                                    <w:insideH w:val="single" w:sz="8" w:space="0" w:color="000000"/>
                                  </w:tcBorders>
                                  <w:shd w:fill="auto" w:val="clear"/>
                                  <w:vAlign w:val="bottom"/>
                                </w:tcPr>
                                <w:p>
                                  <w:pPr>
                                    <w:pStyle w:val="Normal"/>
                                    <w:spacing w:before="0" w:after="0"/>
                                    <w:jc w:val="center"/>
                                    <w:rPr/>
                                  </w:pPr>
                                  <w:r>
                                    <w:rPr>
                                      <w:rFonts w:cs="Arial" w:ascii="Arial" w:hAnsi="Arial"/>
                                      <w:b/>
                                      <w:bCs/>
                                      <w:color w:val="000000"/>
                                      <w:sz w:val="18"/>
                                      <w:szCs w:val="18"/>
                                    </w:rPr>
                                    <w:t>(95% CI</w:t>
                                  </w:r>
                                  <w:r>
                                    <w:rPr>
                                      <w:rFonts w:cs="Arial" w:ascii="Arial" w:hAnsi="Arial"/>
                                      <w:color w:val="000000"/>
                                      <w:sz w:val="18"/>
                                      <w:szCs w:val="18"/>
                                      <w:vertAlign w:val="superscript"/>
                                    </w:rPr>
                                    <w:t>§</w:t>
                                  </w:r>
                                  <w:r>
                                    <w:rPr>
                                      <w:rFonts w:cs="Arial" w:ascii="Arial" w:hAnsi="Arial"/>
                                      <w:b/>
                                      <w:bCs/>
                                      <w:color w:val="000000"/>
                                      <w:sz w:val="18"/>
                                      <w:szCs w:val="18"/>
                                    </w:rPr>
                                    <w:t>)</w:t>
                                  </w:r>
                                </w:p>
                              </w:tc>
                            </w:tr>
                            <w:tr>
                              <w:trPr>
                                <w:trHeight w:val="275" w:hRule="atLeast"/>
                                <w:cantSplit w:val="true"/>
                              </w:trPr>
                              <w:tc>
                                <w:tcPr>
                                  <w:tcW w:w="3474" w:type="dxa"/>
                                  <w:gridSpan w:val="2"/>
                                  <w:tcBorders/>
                                  <w:shd w:fill="auto" w:val="clear"/>
                                  <w:vAlign w:val="bottom"/>
                                </w:tcPr>
                                <w:p>
                                  <w:pPr>
                                    <w:pStyle w:val="Normal"/>
                                    <w:spacing w:before="0" w:after="0"/>
                                    <w:rPr>
                                      <w:rFonts w:ascii="Arial" w:hAnsi="Arial" w:cs="Arial"/>
                                      <w:color w:val="000000"/>
                                      <w:sz w:val="18"/>
                                      <w:szCs w:val="18"/>
                                    </w:rPr>
                                  </w:pPr>
                                  <w:r>
                                    <w:rPr>
                                      <w:rFonts w:cs="Arial" w:ascii="Arial" w:hAnsi="Arial"/>
                                      <w:color w:val="000000"/>
                                      <w:sz w:val="18"/>
                                      <w:szCs w:val="18"/>
                                    </w:rPr>
                                    <w:t xml:space="preserve">Group type </w:t>
                                  </w:r>
                                </w:p>
                              </w:tc>
                              <w:tc>
                                <w:tcPr>
                                  <w:tcW w:w="1144"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789" w:type="dxa"/>
                                  <w:tcBorders/>
                                  <w:shd w:fill="auto" w:val="clear"/>
                                  <w:vAlign w:val="bottom"/>
                                </w:tcPr>
                                <w:p>
                                  <w:pPr>
                                    <w:pStyle w:val="Normal"/>
                                    <w:snapToGrid w:val="false"/>
                                    <w:spacing w:before="0" w:after="0"/>
                                    <w:jc w:val="right"/>
                                    <w:rPr>
                                      <w:rFonts w:ascii="Arial" w:hAnsi="Arial" w:cs="Arial"/>
                                      <w:color w:val="000000"/>
                                      <w:sz w:val="18"/>
                                      <w:szCs w:val="18"/>
                                    </w:rPr>
                                  </w:pPr>
                                  <w:r>
                                    <w:rPr>
                                      <w:rFonts w:cs="Arial" w:ascii="Arial" w:hAnsi="Arial"/>
                                      <w:color w:val="000000"/>
                                      <w:sz w:val="18"/>
                                      <w:szCs w:val="18"/>
                                    </w:rPr>
                                  </w:r>
                                </w:p>
                              </w:tc>
                              <w:tc>
                                <w:tcPr>
                                  <w:tcW w:w="1419"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239"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665" w:type="dxa"/>
                                  <w:tcBorders/>
                                  <w:shd w:fill="auto" w:val="clear"/>
                                  <w:vAlign w:val="bottom"/>
                                </w:tcPr>
                                <w:p>
                                  <w:pPr>
                                    <w:pStyle w:val="Normal"/>
                                    <w:snapToGrid w:val="false"/>
                                    <w:spacing w:before="0" w:after="0"/>
                                    <w:rPr>
                                      <w:rFonts w:ascii="Arial" w:hAnsi="Arial" w:cs="Arial"/>
                                      <w:color w:val="7030A0"/>
                                      <w:sz w:val="18"/>
                                      <w:szCs w:val="18"/>
                                    </w:rPr>
                                  </w:pPr>
                                  <w:r>
                                    <w:rPr>
                                      <w:rFonts w:cs="Arial" w:ascii="Arial" w:hAnsi="Arial"/>
                                      <w:color w:val="7030A0"/>
                                      <w:sz w:val="18"/>
                                      <w:szCs w:val="18"/>
                                    </w:rPr>
                                  </w:r>
                                </w:p>
                              </w:tc>
                              <w:tc>
                                <w:tcPr>
                                  <w:tcW w:w="1266" w:type="dxa"/>
                                  <w:tcBorders/>
                                  <w:shd w:fill="auto" w:val="clear"/>
                                  <w:vAlign w:val="bottom"/>
                                </w:tcPr>
                                <w:p>
                                  <w:pPr>
                                    <w:pStyle w:val="Normal"/>
                                    <w:snapToGrid w:val="false"/>
                                    <w:spacing w:before="0" w:after="0"/>
                                    <w:rPr>
                                      <w:rFonts w:ascii="Arial" w:hAnsi="Arial" w:cs="Arial"/>
                                      <w:color w:val="7030A0"/>
                                      <w:sz w:val="18"/>
                                      <w:szCs w:val="18"/>
                                    </w:rPr>
                                  </w:pPr>
                                  <w:r>
                                    <w:rPr>
                                      <w:rFonts w:cs="Arial" w:ascii="Arial" w:hAnsi="Arial"/>
                                      <w:color w:val="7030A0"/>
                                      <w:sz w:val="18"/>
                                      <w:szCs w:val="18"/>
                                    </w:rPr>
                                  </w:r>
                                </w:p>
                              </w:tc>
                              <w:tc>
                                <w:tcPr>
                                  <w:tcW w:w="789" w:type="dxa"/>
                                  <w:tcBorders/>
                                  <w:shd w:fill="FFFFFF" w:val="clear"/>
                                  <w:vAlign w:val="bottom"/>
                                </w:tcPr>
                                <w:p>
                                  <w:pPr>
                                    <w:pStyle w:val="Normal"/>
                                    <w:spacing w:before="0" w:after="0"/>
                                    <w:jc w:val="right"/>
                                    <w:rPr>
                                      <w:rFonts w:ascii="Arial" w:hAnsi="Arial" w:cs="Arial"/>
                                      <w:color w:val="7030A0"/>
                                      <w:sz w:val="18"/>
                                      <w:szCs w:val="18"/>
                                    </w:rPr>
                                  </w:pPr>
                                  <w:r>
                                    <w:rPr>
                                      <w:rFonts w:cs="Arial" w:ascii="Arial" w:hAnsi="Arial"/>
                                      <w:color w:val="7030A0"/>
                                      <w:sz w:val="18"/>
                                      <w:szCs w:val="18"/>
                                    </w:rPr>
                                    <w:t> </w:t>
                                  </w:r>
                                </w:p>
                              </w:tc>
                              <w:tc>
                                <w:tcPr>
                                  <w:tcW w:w="1372" w:type="dxa"/>
                                  <w:tcBorders/>
                                  <w:shd w:fill="FFFFFF" w:val="clear"/>
                                  <w:vAlign w:val="bottom"/>
                                </w:tcPr>
                                <w:p>
                                  <w:pPr>
                                    <w:pStyle w:val="Normal"/>
                                    <w:spacing w:before="0" w:after="0"/>
                                    <w:rPr>
                                      <w:rFonts w:ascii="Arial" w:hAnsi="Arial" w:cs="Arial"/>
                                      <w:color w:val="7030A0"/>
                                      <w:sz w:val="18"/>
                                      <w:szCs w:val="18"/>
                                    </w:rPr>
                                  </w:pPr>
                                  <w:r>
                                    <w:rPr>
                                      <w:rFonts w:cs="Arial" w:ascii="Arial" w:hAnsi="Arial"/>
                                      <w:color w:val="7030A0"/>
                                      <w:sz w:val="18"/>
                                      <w:szCs w:val="18"/>
                                    </w:rPr>
                                    <w:t> </w:t>
                                  </w:r>
                                </w:p>
                              </w:tc>
                            </w:tr>
                            <w:tr>
                              <w:trPr>
                                <w:trHeight w:val="275" w:hRule="atLeast"/>
                                <w:cantSplit w:val="true"/>
                              </w:trPr>
                              <w:tc>
                                <w:tcPr>
                                  <w:tcW w:w="2792" w:type="dxa"/>
                                  <w:tcBorders/>
                                  <w:shd w:fill="auto" w:val="clear"/>
                                  <w:vAlign w:val="bottom"/>
                                </w:tcPr>
                                <w:p>
                                  <w:pPr>
                                    <w:pStyle w:val="Normal"/>
                                    <w:spacing w:before="0" w:after="0"/>
                                    <w:ind w:left="480" w:hanging="0"/>
                                    <w:rPr>
                                      <w:rFonts w:ascii="Arial" w:hAnsi="Arial" w:cs="Arial"/>
                                      <w:color w:val="000000"/>
                                      <w:sz w:val="18"/>
                                      <w:szCs w:val="18"/>
                                    </w:rPr>
                                  </w:pPr>
                                  <w:r>
                                    <w:rPr>
                                      <w:rFonts w:cs="Arial" w:ascii="Arial" w:hAnsi="Arial"/>
                                      <w:color w:val="000000"/>
                                      <w:sz w:val="18"/>
                                      <w:szCs w:val="18"/>
                                    </w:rPr>
                                    <w:t xml:space="preserve">Blended capitation </w:t>
                                  </w:r>
                                </w:p>
                              </w:tc>
                              <w:tc>
                                <w:tcPr>
                                  <w:tcW w:w="682"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0.88</w:t>
                                  </w:r>
                                </w:p>
                              </w:tc>
                              <w:tc>
                                <w:tcPr>
                                  <w:tcW w:w="1144"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(0.80-0.97)</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0.91</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(0.82-1.01)</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0.87</w:t>
                                  </w:r>
                                </w:p>
                              </w:tc>
                              <w:tc>
                                <w:tcPr>
                                  <w:tcW w:w="1266"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(0.83-0.91)</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0.94</w:t>
                                  </w:r>
                                </w:p>
                              </w:tc>
                              <w:tc>
                                <w:tcPr>
                                  <w:tcW w:w="1372"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(0.90-0.99)</w:t>
                                  </w:r>
                                </w:p>
                              </w:tc>
                            </w:tr>
                            <w:tr>
                              <w:trPr>
                                <w:trHeight w:val="275" w:hRule="atLeast"/>
                                <w:cantSplit w:val="true"/>
                              </w:trPr>
                              <w:tc>
                                <w:tcPr>
                                  <w:tcW w:w="2792" w:type="dxa"/>
                                  <w:tcBorders/>
                                  <w:shd w:fill="auto" w:val="clear"/>
                                  <w:vAlign w:val="bottom"/>
                                </w:tcPr>
                                <w:p>
                                  <w:pPr>
                                    <w:pStyle w:val="Normal"/>
                                    <w:spacing w:before="0" w:after="0"/>
                                    <w:ind w:left="480" w:hanging="0"/>
                                    <w:rPr>
                                      <w:rFonts w:ascii="Arial" w:hAnsi="Arial" w:cs="Arial"/>
                                      <w:color w:val="000000"/>
                                      <w:sz w:val="18"/>
                                      <w:szCs w:val="18"/>
                                    </w:rPr>
                                  </w:pPr>
                                  <w:r>
                                    <w:rPr>
                                      <w:rFonts w:cs="Arial" w:ascii="Arial" w:hAnsi="Arial"/>
                                      <w:color w:val="000000"/>
                                      <w:sz w:val="18"/>
                                      <w:szCs w:val="18"/>
                                    </w:rPr>
                                    <w:t xml:space="preserve">Team based capitation </w:t>
                                  </w:r>
                                </w:p>
                              </w:tc>
                              <w:tc>
                                <w:tcPr>
                                  <w:tcW w:w="682"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1.04</w:t>
                                  </w:r>
                                </w:p>
                              </w:tc>
                              <w:tc>
                                <w:tcPr>
                                  <w:tcW w:w="1144"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(0.94-1.15)</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1.06</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(0.96-1.17)</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0.81</w:t>
                                  </w:r>
                                </w:p>
                              </w:tc>
                              <w:tc>
                                <w:tcPr>
                                  <w:tcW w:w="1266"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(0.77-0.85)</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0.89</w:t>
                                  </w:r>
                                </w:p>
                              </w:tc>
                              <w:tc>
                                <w:tcPr>
                                  <w:tcW w:w="1372"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(0.85-0.94)</w:t>
                                  </w:r>
                                </w:p>
                              </w:tc>
                            </w:tr>
                            <w:tr>
                              <w:trPr>
                                <w:trHeight w:val="275" w:hRule="atLeast"/>
                                <w:cantSplit w:val="true"/>
                              </w:trPr>
                              <w:tc>
                                <w:tcPr>
                                  <w:tcW w:w="2792" w:type="dxa"/>
                                  <w:tcBorders/>
                                  <w:shd w:fill="auto" w:val="clear"/>
                                  <w:vAlign w:val="bottom"/>
                                </w:tcPr>
                                <w:p>
                                  <w:pPr>
                                    <w:pStyle w:val="Normal"/>
                                    <w:spacing w:before="0" w:after="0"/>
                                    <w:ind w:left="480" w:hanging="0"/>
                                    <w:rPr>
                                      <w:rFonts w:ascii="Arial" w:hAnsi="Arial" w:cs="Arial"/>
                                      <w:color w:val="000000"/>
                                      <w:sz w:val="18"/>
                                      <w:szCs w:val="18"/>
                                    </w:rPr>
                                  </w:pPr>
                                  <w:r>
                                    <w:rPr>
                                      <w:rFonts w:cs="Arial" w:ascii="Arial" w:hAnsi="Arial"/>
                                      <w:color w:val="000000"/>
                                      <w:sz w:val="18"/>
                                      <w:szCs w:val="18"/>
                                    </w:rPr>
                                    <w:t xml:space="preserve">Enhanced fee-for-service </w:t>
                                  </w:r>
                                </w:p>
                              </w:tc>
                              <w:tc>
                                <w:tcPr>
                                  <w:tcW w:w="682"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266"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75" w:hRule="atLeast"/>
                                <w:cantSplit w:val="true"/>
                              </w:trPr>
                              <w:tc>
                                <w:tcPr>
                                  <w:tcW w:w="3474" w:type="dxa"/>
                                  <w:gridSpan w:val="2"/>
                                  <w:tcBorders/>
                                  <w:shd w:fill="auto" w:val="clear"/>
                                  <w:vAlign w:val="bottom"/>
                                </w:tcPr>
                                <w:p>
                                  <w:pPr>
                                    <w:pStyle w:val="Normal"/>
                                    <w:spacing w:before="0" w:after="0"/>
                                    <w:rPr>
                                      <w:rFonts w:ascii="Arial" w:hAnsi="Arial" w:cs="Arial"/>
                                      <w:sz w:val="18"/>
                                      <w:szCs w:val="18"/>
                                    </w:rPr>
                                  </w:pPr>
                                  <w:r>
                                    <w:rPr>
                                      <w:rFonts w:cs="Arial" w:ascii="Arial" w:hAnsi="Arial"/>
                                      <w:sz w:val="18"/>
                                      <w:szCs w:val="18"/>
                                    </w:rPr>
                                    <w:t>Mean patient age</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1.02</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(1.01-1.03)</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0.99</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(0.99-1.00)</w:t>
                                  </w:r>
                                </w:p>
                              </w:tc>
                            </w:tr>
                            <w:tr>
                              <w:trPr>
                                <w:trHeight w:val="275" w:hRule="atLeast"/>
                                <w:cantSplit w:val="true"/>
                              </w:trPr>
                              <w:tc>
                                <w:tcPr>
                                  <w:tcW w:w="4618" w:type="dxa"/>
                                  <w:gridSpan w:val="3"/>
                                  <w:tcBorders/>
                                  <w:shd w:fill="auto" w:val="clear"/>
                                  <w:vAlign w:val="bottom"/>
                                </w:tcPr>
                                <w:p>
                                  <w:pPr>
                                    <w:pStyle w:val="Normal"/>
                                    <w:spacing w:before="0" w:after="0"/>
                                    <w:rPr>
                                      <w:rFonts w:ascii="Arial" w:hAnsi="Arial" w:cs="Arial"/>
                                      <w:sz w:val="18"/>
                                      <w:szCs w:val="18"/>
                                    </w:rPr>
                                  </w:pPr>
                                  <w:r>
                                    <w:rPr>
                                      <w:rFonts w:cs="Arial" w:ascii="Arial" w:hAnsi="Arial"/>
                                      <w:sz w:val="18"/>
                                      <w:szCs w:val="18"/>
                                    </w:rPr>
                                    <w:t>% female patients in practice</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0.63</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(0.51-0.77)</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1.08</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(1.00-1.19)</w:t>
                                  </w:r>
                                </w:p>
                              </w:tc>
                            </w:tr>
                            <w:tr>
                              <w:trPr>
                                <w:trHeight w:val="275" w:hRule="atLeast"/>
                                <w:cantSplit w:val="true"/>
                              </w:trPr>
                              <w:tc>
                                <w:tcPr>
                                  <w:tcW w:w="4618" w:type="dxa"/>
                                  <w:gridSpan w:val="3"/>
                                  <w:tcBorders/>
                                  <w:shd w:fill="auto" w:val="clear"/>
                                  <w:vAlign w:val="bottom"/>
                                </w:tcPr>
                                <w:p>
                                  <w:pPr>
                                    <w:pStyle w:val="Normal"/>
                                    <w:spacing w:before="0" w:after="0"/>
                                    <w:rPr>
                                      <w:rFonts w:ascii="Arial" w:hAnsi="Arial" w:cs="Arial"/>
                                      <w:sz w:val="18"/>
                                      <w:szCs w:val="18"/>
                                    </w:rPr>
                                  </w:pPr>
                                  <w:r>
                                    <w:rPr>
                                      <w:rFonts w:cs="Arial" w:ascii="Arial" w:hAnsi="Arial"/>
                                      <w:sz w:val="18"/>
                                      <w:szCs w:val="18"/>
                                    </w:rPr>
                                    <w:t xml:space="preserve">% lowest  income quintile patients </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4.25</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(3.12-5.79)</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0.94</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(0.80-1.10)</w:t>
                                  </w:r>
                                </w:p>
                              </w:tc>
                            </w:tr>
                            <w:tr>
                              <w:trPr>
                                <w:trHeight w:val="275" w:hRule="atLeast"/>
                                <w:cantSplit w:val="true"/>
                              </w:trPr>
                              <w:tc>
                                <w:tcPr>
                                  <w:tcW w:w="4618" w:type="dxa"/>
                                  <w:gridSpan w:val="3"/>
                                  <w:tcBorders/>
                                  <w:shd w:fill="auto" w:val="clear"/>
                                  <w:vAlign w:val="bottom"/>
                                </w:tcPr>
                                <w:p>
                                  <w:pPr>
                                    <w:pStyle w:val="Normal"/>
                                    <w:spacing w:before="0" w:after="0"/>
                                    <w:rPr>
                                      <w:rFonts w:ascii="Arial" w:hAnsi="Arial" w:cs="Arial"/>
                                      <w:sz w:val="18"/>
                                      <w:szCs w:val="18"/>
                                    </w:rPr>
                                  </w:pPr>
                                  <w:r>
                                    <w:rPr>
                                      <w:rFonts w:cs="Arial" w:ascii="Arial" w:hAnsi="Arial"/>
                                      <w:sz w:val="18"/>
                                      <w:szCs w:val="18"/>
                                    </w:rPr>
                                    <w:t>Practice location-- rurality score</w:t>
                                  </w:r>
                                  <w:r>
                                    <w:rPr>
                                      <w:rFonts w:cs="Arial" w:ascii="Arial" w:hAnsi="Arial"/>
                                      <w:sz w:val="18"/>
                                      <w:szCs w:val="18"/>
                                      <w:vertAlign w:val="superscript"/>
                                    </w:rPr>
                                    <w:t>||</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(0.99-1.00)</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(1.00-1.00)</w:t>
                                  </w:r>
                                </w:p>
                              </w:tc>
                            </w:tr>
                            <w:tr>
                              <w:trPr>
                                <w:trHeight w:val="275" w:hRule="atLeast"/>
                                <w:cantSplit w:val="true"/>
                              </w:trPr>
                              <w:tc>
                                <w:tcPr>
                                  <w:tcW w:w="3474" w:type="dxa"/>
                                  <w:gridSpan w:val="2"/>
                                  <w:tcBorders/>
                                  <w:shd w:fill="auto" w:val="clear"/>
                                  <w:vAlign w:val="bottom"/>
                                </w:tcPr>
                                <w:p>
                                  <w:pPr>
                                    <w:pStyle w:val="Normal"/>
                                    <w:spacing w:before="0" w:after="0"/>
                                    <w:rPr>
                                      <w:rFonts w:ascii="Arial" w:hAnsi="Arial" w:cs="Arial"/>
                                      <w:sz w:val="18"/>
                                      <w:szCs w:val="18"/>
                                    </w:rPr>
                                  </w:pPr>
                                  <w:r>
                                    <w:rPr>
                                      <w:rFonts w:cs="Arial" w:ascii="Arial" w:hAnsi="Arial"/>
                                      <w:sz w:val="18"/>
                                      <w:szCs w:val="18"/>
                                    </w:rPr>
                                    <w:t xml:space="preserve">Median comorbidity score </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1.11</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(1.08-1.15)</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1.18</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(1.16-1.21)</w:t>
                                  </w:r>
                                </w:p>
                              </w:tc>
                            </w:tr>
                            <w:tr>
                              <w:trPr>
                                <w:trHeight w:val="275" w:hRule="atLeast"/>
                                <w:cantSplit w:val="true"/>
                              </w:trPr>
                              <w:tc>
                                <w:tcPr>
                                  <w:tcW w:w="4618" w:type="dxa"/>
                                  <w:gridSpan w:val="3"/>
                                  <w:tcBorders/>
                                  <w:shd w:fill="auto" w:val="clear"/>
                                  <w:vAlign w:val="bottom"/>
                                </w:tcPr>
                                <w:p>
                                  <w:pPr>
                                    <w:pStyle w:val="Normal"/>
                                    <w:spacing w:before="0" w:after="0"/>
                                    <w:rPr>
                                      <w:rFonts w:ascii="Arial" w:hAnsi="Arial" w:cs="Arial"/>
                                      <w:sz w:val="18"/>
                                      <w:szCs w:val="18"/>
                                    </w:rPr>
                                  </w:pPr>
                                  <w:r>
                                    <w:rPr>
                                      <w:rFonts w:cs="Arial" w:ascii="Arial" w:hAnsi="Arial"/>
                                      <w:sz w:val="18"/>
                                      <w:szCs w:val="18"/>
                                    </w:rPr>
                                    <w:t>Physician years since graduation</w:t>
                                  </w:r>
                                </w:p>
                              </w:tc>
                              <w:tc>
                                <w:tcPr>
                                  <w:tcW w:w="789" w:type="dxa"/>
                                  <w:tcBorders/>
                                  <w:shd w:fill="auto" w:val="clear"/>
                                  <w:vAlign w:val="bottom"/>
                                </w:tcPr>
                                <w:p>
                                  <w:pPr>
                                    <w:pStyle w:val="Normal"/>
                                    <w:snapToGrid w:val="false"/>
                                    <w:spacing w:before="0" w:after="0"/>
                                    <w:jc w:val="right"/>
                                    <w:rPr>
                                      <w:rFonts w:ascii="Arial" w:hAnsi="Arial" w:cs="Arial"/>
                                      <w:sz w:val="18"/>
                                      <w:szCs w:val="18"/>
                                    </w:rPr>
                                  </w:pPr>
                                  <w:r>
                                    <w:rPr>
                                      <w:rFonts w:cs="Arial" w:ascii="Arial" w:hAnsi="Arial"/>
                                      <w:sz w:val="18"/>
                                      <w:szCs w:val="18"/>
                                    </w:rPr>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 </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Less than 5 years</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5 to 9 years</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1.10</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(0.99-1.22)</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0.96</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(0.91-1.03)</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10 to 19 years</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1.07</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(0.96-1.20)</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1.01</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(0.95-1.07)</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20 to 29 years</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1.14</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(1.02-1.28)</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1.05</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(0.98-1.11)</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30 years or more</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1.10</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(0.97-1.25)</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1.10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(1.03-1.17)</w:t>
                                  </w:r>
                                </w:p>
                              </w:tc>
                            </w:tr>
                            <w:tr>
                              <w:trPr>
                                <w:trHeight w:val="275" w:hRule="atLeast"/>
                                <w:cantSplit w:val="true"/>
                              </w:trPr>
                              <w:tc>
                                <w:tcPr>
                                  <w:tcW w:w="3474" w:type="dxa"/>
                                  <w:gridSpan w:val="2"/>
                                  <w:tcBorders/>
                                  <w:shd w:fill="auto" w:val="clear"/>
                                  <w:vAlign w:val="bottom"/>
                                </w:tcPr>
                                <w:p>
                                  <w:pPr>
                                    <w:pStyle w:val="Normal"/>
                                    <w:spacing w:before="0" w:after="0"/>
                                    <w:rPr>
                                      <w:rFonts w:ascii="Arial" w:hAnsi="Arial" w:cs="Arial"/>
                                      <w:sz w:val="18"/>
                                      <w:szCs w:val="18"/>
                                    </w:rPr>
                                  </w:pPr>
                                  <w:r>
                                    <w:rPr>
                                      <w:rFonts w:cs="Arial" w:ascii="Arial" w:hAnsi="Arial"/>
                                      <w:sz w:val="18"/>
                                      <w:szCs w:val="18"/>
                                    </w:rPr>
                                    <w:t xml:space="preserve">Physician time in group </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napToGrid w:val="false"/>
                                    <w:spacing w:before="0" w:after="0"/>
                                    <w:jc w:val="right"/>
                                    <w:rPr>
                                      <w:rFonts w:ascii="Arial" w:hAnsi="Arial" w:cs="Arial"/>
                                      <w:sz w:val="18"/>
                                      <w:szCs w:val="18"/>
                                    </w:rPr>
                                  </w:pPr>
                                  <w:r>
                                    <w:rPr>
                                      <w:rFonts w:cs="Arial" w:ascii="Arial" w:hAnsi="Arial"/>
                                      <w:sz w:val="18"/>
                                      <w:szCs w:val="18"/>
                                    </w:rPr>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 </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4618" w:type="dxa"/>
                                  <w:gridSpan w:val="3"/>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Less than 12 months </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1.07</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(0.97, 1.17)</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1.02</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(0.97, 1.07)</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12 to 23 months </w:t>
                                  </w:r>
                                </w:p>
                              </w:tc>
                              <w:tc>
                                <w:tcPr>
                                  <w:tcW w:w="1144" w:type="dxa"/>
                                  <w:tcBorders/>
                                  <w:shd w:fill="auto" w:val="clear"/>
                                  <w:vAlign w:val="bottom"/>
                                </w:tcPr>
                                <w:p>
                                  <w:pPr>
                                    <w:pStyle w:val="Normal"/>
                                    <w:snapToGrid w:val="false"/>
                                    <w:spacing w:before="0" w:after="0"/>
                                    <w:ind w:firstLine="452"/>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1.01</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(0.91, 1.12)</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(0.95, 1.05)</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24 to 35 months </w:t>
                                  </w:r>
                                </w:p>
                              </w:tc>
                              <w:tc>
                                <w:tcPr>
                                  <w:tcW w:w="1144" w:type="dxa"/>
                                  <w:tcBorders/>
                                  <w:shd w:fill="auto" w:val="clear"/>
                                  <w:vAlign w:val="bottom"/>
                                </w:tcPr>
                                <w:p>
                                  <w:pPr>
                                    <w:pStyle w:val="Normal"/>
                                    <w:snapToGrid w:val="false"/>
                                    <w:spacing w:before="0" w:after="0"/>
                                    <w:ind w:firstLine="452"/>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1.04</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(0.92, 1.18)</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0.99</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(0.95, 1.04)</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36 to 47 months </w:t>
                                  </w:r>
                                </w:p>
                              </w:tc>
                              <w:tc>
                                <w:tcPr>
                                  <w:tcW w:w="1144" w:type="dxa"/>
                                  <w:tcBorders/>
                                  <w:shd w:fill="auto" w:val="clear"/>
                                  <w:vAlign w:val="bottom"/>
                                </w:tcPr>
                                <w:p>
                                  <w:pPr>
                                    <w:pStyle w:val="Normal"/>
                                    <w:snapToGrid w:val="false"/>
                                    <w:spacing w:before="0" w:after="0"/>
                                    <w:ind w:firstLine="452"/>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0.96</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(0.89, 1.03)</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(0.96, 1.05)</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48+ months </w:t>
                                  </w:r>
                                </w:p>
                              </w:tc>
                              <w:tc>
                                <w:tcPr>
                                  <w:tcW w:w="1144" w:type="dxa"/>
                                  <w:tcBorders/>
                                  <w:shd w:fill="auto" w:val="clear"/>
                                  <w:vAlign w:val="bottom"/>
                                </w:tcPr>
                                <w:p>
                                  <w:pPr>
                                    <w:pStyle w:val="Normal"/>
                                    <w:snapToGrid w:val="false"/>
                                    <w:spacing w:before="0" w:after="0"/>
                                    <w:ind w:firstLine="452"/>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75" w:hRule="atLeast"/>
                                <w:cantSplit w:val="true"/>
                              </w:trPr>
                              <w:tc>
                                <w:tcPr>
                                  <w:tcW w:w="3474" w:type="dxa"/>
                                  <w:gridSpan w:val="2"/>
                                  <w:tcBorders/>
                                  <w:shd w:fill="auto" w:val="clear"/>
                                  <w:vAlign w:val="bottom"/>
                                </w:tcPr>
                                <w:p>
                                  <w:pPr>
                                    <w:pStyle w:val="Normal"/>
                                    <w:spacing w:before="0" w:after="0"/>
                                    <w:rPr>
                                      <w:rFonts w:ascii="Arial" w:hAnsi="Arial" w:cs="Arial"/>
                                      <w:sz w:val="18"/>
                                      <w:szCs w:val="18"/>
                                    </w:rPr>
                                  </w:pPr>
                                  <w:r>
                                    <w:rPr>
                                      <w:rFonts w:cs="Arial" w:ascii="Arial" w:hAnsi="Arial"/>
                                      <w:sz w:val="18"/>
                                      <w:szCs w:val="18"/>
                                    </w:rPr>
                                    <w:t xml:space="preserve">Medical Graduation </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napToGrid w:val="false"/>
                                    <w:spacing w:before="0" w:after="0"/>
                                    <w:jc w:val="right"/>
                                    <w:rPr>
                                      <w:rFonts w:ascii="Arial" w:hAnsi="Arial" w:cs="Arial"/>
                                      <w:sz w:val="18"/>
                                      <w:szCs w:val="18"/>
                                    </w:rPr>
                                  </w:pPr>
                                  <w:r>
                                    <w:rPr>
                                      <w:rFonts w:cs="Arial" w:ascii="Arial" w:hAnsi="Arial"/>
                                      <w:sz w:val="18"/>
                                      <w:szCs w:val="18"/>
                                    </w:rPr>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 </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4618" w:type="dxa"/>
                                  <w:gridSpan w:val="3"/>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Canadian medical graduate</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4618" w:type="dxa"/>
                                  <w:gridSpan w:val="3"/>
                                  <w:tcBorders/>
                                  <w:shd w:fill="auto" w:val="clear"/>
                                  <w:vAlign w:val="bottom"/>
                                </w:tcPr>
                                <w:p>
                                  <w:pPr>
                                    <w:pStyle w:val="Normal"/>
                                    <w:spacing w:before="0" w:after="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Non- Canadian medical graduate</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0.95</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(0.90-1.01)</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0.94</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(0.91-0.97)</w:t>
                                  </w:r>
                                </w:p>
                              </w:tc>
                            </w:tr>
                            <w:tr>
                              <w:trPr>
                                <w:trHeight w:val="275" w:hRule="atLeast"/>
                                <w:cantSplit w:val="true"/>
                              </w:trPr>
                              <w:tc>
                                <w:tcPr>
                                  <w:tcW w:w="5407" w:type="dxa"/>
                                  <w:gridSpan w:val="4"/>
                                  <w:tcBorders/>
                                  <w:shd w:fill="auto" w:val="clear"/>
                                  <w:vAlign w:val="bottom"/>
                                </w:tcPr>
                                <w:p>
                                  <w:pPr>
                                    <w:pStyle w:val="Normal"/>
                                    <w:spacing w:before="0" w:after="0"/>
                                    <w:rPr>
                                      <w:rFonts w:ascii="Arial" w:hAnsi="Arial" w:cs="Arial"/>
                                      <w:sz w:val="18"/>
                                      <w:szCs w:val="18"/>
                                    </w:rPr>
                                  </w:pPr>
                                  <w:r>
                                    <w:rPr>
                                      <w:rFonts w:cs="Arial" w:ascii="Arial" w:hAnsi="Arial"/>
                                      <w:sz w:val="18"/>
                                      <w:szCs w:val="18"/>
                                    </w:rPr>
                                    <w:t>Number of rostered patients</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 </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4618" w:type="dxa"/>
                                  <w:gridSpan w:val="3"/>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Less than 650 patients</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650 to 999 patients </w:t>
                                  </w:r>
                                </w:p>
                              </w:tc>
                              <w:tc>
                                <w:tcPr>
                                  <w:tcW w:w="1144" w:type="dxa"/>
                                  <w:tcBorders/>
                                  <w:shd w:fill="auto" w:val="clear"/>
                                  <w:vAlign w:val="bottom"/>
                                </w:tcPr>
                                <w:p>
                                  <w:pPr>
                                    <w:pStyle w:val="Normal"/>
                                    <w:snapToGrid w:val="false"/>
                                    <w:spacing w:before="0" w:after="0"/>
                                    <w:ind w:firstLine="452"/>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0.90</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(0.81-1.01)</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0.98</w:t>
                                  </w:r>
                                </w:p>
                              </w:tc>
                              <w:tc>
                                <w:tcPr>
                                  <w:tcW w:w="1372"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(0.95-1.02)</w:t>
                                  </w:r>
                                </w:p>
                              </w:tc>
                            </w:tr>
                            <w:tr>
                              <w:trPr>
                                <w:trHeight w:val="275" w:hRule="atLeast"/>
                                <w:cantSplit w:val="true"/>
                              </w:trPr>
                              <w:tc>
                                <w:tcPr>
                                  <w:tcW w:w="4618" w:type="dxa"/>
                                  <w:gridSpan w:val="3"/>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1000 to 1999 patients </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0.80</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(0.71-0.90)</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0.96</w:t>
                                  </w:r>
                                </w:p>
                              </w:tc>
                              <w:tc>
                                <w:tcPr>
                                  <w:tcW w:w="1372"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(0.92-1.00)</w:t>
                                  </w:r>
                                </w:p>
                              </w:tc>
                            </w:tr>
                            <w:tr>
                              <w:trPr>
                                <w:trHeight w:val="275" w:hRule="atLeast"/>
                                <w:cantSplit w:val="true"/>
                              </w:trPr>
                              <w:tc>
                                <w:tcPr>
                                  <w:tcW w:w="4618" w:type="dxa"/>
                                  <w:gridSpan w:val="3"/>
                                  <w:tcBorders/>
                                  <w:shd w:fill="auto" w:val="clear"/>
                                  <w:vAlign w:val="bottom"/>
                                </w:tcPr>
                                <w:p>
                                  <w:pPr>
                                    <w:pStyle w:val="Normal"/>
                                    <w:spacing w:before="0" w:after="0"/>
                                    <w:ind w:firstLine="452"/>
                                    <w:rPr>
                                      <w:rFonts w:ascii="Arial" w:hAnsi="Arial" w:cs="Arial"/>
                                      <w:color w:val="000000"/>
                                      <w:sz w:val="18"/>
                                      <w:szCs w:val="18"/>
                                    </w:rPr>
                                  </w:pPr>
                                  <w:r>
                                    <w:rPr>
                                      <w:rFonts w:cs="Arial" w:ascii="Arial" w:hAnsi="Arial"/>
                                      <w:color w:val="000000"/>
                                      <w:sz w:val="18"/>
                                      <w:szCs w:val="18"/>
                                    </w:rPr>
                                    <w:t>2000 to more patients</w:t>
                                  </w:r>
                                </w:p>
                              </w:tc>
                              <w:tc>
                                <w:tcPr>
                                  <w:tcW w:w="789" w:type="dxa"/>
                                  <w:tcBorders/>
                                  <w:shd w:fill="auto" w:val="clear"/>
                                  <w:vAlign w:val="bottom"/>
                                </w:tcPr>
                                <w:p>
                                  <w:pPr>
                                    <w:pStyle w:val="Normal"/>
                                    <w:spacing w:before="0" w:after="0"/>
                                    <w:jc w:val="right"/>
                                    <w:rPr>
                                      <w:rFonts w:ascii="Arial" w:hAnsi="Arial" w:cs="Arial"/>
                                      <w:color w:val="000000"/>
                                      <w:sz w:val="18"/>
                                      <w:szCs w:val="18"/>
                                    </w:rPr>
                                  </w:pPr>
                                  <w:r>
                                    <w:rPr>
                                      <w:rFonts w:cs="Arial" w:ascii="Arial" w:hAnsi="Arial"/>
                                      <w:color w:val="000000"/>
                                      <w:sz w:val="18"/>
                                      <w:szCs w:val="18"/>
                                    </w:rPr>
                                    <w:t>0.71</w:t>
                                  </w:r>
                                </w:p>
                              </w:tc>
                              <w:tc>
                                <w:tcPr>
                                  <w:tcW w:w="1419" w:type="dxa"/>
                                  <w:tcBorders/>
                                  <w:shd w:fill="auto" w:val="clear"/>
                                  <w:vAlign w:val="bottom"/>
                                </w:tcPr>
                                <w:p>
                                  <w:pPr>
                                    <w:pStyle w:val="Normal"/>
                                    <w:spacing w:before="0" w:after="0"/>
                                    <w:rPr>
                                      <w:rFonts w:ascii="Arial" w:hAnsi="Arial" w:cs="Arial"/>
                                      <w:color w:val="000000"/>
                                      <w:sz w:val="18"/>
                                      <w:szCs w:val="18"/>
                                    </w:rPr>
                                  </w:pPr>
                                  <w:r>
                                    <w:rPr>
                                      <w:rFonts w:cs="Arial" w:ascii="Arial" w:hAnsi="Arial"/>
                                      <w:color w:val="000000"/>
                                      <w:sz w:val="18"/>
                                      <w:szCs w:val="18"/>
                                    </w:rPr>
                                    <w:t>(0.63-0.81)</w:t>
                                  </w:r>
                                </w:p>
                              </w:tc>
                              <w:tc>
                                <w:tcPr>
                                  <w:tcW w:w="239"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665"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1266"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0.88</w:t>
                                  </w:r>
                                </w:p>
                              </w:tc>
                              <w:tc>
                                <w:tcPr>
                                  <w:tcW w:w="1372"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(0.84-0.92)</w:t>
                                  </w:r>
                                </w:p>
                              </w:tc>
                            </w:tr>
                            <w:tr>
                              <w:trPr>
                                <w:trHeight w:val="275" w:hRule="atLeast"/>
                                <w:cantSplit w:val="true"/>
                              </w:trPr>
                              <w:tc>
                                <w:tcPr>
                                  <w:tcW w:w="11157" w:type="dxa"/>
                                  <w:gridSpan w:val="10"/>
                                  <w:tcBorders>
                                    <w:top w:val="single" w:sz="8" w:space="0" w:color="000000"/>
                                  </w:tcBorders>
                                  <w:shd w:fill="auto" w:val="clear"/>
                                  <w:vAlign w:val="bottom"/>
                                </w:tcPr>
                                <w:p>
                                  <w:pPr>
                                    <w:pStyle w:val="Normal"/>
                                    <w:spacing w:before="0" w:after="0"/>
                                    <w:rPr/>
                                  </w:pPr>
                                  <w:r>
                                    <w:rPr>
                                      <w:rFonts w:cs="Arial" w:ascii="Arial" w:hAnsi="Arial"/>
                                      <w:color w:val="000000"/>
                                      <w:sz w:val="18"/>
                                      <w:szCs w:val="18"/>
                                      <w:vertAlign w:val="superscript"/>
                                    </w:rPr>
                                    <w:t xml:space="preserve">* </w:t>
                                  </w:r>
                                  <w:r>
                                    <w:rPr>
                                      <w:rFonts w:cs="Arial" w:ascii="Arial" w:hAnsi="Arial"/>
                                      <w:color w:val="000000"/>
                                      <w:sz w:val="18"/>
                                      <w:szCs w:val="18"/>
                                    </w:rPr>
                                    <w:t xml:space="preserve"> The study population included Ontario residents with a valid OHIP number who were 18 years or older as of August 31, 2008. </w:t>
                                  </w:r>
                                </w:p>
                              </w:tc>
                            </w:tr>
                            <w:tr>
                              <w:trPr>
                                <w:trHeight w:val="533" w:hRule="atLeast"/>
                                <w:cantSplit w:val="true"/>
                              </w:trPr>
                              <w:tc>
                                <w:tcPr>
                                  <w:tcW w:w="11157" w:type="dxa"/>
                                  <w:gridSpan w:val="10"/>
                                  <w:tcBorders/>
                                  <w:shd w:fill="auto" w:val="clear"/>
                                  <w:vAlign w:val="bottom"/>
                                </w:tcPr>
                                <w:p>
                                  <w:pPr>
                                    <w:pStyle w:val="Normal"/>
                                    <w:spacing w:before="0" w:after="0"/>
                                    <w:rPr>
                                      <w:rFonts w:ascii="Arial" w:hAnsi="Arial" w:cs="Arial"/>
                                      <w:color w:val="000000"/>
                                      <w:sz w:val="18"/>
                                      <w:szCs w:val="18"/>
                                    </w:rPr>
                                  </w:pPr>
                                  <w:r>
                                    <w:rPr>
                                      <w:rFonts w:eastAsia="Arial" w:cs="Arial" w:ascii="Arial" w:hAnsi="Arial"/>
                                      <w:color w:val="000000"/>
                                      <w:sz w:val="18"/>
                                      <w:szCs w:val="18"/>
                                      <w:vertAlign w:val="superscript"/>
                                    </w:rPr>
                                    <w:t xml:space="preserve">† </w:t>
                                  </w:r>
                                  <w:r>
                                    <w:rPr>
                                      <w:rFonts w:eastAsia="Arial" w:cs="Arial" w:ascii="Arial" w:hAnsi="Arial"/>
                                      <w:color w:val="000000"/>
                                      <w:sz w:val="18"/>
                                      <w:szCs w:val="18"/>
                                    </w:rPr>
                                    <w:t xml:space="preserve">  </w:t>
                                  </w:r>
                                  <w:r>
                                    <w:rPr>
                                      <w:rFonts w:cs="Arial" w:ascii="Arial" w:hAnsi="Arial"/>
                                      <w:color w:val="000000"/>
                                      <w:sz w:val="18"/>
                                      <w:szCs w:val="18"/>
                                    </w:rPr>
                                    <w:t>The analysis was offset by the total number of people in the practice including individuals</w:t>
                                  </w:r>
                                  <w:r>
                                    <w:rPr>
                                      <w:rFonts w:cs="Arial" w:ascii="Arial" w:hAnsi="Arial"/>
                                      <w:sz w:val="18"/>
                                      <w:szCs w:val="18"/>
                                    </w:rPr>
                                    <w:t xml:space="preserve"> with and without mental illness in the physicians’ total practices.</w:t>
                                  </w:r>
                                </w:p>
                              </w:tc>
                            </w:tr>
                            <w:tr>
                              <w:trPr>
                                <w:trHeight w:val="273" w:hRule="atLeast"/>
                                <w:cantSplit w:val="true"/>
                              </w:trPr>
                              <w:tc>
                                <w:tcPr>
                                  <w:tcW w:w="11157" w:type="dxa"/>
                                  <w:gridSpan w:val="10"/>
                                  <w:vMerge w:val="restart"/>
                                  <w:tcBorders>
                                    <w:bottom w:val="single" w:sz="8" w:space="0" w:color="000000"/>
                                    <w:insideH w:val="single" w:sz="8" w:space="0" w:color="000000"/>
                                  </w:tcBorders>
                                  <w:shd w:fill="auto" w:val="clear"/>
                                </w:tcPr>
                                <w:p>
                                  <w:pPr>
                                    <w:pStyle w:val="Normal"/>
                                    <w:spacing w:before="0" w:after="0"/>
                                    <w:rPr/>
                                  </w:pPr>
                                  <w:r>
                                    <w:rPr>
                                      <w:rFonts w:eastAsia="Arial" w:cs="Arial" w:ascii="Arial" w:hAnsi="Arial"/>
                                      <w:color w:val="000000"/>
                                      <w:sz w:val="18"/>
                                      <w:szCs w:val="18"/>
                                      <w:vertAlign w:val="superscript"/>
                                    </w:rPr>
                                    <w:t xml:space="preserve">‡   </w:t>
                                  </w:r>
                                  <w:r>
                                    <w:rPr>
                                      <w:rFonts w:cs="Arial" w:ascii="Arial" w:hAnsi="Arial"/>
                                      <w:color w:val="000000"/>
                                      <w:sz w:val="18"/>
                                      <w:szCs w:val="18"/>
                                    </w:rPr>
                                    <w:t xml:space="preserve">The unit of analysis is the physician.  Physician’s total practices include patients on the roster and virtual roster. </w:t>
                                  </w:r>
                                </w:p>
                                <w:p>
                                  <w:pPr>
                                    <w:pStyle w:val="Normal"/>
                                    <w:spacing w:before="0" w:after="0"/>
                                    <w:rPr/>
                                  </w:pPr>
                                  <w:r>
                                    <w:rPr>
                                      <w:rFonts w:cs="Arial" w:ascii="Arial" w:hAnsi="Arial"/>
                                      <w:color w:val="000000"/>
                                      <w:sz w:val="18"/>
                                      <w:szCs w:val="18"/>
                                      <w:vertAlign w:val="superscript"/>
                                    </w:rPr>
                                    <w:t xml:space="preserve">§  </w:t>
                                  </w:r>
                                  <w:r>
                                    <w:rPr>
                                      <w:rFonts w:cs="Arial" w:ascii="Arial" w:hAnsi="Arial"/>
                                      <w:color w:val="000000"/>
                                      <w:sz w:val="18"/>
                                      <w:szCs w:val="18"/>
                                    </w:rPr>
                                    <w:t>Confidence interval</w:t>
                                  </w:r>
                                  <w:r>
                                    <w:rPr>
                                      <w:rFonts w:cs="Arial" w:ascii="Arial" w:hAnsi="Arial"/>
                                      <w:color w:val="000000"/>
                                      <w:sz w:val="18"/>
                                      <w:szCs w:val="18"/>
                                      <w:vertAlign w:val="superscript"/>
                                    </w:rPr>
                                    <w:t xml:space="preserve">  </w:t>
                                  </w:r>
                                </w:p>
                                <w:p>
                                  <w:pPr>
                                    <w:pStyle w:val="Normal"/>
                                    <w:spacing w:before="0" w:after="0"/>
                                    <w:rPr/>
                                  </w:pPr>
                                  <w:r>
                                    <w:rPr>
                                      <w:rFonts w:cs="Arial" w:ascii="Arial" w:hAnsi="Arial"/>
                                      <w:sz w:val="18"/>
                                      <w:szCs w:val="18"/>
                                      <w:vertAlign w:val="superscript"/>
                                    </w:rPr>
                                    <w:t>||</w:t>
                                  </w:r>
                                  <w:r>
                                    <w:rPr>
                                      <w:rFonts w:cs="Arial" w:ascii="Arial" w:hAnsi="Arial"/>
                                      <w:color w:val="000000"/>
                                      <w:sz w:val="18"/>
                                      <w:szCs w:val="18"/>
                                      <w:vertAlign w:val="superscript"/>
                                    </w:rPr>
                                    <w:t xml:space="preserve"> </w:t>
                                  </w:r>
                                  <w:r>
                                    <w:rPr>
                                      <w:rFonts w:cs="Arial" w:ascii="Arial" w:hAnsi="Arial"/>
                                      <w:color w:val="000000"/>
                                      <w:sz w:val="18"/>
                                      <w:szCs w:val="18"/>
                                    </w:rPr>
                                    <w:t xml:space="preserve"> Rurality Index of Ontario  </w:t>
                                  </w:r>
                                </w:p>
                              </w:tc>
                            </w:tr>
                            <w:tr>
                              <w:trPr>
                                <w:trHeight w:val="273" w:hRule="atLeast"/>
                                <w:cantSplit w:val="true"/>
                              </w:trPr>
                              <w:tc>
                                <w:tcPr>
                                  <w:tcW w:w="11157" w:type="dxa"/>
                                  <w:gridSpan w:val="10"/>
                                  <w:vMerge w:val="continue"/>
                                  <w:tcBorders>
                                    <w:bottom w:val="single" w:sz="8" w:space="0" w:color="000000"/>
                                    <w:insideH w:val="single" w:sz="8" w:space="0" w:color="000000"/>
                                  </w:tcBorders>
                                  <w:shd w:fill="auto" w:val="clear"/>
                                  <w:vAlign w:val="center"/>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r>
                          </w:tbl>
                        </w:txbxContent>
                      </wps:txbx>
                      <wps:bodyPr anchor="t">
                        <a:noAutofit/>
                      </wps:bodyPr>
                    </wps:wsp>
                  </a:graphicData>
                </a:graphic>
              </wp:anchor>
            </w:drawing>
          </mc:Choice>
          <mc:Fallback>
            <w:pict>
              <v:rect fillcolor="#FFFFFF" style="position:absolute;rotation:0;width:557.85pt;height:1.65pt;mso-wrap-distance-left:9.05pt;mso-wrap-distance-right:9.05pt;margin-top:85.1pt;mso-position-vertical-relative:page;margin-left:0pt;mso-position-horizontal:center;mso-position-horizontal-relative:margin">
                <v:fill opacity="0f"/>
                <v:textbox>
                  <w:txbxContent>
                    <w:tbl>
                      <w:tblPr>
                        <w:tblW w:w="11157" w:type="dxa"/>
                        <w:jc w:val="left"/>
                        <w:tblInd w:w="108" w:type="dxa"/>
                        <w:tblBorders>
                          <w:top w:val="single" w:sz="8" w:space="0" w:color="000000"/>
                          <w:bottom w:val="single" w:sz="8" w:space="0" w:color="000000"/>
                          <w:insideH w:val="single" w:sz="8" w:space="0" w:color="000000"/>
                        </w:tblBorders>
                        <w:tblCellMar>
                          <w:top w:w="0" w:type="dxa"/>
                          <w:left w:w="108" w:type="dxa"/>
                          <w:bottom w:w="0" w:type="dxa"/>
                          <w:right w:w="108" w:type="dxa"/>
                        </w:tblCellMar>
                      </w:tblPr>
                      <w:tblGrid>
                        <w:gridCol w:w="2792"/>
                        <w:gridCol w:w="682"/>
                        <w:gridCol w:w="1144"/>
                        <w:gridCol w:w="789"/>
                        <w:gridCol w:w="1419"/>
                        <w:gridCol w:w="239"/>
                        <w:gridCol w:w="665"/>
                        <w:gridCol w:w="1266"/>
                        <w:gridCol w:w="789"/>
                        <w:gridCol w:w="1372"/>
                      </w:tblGrid>
                      <w:tr>
                        <w:trPr>
                          <w:trHeight w:val="551" w:hRule="atLeast"/>
                          <w:cantSplit w:val="true"/>
                        </w:trPr>
                        <w:tc>
                          <w:tcPr>
                            <w:tcW w:w="11157" w:type="dxa"/>
                            <w:gridSpan w:val="10"/>
                            <w:tcBorders>
                              <w:top w:val="single" w:sz="8" w:space="0" w:color="000000"/>
                              <w:bottom w:val="single" w:sz="8" w:space="0" w:color="000000"/>
                              <w:insideH w:val="single" w:sz="8" w:space="0" w:color="000000"/>
                            </w:tcBorders>
                            <w:shd w:fill="auto" w:val="clear"/>
                            <w:vAlign w:val="bottom"/>
                          </w:tcPr>
                          <w:p>
                            <w:pPr>
                              <w:pStyle w:val="Normal"/>
                              <w:spacing w:before="0" w:after="0"/>
                              <w:rPr>
                                <w:rFonts w:ascii="Arial" w:hAnsi="Arial" w:cs="Arial"/>
                                <w:b/>
                                <w:b/>
                                <w:bCs/>
                                <w:color w:val="000000"/>
                                <w:sz w:val="18"/>
                                <w:szCs w:val="18"/>
                              </w:rPr>
                            </w:pPr>
                            <w:r>
                              <w:rPr>
                                <w:rFonts w:cs="Arial" w:ascii="Arial" w:hAnsi="Arial"/>
                                <w:b/>
                                <w:bCs/>
                                <w:color w:val="000000"/>
                                <w:sz w:val="18"/>
                                <w:szCs w:val="18"/>
                              </w:rPr>
                              <w:t xml:space="preserve">Table 4. </w:t>
                            </w:r>
                            <w:r>
                              <w:rPr>
                                <w:rFonts w:cs="Arial" w:ascii="Arial" w:hAnsi="Arial"/>
                                <w:color w:val="000000"/>
                                <w:sz w:val="18"/>
                                <w:szCs w:val="18"/>
                              </w:rPr>
                              <w:t>Poisson regression using general estimating equations to assess the association between medical home type and the proportion of patients*</w:t>
                            </w:r>
                            <w:r>
                              <w:rPr>
                                <w:rFonts w:cs="Arial" w:ascii="Arial" w:hAnsi="Arial"/>
                                <w:color w:val="000000"/>
                                <w:sz w:val="18"/>
                                <w:szCs w:val="18"/>
                                <w:vertAlign w:val="superscript"/>
                              </w:rPr>
                              <w:t xml:space="preserve"> </w:t>
                            </w:r>
                            <w:r>
                              <w:rPr>
                                <w:rFonts w:cs="Arial" w:ascii="Arial" w:hAnsi="Arial"/>
                                <w:color w:val="000000"/>
                                <w:sz w:val="18"/>
                                <w:szCs w:val="18"/>
                              </w:rPr>
                              <w:t>with mental health diagnoses</w:t>
                            </w:r>
                            <w:r>
                              <w:rPr>
                                <w:rFonts w:cs="Arial" w:ascii="Arial" w:hAnsi="Arial"/>
                                <w:color w:val="000000"/>
                                <w:sz w:val="18"/>
                                <w:szCs w:val="18"/>
                                <w:vertAlign w:val="superscript"/>
                              </w:rPr>
                              <w:t xml:space="preserve">†  </w:t>
                            </w:r>
                            <w:r>
                              <w:rPr>
                                <w:rFonts w:cs="Arial" w:ascii="Arial" w:hAnsi="Arial"/>
                                <w:color w:val="000000"/>
                                <w:sz w:val="18"/>
                                <w:szCs w:val="18"/>
                              </w:rPr>
                              <w:t>in physicians’ total practices</w:t>
                            </w:r>
                            <w:r>
                              <w:rPr>
                                <w:rFonts w:cs="Arial" w:ascii="Arial" w:hAnsi="Arial"/>
                                <w:color w:val="000000"/>
                                <w:sz w:val="18"/>
                                <w:szCs w:val="18"/>
                                <w:vertAlign w:val="superscript"/>
                              </w:rPr>
                              <w:t>†</w:t>
                            </w:r>
                            <w:r>
                              <w:rPr>
                                <w:rFonts w:cs="Arial" w:ascii="Arial" w:hAnsi="Arial"/>
                                <w:color w:val="000000"/>
                                <w:sz w:val="18"/>
                                <w:szCs w:val="18"/>
                              </w:rPr>
                              <w:t xml:space="preserve">, </w:t>
                            </w:r>
                            <w:r>
                              <w:rPr>
                                <w:rFonts w:cs="Arial" w:ascii="Arial" w:hAnsi="Arial"/>
                                <w:color w:val="000000"/>
                                <w:sz w:val="18"/>
                                <w:szCs w:val="18"/>
                                <w:vertAlign w:val="superscript"/>
                              </w:rPr>
                              <w:t xml:space="preserve"> </w:t>
                            </w:r>
                            <w:r>
                              <w:rPr>
                                <w:rFonts w:cs="Arial" w:ascii="Arial" w:hAnsi="Arial"/>
                                <w:color w:val="000000"/>
                                <w:sz w:val="18"/>
                                <w:szCs w:val="18"/>
                              </w:rPr>
                              <w:t xml:space="preserve">August 2008. </w:t>
                            </w:r>
                          </w:p>
                        </w:tc>
                      </w:tr>
                      <w:tr>
                        <w:trPr>
                          <w:trHeight w:val="292" w:hRule="atLeast"/>
                          <w:cantSplit w:val="true"/>
                        </w:trPr>
                        <w:tc>
                          <w:tcPr>
                            <w:tcW w:w="2792" w:type="dxa"/>
                            <w:tcBorders/>
                            <w:shd w:fill="auto" w:val="clear"/>
                            <w:vAlign w:val="bottom"/>
                          </w:tcPr>
                          <w:p>
                            <w:pPr>
                              <w:pStyle w:val="Normal"/>
                              <w:spacing w:before="0" w:after="0"/>
                              <w:rPr>
                                <w:rFonts w:ascii="Arial" w:hAnsi="Arial" w:cs="Arial"/>
                                <w:color w:val="000000"/>
                                <w:sz w:val="18"/>
                                <w:szCs w:val="18"/>
                              </w:rPr>
                            </w:pPr>
                            <w:r>
                              <w:rPr>
                                <w:rFonts w:cs="Arial" w:ascii="Arial" w:hAnsi="Arial"/>
                                <w:color w:val="000000"/>
                                <w:sz w:val="18"/>
                                <w:szCs w:val="18"/>
                              </w:rPr>
                              <w:t> </w:t>
                            </w:r>
                          </w:p>
                        </w:tc>
                        <w:tc>
                          <w:tcPr>
                            <w:tcW w:w="4034" w:type="dxa"/>
                            <w:gridSpan w:val="4"/>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Psychosis-- Bipolar diagnoses</w:t>
                            </w:r>
                          </w:p>
                        </w:tc>
                        <w:tc>
                          <w:tcPr>
                            <w:tcW w:w="239" w:type="dxa"/>
                            <w:tcBorders/>
                            <w:shd w:fill="auto" w:val="clear"/>
                            <w:vAlign w:val="bottom"/>
                          </w:tcPr>
                          <w:p>
                            <w:pPr>
                              <w:pStyle w:val="Normal"/>
                              <w:snapToGrid w:val="false"/>
                              <w:spacing w:before="0" w:after="0"/>
                              <w:rPr>
                                <w:rFonts w:ascii="Arial" w:hAnsi="Arial" w:cs="Arial"/>
                                <w:b/>
                                <w:b/>
                                <w:bCs/>
                                <w:color w:val="000000"/>
                                <w:sz w:val="18"/>
                                <w:szCs w:val="18"/>
                              </w:rPr>
                            </w:pPr>
                            <w:r>
                              <w:rPr>
                                <w:rFonts w:cs="Arial" w:ascii="Arial" w:hAnsi="Arial"/>
                                <w:b/>
                                <w:bCs/>
                                <w:color w:val="000000"/>
                                <w:sz w:val="18"/>
                                <w:szCs w:val="18"/>
                              </w:rPr>
                            </w:r>
                          </w:p>
                        </w:tc>
                        <w:tc>
                          <w:tcPr>
                            <w:tcW w:w="4092" w:type="dxa"/>
                            <w:gridSpan w:val="4"/>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Other mental diagnoses</w:t>
                            </w:r>
                          </w:p>
                        </w:tc>
                      </w:tr>
                      <w:tr>
                        <w:trPr>
                          <w:trHeight w:val="275" w:hRule="atLeast"/>
                          <w:cantSplit w:val="true"/>
                        </w:trPr>
                        <w:tc>
                          <w:tcPr>
                            <w:tcW w:w="2792" w:type="dxa"/>
                            <w:tcBorders/>
                            <w:shd w:fill="auto" w:val="clear"/>
                            <w:vAlign w:val="bottom"/>
                          </w:tcPr>
                          <w:p>
                            <w:pPr>
                              <w:pStyle w:val="Normal"/>
                              <w:spacing w:before="0" w:after="0"/>
                              <w:rPr>
                                <w:rFonts w:ascii="Arial" w:hAnsi="Arial" w:cs="Arial"/>
                                <w:color w:val="000000"/>
                                <w:sz w:val="18"/>
                                <w:szCs w:val="18"/>
                              </w:rPr>
                            </w:pPr>
                            <w:r>
                              <w:rPr>
                                <w:rFonts w:cs="Arial" w:ascii="Arial" w:hAnsi="Arial"/>
                                <w:color w:val="000000"/>
                                <w:sz w:val="18"/>
                                <w:szCs w:val="18"/>
                              </w:rPr>
                              <w:t> </w:t>
                            </w:r>
                          </w:p>
                        </w:tc>
                        <w:tc>
                          <w:tcPr>
                            <w:tcW w:w="1826" w:type="dxa"/>
                            <w:gridSpan w:val="2"/>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color w:val="000000"/>
                                <w:sz w:val="18"/>
                                <w:szCs w:val="18"/>
                              </w:rPr>
                            </w:pPr>
                            <w:r>
                              <w:rPr>
                                <w:rFonts w:cs="Arial" w:ascii="Arial" w:hAnsi="Arial"/>
                                <w:color w:val="000000"/>
                                <w:sz w:val="18"/>
                                <w:szCs w:val="18"/>
                              </w:rPr>
                              <w:t>Unadjusted</w:t>
                            </w:r>
                          </w:p>
                        </w:tc>
                        <w:tc>
                          <w:tcPr>
                            <w:tcW w:w="2208" w:type="dxa"/>
                            <w:gridSpan w:val="2"/>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sz w:val="18"/>
                                <w:szCs w:val="18"/>
                              </w:rPr>
                            </w:pPr>
                            <w:r>
                              <w:rPr>
                                <w:rFonts w:cs="Arial" w:ascii="Arial" w:hAnsi="Arial"/>
                                <w:sz w:val="18"/>
                                <w:szCs w:val="18"/>
                              </w:rPr>
                              <w:t xml:space="preserve">Adjusted </w:t>
                            </w:r>
                          </w:p>
                        </w:tc>
                        <w:tc>
                          <w:tcPr>
                            <w:tcW w:w="239" w:type="dxa"/>
                            <w:tcBorders/>
                            <w:shd w:fill="auto" w:val="clear"/>
                            <w:vAlign w:val="bottom"/>
                          </w:tcPr>
                          <w:p>
                            <w:pPr>
                              <w:pStyle w:val="Normal"/>
                              <w:snapToGrid w:val="false"/>
                              <w:spacing w:before="0" w:after="0"/>
                              <w:jc w:val="center"/>
                              <w:rPr>
                                <w:rFonts w:ascii="Arial" w:hAnsi="Arial" w:cs="Arial"/>
                                <w:sz w:val="18"/>
                                <w:szCs w:val="18"/>
                              </w:rPr>
                            </w:pPr>
                            <w:r>
                              <w:rPr>
                                <w:rFonts w:cs="Arial" w:ascii="Arial" w:hAnsi="Arial"/>
                                <w:sz w:val="18"/>
                                <w:szCs w:val="18"/>
                              </w:rPr>
                            </w:r>
                          </w:p>
                        </w:tc>
                        <w:tc>
                          <w:tcPr>
                            <w:tcW w:w="1931" w:type="dxa"/>
                            <w:gridSpan w:val="2"/>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color w:val="000000"/>
                                <w:sz w:val="18"/>
                                <w:szCs w:val="18"/>
                              </w:rPr>
                            </w:pPr>
                            <w:r>
                              <w:rPr>
                                <w:rFonts w:cs="Arial" w:ascii="Arial" w:hAnsi="Arial"/>
                                <w:color w:val="000000"/>
                                <w:sz w:val="18"/>
                                <w:szCs w:val="18"/>
                              </w:rPr>
                              <w:t>Unadjusted</w:t>
                            </w:r>
                          </w:p>
                        </w:tc>
                        <w:tc>
                          <w:tcPr>
                            <w:tcW w:w="2161" w:type="dxa"/>
                            <w:gridSpan w:val="2"/>
                            <w:tcBorders>
                              <w:top w:val="single" w:sz="8" w:space="0" w:color="000000"/>
                              <w:bottom w:val="single" w:sz="8" w:space="0" w:color="000000"/>
                              <w:insideH w:val="single" w:sz="8" w:space="0" w:color="000000"/>
                            </w:tcBorders>
                            <w:shd w:fill="auto" w:val="clear"/>
                            <w:vAlign w:val="bottom"/>
                          </w:tcPr>
                          <w:p>
                            <w:pPr>
                              <w:pStyle w:val="Normal"/>
                              <w:spacing w:before="0" w:after="0"/>
                              <w:jc w:val="center"/>
                              <w:rPr>
                                <w:rFonts w:ascii="Arial" w:hAnsi="Arial" w:cs="Arial"/>
                                <w:sz w:val="18"/>
                                <w:szCs w:val="18"/>
                              </w:rPr>
                            </w:pPr>
                            <w:r>
                              <w:rPr>
                                <w:rFonts w:cs="Arial" w:ascii="Arial" w:hAnsi="Arial"/>
                                <w:sz w:val="18"/>
                                <w:szCs w:val="18"/>
                              </w:rPr>
                              <w:t xml:space="preserve">Adjusted </w:t>
                            </w:r>
                          </w:p>
                        </w:tc>
                      </w:tr>
                      <w:tr>
                        <w:trPr>
                          <w:trHeight w:val="551" w:hRule="atLeast"/>
                          <w:cantSplit w:val="true"/>
                        </w:trPr>
                        <w:tc>
                          <w:tcPr>
                            <w:tcW w:w="2792" w:type="dxa"/>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 </w:t>
                            </w:r>
                          </w:p>
                        </w:tc>
                        <w:tc>
                          <w:tcPr>
                            <w:tcW w:w="682" w:type="dxa"/>
                            <w:tcBorders>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Rate Ratio</w:t>
                            </w:r>
                          </w:p>
                        </w:tc>
                        <w:tc>
                          <w:tcPr>
                            <w:tcW w:w="1144" w:type="dxa"/>
                            <w:tcBorders>
                              <w:bottom w:val="single" w:sz="8" w:space="0" w:color="000000"/>
                              <w:insideH w:val="single" w:sz="8" w:space="0" w:color="000000"/>
                            </w:tcBorders>
                            <w:shd w:fill="auto" w:val="clear"/>
                            <w:vAlign w:val="bottom"/>
                          </w:tcPr>
                          <w:p>
                            <w:pPr>
                              <w:pStyle w:val="Normal"/>
                              <w:spacing w:before="0" w:after="0"/>
                              <w:jc w:val="center"/>
                              <w:rPr/>
                            </w:pPr>
                            <w:r>
                              <w:rPr>
                                <w:rFonts w:cs="Arial" w:ascii="Arial" w:hAnsi="Arial"/>
                                <w:b/>
                                <w:bCs/>
                                <w:color w:val="000000"/>
                                <w:sz w:val="18"/>
                                <w:szCs w:val="18"/>
                              </w:rPr>
                              <w:t>(95% CI</w:t>
                            </w:r>
                            <w:r>
                              <w:rPr>
                                <w:rFonts w:cs="Arial" w:ascii="Arial" w:hAnsi="Arial"/>
                                <w:color w:val="000000"/>
                                <w:sz w:val="18"/>
                                <w:szCs w:val="18"/>
                                <w:vertAlign w:val="superscript"/>
                              </w:rPr>
                              <w:t>§</w:t>
                            </w:r>
                            <w:r>
                              <w:rPr>
                                <w:rFonts w:cs="Arial" w:ascii="Arial" w:hAnsi="Arial"/>
                                <w:b/>
                                <w:bCs/>
                                <w:color w:val="000000"/>
                                <w:sz w:val="18"/>
                                <w:szCs w:val="18"/>
                              </w:rPr>
                              <w:t>)</w:t>
                            </w:r>
                          </w:p>
                        </w:tc>
                        <w:tc>
                          <w:tcPr>
                            <w:tcW w:w="789" w:type="dxa"/>
                            <w:tcBorders>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Rate Ratio</w:t>
                            </w:r>
                          </w:p>
                        </w:tc>
                        <w:tc>
                          <w:tcPr>
                            <w:tcW w:w="1419" w:type="dxa"/>
                            <w:tcBorders>
                              <w:bottom w:val="single" w:sz="8" w:space="0" w:color="000000"/>
                              <w:insideH w:val="single" w:sz="8" w:space="0" w:color="000000"/>
                            </w:tcBorders>
                            <w:shd w:fill="auto" w:val="clear"/>
                            <w:vAlign w:val="bottom"/>
                          </w:tcPr>
                          <w:p>
                            <w:pPr>
                              <w:pStyle w:val="Normal"/>
                              <w:spacing w:before="0" w:after="0"/>
                              <w:jc w:val="center"/>
                              <w:rPr/>
                            </w:pPr>
                            <w:r>
                              <w:rPr>
                                <w:rFonts w:cs="Arial" w:ascii="Arial" w:hAnsi="Arial"/>
                                <w:b/>
                                <w:bCs/>
                                <w:color w:val="000000"/>
                                <w:sz w:val="18"/>
                                <w:szCs w:val="18"/>
                              </w:rPr>
                              <w:t>(95% CI</w:t>
                            </w:r>
                            <w:r>
                              <w:rPr>
                                <w:rFonts w:cs="Arial" w:ascii="Arial" w:hAnsi="Arial"/>
                                <w:color w:val="000000"/>
                                <w:sz w:val="18"/>
                                <w:szCs w:val="18"/>
                                <w:vertAlign w:val="superscript"/>
                              </w:rPr>
                              <w:t>§</w:t>
                            </w:r>
                            <w:r>
                              <w:rPr>
                                <w:rFonts w:cs="Arial" w:ascii="Arial" w:hAnsi="Arial"/>
                                <w:b/>
                                <w:bCs/>
                                <w:color w:val="000000"/>
                                <w:sz w:val="18"/>
                                <w:szCs w:val="18"/>
                              </w:rPr>
                              <w:t>)</w:t>
                            </w:r>
                          </w:p>
                        </w:tc>
                        <w:tc>
                          <w:tcPr>
                            <w:tcW w:w="239" w:type="dxa"/>
                            <w:tcBorders/>
                            <w:shd w:fill="auto" w:val="clear"/>
                            <w:vAlign w:val="bottom"/>
                          </w:tcPr>
                          <w:p>
                            <w:pPr>
                              <w:pStyle w:val="Normal"/>
                              <w:snapToGrid w:val="false"/>
                              <w:spacing w:before="0" w:after="0"/>
                              <w:jc w:val="center"/>
                              <w:rPr>
                                <w:rFonts w:ascii="Arial" w:hAnsi="Arial" w:cs="Arial"/>
                                <w:b/>
                                <w:b/>
                                <w:bCs/>
                                <w:color w:val="000000"/>
                                <w:sz w:val="18"/>
                                <w:szCs w:val="18"/>
                              </w:rPr>
                            </w:pPr>
                            <w:r>
                              <w:rPr>
                                <w:rFonts w:cs="Arial" w:ascii="Arial" w:hAnsi="Arial"/>
                                <w:b/>
                                <w:bCs/>
                                <w:color w:val="000000"/>
                                <w:sz w:val="18"/>
                                <w:szCs w:val="18"/>
                              </w:rPr>
                            </w:r>
                          </w:p>
                        </w:tc>
                        <w:tc>
                          <w:tcPr>
                            <w:tcW w:w="665" w:type="dxa"/>
                            <w:tcBorders>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Rate Ratio</w:t>
                            </w:r>
                          </w:p>
                        </w:tc>
                        <w:tc>
                          <w:tcPr>
                            <w:tcW w:w="1266" w:type="dxa"/>
                            <w:tcBorders>
                              <w:bottom w:val="single" w:sz="8" w:space="0" w:color="000000"/>
                              <w:insideH w:val="single" w:sz="8" w:space="0" w:color="000000"/>
                            </w:tcBorders>
                            <w:shd w:fill="auto" w:val="clear"/>
                            <w:vAlign w:val="bottom"/>
                          </w:tcPr>
                          <w:p>
                            <w:pPr>
                              <w:pStyle w:val="Normal"/>
                              <w:spacing w:before="0" w:after="0"/>
                              <w:jc w:val="center"/>
                              <w:rPr/>
                            </w:pPr>
                            <w:r>
                              <w:rPr>
                                <w:rFonts w:cs="Arial" w:ascii="Arial" w:hAnsi="Arial"/>
                                <w:b/>
                                <w:bCs/>
                                <w:color w:val="000000"/>
                                <w:sz w:val="18"/>
                                <w:szCs w:val="18"/>
                              </w:rPr>
                              <w:t>(95% CI</w:t>
                            </w:r>
                            <w:r>
                              <w:rPr>
                                <w:rFonts w:cs="Arial" w:ascii="Arial" w:hAnsi="Arial"/>
                                <w:color w:val="000000"/>
                                <w:sz w:val="18"/>
                                <w:szCs w:val="18"/>
                                <w:vertAlign w:val="superscript"/>
                              </w:rPr>
                              <w:t>§</w:t>
                            </w:r>
                            <w:r>
                              <w:rPr>
                                <w:rFonts w:cs="Arial" w:ascii="Arial" w:hAnsi="Arial"/>
                                <w:b/>
                                <w:bCs/>
                                <w:color w:val="000000"/>
                                <w:sz w:val="18"/>
                                <w:szCs w:val="18"/>
                              </w:rPr>
                              <w:t>)</w:t>
                            </w:r>
                          </w:p>
                        </w:tc>
                        <w:tc>
                          <w:tcPr>
                            <w:tcW w:w="789" w:type="dxa"/>
                            <w:tcBorders>
                              <w:bottom w:val="single" w:sz="8" w:space="0" w:color="000000"/>
                              <w:insideH w:val="single" w:sz="8" w:space="0" w:color="000000"/>
                            </w:tcBorders>
                            <w:shd w:fill="auto" w:val="clear"/>
                            <w:vAlign w:val="bottom"/>
                          </w:tcPr>
                          <w:p>
                            <w:pPr>
                              <w:pStyle w:val="Normal"/>
                              <w:spacing w:before="0" w:after="0"/>
                              <w:jc w:val="center"/>
                              <w:rPr>
                                <w:rFonts w:ascii="Arial" w:hAnsi="Arial" w:cs="Arial"/>
                                <w:b/>
                                <w:b/>
                                <w:bCs/>
                                <w:color w:val="000000"/>
                                <w:sz w:val="18"/>
                                <w:szCs w:val="18"/>
                              </w:rPr>
                            </w:pPr>
                            <w:r>
                              <w:rPr>
                                <w:rFonts w:cs="Arial" w:ascii="Arial" w:hAnsi="Arial"/>
                                <w:b/>
                                <w:bCs/>
                                <w:color w:val="000000"/>
                                <w:sz w:val="18"/>
                                <w:szCs w:val="18"/>
                              </w:rPr>
                              <w:t>Rate Ratio</w:t>
                            </w:r>
                          </w:p>
                        </w:tc>
                        <w:tc>
                          <w:tcPr>
                            <w:tcW w:w="1372" w:type="dxa"/>
                            <w:tcBorders>
                              <w:bottom w:val="single" w:sz="8" w:space="0" w:color="000000"/>
                              <w:insideH w:val="single" w:sz="8" w:space="0" w:color="000000"/>
                            </w:tcBorders>
                            <w:shd w:fill="auto" w:val="clear"/>
                            <w:vAlign w:val="bottom"/>
                          </w:tcPr>
                          <w:p>
                            <w:pPr>
                              <w:pStyle w:val="Normal"/>
                              <w:spacing w:before="0" w:after="0"/>
                              <w:jc w:val="center"/>
                              <w:rPr/>
                            </w:pPr>
                            <w:r>
                              <w:rPr>
                                <w:rFonts w:cs="Arial" w:ascii="Arial" w:hAnsi="Arial"/>
                                <w:b/>
                                <w:bCs/>
                                <w:color w:val="000000"/>
                                <w:sz w:val="18"/>
                                <w:szCs w:val="18"/>
                              </w:rPr>
                              <w:t>(95% CI</w:t>
                            </w:r>
                            <w:r>
                              <w:rPr>
                                <w:rFonts w:cs="Arial" w:ascii="Arial" w:hAnsi="Arial"/>
                                <w:color w:val="000000"/>
                                <w:sz w:val="18"/>
                                <w:szCs w:val="18"/>
                                <w:vertAlign w:val="superscript"/>
                              </w:rPr>
                              <w:t>§</w:t>
                            </w:r>
                            <w:r>
                              <w:rPr>
                                <w:rFonts w:cs="Arial" w:ascii="Arial" w:hAnsi="Arial"/>
                                <w:b/>
                                <w:bCs/>
                                <w:color w:val="000000"/>
                                <w:sz w:val="18"/>
                                <w:szCs w:val="18"/>
                              </w:rPr>
                              <w:t>)</w:t>
                            </w:r>
                          </w:p>
                        </w:tc>
                      </w:tr>
                      <w:tr>
                        <w:trPr>
                          <w:trHeight w:val="275" w:hRule="atLeast"/>
                          <w:cantSplit w:val="true"/>
                        </w:trPr>
                        <w:tc>
                          <w:tcPr>
                            <w:tcW w:w="3474" w:type="dxa"/>
                            <w:gridSpan w:val="2"/>
                            <w:tcBorders/>
                            <w:shd w:fill="auto" w:val="clear"/>
                            <w:vAlign w:val="bottom"/>
                          </w:tcPr>
                          <w:p>
                            <w:pPr>
                              <w:pStyle w:val="Normal"/>
                              <w:spacing w:before="0" w:after="0"/>
                              <w:rPr>
                                <w:rFonts w:ascii="Arial" w:hAnsi="Arial" w:cs="Arial"/>
                                <w:color w:val="000000"/>
                                <w:sz w:val="18"/>
                                <w:szCs w:val="18"/>
                              </w:rPr>
                            </w:pPr>
                            <w:r>
                              <w:rPr>
                                <w:rFonts w:cs="Arial" w:ascii="Arial" w:hAnsi="Arial"/>
                                <w:color w:val="000000"/>
                                <w:sz w:val="18"/>
                                <w:szCs w:val="18"/>
                              </w:rPr>
                              <w:t xml:space="preserve">Group type </w:t>
                            </w:r>
                          </w:p>
                        </w:tc>
                        <w:tc>
                          <w:tcPr>
                            <w:tcW w:w="1144"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789" w:type="dxa"/>
                            <w:tcBorders/>
                            <w:shd w:fill="auto" w:val="clear"/>
                            <w:vAlign w:val="bottom"/>
                          </w:tcPr>
                          <w:p>
                            <w:pPr>
                              <w:pStyle w:val="Normal"/>
                              <w:snapToGrid w:val="false"/>
                              <w:spacing w:before="0" w:after="0"/>
                              <w:jc w:val="right"/>
                              <w:rPr>
                                <w:rFonts w:ascii="Arial" w:hAnsi="Arial" w:cs="Arial"/>
                                <w:color w:val="000000"/>
                                <w:sz w:val="18"/>
                                <w:szCs w:val="18"/>
                              </w:rPr>
                            </w:pPr>
                            <w:r>
                              <w:rPr>
                                <w:rFonts w:cs="Arial" w:ascii="Arial" w:hAnsi="Arial"/>
                                <w:color w:val="000000"/>
                                <w:sz w:val="18"/>
                                <w:szCs w:val="18"/>
                              </w:rPr>
                            </w:r>
                          </w:p>
                        </w:tc>
                        <w:tc>
                          <w:tcPr>
                            <w:tcW w:w="1419"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239"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665" w:type="dxa"/>
                            <w:tcBorders/>
                            <w:shd w:fill="auto" w:val="clear"/>
                            <w:vAlign w:val="bottom"/>
                          </w:tcPr>
                          <w:p>
                            <w:pPr>
                              <w:pStyle w:val="Normal"/>
                              <w:snapToGrid w:val="false"/>
                              <w:spacing w:before="0" w:after="0"/>
                              <w:rPr>
                                <w:rFonts w:ascii="Arial" w:hAnsi="Arial" w:cs="Arial"/>
                                <w:color w:val="7030A0"/>
                                <w:sz w:val="18"/>
                                <w:szCs w:val="18"/>
                              </w:rPr>
                            </w:pPr>
                            <w:r>
                              <w:rPr>
                                <w:rFonts w:cs="Arial" w:ascii="Arial" w:hAnsi="Arial"/>
                                <w:color w:val="7030A0"/>
                                <w:sz w:val="18"/>
                                <w:szCs w:val="18"/>
                              </w:rPr>
                            </w:r>
                          </w:p>
                        </w:tc>
                        <w:tc>
                          <w:tcPr>
                            <w:tcW w:w="1266" w:type="dxa"/>
                            <w:tcBorders/>
                            <w:shd w:fill="auto" w:val="clear"/>
                            <w:vAlign w:val="bottom"/>
                          </w:tcPr>
                          <w:p>
                            <w:pPr>
                              <w:pStyle w:val="Normal"/>
                              <w:snapToGrid w:val="false"/>
                              <w:spacing w:before="0" w:after="0"/>
                              <w:rPr>
                                <w:rFonts w:ascii="Arial" w:hAnsi="Arial" w:cs="Arial"/>
                                <w:color w:val="7030A0"/>
                                <w:sz w:val="18"/>
                                <w:szCs w:val="18"/>
                              </w:rPr>
                            </w:pPr>
                            <w:r>
                              <w:rPr>
                                <w:rFonts w:cs="Arial" w:ascii="Arial" w:hAnsi="Arial"/>
                                <w:color w:val="7030A0"/>
                                <w:sz w:val="18"/>
                                <w:szCs w:val="18"/>
                              </w:rPr>
                            </w:r>
                          </w:p>
                        </w:tc>
                        <w:tc>
                          <w:tcPr>
                            <w:tcW w:w="789" w:type="dxa"/>
                            <w:tcBorders/>
                            <w:shd w:fill="FFFFFF" w:val="clear"/>
                            <w:vAlign w:val="bottom"/>
                          </w:tcPr>
                          <w:p>
                            <w:pPr>
                              <w:pStyle w:val="Normal"/>
                              <w:spacing w:before="0" w:after="0"/>
                              <w:jc w:val="right"/>
                              <w:rPr>
                                <w:rFonts w:ascii="Arial" w:hAnsi="Arial" w:cs="Arial"/>
                                <w:color w:val="7030A0"/>
                                <w:sz w:val="18"/>
                                <w:szCs w:val="18"/>
                              </w:rPr>
                            </w:pPr>
                            <w:r>
                              <w:rPr>
                                <w:rFonts w:cs="Arial" w:ascii="Arial" w:hAnsi="Arial"/>
                                <w:color w:val="7030A0"/>
                                <w:sz w:val="18"/>
                                <w:szCs w:val="18"/>
                              </w:rPr>
                              <w:t> </w:t>
                            </w:r>
                          </w:p>
                        </w:tc>
                        <w:tc>
                          <w:tcPr>
                            <w:tcW w:w="1372" w:type="dxa"/>
                            <w:tcBorders/>
                            <w:shd w:fill="FFFFFF" w:val="clear"/>
                            <w:vAlign w:val="bottom"/>
                          </w:tcPr>
                          <w:p>
                            <w:pPr>
                              <w:pStyle w:val="Normal"/>
                              <w:spacing w:before="0" w:after="0"/>
                              <w:rPr>
                                <w:rFonts w:ascii="Arial" w:hAnsi="Arial" w:cs="Arial"/>
                                <w:color w:val="7030A0"/>
                                <w:sz w:val="18"/>
                                <w:szCs w:val="18"/>
                              </w:rPr>
                            </w:pPr>
                            <w:r>
                              <w:rPr>
                                <w:rFonts w:cs="Arial" w:ascii="Arial" w:hAnsi="Arial"/>
                                <w:color w:val="7030A0"/>
                                <w:sz w:val="18"/>
                                <w:szCs w:val="18"/>
                              </w:rPr>
                              <w:t> </w:t>
                            </w:r>
                          </w:p>
                        </w:tc>
                      </w:tr>
                      <w:tr>
                        <w:trPr>
                          <w:trHeight w:val="275" w:hRule="atLeast"/>
                          <w:cantSplit w:val="true"/>
                        </w:trPr>
                        <w:tc>
                          <w:tcPr>
                            <w:tcW w:w="2792" w:type="dxa"/>
                            <w:tcBorders/>
                            <w:shd w:fill="auto" w:val="clear"/>
                            <w:vAlign w:val="bottom"/>
                          </w:tcPr>
                          <w:p>
                            <w:pPr>
                              <w:pStyle w:val="Normal"/>
                              <w:spacing w:before="0" w:after="0"/>
                              <w:ind w:left="480" w:hanging="0"/>
                              <w:rPr>
                                <w:rFonts w:ascii="Arial" w:hAnsi="Arial" w:cs="Arial"/>
                                <w:color w:val="000000"/>
                                <w:sz w:val="18"/>
                                <w:szCs w:val="18"/>
                              </w:rPr>
                            </w:pPr>
                            <w:r>
                              <w:rPr>
                                <w:rFonts w:cs="Arial" w:ascii="Arial" w:hAnsi="Arial"/>
                                <w:color w:val="000000"/>
                                <w:sz w:val="18"/>
                                <w:szCs w:val="18"/>
                              </w:rPr>
                              <w:t xml:space="preserve">Blended capitation </w:t>
                            </w:r>
                          </w:p>
                        </w:tc>
                        <w:tc>
                          <w:tcPr>
                            <w:tcW w:w="682"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0.88</w:t>
                            </w:r>
                          </w:p>
                        </w:tc>
                        <w:tc>
                          <w:tcPr>
                            <w:tcW w:w="1144"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(0.80-0.97)</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0.91</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(0.82-1.01)</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0.87</w:t>
                            </w:r>
                          </w:p>
                        </w:tc>
                        <w:tc>
                          <w:tcPr>
                            <w:tcW w:w="1266"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(0.83-0.91)</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0.94</w:t>
                            </w:r>
                          </w:p>
                        </w:tc>
                        <w:tc>
                          <w:tcPr>
                            <w:tcW w:w="1372"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(0.90-0.99)</w:t>
                            </w:r>
                          </w:p>
                        </w:tc>
                      </w:tr>
                      <w:tr>
                        <w:trPr>
                          <w:trHeight w:val="275" w:hRule="atLeast"/>
                          <w:cantSplit w:val="true"/>
                        </w:trPr>
                        <w:tc>
                          <w:tcPr>
                            <w:tcW w:w="2792" w:type="dxa"/>
                            <w:tcBorders/>
                            <w:shd w:fill="auto" w:val="clear"/>
                            <w:vAlign w:val="bottom"/>
                          </w:tcPr>
                          <w:p>
                            <w:pPr>
                              <w:pStyle w:val="Normal"/>
                              <w:spacing w:before="0" w:after="0"/>
                              <w:ind w:left="480" w:hanging="0"/>
                              <w:rPr>
                                <w:rFonts w:ascii="Arial" w:hAnsi="Arial" w:cs="Arial"/>
                                <w:color w:val="000000"/>
                                <w:sz w:val="18"/>
                                <w:szCs w:val="18"/>
                              </w:rPr>
                            </w:pPr>
                            <w:r>
                              <w:rPr>
                                <w:rFonts w:cs="Arial" w:ascii="Arial" w:hAnsi="Arial"/>
                                <w:color w:val="000000"/>
                                <w:sz w:val="18"/>
                                <w:szCs w:val="18"/>
                              </w:rPr>
                              <w:t xml:space="preserve">Team based capitation </w:t>
                            </w:r>
                          </w:p>
                        </w:tc>
                        <w:tc>
                          <w:tcPr>
                            <w:tcW w:w="682"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1.04</w:t>
                            </w:r>
                          </w:p>
                        </w:tc>
                        <w:tc>
                          <w:tcPr>
                            <w:tcW w:w="1144"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(0.94-1.15)</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1.06</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(0.96-1.17)</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0.81</w:t>
                            </w:r>
                          </w:p>
                        </w:tc>
                        <w:tc>
                          <w:tcPr>
                            <w:tcW w:w="1266"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(0.77-0.85)</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0.89</w:t>
                            </w:r>
                          </w:p>
                        </w:tc>
                        <w:tc>
                          <w:tcPr>
                            <w:tcW w:w="1372"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(0.85-0.94)</w:t>
                            </w:r>
                          </w:p>
                        </w:tc>
                      </w:tr>
                      <w:tr>
                        <w:trPr>
                          <w:trHeight w:val="275" w:hRule="atLeast"/>
                          <w:cantSplit w:val="true"/>
                        </w:trPr>
                        <w:tc>
                          <w:tcPr>
                            <w:tcW w:w="2792" w:type="dxa"/>
                            <w:tcBorders/>
                            <w:shd w:fill="auto" w:val="clear"/>
                            <w:vAlign w:val="bottom"/>
                          </w:tcPr>
                          <w:p>
                            <w:pPr>
                              <w:pStyle w:val="Normal"/>
                              <w:spacing w:before="0" w:after="0"/>
                              <w:ind w:left="480" w:hanging="0"/>
                              <w:rPr>
                                <w:rFonts w:ascii="Arial" w:hAnsi="Arial" w:cs="Arial"/>
                                <w:color w:val="000000"/>
                                <w:sz w:val="18"/>
                                <w:szCs w:val="18"/>
                              </w:rPr>
                            </w:pPr>
                            <w:r>
                              <w:rPr>
                                <w:rFonts w:cs="Arial" w:ascii="Arial" w:hAnsi="Arial"/>
                                <w:color w:val="000000"/>
                                <w:sz w:val="18"/>
                                <w:szCs w:val="18"/>
                              </w:rPr>
                              <w:t xml:space="preserve">Enhanced fee-for-service </w:t>
                            </w:r>
                          </w:p>
                        </w:tc>
                        <w:tc>
                          <w:tcPr>
                            <w:tcW w:w="682"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266"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75" w:hRule="atLeast"/>
                          <w:cantSplit w:val="true"/>
                        </w:trPr>
                        <w:tc>
                          <w:tcPr>
                            <w:tcW w:w="3474" w:type="dxa"/>
                            <w:gridSpan w:val="2"/>
                            <w:tcBorders/>
                            <w:shd w:fill="auto" w:val="clear"/>
                            <w:vAlign w:val="bottom"/>
                          </w:tcPr>
                          <w:p>
                            <w:pPr>
                              <w:pStyle w:val="Normal"/>
                              <w:spacing w:before="0" w:after="0"/>
                              <w:rPr>
                                <w:rFonts w:ascii="Arial" w:hAnsi="Arial" w:cs="Arial"/>
                                <w:sz w:val="18"/>
                                <w:szCs w:val="18"/>
                              </w:rPr>
                            </w:pPr>
                            <w:r>
                              <w:rPr>
                                <w:rFonts w:cs="Arial" w:ascii="Arial" w:hAnsi="Arial"/>
                                <w:sz w:val="18"/>
                                <w:szCs w:val="18"/>
                              </w:rPr>
                              <w:t>Mean patient age</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1.02</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(1.01-1.03)</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0.99</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(0.99-1.00)</w:t>
                            </w:r>
                          </w:p>
                        </w:tc>
                      </w:tr>
                      <w:tr>
                        <w:trPr>
                          <w:trHeight w:val="275" w:hRule="atLeast"/>
                          <w:cantSplit w:val="true"/>
                        </w:trPr>
                        <w:tc>
                          <w:tcPr>
                            <w:tcW w:w="4618" w:type="dxa"/>
                            <w:gridSpan w:val="3"/>
                            <w:tcBorders/>
                            <w:shd w:fill="auto" w:val="clear"/>
                            <w:vAlign w:val="bottom"/>
                          </w:tcPr>
                          <w:p>
                            <w:pPr>
                              <w:pStyle w:val="Normal"/>
                              <w:spacing w:before="0" w:after="0"/>
                              <w:rPr>
                                <w:rFonts w:ascii="Arial" w:hAnsi="Arial" w:cs="Arial"/>
                                <w:sz w:val="18"/>
                                <w:szCs w:val="18"/>
                              </w:rPr>
                            </w:pPr>
                            <w:r>
                              <w:rPr>
                                <w:rFonts w:cs="Arial" w:ascii="Arial" w:hAnsi="Arial"/>
                                <w:sz w:val="18"/>
                                <w:szCs w:val="18"/>
                              </w:rPr>
                              <w:t>% female patients in practice</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0.63</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(0.51-0.77)</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1.08</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(1.00-1.19)</w:t>
                            </w:r>
                          </w:p>
                        </w:tc>
                      </w:tr>
                      <w:tr>
                        <w:trPr>
                          <w:trHeight w:val="275" w:hRule="atLeast"/>
                          <w:cantSplit w:val="true"/>
                        </w:trPr>
                        <w:tc>
                          <w:tcPr>
                            <w:tcW w:w="4618" w:type="dxa"/>
                            <w:gridSpan w:val="3"/>
                            <w:tcBorders/>
                            <w:shd w:fill="auto" w:val="clear"/>
                            <w:vAlign w:val="bottom"/>
                          </w:tcPr>
                          <w:p>
                            <w:pPr>
                              <w:pStyle w:val="Normal"/>
                              <w:spacing w:before="0" w:after="0"/>
                              <w:rPr>
                                <w:rFonts w:ascii="Arial" w:hAnsi="Arial" w:cs="Arial"/>
                                <w:sz w:val="18"/>
                                <w:szCs w:val="18"/>
                              </w:rPr>
                            </w:pPr>
                            <w:r>
                              <w:rPr>
                                <w:rFonts w:cs="Arial" w:ascii="Arial" w:hAnsi="Arial"/>
                                <w:sz w:val="18"/>
                                <w:szCs w:val="18"/>
                              </w:rPr>
                              <w:t xml:space="preserve">% lowest  income quintile patients </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4.25</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(3.12-5.79)</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0.94</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(0.80-1.10)</w:t>
                            </w:r>
                          </w:p>
                        </w:tc>
                      </w:tr>
                      <w:tr>
                        <w:trPr>
                          <w:trHeight w:val="275" w:hRule="atLeast"/>
                          <w:cantSplit w:val="true"/>
                        </w:trPr>
                        <w:tc>
                          <w:tcPr>
                            <w:tcW w:w="4618" w:type="dxa"/>
                            <w:gridSpan w:val="3"/>
                            <w:tcBorders/>
                            <w:shd w:fill="auto" w:val="clear"/>
                            <w:vAlign w:val="bottom"/>
                          </w:tcPr>
                          <w:p>
                            <w:pPr>
                              <w:pStyle w:val="Normal"/>
                              <w:spacing w:before="0" w:after="0"/>
                              <w:rPr>
                                <w:rFonts w:ascii="Arial" w:hAnsi="Arial" w:cs="Arial"/>
                                <w:sz w:val="18"/>
                                <w:szCs w:val="18"/>
                              </w:rPr>
                            </w:pPr>
                            <w:r>
                              <w:rPr>
                                <w:rFonts w:cs="Arial" w:ascii="Arial" w:hAnsi="Arial"/>
                                <w:sz w:val="18"/>
                                <w:szCs w:val="18"/>
                              </w:rPr>
                              <w:t>Practice location-- rurality score</w:t>
                            </w:r>
                            <w:r>
                              <w:rPr>
                                <w:rFonts w:cs="Arial" w:ascii="Arial" w:hAnsi="Arial"/>
                                <w:sz w:val="18"/>
                                <w:szCs w:val="18"/>
                                <w:vertAlign w:val="superscript"/>
                              </w:rPr>
                              <w:t>||</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(0.99-1.00)</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(1.00-1.00)</w:t>
                            </w:r>
                          </w:p>
                        </w:tc>
                      </w:tr>
                      <w:tr>
                        <w:trPr>
                          <w:trHeight w:val="275" w:hRule="atLeast"/>
                          <w:cantSplit w:val="true"/>
                        </w:trPr>
                        <w:tc>
                          <w:tcPr>
                            <w:tcW w:w="3474" w:type="dxa"/>
                            <w:gridSpan w:val="2"/>
                            <w:tcBorders/>
                            <w:shd w:fill="auto" w:val="clear"/>
                            <w:vAlign w:val="bottom"/>
                          </w:tcPr>
                          <w:p>
                            <w:pPr>
                              <w:pStyle w:val="Normal"/>
                              <w:spacing w:before="0" w:after="0"/>
                              <w:rPr>
                                <w:rFonts w:ascii="Arial" w:hAnsi="Arial" w:cs="Arial"/>
                                <w:sz w:val="18"/>
                                <w:szCs w:val="18"/>
                              </w:rPr>
                            </w:pPr>
                            <w:r>
                              <w:rPr>
                                <w:rFonts w:cs="Arial" w:ascii="Arial" w:hAnsi="Arial"/>
                                <w:sz w:val="18"/>
                                <w:szCs w:val="18"/>
                              </w:rPr>
                              <w:t xml:space="preserve">Median comorbidity score </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1.11</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(1.08-1.15)</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1.18</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(1.16-1.21)</w:t>
                            </w:r>
                          </w:p>
                        </w:tc>
                      </w:tr>
                      <w:tr>
                        <w:trPr>
                          <w:trHeight w:val="275" w:hRule="atLeast"/>
                          <w:cantSplit w:val="true"/>
                        </w:trPr>
                        <w:tc>
                          <w:tcPr>
                            <w:tcW w:w="4618" w:type="dxa"/>
                            <w:gridSpan w:val="3"/>
                            <w:tcBorders/>
                            <w:shd w:fill="auto" w:val="clear"/>
                            <w:vAlign w:val="bottom"/>
                          </w:tcPr>
                          <w:p>
                            <w:pPr>
                              <w:pStyle w:val="Normal"/>
                              <w:spacing w:before="0" w:after="0"/>
                              <w:rPr>
                                <w:rFonts w:ascii="Arial" w:hAnsi="Arial" w:cs="Arial"/>
                                <w:sz w:val="18"/>
                                <w:szCs w:val="18"/>
                              </w:rPr>
                            </w:pPr>
                            <w:r>
                              <w:rPr>
                                <w:rFonts w:cs="Arial" w:ascii="Arial" w:hAnsi="Arial"/>
                                <w:sz w:val="18"/>
                                <w:szCs w:val="18"/>
                              </w:rPr>
                              <w:t>Physician years since graduation</w:t>
                            </w:r>
                          </w:p>
                        </w:tc>
                        <w:tc>
                          <w:tcPr>
                            <w:tcW w:w="789" w:type="dxa"/>
                            <w:tcBorders/>
                            <w:shd w:fill="auto" w:val="clear"/>
                            <w:vAlign w:val="bottom"/>
                          </w:tcPr>
                          <w:p>
                            <w:pPr>
                              <w:pStyle w:val="Normal"/>
                              <w:snapToGrid w:val="false"/>
                              <w:spacing w:before="0" w:after="0"/>
                              <w:jc w:val="right"/>
                              <w:rPr>
                                <w:rFonts w:ascii="Arial" w:hAnsi="Arial" w:cs="Arial"/>
                                <w:sz w:val="18"/>
                                <w:szCs w:val="18"/>
                              </w:rPr>
                            </w:pPr>
                            <w:r>
                              <w:rPr>
                                <w:rFonts w:cs="Arial" w:ascii="Arial" w:hAnsi="Arial"/>
                                <w:sz w:val="18"/>
                                <w:szCs w:val="18"/>
                              </w:rPr>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 </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Less than 5 years</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5 to 9 years</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1.10</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(0.99-1.22)</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0.96</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(0.91-1.03)</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10 to 19 years</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1.07</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(0.96-1.20)</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1.01</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(0.95-1.07)</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20 to 29 years</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1.14</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(1.02-1.28)</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1.05</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(0.98-1.11)</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30 years or more</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1.10</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(0.97-1.25)</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1.10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(1.03-1.17)</w:t>
                            </w:r>
                          </w:p>
                        </w:tc>
                      </w:tr>
                      <w:tr>
                        <w:trPr>
                          <w:trHeight w:val="275" w:hRule="atLeast"/>
                          <w:cantSplit w:val="true"/>
                        </w:trPr>
                        <w:tc>
                          <w:tcPr>
                            <w:tcW w:w="3474" w:type="dxa"/>
                            <w:gridSpan w:val="2"/>
                            <w:tcBorders/>
                            <w:shd w:fill="auto" w:val="clear"/>
                            <w:vAlign w:val="bottom"/>
                          </w:tcPr>
                          <w:p>
                            <w:pPr>
                              <w:pStyle w:val="Normal"/>
                              <w:spacing w:before="0" w:after="0"/>
                              <w:rPr>
                                <w:rFonts w:ascii="Arial" w:hAnsi="Arial" w:cs="Arial"/>
                                <w:sz w:val="18"/>
                                <w:szCs w:val="18"/>
                              </w:rPr>
                            </w:pPr>
                            <w:r>
                              <w:rPr>
                                <w:rFonts w:cs="Arial" w:ascii="Arial" w:hAnsi="Arial"/>
                                <w:sz w:val="18"/>
                                <w:szCs w:val="18"/>
                              </w:rPr>
                              <w:t xml:space="preserve">Physician time in group </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napToGrid w:val="false"/>
                              <w:spacing w:before="0" w:after="0"/>
                              <w:jc w:val="right"/>
                              <w:rPr>
                                <w:rFonts w:ascii="Arial" w:hAnsi="Arial" w:cs="Arial"/>
                                <w:sz w:val="18"/>
                                <w:szCs w:val="18"/>
                              </w:rPr>
                            </w:pPr>
                            <w:r>
                              <w:rPr>
                                <w:rFonts w:cs="Arial" w:ascii="Arial" w:hAnsi="Arial"/>
                                <w:sz w:val="18"/>
                                <w:szCs w:val="18"/>
                              </w:rPr>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 </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4618" w:type="dxa"/>
                            <w:gridSpan w:val="3"/>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Less than 12 months </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1.07</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(0.97, 1.17)</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1.02</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(0.97, 1.07)</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12 to 23 months </w:t>
                            </w:r>
                          </w:p>
                        </w:tc>
                        <w:tc>
                          <w:tcPr>
                            <w:tcW w:w="1144" w:type="dxa"/>
                            <w:tcBorders/>
                            <w:shd w:fill="auto" w:val="clear"/>
                            <w:vAlign w:val="bottom"/>
                          </w:tcPr>
                          <w:p>
                            <w:pPr>
                              <w:pStyle w:val="Normal"/>
                              <w:snapToGrid w:val="false"/>
                              <w:spacing w:before="0" w:after="0"/>
                              <w:ind w:firstLine="452"/>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1.01</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(0.91, 1.12)</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(0.95, 1.05)</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24 to 35 months </w:t>
                            </w:r>
                          </w:p>
                        </w:tc>
                        <w:tc>
                          <w:tcPr>
                            <w:tcW w:w="1144" w:type="dxa"/>
                            <w:tcBorders/>
                            <w:shd w:fill="auto" w:val="clear"/>
                            <w:vAlign w:val="bottom"/>
                          </w:tcPr>
                          <w:p>
                            <w:pPr>
                              <w:pStyle w:val="Normal"/>
                              <w:snapToGrid w:val="false"/>
                              <w:spacing w:before="0" w:after="0"/>
                              <w:ind w:firstLine="452"/>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1.04</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(0.92, 1.18)</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0.99</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(0.95, 1.04)</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36 to 47 months </w:t>
                            </w:r>
                          </w:p>
                        </w:tc>
                        <w:tc>
                          <w:tcPr>
                            <w:tcW w:w="1144" w:type="dxa"/>
                            <w:tcBorders/>
                            <w:shd w:fill="auto" w:val="clear"/>
                            <w:vAlign w:val="bottom"/>
                          </w:tcPr>
                          <w:p>
                            <w:pPr>
                              <w:pStyle w:val="Normal"/>
                              <w:snapToGrid w:val="false"/>
                              <w:spacing w:before="0" w:after="0"/>
                              <w:ind w:firstLine="452"/>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0.96</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(0.89, 1.03)</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(0.96, 1.05)</w:t>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48+ months </w:t>
                            </w:r>
                          </w:p>
                        </w:tc>
                        <w:tc>
                          <w:tcPr>
                            <w:tcW w:w="1144" w:type="dxa"/>
                            <w:tcBorders/>
                            <w:shd w:fill="auto" w:val="clear"/>
                            <w:vAlign w:val="bottom"/>
                          </w:tcPr>
                          <w:p>
                            <w:pPr>
                              <w:pStyle w:val="Normal"/>
                              <w:snapToGrid w:val="false"/>
                              <w:spacing w:before="0" w:after="0"/>
                              <w:ind w:firstLine="452"/>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75" w:hRule="atLeast"/>
                          <w:cantSplit w:val="true"/>
                        </w:trPr>
                        <w:tc>
                          <w:tcPr>
                            <w:tcW w:w="3474" w:type="dxa"/>
                            <w:gridSpan w:val="2"/>
                            <w:tcBorders/>
                            <w:shd w:fill="auto" w:val="clear"/>
                            <w:vAlign w:val="bottom"/>
                          </w:tcPr>
                          <w:p>
                            <w:pPr>
                              <w:pStyle w:val="Normal"/>
                              <w:spacing w:before="0" w:after="0"/>
                              <w:rPr>
                                <w:rFonts w:ascii="Arial" w:hAnsi="Arial" w:cs="Arial"/>
                                <w:sz w:val="18"/>
                                <w:szCs w:val="18"/>
                              </w:rPr>
                            </w:pPr>
                            <w:r>
                              <w:rPr>
                                <w:rFonts w:cs="Arial" w:ascii="Arial" w:hAnsi="Arial"/>
                                <w:sz w:val="18"/>
                                <w:szCs w:val="18"/>
                              </w:rPr>
                              <w:t xml:space="preserve">Medical Graduation </w:t>
                            </w:r>
                          </w:p>
                        </w:tc>
                        <w:tc>
                          <w:tcPr>
                            <w:tcW w:w="1144"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napToGrid w:val="false"/>
                              <w:spacing w:before="0" w:after="0"/>
                              <w:jc w:val="right"/>
                              <w:rPr>
                                <w:rFonts w:ascii="Arial" w:hAnsi="Arial" w:cs="Arial"/>
                                <w:sz w:val="18"/>
                                <w:szCs w:val="18"/>
                              </w:rPr>
                            </w:pPr>
                            <w:r>
                              <w:rPr>
                                <w:rFonts w:cs="Arial" w:ascii="Arial" w:hAnsi="Arial"/>
                                <w:sz w:val="18"/>
                                <w:szCs w:val="18"/>
                              </w:rPr>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 </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4618" w:type="dxa"/>
                            <w:gridSpan w:val="3"/>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Canadian medical graduate</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4618" w:type="dxa"/>
                            <w:gridSpan w:val="3"/>
                            <w:tcBorders/>
                            <w:shd w:fill="auto" w:val="clear"/>
                            <w:vAlign w:val="bottom"/>
                          </w:tcPr>
                          <w:p>
                            <w:pPr>
                              <w:pStyle w:val="Normal"/>
                              <w:spacing w:before="0" w:after="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Non- Canadian medical graduate</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0.95</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(0.90-1.01)</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0.94</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(0.91-0.97)</w:t>
                            </w:r>
                          </w:p>
                        </w:tc>
                      </w:tr>
                      <w:tr>
                        <w:trPr>
                          <w:trHeight w:val="275" w:hRule="atLeast"/>
                          <w:cantSplit w:val="true"/>
                        </w:trPr>
                        <w:tc>
                          <w:tcPr>
                            <w:tcW w:w="5407" w:type="dxa"/>
                            <w:gridSpan w:val="4"/>
                            <w:tcBorders/>
                            <w:shd w:fill="auto" w:val="clear"/>
                            <w:vAlign w:val="bottom"/>
                          </w:tcPr>
                          <w:p>
                            <w:pPr>
                              <w:pStyle w:val="Normal"/>
                              <w:spacing w:before="0" w:after="0"/>
                              <w:rPr>
                                <w:rFonts w:ascii="Arial" w:hAnsi="Arial" w:cs="Arial"/>
                                <w:sz w:val="18"/>
                                <w:szCs w:val="18"/>
                              </w:rPr>
                            </w:pPr>
                            <w:r>
                              <w:rPr>
                                <w:rFonts w:cs="Arial" w:ascii="Arial" w:hAnsi="Arial"/>
                                <w:sz w:val="18"/>
                                <w:szCs w:val="18"/>
                              </w:rPr>
                              <w:t>Number of rostered patients</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FFFFFF" w:val="clear"/>
                            <w:vAlign w:val="bottom"/>
                          </w:tcPr>
                          <w:p>
                            <w:pPr>
                              <w:pStyle w:val="Normal"/>
                              <w:spacing w:before="0" w:after="0"/>
                              <w:jc w:val="right"/>
                              <w:rPr>
                                <w:rFonts w:ascii="Arial" w:hAnsi="Arial" w:cs="Arial"/>
                                <w:sz w:val="18"/>
                                <w:szCs w:val="18"/>
                              </w:rPr>
                            </w:pPr>
                            <w:r>
                              <w:rPr>
                                <w:rFonts w:cs="Arial" w:ascii="Arial" w:hAnsi="Arial"/>
                                <w:sz w:val="18"/>
                                <w:szCs w:val="18"/>
                              </w:rPr>
                              <w:t> </w:t>
                            </w:r>
                          </w:p>
                        </w:tc>
                        <w:tc>
                          <w:tcPr>
                            <w:tcW w:w="1372" w:type="dxa"/>
                            <w:tcBorders/>
                            <w:shd w:fill="FFFFFF" w:val="clear"/>
                            <w:vAlign w:val="bottom"/>
                          </w:tcPr>
                          <w:p>
                            <w:pPr>
                              <w:pStyle w:val="Normal"/>
                              <w:spacing w:before="0" w:after="0"/>
                              <w:rPr>
                                <w:rFonts w:ascii="Arial" w:hAnsi="Arial" w:cs="Arial"/>
                                <w:sz w:val="18"/>
                                <w:szCs w:val="18"/>
                              </w:rPr>
                            </w:pPr>
                            <w:r>
                              <w:rPr>
                                <w:rFonts w:cs="Arial" w:ascii="Arial" w:hAnsi="Arial"/>
                                <w:sz w:val="18"/>
                                <w:szCs w:val="18"/>
                              </w:rPr>
                              <w:t> </w:t>
                            </w:r>
                          </w:p>
                        </w:tc>
                      </w:tr>
                      <w:tr>
                        <w:trPr>
                          <w:trHeight w:val="275" w:hRule="atLeast"/>
                          <w:cantSplit w:val="true"/>
                        </w:trPr>
                        <w:tc>
                          <w:tcPr>
                            <w:tcW w:w="4618" w:type="dxa"/>
                            <w:gridSpan w:val="3"/>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Less than 650 patients</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41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1.00</w:t>
                            </w:r>
                          </w:p>
                        </w:tc>
                        <w:tc>
                          <w:tcPr>
                            <w:tcW w:w="1372"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r>
                      <w:tr>
                        <w:trPr>
                          <w:trHeight w:val="275" w:hRule="atLeast"/>
                          <w:cantSplit w:val="true"/>
                        </w:trPr>
                        <w:tc>
                          <w:tcPr>
                            <w:tcW w:w="3474" w:type="dxa"/>
                            <w:gridSpan w:val="2"/>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650 to 999 patients </w:t>
                            </w:r>
                          </w:p>
                        </w:tc>
                        <w:tc>
                          <w:tcPr>
                            <w:tcW w:w="1144" w:type="dxa"/>
                            <w:tcBorders/>
                            <w:shd w:fill="auto" w:val="clear"/>
                            <w:vAlign w:val="bottom"/>
                          </w:tcPr>
                          <w:p>
                            <w:pPr>
                              <w:pStyle w:val="Normal"/>
                              <w:snapToGrid w:val="false"/>
                              <w:spacing w:before="0" w:after="0"/>
                              <w:ind w:firstLine="452"/>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0.90</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(0.81-1.01)</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0.98</w:t>
                            </w:r>
                          </w:p>
                        </w:tc>
                        <w:tc>
                          <w:tcPr>
                            <w:tcW w:w="1372"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(0.95-1.02)</w:t>
                            </w:r>
                          </w:p>
                        </w:tc>
                      </w:tr>
                      <w:tr>
                        <w:trPr>
                          <w:trHeight w:val="275" w:hRule="atLeast"/>
                          <w:cantSplit w:val="true"/>
                        </w:trPr>
                        <w:tc>
                          <w:tcPr>
                            <w:tcW w:w="4618" w:type="dxa"/>
                            <w:gridSpan w:val="3"/>
                            <w:tcBorders/>
                            <w:shd w:fill="auto" w:val="clear"/>
                            <w:vAlign w:val="bottom"/>
                          </w:tcPr>
                          <w:p>
                            <w:pPr>
                              <w:pStyle w:val="Normal"/>
                              <w:spacing w:before="0" w:after="0"/>
                              <w:ind w:firstLine="452"/>
                              <w:rPr>
                                <w:rFonts w:ascii="Arial" w:hAnsi="Arial" w:cs="Arial"/>
                                <w:sz w:val="18"/>
                                <w:szCs w:val="18"/>
                              </w:rPr>
                            </w:pPr>
                            <w:r>
                              <w:rPr>
                                <w:rFonts w:cs="Arial" w:ascii="Arial" w:hAnsi="Arial"/>
                                <w:sz w:val="18"/>
                                <w:szCs w:val="18"/>
                              </w:rPr>
                              <w:t xml:space="preserve">1000 to 1999 patients </w:t>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0.80</w:t>
                            </w:r>
                          </w:p>
                        </w:tc>
                        <w:tc>
                          <w:tcPr>
                            <w:tcW w:w="1419"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(0.71-0.90)</w:t>
                            </w:r>
                          </w:p>
                        </w:tc>
                        <w:tc>
                          <w:tcPr>
                            <w:tcW w:w="239"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665"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1266" w:type="dxa"/>
                            <w:tcBorders/>
                            <w:shd w:fill="auto" w:val="clear"/>
                            <w:vAlign w:val="bottom"/>
                          </w:tcPr>
                          <w:p>
                            <w:pPr>
                              <w:pStyle w:val="Normal"/>
                              <w:snapToGrid w:val="false"/>
                              <w:spacing w:before="0" w:after="0"/>
                              <w:rPr>
                                <w:rFonts w:ascii="Arial" w:hAnsi="Arial" w:cs="Arial"/>
                                <w:sz w:val="18"/>
                                <w:szCs w:val="18"/>
                              </w:rPr>
                            </w:pPr>
                            <w:r>
                              <w:rPr>
                                <w:rFonts w:cs="Arial" w:ascii="Arial" w:hAnsi="Arial"/>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0.96</w:t>
                            </w:r>
                          </w:p>
                        </w:tc>
                        <w:tc>
                          <w:tcPr>
                            <w:tcW w:w="1372"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(0.92-1.00)</w:t>
                            </w:r>
                          </w:p>
                        </w:tc>
                      </w:tr>
                      <w:tr>
                        <w:trPr>
                          <w:trHeight w:val="275" w:hRule="atLeast"/>
                          <w:cantSplit w:val="true"/>
                        </w:trPr>
                        <w:tc>
                          <w:tcPr>
                            <w:tcW w:w="4618" w:type="dxa"/>
                            <w:gridSpan w:val="3"/>
                            <w:tcBorders/>
                            <w:shd w:fill="auto" w:val="clear"/>
                            <w:vAlign w:val="bottom"/>
                          </w:tcPr>
                          <w:p>
                            <w:pPr>
                              <w:pStyle w:val="Normal"/>
                              <w:spacing w:before="0" w:after="0"/>
                              <w:ind w:firstLine="452"/>
                              <w:rPr>
                                <w:rFonts w:ascii="Arial" w:hAnsi="Arial" w:cs="Arial"/>
                                <w:color w:val="000000"/>
                                <w:sz w:val="18"/>
                                <w:szCs w:val="18"/>
                              </w:rPr>
                            </w:pPr>
                            <w:r>
                              <w:rPr>
                                <w:rFonts w:cs="Arial" w:ascii="Arial" w:hAnsi="Arial"/>
                                <w:color w:val="000000"/>
                                <w:sz w:val="18"/>
                                <w:szCs w:val="18"/>
                              </w:rPr>
                              <w:t>2000 to more patients</w:t>
                            </w:r>
                          </w:p>
                        </w:tc>
                        <w:tc>
                          <w:tcPr>
                            <w:tcW w:w="789" w:type="dxa"/>
                            <w:tcBorders/>
                            <w:shd w:fill="auto" w:val="clear"/>
                            <w:vAlign w:val="bottom"/>
                          </w:tcPr>
                          <w:p>
                            <w:pPr>
                              <w:pStyle w:val="Normal"/>
                              <w:spacing w:before="0" w:after="0"/>
                              <w:jc w:val="right"/>
                              <w:rPr>
                                <w:rFonts w:ascii="Arial" w:hAnsi="Arial" w:cs="Arial"/>
                                <w:color w:val="000000"/>
                                <w:sz w:val="18"/>
                                <w:szCs w:val="18"/>
                              </w:rPr>
                            </w:pPr>
                            <w:r>
                              <w:rPr>
                                <w:rFonts w:cs="Arial" w:ascii="Arial" w:hAnsi="Arial"/>
                                <w:color w:val="000000"/>
                                <w:sz w:val="18"/>
                                <w:szCs w:val="18"/>
                              </w:rPr>
                              <w:t>0.71</w:t>
                            </w:r>
                          </w:p>
                        </w:tc>
                        <w:tc>
                          <w:tcPr>
                            <w:tcW w:w="1419" w:type="dxa"/>
                            <w:tcBorders/>
                            <w:shd w:fill="auto" w:val="clear"/>
                            <w:vAlign w:val="bottom"/>
                          </w:tcPr>
                          <w:p>
                            <w:pPr>
                              <w:pStyle w:val="Normal"/>
                              <w:spacing w:before="0" w:after="0"/>
                              <w:rPr>
                                <w:rFonts w:ascii="Arial" w:hAnsi="Arial" w:cs="Arial"/>
                                <w:color w:val="000000"/>
                                <w:sz w:val="18"/>
                                <w:szCs w:val="18"/>
                              </w:rPr>
                            </w:pPr>
                            <w:r>
                              <w:rPr>
                                <w:rFonts w:cs="Arial" w:ascii="Arial" w:hAnsi="Arial"/>
                                <w:color w:val="000000"/>
                                <w:sz w:val="18"/>
                                <w:szCs w:val="18"/>
                              </w:rPr>
                              <w:t>(0.63-0.81)</w:t>
                            </w:r>
                          </w:p>
                        </w:tc>
                        <w:tc>
                          <w:tcPr>
                            <w:tcW w:w="239"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665"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1266" w:type="dxa"/>
                            <w:tcBorders/>
                            <w:shd w:fill="auto" w:val="clear"/>
                            <w:vAlign w:val="bottom"/>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789" w:type="dxa"/>
                            <w:tcBorders/>
                            <w:shd w:fill="auto" w:val="clear"/>
                            <w:vAlign w:val="bottom"/>
                          </w:tcPr>
                          <w:p>
                            <w:pPr>
                              <w:pStyle w:val="Normal"/>
                              <w:spacing w:before="0" w:after="0"/>
                              <w:jc w:val="right"/>
                              <w:rPr>
                                <w:rFonts w:ascii="Arial" w:hAnsi="Arial" w:cs="Arial"/>
                                <w:sz w:val="18"/>
                                <w:szCs w:val="18"/>
                              </w:rPr>
                            </w:pPr>
                            <w:r>
                              <w:rPr>
                                <w:rFonts w:cs="Arial" w:ascii="Arial" w:hAnsi="Arial"/>
                                <w:sz w:val="18"/>
                                <w:szCs w:val="18"/>
                              </w:rPr>
                              <w:t>0.88</w:t>
                            </w:r>
                          </w:p>
                        </w:tc>
                        <w:tc>
                          <w:tcPr>
                            <w:tcW w:w="1372" w:type="dxa"/>
                            <w:tcBorders/>
                            <w:shd w:fill="auto" w:val="clear"/>
                            <w:vAlign w:val="bottom"/>
                          </w:tcPr>
                          <w:p>
                            <w:pPr>
                              <w:pStyle w:val="Normal"/>
                              <w:spacing w:before="0" w:after="0"/>
                              <w:rPr>
                                <w:rFonts w:ascii="Arial" w:hAnsi="Arial" w:cs="Arial"/>
                                <w:sz w:val="18"/>
                                <w:szCs w:val="18"/>
                              </w:rPr>
                            </w:pPr>
                            <w:r>
                              <w:rPr>
                                <w:rFonts w:cs="Arial" w:ascii="Arial" w:hAnsi="Arial"/>
                                <w:sz w:val="18"/>
                                <w:szCs w:val="18"/>
                              </w:rPr>
                              <w:t>(0.84-0.92)</w:t>
                            </w:r>
                          </w:p>
                        </w:tc>
                      </w:tr>
                      <w:tr>
                        <w:trPr>
                          <w:trHeight w:val="275" w:hRule="atLeast"/>
                          <w:cantSplit w:val="true"/>
                        </w:trPr>
                        <w:tc>
                          <w:tcPr>
                            <w:tcW w:w="11157" w:type="dxa"/>
                            <w:gridSpan w:val="10"/>
                            <w:tcBorders>
                              <w:top w:val="single" w:sz="8" w:space="0" w:color="000000"/>
                            </w:tcBorders>
                            <w:shd w:fill="auto" w:val="clear"/>
                            <w:vAlign w:val="bottom"/>
                          </w:tcPr>
                          <w:p>
                            <w:pPr>
                              <w:pStyle w:val="Normal"/>
                              <w:spacing w:before="0" w:after="0"/>
                              <w:rPr/>
                            </w:pPr>
                            <w:r>
                              <w:rPr>
                                <w:rFonts w:cs="Arial" w:ascii="Arial" w:hAnsi="Arial"/>
                                <w:color w:val="000000"/>
                                <w:sz w:val="18"/>
                                <w:szCs w:val="18"/>
                                <w:vertAlign w:val="superscript"/>
                              </w:rPr>
                              <w:t xml:space="preserve">* </w:t>
                            </w:r>
                            <w:r>
                              <w:rPr>
                                <w:rFonts w:cs="Arial" w:ascii="Arial" w:hAnsi="Arial"/>
                                <w:color w:val="000000"/>
                                <w:sz w:val="18"/>
                                <w:szCs w:val="18"/>
                              </w:rPr>
                              <w:t xml:space="preserve"> The study population included Ontario residents with a valid OHIP number who were 18 years or older as of August 31, 2008. </w:t>
                            </w:r>
                          </w:p>
                        </w:tc>
                      </w:tr>
                      <w:tr>
                        <w:trPr>
                          <w:trHeight w:val="533" w:hRule="atLeast"/>
                          <w:cantSplit w:val="true"/>
                        </w:trPr>
                        <w:tc>
                          <w:tcPr>
                            <w:tcW w:w="11157" w:type="dxa"/>
                            <w:gridSpan w:val="10"/>
                            <w:tcBorders/>
                            <w:shd w:fill="auto" w:val="clear"/>
                            <w:vAlign w:val="bottom"/>
                          </w:tcPr>
                          <w:p>
                            <w:pPr>
                              <w:pStyle w:val="Normal"/>
                              <w:spacing w:before="0" w:after="0"/>
                              <w:rPr>
                                <w:rFonts w:ascii="Arial" w:hAnsi="Arial" w:cs="Arial"/>
                                <w:color w:val="000000"/>
                                <w:sz w:val="18"/>
                                <w:szCs w:val="18"/>
                              </w:rPr>
                            </w:pPr>
                            <w:r>
                              <w:rPr>
                                <w:rFonts w:eastAsia="Arial" w:cs="Arial" w:ascii="Arial" w:hAnsi="Arial"/>
                                <w:color w:val="000000"/>
                                <w:sz w:val="18"/>
                                <w:szCs w:val="18"/>
                                <w:vertAlign w:val="superscript"/>
                              </w:rPr>
                              <w:t xml:space="preserve">† </w:t>
                            </w:r>
                            <w:r>
                              <w:rPr>
                                <w:rFonts w:eastAsia="Arial" w:cs="Arial" w:ascii="Arial" w:hAnsi="Arial"/>
                                <w:color w:val="000000"/>
                                <w:sz w:val="18"/>
                                <w:szCs w:val="18"/>
                              </w:rPr>
                              <w:t xml:space="preserve">  </w:t>
                            </w:r>
                            <w:r>
                              <w:rPr>
                                <w:rFonts w:cs="Arial" w:ascii="Arial" w:hAnsi="Arial"/>
                                <w:color w:val="000000"/>
                                <w:sz w:val="18"/>
                                <w:szCs w:val="18"/>
                              </w:rPr>
                              <w:t>The analysis was offset by the total number of people in the practice including individuals</w:t>
                            </w:r>
                            <w:r>
                              <w:rPr>
                                <w:rFonts w:cs="Arial" w:ascii="Arial" w:hAnsi="Arial"/>
                                <w:sz w:val="18"/>
                                <w:szCs w:val="18"/>
                              </w:rPr>
                              <w:t xml:space="preserve"> with and without mental illness in the physicians’ total practices.</w:t>
                            </w:r>
                          </w:p>
                        </w:tc>
                      </w:tr>
                      <w:tr>
                        <w:trPr>
                          <w:trHeight w:val="273" w:hRule="atLeast"/>
                          <w:cantSplit w:val="true"/>
                        </w:trPr>
                        <w:tc>
                          <w:tcPr>
                            <w:tcW w:w="11157" w:type="dxa"/>
                            <w:gridSpan w:val="10"/>
                            <w:vMerge w:val="restart"/>
                            <w:tcBorders>
                              <w:bottom w:val="single" w:sz="8" w:space="0" w:color="000000"/>
                              <w:insideH w:val="single" w:sz="8" w:space="0" w:color="000000"/>
                            </w:tcBorders>
                            <w:shd w:fill="auto" w:val="clear"/>
                          </w:tcPr>
                          <w:p>
                            <w:pPr>
                              <w:pStyle w:val="Normal"/>
                              <w:spacing w:before="0" w:after="0"/>
                              <w:rPr/>
                            </w:pPr>
                            <w:r>
                              <w:rPr>
                                <w:rFonts w:eastAsia="Arial" w:cs="Arial" w:ascii="Arial" w:hAnsi="Arial"/>
                                <w:color w:val="000000"/>
                                <w:sz w:val="18"/>
                                <w:szCs w:val="18"/>
                                <w:vertAlign w:val="superscript"/>
                              </w:rPr>
                              <w:t xml:space="preserve">‡   </w:t>
                            </w:r>
                            <w:r>
                              <w:rPr>
                                <w:rFonts w:cs="Arial" w:ascii="Arial" w:hAnsi="Arial"/>
                                <w:color w:val="000000"/>
                                <w:sz w:val="18"/>
                                <w:szCs w:val="18"/>
                              </w:rPr>
                              <w:t xml:space="preserve">The unit of analysis is the physician.  Physician’s total practices include patients on the roster and virtual roster. </w:t>
                            </w:r>
                          </w:p>
                          <w:p>
                            <w:pPr>
                              <w:pStyle w:val="Normal"/>
                              <w:spacing w:before="0" w:after="0"/>
                              <w:rPr/>
                            </w:pPr>
                            <w:r>
                              <w:rPr>
                                <w:rFonts w:cs="Arial" w:ascii="Arial" w:hAnsi="Arial"/>
                                <w:color w:val="000000"/>
                                <w:sz w:val="18"/>
                                <w:szCs w:val="18"/>
                                <w:vertAlign w:val="superscript"/>
                              </w:rPr>
                              <w:t xml:space="preserve">§  </w:t>
                            </w:r>
                            <w:r>
                              <w:rPr>
                                <w:rFonts w:cs="Arial" w:ascii="Arial" w:hAnsi="Arial"/>
                                <w:color w:val="000000"/>
                                <w:sz w:val="18"/>
                                <w:szCs w:val="18"/>
                              </w:rPr>
                              <w:t>Confidence interval</w:t>
                            </w:r>
                            <w:r>
                              <w:rPr>
                                <w:rFonts w:cs="Arial" w:ascii="Arial" w:hAnsi="Arial"/>
                                <w:color w:val="000000"/>
                                <w:sz w:val="18"/>
                                <w:szCs w:val="18"/>
                                <w:vertAlign w:val="superscript"/>
                              </w:rPr>
                              <w:t xml:space="preserve">  </w:t>
                            </w:r>
                          </w:p>
                          <w:p>
                            <w:pPr>
                              <w:pStyle w:val="Normal"/>
                              <w:spacing w:before="0" w:after="0"/>
                              <w:rPr/>
                            </w:pPr>
                            <w:r>
                              <w:rPr>
                                <w:rFonts w:cs="Arial" w:ascii="Arial" w:hAnsi="Arial"/>
                                <w:sz w:val="18"/>
                                <w:szCs w:val="18"/>
                                <w:vertAlign w:val="superscript"/>
                              </w:rPr>
                              <w:t>||</w:t>
                            </w:r>
                            <w:r>
                              <w:rPr>
                                <w:rFonts w:cs="Arial" w:ascii="Arial" w:hAnsi="Arial"/>
                                <w:color w:val="000000"/>
                                <w:sz w:val="18"/>
                                <w:szCs w:val="18"/>
                                <w:vertAlign w:val="superscript"/>
                              </w:rPr>
                              <w:t xml:space="preserve"> </w:t>
                            </w:r>
                            <w:r>
                              <w:rPr>
                                <w:rFonts w:cs="Arial" w:ascii="Arial" w:hAnsi="Arial"/>
                                <w:color w:val="000000"/>
                                <w:sz w:val="18"/>
                                <w:szCs w:val="18"/>
                              </w:rPr>
                              <w:t xml:space="preserve"> Rurality Index of Ontario  </w:t>
                            </w:r>
                          </w:p>
                        </w:tc>
                      </w:tr>
                      <w:tr>
                        <w:trPr>
                          <w:trHeight w:val="273" w:hRule="atLeast"/>
                          <w:cantSplit w:val="true"/>
                        </w:trPr>
                        <w:tc>
                          <w:tcPr>
                            <w:tcW w:w="11157" w:type="dxa"/>
                            <w:gridSpan w:val="10"/>
                            <w:vMerge w:val="continue"/>
                            <w:tcBorders>
                              <w:bottom w:val="single" w:sz="8" w:space="0" w:color="000000"/>
                              <w:insideH w:val="single" w:sz="8" w:space="0" w:color="000000"/>
                            </w:tcBorders>
                            <w:shd w:fill="auto" w:val="clear"/>
                            <w:vAlign w:val="center"/>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r>
                    </w:tbl>
                  </w:txbxContent>
                </v:textbox>
                <w10:wrap type="square"/>
              </v:rect>
            </w:pict>
          </mc:Fallback>
        </mc:AlternateContent>
      </w:r>
    </w:p>
    <w:tbl>
      <w:tblPr>
        <w:tblW w:w="11178"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3174"/>
        <w:gridCol w:w="683"/>
        <w:gridCol w:w="1257"/>
        <w:gridCol w:w="684"/>
        <w:gridCol w:w="1241"/>
        <w:gridCol w:w="239"/>
        <w:gridCol w:w="666"/>
        <w:gridCol w:w="1255"/>
        <w:gridCol w:w="684"/>
        <w:gridCol w:w="1195"/>
        <w:gridCol w:w="100"/>
      </w:tblGrid>
      <w:tr>
        <w:trPr>
          <w:trHeight w:val="499" w:hRule="atLeast"/>
        </w:trPr>
        <w:tc>
          <w:tcPr>
            <w:tcW w:w="11078" w:type="dxa"/>
            <w:gridSpan w:val="10"/>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rPr>
                <w:rFonts w:ascii="Arial" w:hAnsi="Arial" w:cs="Arial"/>
                <w:bCs/>
                <w:color w:val="000000"/>
                <w:sz w:val="18"/>
                <w:szCs w:val="18"/>
                <w:lang w:val="en-US" w:eastAsia="en-US"/>
              </w:rPr>
            </w:pPr>
            <w:r>
              <w:rPr>
                <w:rFonts w:cs="Arial" w:ascii="Arial" w:hAnsi="Arial"/>
                <w:bCs/>
                <w:color w:val="000000"/>
                <w:sz w:val="18"/>
                <w:szCs w:val="18"/>
                <w:lang w:val="en-US" w:eastAsia="en-US"/>
              </w:rPr>
              <w:t>Table 5.</w:t>
            </w:r>
            <w:r>
              <w:rPr>
                <w:rFonts w:cs="Arial" w:ascii="Arial" w:hAnsi="Arial"/>
                <w:bCs/>
                <w:color w:val="FF0000"/>
                <w:sz w:val="18"/>
                <w:szCs w:val="18"/>
                <w:lang w:val="en-US" w:eastAsia="en-US"/>
              </w:rPr>
              <w:t xml:space="preserve"> </w:t>
            </w:r>
            <w:r>
              <w:rPr>
                <w:rFonts w:cs="Arial" w:ascii="Arial" w:hAnsi="Arial"/>
                <w:color w:val="000000"/>
                <w:sz w:val="18"/>
                <w:szCs w:val="18"/>
                <w:lang w:val="en-US" w:eastAsia="en-US"/>
              </w:rPr>
              <w:t>Poisson regression using general estimating equations to assess the association between enrollment model type and the likelihood of rostering* patients</w:t>
            </w:r>
            <w:r>
              <w:rPr>
                <w:rFonts w:cs="Arial" w:ascii="Arial" w:hAnsi="Arial"/>
                <w:color w:val="000000"/>
                <w:sz w:val="18"/>
                <w:szCs w:val="18"/>
                <w:vertAlign w:val="superscript"/>
                <w:lang w:val="en-US" w:eastAsia="en-US"/>
              </w:rPr>
              <w:t xml:space="preserve">†   </w:t>
            </w:r>
            <w:r>
              <w:rPr>
                <w:rFonts w:cs="Arial" w:ascii="Arial" w:hAnsi="Arial"/>
                <w:color w:val="000000"/>
                <w:sz w:val="18"/>
                <w:szCs w:val="18"/>
                <w:lang w:val="en-US" w:eastAsia="en-US"/>
              </w:rPr>
              <w:t xml:space="preserve"> with mental health diagnoses</w:t>
            </w:r>
            <w:r>
              <w:rPr>
                <w:rFonts w:cs="Arial" w:ascii="Arial" w:hAnsi="Arial"/>
                <w:color w:val="000000"/>
                <w:sz w:val="18"/>
                <w:szCs w:val="18"/>
                <w:vertAlign w:val="superscript"/>
                <w:lang w:val="en-US" w:eastAsia="en-US"/>
              </w:rPr>
              <w:t>‡</w:t>
            </w:r>
            <w:r>
              <w:rPr>
                <w:rFonts w:cs="Arial" w:ascii="Arial" w:hAnsi="Arial"/>
                <w:color w:val="000000"/>
                <w:sz w:val="18"/>
                <w:szCs w:val="18"/>
                <w:lang w:val="en-US" w:eastAsia="en-US"/>
              </w:rPr>
              <w:t xml:space="preserve">, August 2008. </w:t>
            </w:r>
          </w:p>
        </w:tc>
        <w:tc>
          <w:tcPr>
            <w:tcW w:w="100" w:type="dxa"/>
            <w:tcBorders/>
            <w:shd w:fill="auto" w:val="clear"/>
            <w:tcMar>
              <w:left w:w="0" w:type="dxa"/>
              <w:right w:w="0" w:type="dxa"/>
            </w:tcMar>
          </w:tcPr>
          <w:p>
            <w:pPr>
              <w:pStyle w:val="Normal"/>
              <w:snapToGrid w:val="false"/>
              <w:spacing w:before="0" w:after="200"/>
              <w:rPr>
                <w:rFonts w:ascii="Arial" w:hAnsi="Arial" w:cs="Arial"/>
                <w:bCs/>
                <w:color w:val="000000"/>
                <w:sz w:val="20"/>
                <w:szCs w:val="20"/>
                <w:lang w:val="en-US" w:eastAsia="en-US"/>
              </w:rPr>
            </w:pPr>
            <w:r>
              <w:rPr>
                <w:rFonts w:cs="Arial" w:ascii="Arial" w:hAnsi="Arial"/>
                <w:bCs/>
                <w:color w:val="000000"/>
                <w:sz w:val="20"/>
                <w:szCs w:val="20"/>
                <w:lang w:val="en-US" w:eastAsia="en-US"/>
              </w:rPr>
            </w:r>
          </w:p>
        </w:tc>
      </w:tr>
      <w:tr>
        <w:trPr>
          <w:trHeight w:val="499" w:hRule="atLeast"/>
        </w:trPr>
        <w:tc>
          <w:tcPr>
            <w:tcW w:w="3174" w:type="dxa"/>
            <w:tcBorders>
              <w:top w:val="single" w:sz="4" w:space="0" w:color="000000"/>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3865" w:type="dxa"/>
            <w:gridSpan w:val="4"/>
            <w:tcBorders>
              <w:top w:val="single" w:sz="4" w:space="0" w:color="000000"/>
              <w:bottom w:val="single" w:sz="8" w:space="0" w:color="000000"/>
              <w:insideH w:val="single" w:sz="8" w:space="0" w:color="000000"/>
            </w:tcBorders>
            <w:shd w:fill="auto" w:val="clear"/>
            <w:vAlign w:val="bottom"/>
          </w:tcPr>
          <w:p>
            <w:pPr>
              <w:pStyle w:val="Normal"/>
              <w:spacing w:lineRule="auto" w:line="240" w:before="0" w:after="0"/>
              <w:jc w:val="center"/>
              <w:rPr>
                <w:rFonts w:ascii="Arial" w:hAnsi="Arial" w:cs="Arial"/>
                <w:bCs/>
                <w:color w:val="000000"/>
                <w:sz w:val="20"/>
                <w:szCs w:val="20"/>
                <w:lang w:val="en-US" w:eastAsia="en-US"/>
              </w:rPr>
            </w:pPr>
            <w:r>
              <w:rPr>
                <w:rFonts w:cs="Arial" w:ascii="Arial" w:hAnsi="Arial"/>
                <w:bCs/>
                <w:color w:val="000000"/>
                <w:sz w:val="20"/>
                <w:szCs w:val="20"/>
                <w:lang w:val="en-US" w:eastAsia="en-US"/>
              </w:rPr>
              <w:t>Psychosis-- Bipolar diagnoses</w:t>
            </w:r>
          </w:p>
        </w:tc>
        <w:tc>
          <w:tcPr>
            <w:tcW w:w="239" w:type="dxa"/>
            <w:tcBorders>
              <w:top w:val="single" w:sz="4" w:space="0" w:color="000000"/>
            </w:tcBorders>
            <w:shd w:fill="auto" w:val="clear"/>
            <w:vAlign w:val="bottom"/>
          </w:tcPr>
          <w:p>
            <w:pPr>
              <w:pStyle w:val="Normal"/>
              <w:snapToGrid w:val="false"/>
              <w:spacing w:lineRule="auto" w:line="240" w:before="0" w:after="0"/>
              <w:rPr>
                <w:rFonts w:ascii="Arial" w:hAnsi="Arial" w:cs="Arial"/>
                <w:bCs/>
                <w:color w:val="000000"/>
                <w:sz w:val="20"/>
                <w:szCs w:val="20"/>
                <w:lang w:val="en-US" w:eastAsia="en-US"/>
              </w:rPr>
            </w:pPr>
            <w:r>
              <w:rPr>
                <w:rFonts w:cs="Arial" w:ascii="Arial" w:hAnsi="Arial"/>
                <w:bCs/>
                <w:color w:val="000000"/>
                <w:sz w:val="20"/>
                <w:szCs w:val="20"/>
                <w:lang w:val="en-US" w:eastAsia="en-US"/>
              </w:rPr>
            </w:r>
          </w:p>
        </w:tc>
        <w:tc>
          <w:tcPr>
            <w:tcW w:w="3800" w:type="dxa"/>
            <w:gridSpan w:val="4"/>
            <w:tcBorders>
              <w:top w:val="single" w:sz="4" w:space="0" w:color="000000"/>
              <w:bottom w:val="single" w:sz="8" w:space="0" w:color="000000"/>
              <w:insideH w:val="single" w:sz="8" w:space="0" w:color="000000"/>
            </w:tcBorders>
            <w:shd w:fill="auto" w:val="clear"/>
            <w:vAlign w:val="bottom"/>
          </w:tcPr>
          <w:p>
            <w:pPr>
              <w:pStyle w:val="Normal"/>
              <w:spacing w:lineRule="auto" w:line="240" w:before="0" w:after="0"/>
              <w:jc w:val="center"/>
              <w:rPr>
                <w:rFonts w:ascii="Arial" w:hAnsi="Arial" w:cs="Arial"/>
                <w:bCs/>
                <w:color w:val="000000"/>
                <w:sz w:val="20"/>
                <w:szCs w:val="20"/>
                <w:lang w:val="en-US" w:eastAsia="en-US"/>
              </w:rPr>
            </w:pPr>
            <w:r>
              <w:rPr>
                <w:rFonts w:cs="Arial" w:ascii="Arial" w:hAnsi="Arial"/>
                <w:bCs/>
                <w:color w:val="000000"/>
                <w:sz w:val="20"/>
                <w:szCs w:val="20"/>
                <w:lang w:val="en-US" w:eastAsia="en-US"/>
              </w:rPr>
              <w:t>Other mental diagnoses</w:t>
            </w:r>
          </w:p>
        </w:tc>
        <w:tc>
          <w:tcPr>
            <w:tcW w:w="100" w:type="dxa"/>
            <w:tcBorders/>
            <w:shd w:fill="auto" w:val="clear"/>
            <w:tcMar>
              <w:left w:w="0" w:type="dxa"/>
              <w:right w:w="0" w:type="dxa"/>
            </w:tcMar>
          </w:tcPr>
          <w:p>
            <w:pPr>
              <w:pStyle w:val="Normal"/>
              <w:snapToGrid w:val="false"/>
              <w:spacing w:before="0" w:after="200"/>
              <w:rPr>
                <w:rFonts w:ascii="Arial" w:hAnsi="Arial" w:cs="Arial"/>
                <w:bCs/>
                <w:color w:val="000000"/>
                <w:sz w:val="20"/>
                <w:szCs w:val="20"/>
                <w:lang w:val="en-US" w:eastAsia="en-US"/>
              </w:rPr>
            </w:pPr>
            <w:r>
              <w:rPr>
                <w:rFonts w:cs="Arial" w:ascii="Arial" w:hAnsi="Arial"/>
                <w:bCs/>
                <w:color w:val="000000"/>
                <w:sz w:val="20"/>
                <w:szCs w:val="20"/>
                <w:lang w:val="en-US" w:eastAsia="en-US"/>
              </w:rPr>
            </w:r>
          </w:p>
        </w:tc>
      </w:tr>
      <w:tr>
        <w:trPr>
          <w:trHeight w:val="308" w:hRule="atLeast"/>
        </w:trPr>
        <w:tc>
          <w:tcPr>
            <w:tcW w:w="3174" w:type="dxa"/>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 </w:t>
            </w:r>
          </w:p>
        </w:tc>
        <w:tc>
          <w:tcPr>
            <w:tcW w:w="1940"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before="0" w:after="0"/>
              <w:jc w:val="center"/>
              <w:rPr>
                <w:rFonts w:ascii="Arial" w:hAnsi="Arial" w:cs="Arial"/>
                <w:color w:val="000000"/>
                <w:sz w:val="20"/>
                <w:szCs w:val="20"/>
                <w:lang w:val="en-US" w:eastAsia="en-US"/>
              </w:rPr>
            </w:pPr>
            <w:r>
              <w:rPr>
                <w:rFonts w:cs="Arial" w:ascii="Arial" w:hAnsi="Arial"/>
                <w:color w:val="000000"/>
                <w:sz w:val="20"/>
                <w:szCs w:val="20"/>
                <w:lang w:val="en-US" w:eastAsia="en-US"/>
              </w:rPr>
              <w:t>Unadjusted</w:t>
            </w:r>
          </w:p>
        </w:tc>
        <w:tc>
          <w:tcPr>
            <w:tcW w:w="1925"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before="0" w:after="0"/>
              <w:jc w:val="center"/>
              <w:rPr>
                <w:rFonts w:ascii="Arial" w:hAnsi="Arial" w:cs="Arial"/>
                <w:sz w:val="20"/>
                <w:szCs w:val="20"/>
                <w:lang w:val="en-US" w:eastAsia="en-US"/>
              </w:rPr>
            </w:pPr>
            <w:r>
              <w:rPr>
                <w:rFonts w:cs="Arial" w:ascii="Arial" w:hAnsi="Arial"/>
                <w:sz w:val="20"/>
                <w:szCs w:val="20"/>
                <w:lang w:val="en-US" w:eastAsia="en-US"/>
              </w:rPr>
              <w:t xml:space="preserve">Adjusted </w:t>
            </w:r>
          </w:p>
        </w:tc>
        <w:tc>
          <w:tcPr>
            <w:tcW w:w="239" w:type="dxa"/>
            <w:tcBorders/>
            <w:shd w:fill="auto" w:val="clear"/>
            <w:vAlign w:val="bottom"/>
          </w:tcPr>
          <w:p>
            <w:pPr>
              <w:pStyle w:val="Normal"/>
              <w:snapToGrid w:val="false"/>
              <w:spacing w:lineRule="auto" w:line="240" w:before="0" w:after="0"/>
              <w:jc w:val="center"/>
              <w:rPr>
                <w:rFonts w:ascii="Arial" w:hAnsi="Arial" w:cs="Arial"/>
                <w:sz w:val="20"/>
                <w:szCs w:val="20"/>
                <w:lang w:val="en-US" w:eastAsia="en-US"/>
              </w:rPr>
            </w:pPr>
            <w:r>
              <w:rPr>
                <w:rFonts w:cs="Arial" w:ascii="Arial" w:hAnsi="Arial"/>
                <w:sz w:val="20"/>
                <w:szCs w:val="20"/>
                <w:lang w:val="en-US" w:eastAsia="en-US"/>
              </w:rPr>
            </w:r>
          </w:p>
        </w:tc>
        <w:tc>
          <w:tcPr>
            <w:tcW w:w="1921"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before="0" w:after="0"/>
              <w:jc w:val="center"/>
              <w:rPr>
                <w:rFonts w:ascii="Arial" w:hAnsi="Arial" w:cs="Arial"/>
                <w:color w:val="000000"/>
                <w:sz w:val="20"/>
                <w:szCs w:val="20"/>
                <w:lang w:val="en-US" w:eastAsia="en-US"/>
              </w:rPr>
            </w:pPr>
            <w:r>
              <w:rPr>
                <w:rFonts w:cs="Arial" w:ascii="Arial" w:hAnsi="Arial"/>
                <w:color w:val="000000"/>
                <w:sz w:val="20"/>
                <w:szCs w:val="20"/>
                <w:lang w:val="en-US" w:eastAsia="en-US"/>
              </w:rPr>
              <w:t>Unadjusted</w:t>
            </w:r>
          </w:p>
        </w:tc>
        <w:tc>
          <w:tcPr>
            <w:tcW w:w="1879" w:type="dxa"/>
            <w:gridSpan w:val="2"/>
            <w:tcBorders>
              <w:top w:val="single" w:sz="8" w:space="0" w:color="000000"/>
              <w:bottom w:val="single" w:sz="8" w:space="0" w:color="000000"/>
              <w:insideH w:val="single" w:sz="8" w:space="0" w:color="000000"/>
            </w:tcBorders>
            <w:shd w:fill="auto" w:val="clear"/>
            <w:vAlign w:val="bottom"/>
          </w:tcPr>
          <w:p>
            <w:pPr>
              <w:pStyle w:val="Normal"/>
              <w:spacing w:lineRule="auto" w:line="240" w:before="0" w:after="0"/>
              <w:jc w:val="center"/>
              <w:rPr>
                <w:rFonts w:ascii="Arial" w:hAnsi="Arial" w:cs="Arial"/>
                <w:sz w:val="20"/>
                <w:szCs w:val="20"/>
                <w:lang w:val="en-US" w:eastAsia="en-US"/>
              </w:rPr>
            </w:pPr>
            <w:r>
              <w:rPr>
                <w:rFonts w:cs="Arial" w:ascii="Arial" w:hAnsi="Arial"/>
                <w:sz w:val="20"/>
                <w:szCs w:val="20"/>
                <w:lang w:val="en-US" w:eastAsia="en-US"/>
              </w:rPr>
              <w:t xml:space="preserve">Adjusted </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64" w:hRule="atLeast"/>
        </w:trPr>
        <w:tc>
          <w:tcPr>
            <w:tcW w:w="3174" w:type="dxa"/>
            <w:tcBorders/>
            <w:shd w:fill="auto" w:val="clear"/>
            <w:vAlign w:val="bottom"/>
          </w:tcPr>
          <w:p>
            <w:pPr>
              <w:pStyle w:val="Normal"/>
              <w:spacing w:lineRule="auto" w:line="240" w:before="0" w:after="0"/>
              <w:jc w:val="center"/>
              <w:rPr>
                <w:rFonts w:ascii="Arial" w:hAnsi="Arial" w:cs="Arial"/>
                <w:bCs/>
                <w:color w:val="000000"/>
                <w:sz w:val="20"/>
                <w:szCs w:val="20"/>
                <w:lang w:val="en-US" w:eastAsia="en-US"/>
              </w:rPr>
            </w:pPr>
            <w:r>
              <w:rPr>
                <w:rFonts w:cs="Arial" w:ascii="Arial" w:hAnsi="Arial"/>
                <w:bCs/>
                <w:color w:val="000000"/>
                <w:sz w:val="20"/>
                <w:szCs w:val="20"/>
                <w:lang w:val="en-US" w:eastAsia="en-US"/>
              </w:rPr>
              <w:t> </w:t>
            </w:r>
          </w:p>
        </w:tc>
        <w:tc>
          <w:tcPr>
            <w:tcW w:w="683" w:type="dxa"/>
            <w:tcBorders>
              <w:bottom w:val="single" w:sz="8" w:space="0" w:color="000000"/>
              <w:insideH w:val="single" w:sz="8" w:space="0" w:color="000000"/>
            </w:tcBorders>
            <w:shd w:fill="auto" w:val="clear"/>
            <w:vAlign w:val="bottom"/>
          </w:tcPr>
          <w:p>
            <w:pPr>
              <w:pStyle w:val="Normal"/>
              <w:spacing w:lineRule="auto" w:line="240" w:before="0" w:after="0"/>
              <w:jc w:val="center"/>
              <w:rPr>
                <w:rFonts w:ascii="Arial" w:hAnsi="Arial" w:cs="Arial"/>
                <w:bCs/>
                <w:color w:val="000000"/>
                <w:sz w:val="20"/>
                <w:szCs w:val="20"/>
                <w:lang w:val="en-US" w:eastAsia="en-US"/>
              </w:rPr>
            </w:pPr>
            <w:r>
              <w:rPr>
                <w:rFonts w:cs="Arial" w:ascii="Arial" w:hAnsi="Arial"/>
                <w:bCs/>
                <w:color w:val="000000"/>
                <w:sz w:val="20"/>
                <w:szCs w:val="20"/>
                <w:lang w:val="en-US" w:eastAsia="en-US"/>
              </w:rPr>
              <w:t>Rate Ratio</w:t>
            </w:r>
          </w:p>
        </w:tc>
        <w:tc>
          <w:tcPr>
            <w:tcW w:w="1257" w:type="dxa"/>
            <w:tcBorders>
              <w:bottom w:val="single" w:sz="8" w:space="0" w:color="000000"/>
              <w:insideH w:val="single" w:sz="8" w:space="0" w:color="000000"/>
            </w:tcBorders>
            <w:shd w:fill="auto" w:val="clear"/>
            <w:vAlign w:val="bottom"/>
          </w:tcPr>
          <w:p>
            <w:pPr>
              <w:pStyle w:val="Normal"/>
              <w:spacing w:lineRule="auto" w:line="240" w:before="0" w:after="0"/>
              <w:jc w:val="center"/>
              <w:rPr/>
            </w:pPr>
            <w:r>
              <w:rPr>
                <w:rFonts w:cs="Arial" w:ascii="Arial" w:hAnsi="Arial"/>
                <w:bCs/>
                <w:color w:val="000000"/>
                <w:sz w:val="20"/>
                <w:szCs w:val="20"/>
                <w:lang w:val="en-US" w:eastAsia="en-US"/>
              </w:rPr>
              <w:t>(95% CI</w:t>
            </w:r>
            <w:r>
              <w:rPr>
                <w:rFonts w:cs="Arial" w:ascii="Arial" w:hAnsi="Arial"/>
                <w:color w:val="000000"/>
                <w:sz w:val="20"/>
                <w:szCs w:val="20"/>
                <w:vertAlign w:val="superscript"/>
                <w:lang w:val="en-US" w:eastAsia="en-US"/>
              </w:rPr>
              <w:t>§</w:t>
            </w:r>
            <w:r>
              <w:rPr>
                <w:rFonts w:cs="Arial" w:ascii="Arial" w:hAnsi="Arial"/>
                <w:bCs/>
                <w:color w:val="000000"/>
                <w:sz w:val="20"/>
                <w:szCs w:val="20"/>
                <w:lang w:val="en-US" w:eastAsia="en-US"/>
              </w:rPr>
              <w:t>)</w:t>
            </w:r>
          </w:p>
        </w:tc>
        <w:tc>
          <w:tcPr>
            <w:tcW w:w="684" w:type="dxa"/>
            <w:tcBorders>
              <w:bottom w:val="single" w:sz="8" w:space="0" w:color="000000"/>
              <w:insideH w:val="single" w:sz="8" w:space="0" w:color="000000"/>
            </w:tcBorders>
            <w:shd w:fill="auto" w:val="clear"/>
            <w:vAlign w:val="bottom"/>
          </w:tcPr>
          <w:p>
            <w:pPr>
              <w:pStyle w:val="Normal"/>
              <w:spacing w:lineRule="auto" w:line="240" w:before="0" w:after="0"/>
              <w:jc w:val="center"/>
              <w:rPr>
                <w:rFonts w:ascii="Arial" w:hAnsi="Arial" w:cs="Arial"/>
                <w:bCs/>
                <w:color w:val="000000"/>
                <w:sz w:val="20"/>
                <w:szCs w:val="20"/>
                <w:lang w:val="en-US" w:eastAsia="en-US"/>
              </w:rPr>
            </w:pPr>
            <w:r>
              <w:rPr>
                <w:rFonts w:cs="Arial" w:ascii="Arial" w:hAnsi="Arial"/>
                <w:bCs/>
                <w:color w:val="000000"/>
                <w:sz w:val="20"/>
                <w:szCs w:val="20"/>
                <w:lang w:val="en-US" w:eastAsia="en-US"/>
              </w:rPr>
              <w:t>Rate Ratio</w:t>
            </w:r>
          </w:p>
        </w:tc>
        <w:tc>
          <w:tcPr>
            <w:tcW w:w="1241" w:type="dxa"/>
            <w:tcBorders>
              <w:bottom w:val="single" w:sz="8" w:space="0" w:color="000000"/>
              <w:insideH w:val="single" w:sz="8" w:space="0" w:color="000000"/>
            </w:tcBorders>
            <w:shd w:fill="auto" w:val="clear"/>
            <w:vAlign w:val="bottom"/>
          </w:tcPr>
          <w:p>
            <w:pPr>
              <w:pStyle w:val="Normal"/>
              <w:spacing w:lineRule="auto" w:line="240" w:before="0" w:after="0"/>
              <w:jc w:val="center"/>
              <w:rPr/>
            </w:pPr>
            <w:r>
              <w:rPr>
                <w:rFonts w:cs="Arial" w:ascii="Arial" w:hAnsi="Arial"/>
                <w:bCs/>
                <w:color w:val="000000"/>
                <w:sz w:val="20"/>
                <w:szCs w:val="20"/>
                <w:lang w:val="en-US" w:eastAsia="en-US"/>
              </w:rPr>
              <w:t>(95% CI</w:t>
            </w:r>
            <w:r>
              <w:rPr>
                <w:rFonts w:cs="Arial" w:ascii="Arial" w:hAnsi="Arial"/>
                <w:color w:val="000000"/>
                <w:sz w:val="20"/>
                <w:szCs w:val="20"/>
                <w:vertAlign w:val="superscript"/>
                <w:lang w:val="en-US" w:eastAsia="en-US"/>
              </w:rPr>
              <w:t>§</w:t>
            </w:r>
            <w:r>
              <w:rPr>
                <w:rFonts w:cs="Arial" w:ascii="Arial" w:hAnsi="Arial"/>
                <w:bCs/>
                <w:color w:val="000000"/>
                <w:sz w:val="20"/>
                <w:szCs w:val="20"/>
                <w:lang w:val="en-US" w:eastAsia="en-US"/>
              </w:rPr>
              <w:t>)</w:t>
            </w:r>
          </w:p>
        </w:tc>
        <w:tc>
          <w:tcPr>
            <w:tcW w:w="239" w:type="dxa"/>
            <w:tcBorders/>
            <w:shd w:fill="auto" w:val="clear"/>
            <w:vAlign w:val="bottom"/>
          </w:tcPr>
          <w:p>
            <w:pPr>
              <w:pStyle w:val="Normal"/>
              <w:snapToGrid w:val="false"/>
              <w:spacing w:lineRule="auto" w:line="240" w:before="0" w:after="0"/>
              <w:jc w:val="center"/>
              <w:rPr>
                <w:rFonts w:ascii="Arial" w:hAnsi="Arial" w:cs="Arial"/>
                <w:bCs/>
                <w:color w:val="000000"/>
                <w:sz w:val="20"/>
                <w:szCs w:val="20"/>
                <w:lang w:val="en-US" w:eastAsia="en-US"/>
              </w:rPr>
            </w:pPr>
            <w:r>
              <w:rPr>
                <w:rFonts w:cs="Arial" w:ascii="Arial" w:hAnsi="Arial"/>
                <w:bCs/>
                <w:color w:val="000000"/>
                <w:sz w:val="20"/>
                <w:szCs w:val="20"/>
                <w:lang w:val="en-US" w:eastAsia="en-US"/>
              </w:rPr>
            </w:r>
          </w:p>
        </w:tc>
        <w:tc>
          <w:tcPr>
            <w:tcW w:w="666" w:type="dxa"/>
            <w:tcBorders>
              <w:bottom w:val="single" w:sz="8" w:space="0" w:color="000000"/>
              <w:insideH w:val="single" w:sz="8" w:space="0" w:color="000000"/>
            </w:tcBorders>
            <w:shd w:fill="auto" w:val="clear"/>
            <w:vAlign w:val="bottom"/>
          </w:tcPr>
          <w:p>
            <w:pPr>
              <w:pStyle w:val="Normal"/>
              <w:spacing w:lineRule="auto" w:line="240" w:before="0" w:after="0"/>
              <w:jc w:val="center"/>
              <w:rPr>
                <w:rFonts w:ascii="Arial" w:hAnsi="Arial" w:cs="Arial"/>
                <w:bCs/>
                <w:color w:val="000000"/>
                <w:sz w:val="20"/>
                <w:szCs w:val="20"/>
                <w:lang w:val="en-US" w:eastAsia="en-US"/>
              </w:rPr>
            </w:pPr>
            <w:r>
              <w:rPr>
                <w:rFonts w:cs="Arial" w:ascii="Arial" w:hAnsi="Arial"/>
                <w:bCs/>
                <w:color w:val="000000"/>
                <w:sz w:val="20"/>
                <w:szCs w:val="20"/>
                <w:lang w:val="en-US" w:eastAsia="en-US"/>
              </w:rPr>
              <w:t>Rate Ratio</w:t>
            </w:r>
          </w:p>
        </w:tc>
        <w:tc>
          <w:tcPr>
            <w:tcW w:w="1255" w:type="dxa"/>
            <w:tcBorders>
              <w:bottom w:val="single" w:sz="8" w:space="0" w:color="000000"/>
              <w:insideH w:val="single" w:sz="8" w:space="0" w:color="000000"/>
            </w:tcBorders>
            <w:shd w:fill="auto" w:val="clear"/>
            <w:vAlign w:val="bottom"/>
          </w:tcPr>
          <w:p>
            <w:pPr>
              <w:pStyle w:val="Normal"/>
              <w:spacing w:lineRule="auto" w:line="240" w:before="0" w:after="0"/>
              <w:jc w:val="center"/>
              <w:rPr/>
            </w:pPr>
            <w:r>
              <w:rPr>
                <w:rFonts w:cs="Arial" w:ascii="Arial" w:hAnsi="Arial"/>
                <w:bCs/>
                <w:color w:val="000000"/>
                <w:sz w:val="20"/>
                <w:szCs w:val="20"/>
                <w:lang w:val="en-US" w:eastAsia="en-US"/>
              </w:rPr>
              <w:t>(95% CI</w:t>
            </w:r>
            <w:r>
              <w:rPr>
                <w:rFonts w:cs="Arial" w:ascii="Arial" w:hAnsi="Arial"/>
                <w:color w:val="000000"/>
                <w:sz w:val="20"/>
                <w:szCs w:val="20"/>
                <w:vertAlign w:val="superscript"/>
                <w:lang w:val="en-US" w:eastAsia="en-US"/>
              </w:rPr>
              <w:t>§</w:t>
            </w:r>
            <w:r>
              <w:rPr>
                <w:rFonts w:cs="Arial" w:ascii="Arial" w:hAnsi="Arial"/>
                <w:bCs/>
                <w:color w:val="000000"/>
                <w:sz w:val="20"/>
                <w:szCs w:val="20"/>
                <w:lang w:val="en-US" w:eastAsia="en-US"/>
              </w:rPr>
              <w:t>)</w:t>
            </w:r>
          </w:p>
        </w:tc>
        <w:tc>
          <w:tcPr>
            <w:tcW w:w="684" w:type="dxa"/>
            <w:tcBorders>
              <w:bottom w:val="single" w:sz="8" w:space="0" w:color="000000"/>
              <w:insideH w:val="single" w:sz="8" w:space="0" w:color="000000"/>
            </w:tcBorders>
            <w:shd w:fill="auto" w:val="clear"/>
            <w:vAlign w:val="bottom"/>
          </w:tcPr>
          <w:p>
            <w:pPr>
              <w:pStyle w:val="Normal"/>
              <w:spacing w:lineRule="auto" w:line="240" w:before="0" w:after="0"/>
              <w:jc w:val="center"/>
              <w:rPr>
                <w:rFonts w:ascii="Arial" w:hAnsi="Arial" w:cs="Arial"/>
                <w:bCs/>
                <w:color w:val="000000"/>
                <w:sz w:val="20"/>
                <w:szCs w:val="20"/>
                <w:lang w:val="en-US" w:eastAsia="en-US"/>
              </w:rPr>
            </w:pPr>
            <w:r>
              <w:rPr>
                <w:rFonts w:cs="Arial" w:ascii="Arial" w:hAnsi="Arial"/>
                <w:bCs/>
                <w:color w:val="000000"/>
                <w:sz w:val="20"/>
                <w:szCs w:val="20"/>
                <w:lang w:val="en-US" w:eastAsia="en-US"/>
              </w:rPr>
              <w:t>Rate Ratio</w:t>
            </w:r>
          </w:p>
        </w:tc>
        <w:tc>
          <w:tcPr>
            <w:tcW w:w="1195" w:type="dxa"/>
            <w:tcBorders>
              <w:bottom w:val="single" w:sz="8" w:space="0" w:color="000000"/>
              <w:insideH w:val="single" w:sz="8" w:space="0" w:color="000000"/>
            </w:tcBorders>
            <w:shd w:fill="auto" w:val="clear"/>
            <w:vAlign w:val="bottom"/>
          </w:tcPr>
          <w:p>
            <w:pPr>
              <w:pStyle w:val="Normal"/>
              <w:spacing w:lineRule="auto" w:line="240" w:before="0" w:after="0"/>
              <w:jc w:val="center"/>
              <w:rPr/>
            </w:pPr>
            <w:r>
              <w:rPr>
                <w:rFonts w:cs="Arial" w:ascii="Arial" w:hAnsi="Arial"/>
                <w:bCs/>
                <w:color w:val="000000"/>
                <w:sz w:val="20"/>
                <w:szCs w:val="20"/>
                <w:lang w:val="en-US" w:eastAsia="en-US"/>
              </w:rPr>
              <w:t>(95% CI</w:t>
            </w:r>
            <w:r>
              <w:rPr>
                <w:rFonts w:cs="Arial" w:ascii="Arial" w:hAnsi="Arial"/>
                <w:color w:val="000000"/>
                <w:sz w:val="20"/>
                <w:szCs w:val="20"/>
                <w:vertAlign w:val="superscript"/>
                <w:lang w:val="en-US" w:eastAsia="en-US"/>
              </w:rPr>
              <w:t>§</w:t>
            </w:r>
            <w:r>
              <w:rPr>
                <w:rFonts w:cs="Arial" w:ascii="Arial" w:hAnsi="Arial"/>
                <w:bCs/>
                <w:color w:val="000000"/>
                <w:sz w:val="20"/>
                <w:szCs w:val="20"/>
                <w:lang w:val="en-US" w:eastAsia="en-US"/>
              </w:rPr>
              <w:t>)</w:t>
            </w:r>
          </w:p>
        </w:tc>
        <w:tc>
          <w:tcPr>
            <w:tcW w:w="100" w:type="dxa"/>
            <w:tcBorders/>
            <w:shd w:fill="auto" w:val="clear"/>
            <w:tcMar>
              <w:left w:w="0" w:type="dxa"/>
              <w:right w:w="0" w:type="dxa"/>
            </w:tcMar>
          </w:tcPr>
          <w:p>
            <w:pPr>
              <w:pStyle w:val="Normal"/>
              <w:snapToGrid w:val="false"/>
              <w:spacing w:before="0" w:after="200"/>
              <w:rPr>
                <w:rFonts w:ascii="Arial" w:hAnsi="Arial" w:cs="Arial"/>
                <w:bCs/>
                <w:color w:val="000000"/>
                <w:sz w:val="20"/>
                <w:szCs w:val="20"/>
                <w:lang w:val="en-US" w:eastAsia="en-US"/>
              </w:rPr>
            </w:pPr>
            <w:r>
              <w:rPr>
                <w:rFonts w:cs="Arial" w:ascii="Arial" w:hAnsi="Arial"/>
                <w:bCs/>
                <w:color w:val="000000"/>
                <w:sz w:val="20"/>
                <w:szCs w:val="20"/>
                <w:lang w:val="en-US" w:eastAsia="en-US"/>
              </w:rPr>
            </w:r>
          </w:p>
        </w:tc>
      </w:tr>
      <w:tr>
        <w:trPr>
          <w:trHeight w:val="250" w:hRule="atLeast"/>
        </w:trPr>
        <w:tc>
          <w:tcPr>
            <w:tcW w:w="3857" w:type="dxa"/>
            <w:gridSpan w:val="2"/>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 xml:space="preserve">Group type </w:t>
            </w:r>
          </w:p>
        </w:tc>
        <w:tc>
          <w:tcPr>
            <w:tcW w:w="1257"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auto" w:val="clear"/>
            <w:vAlign w:val="bottom"/>
          </w:tcPr>
          <w:p>
            <w:pPr>
              <w:pStyle w:val="Normal"/>
              <w:snapToGrid w:val="false"/>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41"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FFFFFF" w:val="clear"/>
            <w:vAlign w:val="bottom"/>
          </w:tcPr>
          <w:p>
            <w:pPr>
              <w:pStyle w:val="Normal"/>
              <w:snapToGrid w:val="false"/>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195" w:type="dxa"/>
            <w:tcBorders/>
            <w:shd w:fill="FFFFFF"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50" w:hRule="atLeast"/>
        </w:trPr>
        <w:tc>
          <w:tcPr>
            <w:tcW w:w="3174" w:type="dxa"/>
            <w:tcBorders/>
            <w:shd w:fill="auto" w:val="clear"/>
            <w:vAlign w:val="bottom"/>
          </w:tcPr>
          <w:p>
            <w:pPr>
              <w:pStyle w:val="Normal"/>
              <w:spacing w:lineRule="auto" w:line="240" w:before="0" w:after="0"/>
              <w:ind w:firstLine="452"/>
              <w:rPr>
                <w:rFonts w:ascii="Arial" w:hAnsi="Arial" w:cs="Arial"/>
                <w:sz w:val="20"/>
                <w:szCs w:val="20"/>
                <w:lang w:val="en-US" w:eastAsia="en-US"/>
              </w:rPr>
            </w:pPr>
            <w:r>
              <w:rPr>
                <w:rFonts w:cs="Arial" w:ascii="Arial" w:hAnsi="Arial"/>
                <w:sz w:val="20"/>
                <w:szCs w:val="20"/>
                <w:lang w:val="en-US" w:eastAsia="en-US"/>
              </w:rPr>
              <w:t xml:space="preserve">Blended capitation </w:t>
            </w:r>
          </w:p>
        </w:tc>
        <w:tc>
          <w:tcPr>
            <w:tcW w:w="683"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0.94</w:t>
            </w:r>
          </w:p>
        </w:tc>
        <w:tc>
          <w:tcPr>
            <w:tcW w:w="1257"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(0.92-0.95)</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0.92</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(0.90-0.93)</w:t>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FFFFFF"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0.98</w:t>
            </w:r>
          </w:p>
        </w:tc>
        <w:tc>
          <w:tcPr>
            <w:tcW w:w="1255" w:type="dxa"/>
            <w:tcBorders/>
            <w:shd w:fill="FFFFFF"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(0.96-0.99)</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0.94</w:t>
            </w:r>
          </w:p>
        </w:tc>
        <w:tc>
          <w:tcPr>
            <w:tcW w:w="1195"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(0.92-0.95)</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3174" w:type="dxa"/>
            <w:tcBorders/>
            <w:shd w:fill="auto" w:val="clear"/>
            <w:vAlign w:val="bottom"/>
          </w:tcPr>
          <w:p>
            <w:pPr>
              <w:pStyle w:val="Normal"/>
              <w:spacing w:lineRule="auto" w:line="240" w:before="0" w:after="0"/>
              <w:ind w:firstLine="452"/>
              <w:rPr>
                <w:rFonts w:ascii="Arial" w:hAnsi="Arial" w:cs="Arial"/>
                <w:sz w:val="20"/>
                <w:szCs w:val="20"/>
                <w:lang w:val="en-US" w:eastAsia="en-US"/>
              </w:rPr>
            </w:pPr>
            <w:r>
              <w:rPr>
                <w:rFonts w:cs="Arial" w:ascii="Arial" w:hAnsi="Arial"/>
                <w:sz w:val="20"/>
                <w:szCs w:val="20"/>
                <w:lang w:val="en-US" w:eastAsia="en-US"/>
              </w:rPr>
              <w:t xml:space="preserve">Team based capitation </w:t>
            </w:r>
          </w:p>
        </w:tc>
        <w:tc>
          <w:tcPr>
            <w:tcW w:w="683" w:type="dxa"/>
            <w:tcBorders/>
            <w:shd w:fill="FFFFFF"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0.93</w:t>
            </w:r>
          </w:p>
        </w:tc>
        <w:tc>
          <w:tcPr>
            <w:tcW w:w="1257" w:type="dxa"/>
            <w:tcBorders/>
            <w:shd w:fill="FFFFFF"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(0.92-0.94)</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0.92</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(0.88-0.93)</w:t>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FFFFFF"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0.97</w:t>
            </w:r>
          </w:p>
        </w:tc>
        <w:tc>
          <w:tcPr>
            <w:tcW w:w="1255" w:type="dxa"/>
            <w:tcBorders/>
            <w:shd w:fill="FFFFFF"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(0.96-0.99)</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0.93</w:t>
            </w:r>
          </w:p>
        </w:tc>
        <w:tc>
          <w:tcPr>
            <w:tcW w:w="1195"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(0.92-0.94)</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3174" w:type="dxa"/>
            <w:tcBorders/>
            <w:shd w:fill="auto" w:val="clear"/>
            <w:vAlign w:val="bottom"/>
          </w:tcPr>
          <w:p>
            <w:pPr>
              <w:pStyle w:val="Normal"/>
              <w:spacing w:lineRule="auto" w:line="240" w:before="0" w:after="0"/>
              <w:ind w:firstLine="452"/>
              <w:rPr>
                <w:rFonts w:ascii="Arial" w:hAnsi="Arial" w:cs="Arial"/>
                <w:sz w:val="20"/>
                <w:szCs w:val="20"/>
                <w:lang w:val="en-US" w:eastAsia="en-US"/>
              </w:rPr>
            </w:pPr>
            <w:r>
              <w:rPr>
                <w:rFonts w:cs="Arial" w:ascii="Arial" w:hAnsi="Arial"/>
                <w:sz w:val="20"/>
                <w:szCs w:val="20"/>
                <w:lang w:val="en-US" w:eastAsia="en-US"/>
              </w:rPr>
              <w:t xml:space="preserve">Enhanced fee-for-service </w:t>
            </w:r>
          </w:p>
        </w:tc>
        <w:tc>
          <w:tcPr>
            <w:tcW w:w="683"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257"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 </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241"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FFFFFF"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255" w:type="dxa"/>
            <w:tcBorders/>
            <w:shd w:fill="FFFFFF"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 </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195"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 </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3857" w:type="dxa"/>
            <w:gridSpan w:val="2"/>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Mean patient age</w:t>
            </w:r>
          </w:p>
        </w:tc>
        <w:tc>
          <w:tcPr>
            <w:tcW w:w="1257"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(0.99-1.00)</w:t>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195" w:type="dxa"/>
            <w:tcBorders/>
            <w:shd w:fill="FFFFFF"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(1.00-1.00)</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5114" w:type="dxa"/>
            <w:gridSpan w:val="3"/>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 female patients in practice</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0.99</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(0.95-1.03)</w:t>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0.97</w:t>
            </w:r>
          </w:p>
        </w:tc>
        <w:tc>
          <w:tcPr>
            <w:tcW w:w="1195" w:type="dxa"/>
            <w:tcBorders/>
            <w:shd w:fill="FFFFFF"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(0.94-0.99)</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5114" w:type="dxa"/>
            <w:gridSpan w:val="3"/>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 xml:space="preserve">% lowest  income quintile patients </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0.94</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(0.89-0.98)</w:t>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0.99</w:t>
            </w:r>
          </w:p>
        </w:tc>
        <w:tc>
          <w:tcPr>
            <w:tcW w:w="1195" w:type="dxa"/>
            <w:tcBorders/>
            <w:shd w:fill="FFFFFF"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(0.96-1.03)</w:t>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50" w:hRule="atLeast"/>
        </w:trPr>
        <w:tc>
          <w:tcPr>
            <w:tcW w:w="5114" w:type="dxa"/>
            <w:gridSpan w:val="3"/>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Practice location—rurality score</w:t>
            </w:r>
            <w:r>
              <w:rPr>
                <w:rFonts w:cs="Arial" w:ascii="Arial" w:hAnsi="Arial"/>
                <w:sz w:val="20"/>
                <w:szCs w:val="20"/>
                <w:vertAlign w:val="superscript"/>
                <w:lang w:val="en-US" w:eastAsia="en-US"/>
              </w:rPr>
              <w:t>||</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(1.00-1.00)</w:t>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195" w:type="dxa"/>
            <w:tcBorders/>
            <w:shd w:fill="FFFFFF"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(1.00-1.00)</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3857" w:type="dxa"/>
            <w:gridSpan w:val="2"/>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 xml:space="preserve">Median comorbidity  score </w:t>
            </w:r>
          </w:p>
        </w:tc>
        <w:tc>
          <w:tcPr>
            <w:tcW w:w="1257" w:type="dxa"/>
            <w:tcBorders/>
            <w:shd w:fill="auto" w:val="clear"/>
            <w:vAlign w:val="bottom"/>
          </w:tcPr>
          <w:p>
            <w:pPr>
              <w:pStyle w:val="Normal"/>
              <w:snapToGrid w:val="false"/>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(0.99-1.00)</w:t>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0.98</w:t>
            </w:r>
          </w:p>
        </w:tc>
        <w:tc>
          <w:tcPr>
            <w:tcW w:w="1195" w:type="dxa"/>
            <w:tcBorders/>
            <w:shd w:fill="FFFFFF"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(0.98-1.99)</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5114" w:type="dxa"/>
            <w:gridSpan w:val="3"/>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Physician years since graduation</w:t>
            </w:r>
          </w:p>
        </w:tc>
        <w:tc>
          <w:tcPr>
            <w:tcW w:w="684" w:type="dxa"/>
            <w:tcBorders/>
            <w:shd w:fill="auto" w:val="clear"/>
            <w:vAlign w:val="bottom"/>
          </w:tcPr>
          <w:p>
            <w:pPr>
              <w:pStyle w:val="Normal"/>
              <w:snapToGrid w:val="false"/>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41"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FFFFFF" w:val="clear"/>
            <w:vAlign w:val="bottom"/>
          </w:tcPr>
          <w:p>
            <w:pPr>
              <w:pStyle w:val="Normal"/>
              <w:snapToGrid w:val="false"/>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195" w:type="dxa"/>
            <w:tcBorders/>
            <w:shd w:fill="FFFFFF"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50" w:hRule="atLeast"/>
        </w:trPr>
        <w:tc>
          <w:tcPr>
            <w:tcW w:w="3857" w:type="dxa"/>
            <w:gridSpan w:val="2"/>
            <w:tcBorders/>
            <w:shd w:fill="auto" w:val="clear"/>
            <w:vAlign w:val="bottom"/>
          </w:tcPr>
          <w:p>
            <w:pPr>
              <w:pStyle w:val="Normal"/>
              <w:spacing w:lineRule="auto" w:line="240" w:before="0" w:after="0"/>
              <w:ind w:firstLine="452"/>
              <w:rPr>
                <w:rFonts w:ascii="Arial" w:hAnsi="Arial" w:cs="Arial"/>
                <w:color w:val="000000"/>
                <w:sz w:val="20"/>
                <w:szCs w:val="20"/>
                <w:lang w:val="en-US" w:eastAsia="en-US"/>
              </w:rPr>
            </w:pPr>
            <w:r>
              <w:rPr>
                <w:rFonts w:cs="Arial" w:ascii="Arial" w:hAnsi="Arial"/>
                <w:color w:val="000000"/>
                <w:sz w:val="20"/>
                <w:szCs w:val="20"/>
                <w:lang w:val="en-US" w:eastAsia="en-US"/>
              </w:rPr>
              <w:t>Less than 5 years</w:t>
            </w:r>
          </w:p>
        </w:tc>
        <w:tc>
          <w:tcPr>
            <w:tcW w:w="1257"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1.00</w:t>
            </w:r>
          </w:p>
        </w:tc>
        <w:tc>
          <w:tcPr>
            <w:tcW w:w="1241"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1.00</w:t>
            </w:r>
          </w:p>
        </w:tc>
        <w:tc>
          <w:tcPr>
            <w:tcW w:w="1195" w:type="dxa"/>
            <w:tcBorders/>
            <w:shd w:fill="FFFFFF"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 </w:t>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50" w:hRule="atLeast"/>
        </w:trPr>
        <w:tc>
          <w:tcPr>
            <w:tcW w:w="3857" w:type="dxa"/>
            <w:gridSpan w:val="2"/>
            <w:tcBorders/>
            <w:shd w:fill="auto" w:val="clear"/>
            <w:vAlign w:val="bottom"/>
          </w:tcPr>
          <w:p>
            <w:pPr>
              <w:pStyle w:val="Normal"/>
              <w:spacing w:lineRule="auto" w:line="240" w:before="0" w:after="0"/>
              <w:ind w:firstLine="452"/>
              <w:rPr>
                <w:rFonts w:ascii="Arial" w:hAnsi="Arial" w:cs="Arial"/>
                <w:color w:val="000000"/>
                <w:sz w:val="20"/>
                <w:szCs w:val="20"/>
                <w:lang w:val="en-US" w:eastAsia="en-US"/>
              </w:rPr>
            </w:pPr>
            <w:r>
              <w:rPr>
                <w:rFonts w:cs="Arial" w:ascii="Arial" w:hAnsi="Arial"/>
                <w:color w:val="000000"/>
                <w:sz w:val="20"/>
                <w:szCs w:val="20"/>
                <w:lang w:val="en-US" w:eastAsia="en-US"/>
              </w:rPr>
              <w:t>5 to 9 years</w:t>
            </w:r>
          </w:p>
        </w:tc>
        <w:tc>
          <w:tcPr>
            <w:tcW w:w="1257"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1.00</w:t>
            </w:r>
          </w:p>
        </w:tc>
        <w:tc>
          <w:tcPr>
            <w:tcW w:w="1241" w:type="dxa"/>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(0.97-1.04)</w:t>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1.00</w:t>
            </w:r>
          </w:p>
        </w:tc>
        <w:tc>
          <w:tcPr>
            <w:tcW w:w="1195" w:type="dxa"/>
            <w:tcBorders/>
            <w:shd w:fill="FFFFFF"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(0.97-1.02)</w:t>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50" w:hRule="atLeast"/>
        </w:trPr>
        <w:tc>
          <w:tcPr>
            <w:tcW w:w="3857" w:type="dxa"/>
            <w:gridSpan w:val="2"/>
            <w:tcBorders/>
            <w:shd w:fill="auto" w:val="clear"/>
            <w:vAlign w:val="bottom"/>
          </w:tcPr>
          <w:p>
            <w:pPr>
              <w:pStyle w:val="Normal"/>
              <w:spacing w:lineRule="auto" w:line="240" w:before="0" w:after="0"/>
              <w:ind w:firstLine="452"/>
              <w:rPr>
                <w:rFonts w:ascii="Arial" w:hAnsi="Arial" w:cs="Arial"/>
                <w:color w:val="000000"/>
                <w:sz w:val="20"/>
                <w:szCs w:val="20"/>
                <w:lang w:val="en-US" w:eastAsia="en-US"/>
              </w:rPr>
            </w:pPr>
            <w:r>
              <w:rPr>
                <w:rFonts w:cs="Arial" w:ascii="Arial" w:hAnsi="Arial"/>
                <w:color w:val="000000"/>
                <w:sz w:val="20"/>
                <w:szCs w:val="20"/>
                <w:lang w:val="en-US" w:eastAsia="en-US"/>
              </w:rPr>
              <w:t>10 to 19 years</w:t>
            </w:r>
          </w:p>
        </w:tc>
        <w:tc>
          <w:tcPr>
            <w:tcW w:w="1257"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1.02</w:t>
            </w:r>
          </w:p>
        </w:tc>
        <w:tc>
          <w:tcPr>
            <w:tcW w:w="1241" w:type="dxa"/>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(0.99-1.05)</w:t>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1.00</w:t>
            </w:r>
          </w:p>
        </w:tc>
        <w:tc>
          <w:tcPr>
            <w:tcW w:w="1195" w:type="dxa"/>
            <w:tcBorders/>
            <w:shd w:fill="FFFFFF"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(0.98-1.02)</w:t>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50" w:hRule="atLeast"/>
        </w:trPr>
        <w:tc>
          <w:tcPr>
            <w:tcW w:w="3857" w:type="dxa"/>
            <w:gridSpan w:val="2"/>
            <w:tcBorders/>
            <w:shd w:fill="auto" w:val="clear"/>
            <w:vAlign w:val="bottom"/>
          </w:tcPr>
          <w:p>
            <w:pPr>
              <w:pStyle w:val="Normal"/>
              <w:spacing w:lineRule="auto" w:line="240" w:before="0" w:after="0"/>
              <w:ind w:firstLine="452"/>
              <w:rPr>
                <w:rFonts w:ascii="Arial" w:hAnsi="Arial" w:cs="Arial"/>
                <w:color w:val="000000"/>
                <w:sz w:val="20"/>
                <w:szCs w:val="20"/>
                <w:lang w:val="en-US" w:eastAsia="en-US"/>
              </w:rPr>
            </w:pPr>
            <w:r>
              <w:rPr>
                <w:rFonts w:cs="Arial" w:ascii="Arial" w:hAnsi="Arial"/>
                <w:color w:val="000000"/>
                <w:sz w:val="20"/>
                <w:szCs w:val="20"/>
                <w:lang w:val="en-US" w:eastAsia="en-US"/>
              </w:rPr>
              <w:t>20 to 29 years</w:t>
            </w:r>
          </w:p>
        </w:tc>
        <w:tc>
          <w:tcPr>
            <w:tcW w:w="1257"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1.01</w:t>
            </w:r>
          </w:p>
        </w:tc>
        <w:tc>
          <w:tcPr>
            <w:tcW w:w="1241" w:type="dxa"/>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(0.98-1.05)</w:t>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0.99</w:t>
            </w:r>
          </w:p>
        </w:tc>
        <w:tc>
          <w:tcPr>
            <w:tcW w:w="1195" w:type="dxa"/>
            <w:tcBorders/>
            <w:shd w:fill="FFFFFF"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(0.97-1.01)</w:t>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50" w:hRule="atLeast"/>
        </w:trPr>
        <w:tc>
          <w:tcPr>
            <w:tcW w:w="3857" w:type="dxa"/>
            <w:gridSpan w:val="2"/>
            <w:tcBorders/>
            <w:shd w:fill="auto" w:val="clear"/>
            <w:vAlign w:val="bottom"/>
          </w:tcPr>
          <w:p>
            <w:pPr>
              <w:pStyle w:val="Normal"/>
              <w:spacing w:lineRule="auto" w:line="240" w:before="0" w:after="0"/>
              <w:ind w:firstLine="452"/>
              <w:rPr>
                <w:rFonts w:ascii="Arial" w:hAnsi="Arial" w:cs="Arial"/>
                <w:sz w:val="20"/>
                <w:szCs w:val="20"/>
                <w:lang w:val="en-US" w:eastAsia="en-US"/>
              </w:rPr>
            </w:pPr>
            <w:r>
              <w:rPr>
                <w:rFonts w:cs="Arial" w:ascii="Arial" w:hAnsi="Arial"/>
                <w:sz w:val="20"/>
                <w:szCs w:val="20"/>
                <w:lang w:val="en-US" w:eastAsia="en-US"/>
              </w:rPr>
              <w:t>30 years or more</w:t>
            </w:r>
          </w:p>
        </w:tc>
        <w:tc>
          <w:tcPr>
            <w:tcW w:w="1257"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1.02</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(0.99-1.05)</w:t>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0.99</w:t>
            </w:r>
          </w:p>
        </w:tc>
        <w:tc>
          <w:tcPr>
            <w:tcW w:w="1195" w:type="dxa"/>
            <w:tcBorders/>
            <w:shd w:fill="FFFFFF"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(0.97-1.01)</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3857" w:type="dxa"/>
            <w:gridSpan w:val="2"/>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 xml:space="preserve">Physician time in group </w:t>
            </w:r>
          </w:p>
        </w:tc>
        <w:tc>
          <w:tcPr>
            <w:tcW w:w="1257"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napToGrid w:val="false"/>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r>
          </w:p>
        </w:tc>
        <w:tc>
          <w:tcPr>
            <w:tcW w:w="1241"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FFFFFF" w:val="clear"/>
            <w:vAlign w:val="bottom"/>
          </w:tcPr>
          <w:p>
            <w:pPr>
              <w:pStyle w:val="Normal"/>
              <w:snapToGrid w:val="false"/>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r>
          </w:p>
        </w:tc>
        <w:tc>
          <w:tcPr>
            <w:tcW w:w="1195" w:type="dxa"/>
            <w:tcBorders/>
            <w:shd w:fill="FFFFFF"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5114" w:type="dxa"/>
            <w:gridSpan w:val="3"/>
            <w:tcBorders/>
            <w:shd w:fill="auto" w:val="clear"/>
            <w:vAlign w:val="bottom"/>
          </w:tcPr>
          <w:p>
            <w:pPr>
              <w:pStyle w:val="Normal"/>
              <w:spacing w:lineRule="auto" w:line="240" w:before="0" w:after="0"/>
              <w:ind w:firstLine="452"/>
              <w:rPr>
                <w:rFonts w:ascii="Arial" w:hAnsi="Arial" w:cs="Arial"/>
                <w:sz w:val="20"/>
                <w:szCs w:val="20"/>
                <w:lang w:val="en-US" w:eastAsia="en-US"/>
              </w:rPr>
            </w:pPr>
            <w:r>
              <w:rPr>
                <w:rFonts w:cs="Arial" w:ascii="Arial" w:hAnsi="Arial"/>
                <w:sz w:val="20"/>
                <w:szCs w:val="20"/>
                <w:lang w:val="en-US" w:eastAsia="en-US"/>
              </w:rPr>
              <w:t xml:space="preserve">Less than 12 months </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1.05</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(1.03, 1.07)</w:t>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1.05</w:t>
            </w:r>
          </w:p>
        </w:tc>
        <w:tc>
          <w:tcPr>
            <w:tcW w:w="1295" w:type="dxa"/>
            <w:gridSpan w:val="2"/>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(1.03, 1.06)</w:t>
            </w:r>
          </w:p>
        </w:tc>
      </w:tr>
      <w:tr>
        <w:trPr>
          <w:trHeight w:val="250" w:hRule="atLeast"/>
        </w:trPr>
        <w:tc>
          <w:tcPr>
            <w:tcW w:w="3857" w:type="dxa"/>
            <w:gridSpan w:val="2"/>
            <w:tcBorders/>
            <w:shd w:fill="auto" w:val="clear"/>
            <w:vAlign w:val="bottom"/>
          </w:tcPr>
          <w:p>
            <w:pPr>
              <w:pStyle w:val="Normal"/>
              <w:spacing w:lineRule="auto" w:line="240" w:before="0" w:after="0"/>
              <w:ind w:firstLine="452"/>
              <w:rPr>
                <w:rFonts w:ascii="Arial" w:hAnsi="Arial" w:cs="Arial"/>
                <w:sz w:val="20"/>
                <w:szCs w:val="20"/>
                <w:lang w:val="en-US" w:eastAsia="en-US"/>
              </w:rPr>
            </w:pPr>
            <w:r>
              <w:rPr>
                <w:rFonts w:cs="Arial" w:ascii="Arial" w:hAnsi="Arial"/>
                <w:sz w:val="20"/>
                <w:szCs w:val="20"/>
                <w:lang w:val="en-US" w:eastAsia="en-US"/>
              </w:rPr>
              <w:t xml:space="preserve">12 to 23 months </w:t>
            </w:r>
          </w:p>
        </w:tc>
        <w:tc>
          <w:tcPr>
            <w:tcW w:w="1257"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1.03</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(1.01, 1.05)</w:t>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1.03</w:t>
            </w:r>
          </w:p>
        </w:tc>
        <w:tc>
          <w:tcPr>
            <w:tcW w:w="1295" w:type="dxa"/>
            <w:gridSpan w:val="2"/>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(1.01, 1.05)</w:t>
            </w:r>
          </w:p>
        </w:tc>
      </w:tr>
      <w:tr>
        <w:trPr>
          <w:trHeight w:val="250" w:hRule="atLeast"/>
        </w:trPr>
        <w:tc>
          <w:tcPr>
            <w:tcW w:w="3857" w:type="dxa"/>
            <w:gridSpan w:val="2"/>
            <w:tcBorders/>
            <w:shd w:fill="auto" w:val="clear"/>
            <w:vAlign w:val="bottom"/>
          </w:tcPr>
          <w:p>
            <w:pPr>
              <w:pStyle w:val="Normal"/>
              <w:spacing w:lineRule="auto" w:line="240" w:before="0" w:after="0"/>
              <w:ind w:firstLine="452"/>
              <w:rPr>
                <w:rFonts w:ascii="Arial" w:hAnsi="Arial" w:cs="Arial"/>
                <w:sz w:val="20"/>
                <w:szCs w:val="20"/>
                <w:lang w:val="en-US" w:eastAsia="en-US"/>
              </w:rPr>
            </w:pPr>
            <w:r>
              <w:rPr>
                <w:rFonts w:cs="Arial" w:ascii="Arial" w:hAnsi="Arial"/>
                <w:sz w:val="20"/>
                <w:szCs w:val="20"/>
                <w:lang w:val="en-US" w:eastAsia="en-US"/>
              </w:rPr>
              <w:t xml:space="preserve">24 to 35 months </w:t>
            </w:r>
          </w:p>
        </w:tc>
        <w:tc>
          <w:tcPr>
            <w:tcW w:w="1257"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1.02</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(1.00, 1.04)</w:t>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1.02</w:t>
            </w:r>
          </w:p>
        </w:tc>
        <w:tc>
          <w:tcPr>
            <w:tcW w:w="1295" w:type="dxa"/>
            <w:gridSpan w:val="2"/>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(1.01, 1.04)</w:t>
            </w:r>
          </w:p>
        </w:tc>
      </w:tr>
      <w:tr>
        <w:trPr>
          <w:trHeight w:val="250" w:hRule="atLeast"/>
        </w:trPr>
        <w:tc>
          <w:tcPr>
            <w:tcW w:w="3857" w:type="dxa"/>
            <w:gridSpan w:val="2"/>
            <w:tcBorders/>
            <w:shd w:fill="auto" w:val="clear"/>
            <w:vAlign w:val="bottom"/>
          </w:tcPr>
          <w:p>
            <w:pPr>
              <w:pStyle w:val="Normal"/>
              <w:spacing w:lineRule="auto" w:line="240" w:before="0" w:after="0"/>
              <w:ind w:firstLine="452"/>
              <w:rPr>
                <w:rFonts w:ascii="Arial" w:hAnsi="Arial" w:cs="Arial"/>
                <w:sz w:val="20"/>
                <w:szCs w:val="20"/>
                <w:lang w:val="en-US" w:eastAsia="en-US"/>
              </w:rPr>
            </w:pPr>
            <w:r>
              <w:rPr>
                <w:rFonts w:cs="Arial" w:ascii="Arial" w:hAnsi="Arial"/>
                <w:sz w:val="20"/>
                <w:szCs w:val="20"/>
                <w:lang w:val="en-US" w:eastAsia="en-US"/>
              </w:rPr>
              <w:t xml:space="preserve">36 to 47 months </w:t>
            </w:r>
          </w:p>
        </w:tc>
        <w:tc>
          <w:tcPr>
            <w:tcW w:w="1257"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1.02</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(1.00, 1.03)</w:t>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1.01</w:t>
            </w:r>
          </w:p>
        </w:tc>
        <w:tc>
          <w:tcPr>
            <w:tcW w:w="1295" w:type="dxa"/>
            <w:gridSpan w:val="2"/>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(1.01, 1.02)</w:t>
            </w:r>
          </w:p>
        </w:tc>
      </w:tr>
      <w:tr>
        <w:trPr>
          <w:trHeight w:val="250" w:hRule="atLeast"/>
        </w:trPr>
        <w:tc>
          <w:tcPr>
            <w:tcW w:w="3857" w:type="dxa"/>
            <w:gridSpan w:val="2"/>
            <w:tcBorders/>
            <w:shd w:fill="auto" w:val="clear"/>
            <w:vAlign w:val="bottom"/>
          </w:tcPr>
          <w:p>
            <w:pPr>
              <w:pStyle w:val="Normal"/>
              <w:spacing w:lineRule="auto" w:line="240" w:before="0" w:after="0"/>
              <w:ind w:firstLine="452"/>
              <w:rPr>
                <w:rFonts w:ascii="Arial" w:hAnsi="Arial" w:cs="Arial"/>
                <w:sz w:val="20"/>
                <w:szCs w:val="20"/>
                <w:lang w:val="en-US" w:eastAsia="en-US"/>
              </w:rPr>
            </w:pPr>
            <w:r>
              <w:rPr>
                <w:rFonts w:cs="Arial" w:ascii="Arial" w:hAnsi="Arial"/>
                <w:sz w:val="20"/>
                <w:szCs w:val="20"/>
                <w:lang w:val="en-US" w:eastAsia="en-US"/>
              </w:rPr>
              <w:t xml:space="preserve">48+ months </w:t>
            </w:r>
          </w:p>
        </w:tc>
        <w:tc>
          <w:tcPr>
            <w:tcW w:w="1257" w:type="dxa"/>
            <w:tcBorders/>
            <w:shd w:fill="auto" w:val="clear"/>
            <w:vAlign w:val="bottom"/>
          </w:tcPr>
          <w:p>
            <w:pPr>
              <w:pStyle w:val="Normal"/>
              <w:snapToGrid w:val="false"/>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241"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195" w:type="dxa"/>
            <w:tcBorders/>
            <w:shd w:fill="auto" w:val="clear"/>
            <w:vAlign w:val="bottom"/>
          </w:tcPr>
          <w:p>
            <w:pPr>
              <w:pStyle w:val="Normal"/>
              <w:snapToGrid w:val="false"/>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3857" w:type="dxa"/>
            <w:gridSpan w:val="2"/>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 xml:space="preserve">Medical Graduation </w:t>
            </w:r>
          </w:p>
        </w:tc>
        <w:tc>
          <w:tcPr>
            <w:tcW w:w="1257"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auto" w:val="clear"/>
            <w:vAlign w:val="bottom"/>
          </w:tcPr>
          <w:p>
            <w:pPr>
              <w:pStyle w:val="Normal"/>
              <w:snapToGrid w:val="false"/>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r>
          </w:p>
        </w:tc>
        <w:tc>
          <w:tcPr>
            <w:tcW w:w="1241"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FFFFFF" w:val="clear"/>
            <w:vAlign w:val="bottom"/>
          </w:tcPr>
          <w:p>
            <w:pPr>
              <w:pStyle w:val="Normal"/>
              <w:snapToGrid w:val="false"/>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r>
          </w:p>
        </w:tc>
        <w:tc>
          <w:tcPr>
            <w:tcW w:w="1195" w:type="dxa"/>
            <w:tcBorders/>
            <w:shd w:fill="FFFFFF"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5114" w:type="dxa"/>
            <w:gridSpan w:val="3"/>
            <w:tcBorders/>
            <w:shd w:fill="auto" w:val="clear"/>
            <w:vAlign w:val="bottom"/>
          </w:tcPr>
          <w:p>
            <w:pPr>
              <w:pStyle w:val="Normal"/>
              <w:spacing w:lineRule="auto" w:line="240" w:before="0" w:after="0"/>
              <w:ind w:firstLine="452"/>
              <w:rPr>
                <w:rFonts w:ascii="Arial" w:hAnsi="Arial" w:cs="Arial"/>
                <w:sz w:val="20"/>
                <w:szCs w:val="20"/>
                <w:lang w:val="en-US" w:eastAsia="en-US"/>
              </w:rPr>
            </w:pPr>
            <w:r>
              <w:rPr>
                <w:rFonts w:eastAsia="Arial" w:cs="Arial" w:ascii="Arial" w:hAnsi="Arial"/>
                <w:sz w:val="20"/>
                <w:szCs w:val="20"/>
                <w:lang w:val="en-US" w:eastAsia="en-US"/>
              </w:rPr>
              <w:t xml:space="preserve">   </w:t>
            </w:r>
            <w:r>
              <w:rPr>
                <w:rFonts w:cs="Arial" w:ascii="Arial" w:hAnsi="Arial"/>
                <w:sz w:val="20"/>
                <w:szCs w:val="20"/>
                <w:lang w:val="en-US" w:eastAsia="en-US"/>
              </w:rPr>
              <w:t>Canadian medical graduate</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241"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1.00</w:t>
            </w:r>
          </w:p>
        </w:tc>
        <w:tc>
          <w:tcPr>
            <w:tcW w:w="1195" w:type="dxa"/>
            <w:tcBorders/>
            <w:shd w:fill="FFFFFF"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 </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5114" w:type="dxa"/>
            <w:gridSpan w:val="3"/>
            <w:tcBorders/>
            <w:shd w:fill="auto" w:val="clear"/>
            <w:vAlign w:val="bottom"/>
          </w:tcPr>
          <w:p>
            <w:pPr>
              <w:pStyle w:val="Normal"/>
              <w:spacing w:lineRule="auto" w:line="240" w:before="0" w:after="0"/>
              <w:ind w:firstLine="600"/>
              <w:rPr>
                <w:rFonts w:ascii="Arial" w:hAnsi="Arial" w:cs="Arial"/>
                <w:sz w:val="20"/>
                <w:szCs w:val="20"/>
                <w:lang w:val="en-US" w:eastAsia="en-US"/>
              </w:rPr>
            </w:pPr>
            <w:r>
              <w:rPr>
                <w:rFonts w:cs="Arial" w:ascii="Arial" w:hAnsi="Arial"/>
                <w:sz w:val="20"/>
                <w:szCs w:val="20"/>
                <w:lang w:val="en-US" w:eastAsia="en-US"/>
              </w:rPr>
              <w:t>Non- Canadian medical graduate</w:t>
            </w:r>
          </w:p>
        </w:tc>
        <w:tc>
          <w:tcPr>
            <w:tcW w:w="684" w:type="dxa"/>
            <w:tcBorders/>
            <w:shd w:fill="auto"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1.01</w:t>
            </w:r>
          </w:p>
        </w:tc>
        <w:tc>
          <w:tcPr>
            <w:tcW w:w="1241" w:type="dxa"/>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(1.00-1.02)</w:t>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FFFFFF" w:val="clear"/>
            <w:vAlign w:val="bottom"/>
          </w:tcPr>
          <w:p>
            <w:pPr>
              <w:pStyle w:val="Normal"/>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t>1.01</w:t>
            </w:r>
          </w:p>
        </w:tc>
        <w:tc>
          <w:tcPr>
            <w:tcW w:w="1195" w:type="dxa"/>
            <w:tcBorders/>
            <w:shd w:fill="FFFFFF"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(1.01-1.02)</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5798" w:type="dxa"/>
            <w:gridSpan w:val="4"/>
            <w:tcBorders/>
            <w:shd w:fill="auto" w:val="clear"/>
            <w:vAlign w:val="bottom"/>
          </w:tcPr>
          <w:p>
            <w:pPr>
              <w:pStyle w:val="Normal"/>
              <w:spacing w:lineRule="auto" w:line="240" w:before="0" w:after="0"/>
              <w:rPr>
                <w:rFonts w:ascii="Arial" w:hAnsi="Arial" w:cs="Arial"/>
                <w:sz w:val="20"/>
                <w:szCs w:val="20"/>
                <w:lang w:val="en-US" w:eastAsia="en-US"/>
              </w:rPr>
            </w:pPr>
            <w:r>
              <w:rPr>
                <w:rFonts w:cs="Arial" w:ascii="Arial" w:hAnsi="Arial"/>
                <w:sz w:val="20"/>
                <w:szCs w:val="20"/>
                <w:lang w:val="en-US" w:eastAsia="en-US"/>
              </w:rPr>
              <w:t>Number of rostered patients</w:t>
            </w:r>
          </w:p>
        </w:tc>
        <w:tc>
          <w:tcPr>
            <w:tcW w:w="1241"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239"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684" w:type="dxa"/>
            <w:tcBorders/>
            <w:shd w:fill="FFFFFF" w:val="clear"/>
            <w:vAlign w:val="bottom"/>
          </w:tcPr>
          <w:p>
            <w:pPr>
              <w:pStyle w:val="Normal"/>
              <w:snapToGrid w:val="false"/>
              <w:spacing w:lineRule="auto" w:line="240" w:before="0" w:after="0"/>
              <w:jc w:val="right"/>
              <w:rPr>
                <w:rFonts w:ascii="Arial" w:hAnsi="Arial" w:cs="Arial"/>
                <w:sz w:val="20"/>
                <w:szCs w:val="20"/>
                <w:lang w:val="en-US" w:eastAsia="en-US"/>
              </w:rPr>
            </w:pPr>
            <w:r>
              <w:rPr>
                <w:rFonts w:cs="Arial" w:ascii="Arial" w:hAnsi="Arial"/>
                <w:sz w:val="20"/>
                <w:szCs w:val="20"/>
                <w:lang w:val="en-US" w:eastAsia="en-US"/>
              </w:rPr>
            </w:r>
          </w:p>
        </w:tc>
        <w:tc>
          <w:tcPr>
            <w:tcW w:w="1195" w:type="dxa"/>
            <w:tcBorders/>
            <w:shd w:fill="FFFFFF" w:val="clear"/>
            <w:vAlign w:val="bottom"/>
          </w:tcPr>
          <w:p>
            <w:pPr>
              <w:pStyle w:val="Normal"/>
              <w:snapToGrid w:val="false"/>
              <w:spacing w:lineRule="auto" w:line="240" w:before="0" w:after="0"/>
              <w:rPr>
                <w:rFonts w:ascii="Arial" w:hAnsi="Arial" w:cs="Arial"/>
                <w:sz w:val="20"/>
                <w:szCs w:val="20"/>
                <w:lang w:val="en-US" w:eastAsia="en-US"/>
              </w:rPr>
            </w:pPr>
            <w:r>
              <w:rPr>
                <w:rFonts w:cs="Arial" w:ascii="Arial" w:hAnsi="Arial"/>
                <w:sz w:val="20"/>
                <w:szCs w:val="20"/>
                <w:lang w:val="en-US" w:eastAsia="en-US"/>
              </w:rPr>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50" w:hRule="atLeast"/>
        </w:trPr>
        <w:tc>
          <w:tcPr>
            <w:tcW w:w="5114" w:type="dxa"/>
            <w:gridSpan w:val="3"/>
            <w:tcBorders/>
            <w:shd w:fill="auto" w:val="clear"/>
            <w:vAlign w:val="bottom"/>
          </w:tcPr>
          <w:p>
            <w:pPr>
              <w:pStyle w:val="Normal"/>
              <w:spacing w:lineRule="auto" w:line="240" w:before="0" w:after="0"/>
              <w:ind w:firstLine="452"/>
              <w:rPr>
                <w:rFonts w:ascii="Arial" w:hAnsi="Arial" w:cs="Arial"/>
                <w:color w:val="000000"/>
                <w:sz w:val="20"/>
                <w:szCs w:val="20"/>
                <w:lang w:val="en-US" w:eastAsia="en-US"/>
              </w:rPr>
            </w:pPr>
            <w:r>
              <w:rPr>
                <w:rFonts w:cs="Arial" w:ascii="Arial" w:hAnsi="Arial"/>
                <w:color w:val="000000"/>
                <w:sz w:val="20"/>
                <w:szCs w:val="20"/>
                <w:lang w:val="en-US" w:eastAsia="en-US"/>
              </w:rPr>
              <w:t>Less than 650 patients</w:t>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1.00</w:t>
            </w:r>
          </w:p>
        </w:tc>
        <w:tc>
          <w:tcPr>
            <w:tcW w:w="1241"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1.00</w:t>
            </w:r>
          </w:p>
        </w:tc>
        <w:tc>
          <w:tcPr>
            <w:tcW w:w="1195" w:type="dxa"/>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 </w:t>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50" w:hRule="atLeast"/>
        </w:trPr>
        <w:tc>
          <w:tcPr>
            <w:tcW w:w="3857" w:type="dxa"/>
            <w:gridSpan w:val="2"/>
            <w:tcBorders/>
            <w:shd w:fill="auto" w:val="clear"/>
            <w:vAlign w:val="bottom"/>
          </w:tcPr>
          <w:p>
            <w:pPr>
              <w:pStyle w:val="Normal"/>
              <w:spacing w:lineRule="auto" w:line="240" w:before="0" w:after="0"/>
              <w:ind w:firstLine="452"/>
              <w:rPr>
                <w:rFonts w:ascii="Arial" w:hAnsi="Arial" w:cs="Arial"/>
                <w:color w:val="000000"/>
                <w:sz w:val="20"/>
                <w:szCs w:val="20"/>
                <w:lang w:val="en-US" w:eastAsia="en-US"/>
              </w:rPr>
            </w:pPr>
            <w:r>
              <w:rPr>
                <w:rFonts w:cs="Arial" w:ascii="Arial" w:hAnsi="Arial"/>
                <w:color w:val="000000"/>
                <w:sz w:val="20"/>
                <w:szCs w:val="20"/>
                <w:lang w:val="en-US" w:eastAsia="en-US"/>
              </w:rPr>
              <w:t xml:space="preserve">650 to 999 patients </w:t>
            </w:r>
          </w:p>
        </w:tc>
        <w:tc>
          <w:tcPr>
            <w:tcW w:w="1257" w:type="dxa"/>
            <w:tcBorders/>
            <w:shd w:fill="auto" w:val="clear"/>
            <w:vAlign w:val="bottom"/>
          </w:tcPr>
          <w:p>
            <w:pPr>
              <w:pStyle w:val="Normal"/>
              <w:snapToGrid w:val="false"/>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0.97</w:t>
            </w:r>
          </w:p>
        </w:tc>
        <w:tc>
          <w:tcPr>
            <w:tcW w:w="1241" w:type="dxa"/>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(0.95-1.00)</w:t>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0.99</w:t>
            </w:r>
          </w:p>
        </w:tc>
        <w:tc>
          <w:tcPr>
            <w:tcW w:w="1195" w:type="dxa"/>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(0.97-1.00)</w:t>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50" w:hRule="atLeast"/>
        </w:trPr>
        <w:tc>
          <w:tcPr>
            <w:tcW w:w="5114" w:type="dxa"/>
            <w:gridSpan w:val="3"/>
            <w:tcBorders/>
            <w:shd w:fill="auto" w:val="clear"/>
            <w:vAlign w:val="bottom"/>
          </w:tcPr>
          <w:p>
            <w:pPr>
              <w:pStyle w:val="Normal"/>
              <w:spacing w:lineRule="auto" w:line="240" w:before="0" w:after="0"/>
              <w:ind w:firstLine="452"/>
              <w:rPr>
                <w:rFonts w:ascii="Arial" w:hAnsi="Arial" w:cs="Arial"/>
                <w:color w:val="000000"/>
                <w:sz w:val="20"/>
                <w:szCs w:val="20"/>
                <w:lang w:val="en-US" w:eastAsia="en-US"/>
              </w:rPr>
            </w:pPr>
            <w:r>
              <w:rPr>
                <w:rFonts w:cs="Arial" w:ascii="Arial" w:hAnsi="Arial"/>
                <w:color w:val="000000"/>
                <w:sz w:val="20"/>
                <w:szCs w:val="20"/>
                <w:lang w:val="en-US" w:eastAsia="en-US"/>
              </w:rPr>
              <w:t xml:space="preserve">1000 to 1999 patients </w:t>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0.95</w:t>
            </w:r>
          </w:p>
        </w:tc>
        <w:tc>
          <w:tcPr>
            <w:tcW w:w="1241" w:type="dxa"/>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(0.93-0.98)</w:t>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0.97</w:t>
            </w:r>
          </w:p>
        </w:tc>
        <w:tc>
          <w:tcPr>
            <w:tcW w:w="1195" w:type="dxa"/>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(0.96-0.98)</w:t>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64" w:hRule="atLeast"/>
        </w:trPr>
        <w:tc>
          <w:tcPr>
            <w:tcW w:w="5114" w:type="dxa"/>
            <w:gridSpan w:val="3"/>
            <w:tcBorders/>
            <w:shd w:fill="auto" w:val="clear"/>
            <w:vAlign w:val="bottom"/>
          </w:tcPr>
          <w:p>
            <w:pPr>
              <w:pStyle w:val="Normal"/>
              <w:spacing w:lineRule="auto" w:line="240" w:before="0" w:after="0"/>
              <w:ind w:firstLine="452"/>
              <w:rPr>
                <w:rFonts w:ascii="Arial" w:hAnsi="Arial" w:cs="Arial"/>
                <w:color w:val="000000"/>
                <w:sz w:val="20"/>
                <w:szCs w:val="20"/>
                <w:lang w:val="en-US" w:eastAsia="en-US"/>
              </w:rPr>
            </w:pPr>
            <w:r>
              <w:rPr>
                <w:rFonts w:cs="Arial" w:ascii="Arial" w:hAnsi="Arial"/>
                <w:color w:val="000000"/>
                <w:sz w:val="20"/>
                <w:szCs w:val="20"/>
                <w:lang w:val="en-US" w:eastAsia="en-US"/>
              </w:rPr>
              <w:t>2000 to more patients</w:t>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0.95</w:t>
            </w:r>
          </w:p>
        </w:tc>
        <w:tc>
          <w:tcPr>
            <w:tcW w:w="1241" w:type="dxa"/>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(0.92-0.97)</w:t>
            </w:r>
          </w:p>
        </w:tc>
        <w:tc>
          <w:tcPr>
            <w:tcW w:w="239"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66"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1255" w:type="dxa"/>
            <w:tcBorders/>
            <w:shd w:fill="auto" w:val="clear"/>
            <w:vAlign w:val="bottom"/>
          </w:tcPr>
          <w:p>
            <w:pPr>
              <w:pStyle w:val="Normal"/>
              <w:snapToGrid w:val="false"/>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r>
          </w:p>
        </w:tc>
        <w:tc>
          <w:tcPr>
            <w:tcW w:w="684" w:type="dxa"/>
            <w:tcBorders/>
            <w:shd w:fill="auto" w:val="clear"/>
            <w:vAlign w:val="bottom"/>
          </w:tcPr>
          <w:p>
            <w:pPr>
              <w:pStyle w:val="Normal"/>
              <w:spacing w:lineRule="auto" w:line="240" w:before="0" w:after="0"/>
              <w:jc w:val="right"/>
              <w:rPr>
                <w:rFonts w:ascii="Arial" w:hAnsi="Arial" w:cs="Arial"/>
                <w:color w:val="000000"/>
                <w:sz w:val="20"/>
                <w:szCs w:val="20"/>
                <w:lang w:val="en-US" w:eastAsia="en-US"/>
              </w:rPr>
            </w:pPr>
            <w:r>
              <w:rPr>
                <w:rFonts w:cs="Arial" w:ascii="Arial" w:hAnsi="Arial"/>
                <w:color w:val="000000"/>
                <w:sz w:val="20"/>
                <w:szCs w:val="20"/>
                <w:lang w:val="en-US" w:eastAsia="en-US"/>
              </w:rPr>
              <w:t>0.96</w:t>
            </w:r>
          </w:p>
        </w:tc>
        <w:tc>
          <w:tcPr>
            <w:tcW w:w="1195" w:type="dxa"/>
            <w:tcBorders/>
            <w:shd w:fill="auto" w:val="clear"/>
            <w:vAlign w:val="bottom"/>
          </w:tcPr>
          <w:p>
            <w:pPr>
              <w:pStyle w:val="Normal"/>
              <w:spacing w:lineRule="auto" w:line="240" w:before="0" w:after="0"/>
              <w:rPr>
                <w:rFonts w:ascii="Arial" w:hAnsi="Arial" w:cs="Arial"/>
                <w:color w:val="000000"/>
                <w:sz w:val="20"/>
                <w:szCs w:val="20"/>
                <w:lang w:val="en-US" w:eastAsia="en-US"/>
              </w:rPr>
            </w:pPr>
            <w:r>
              <w:rPr>
                <w:rFonts w:cs="Arial" w:ascii="Arial" w:hAnsi="Arial"/>
                <w:color w:val="000000"/>
                <w:sz w:val="20"/>
                <w:szCs w:val="20"/>
                <w:lang w:val="en-US" w:eastAsia="en-US"/>
              </w:rPr>
              <w:t>(0.95-0.98)</w:t>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64" w:hRule="atLeast"/>
        </w:trPr>
        <w:tc>
          <w:tcPr>
            <w:tcW w:w="11078" w:type="dxa"/>
            <w:gridSpan w:val="10"/>
            <w:tcBorders>
              <w:top w:val="single" w:sz="8" w:space="0" w:color="000000"/>
            </w:tcBorders>
            <w:shd w:fill="auto" w:val="clear"/>
            <w:vAlign w:val="bottom"/>
          </w:tcPr>
          <w:p>
            <w:pPr>
              <w:pStyle w:val="Normal"/>
              <w:spacing w:lineRule="auto" w:line="240" w:before="0" w:after="0"/>
              <w:rPr/>
            </w:pPr>
            <w:r>
              <w:rPr>
                <w:rFonts w:cs="Arial" w:ascii="Arial" w:hAnsi="Arial"/>
                <w:color w:val="000000"/>
                <w:sz w:val="20"/>
                <w:szCs w:val="20"/>
                <w:vertAlign w:val="superscript"/>
                <w:lang w:val="en-US" w:eastAsia="en-US"/>
              </w:rPr>
              <w:t>*</w:t>
            </w:r>
            <w:r>
              <w:rPr>
                <w:rFonts w:cs="Arial" w:ascii="Arial" w:hAnsi="Arial"/>
                <w:color w:val="000000"/>
                <w:sz w:val="20"/>
                <w:szCs w:val="20"/>
                <w:lang w:val="en-US" w:eastAsia="en-US"/>
              </w:rPr>
              <w:t xml:space="preserve">  Rostered patients include patients on physicians’ rosters, not virtual rosters.  The unit of analysis is the physician.  </w:t>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250" w:hRule="atLeast"/>
        </w:trPr>
        <w:tc>
          <w:tcPr>
            <w:tcW w:w="11078" w:type="dxa"/>
            <w:gridSpan w:val="10"/>
            <w:tcBorders/>
            <w:shd w:fill="auto" w:val="clear"/>
            <w:vAlign w:val="bottom"/>
          </w:tcPr>
          <w:p>
            <w:pPr>
              <w:pStyle w:val="Normal"/>
              <w:spacing w:lineRule="auto" w:line="240" w:before="0" w:after="0"/>
              <w:rPr/>
            </w:pPr>
            <w:r>
              <w:rPr>
                <w:rFonts w:eastAsia="Arial" w:cs="Arial" w:ascii="Arial" w:hAnsi="Arial"/>
                <w:color w:val="000000"/>
                <w:sz w:val="20"/>
                <w:szCs w:val="20"/>
                <w:vertAlign w:val="superscript"/>
                <w:lang w:val="en-US" w:eastAsia="en-US"/>
              </w:rPr>
              <w:t xml:space="preserve">†  </w:t>
            </w:r>
            <w:r>
              <w:rPr>
                <w:rFonts w:eastAsia="Arial" w:cs="Arial" w:ascii="Arial" w:hAnsi="Arial"/>
                <w:color w:val="000000"/>
                <w:sz w:val="20"/>
                <w:szCs w:val="20"/>
                <w:lang w:val="en-US" w:eastAsia="en-US"/>
              </w:rPr>
              <w:t xml:space="preserve">  </w:t>
            </w:r>
            <w:r>
              <w:rPr>
                <w:rFonts w:cs="Arial" w:ascii="Arial" w:hAnsi="Arial"/>
                <w:color w:val="000000"/>
                <w:sz w:val="20"/>
                <w:szCs w:val="20"/>
                <w:lang w:val="en-US" w:eastAsia="en-US"/>
              </w:rPr>
              <w:t xml:space="preserve">The study population included Ontario residents with a valid OHIP number who were 18 years or older as of August 31, 2008.  </w:t>
            </w:r>
          </w:p>
        </w:tc>
        <w:tc>
          <w:tcPr>
            <w:tcW w:w="100" w:type="dxa"/>
            <w:tcBorders/>
            <w:shd w:fill="auto" w:val="clear"/>
            <w:tcMar>
              <w:left w:w="0" w:type="dxa"/>
              <w:right w:w="0" w:type="dxa"/>
            </w:tcMar>
          </w:tcPr>
          <w:p>
            <w:pPr>
              <w:pStyle w:val="Normal"/>
              <w:snapToGrid w:val="false"/>
              <w:spacing w:before="0" w:after="200"/>
              <w:rPr>
                <w:rFonts w:ascii="Arial" w:hAnsi="Arial" w:cs="Arial"/>
                <w:color w:val="000000"/>
                <w:sz w:val="20"/>
                <w:szCs w:val="20"/>
                <w:lang w:val="en-US" w:eastAsia="en-US"/>
              </w:rPr>
            </w:pPr>
            <w:r>
              <w:rPr>
                <w:rFonts w:cs="Arial" w:ascii="Arial" w:hAnsi="Arial"/>
                <w:color w:val="000000"/>
                <w:sz w:val="20"/>
                <w:szCs w:val="20"/>
                <w:lang w:val="en-US" w:eastAsia="en-US"/>
              </w:rPr>
            </w:r>
          </w:p>
        </w:tc>
      </w:tr>
      <w:tr>
        <w:trPr>
          <w:trHeight w:val="526" w:hRule="atLeast"/>
          <w:cantSplit w:val="true"/>
        </w:trPr>
        <w:tc>
          <w:tcPr>
            <w:tcW w:w="11078" w:type="dxa"/>
            <w:gridSpan w:val="10"/>
            <w:vMerge w:val="restart"/>
            <w:tcBorders>
              <w:bottom w:val="single" w:sz="8" w:space="0" w:color="000000"/>
              <w:insideH w:val="single" w:sz="8" w:space="0" w:color="000000"/>
            </w:tcBorders>
            <w:shd w:fill="auto" w:val="clear"/>
          </w:tcPr>
          <w:p>
            <w:pPr>
              <w:pStyle w:val="Normal"/>
              <w:spacing w:lineRule="auto" w:line="240" w:before="0" w:after="0"/>
              <w:rPr/>
            </w:pPr>
            <w:r>
              <w:rPr>
                <w:rFonts w:eastAsia="Arial" w:cs="Arial" w:ascii="Arial" w:hAnsi="Arial"/>
                <w:color w:val="000000"/>
                <w:sz w:val="20"/>
                <w:szCs w:val="20"/>
                <w:vertAlign w:val="superscript"/>
                <w:lang w:val="en-US" w:eastAsia="en-US"/>
              </w:rPr>
              <w:t xml:space="preserve">‡  </w:t>
            </w:r>
            <w:r>
              <w:rPr>
                <w:rFonts w:eastAsia="Arial" w:cs="Arial" w:ascii="Arial" w:hAnsi="Arial"/>
                <w:color w:val="000000"/>
                <w:sz w:val="20"/>
                <w:szCs w:val="20"/>
                <w:lang w:val="en-US" w:eastAsia="en-US"/>
              </w:rPr>
              <w:t xml:space="preserve"> </w:t>
            </w:r>
            <w:r>
              <w:rPr>
                <w:rFonts w:cs="Arial" w:ascii="Arial" w:hAnsi="Arial"/>
                <w:color w:val="000000"/>
                <w:sz w:val="20"/>
                <w:szCs w:val="20"/>
                <w:lang w:val="en-US" w:eastAsia="en-US"/>
              </w:rPr>
              <w:t>The analysis was offset by the proportion of individuals with no mental illness who were rostered.</w:t>
            </w:r>
          </w:p>
          <w:p>
            <w:pPr>
              <w:pStyle w:val="Normal"/>
              <w:spacing w:lineRule="auto" w:line="240" w:before="0" w:after="0"/>
              <w:rPr/>
            </w:pPr>
            <w:r>
              <w:rPr>
                <w:rFonts w:cs="Arial" w:ascii="Arial" w:hAnsi="Arial"/>
                <w:color w:val="000000"/>
                <w:sz w:val="20"/>
                <w:szCs w:val="20"/>
                <w:vertAlign w:val="superscript"/>
                <w:lang w:val="en-US" w:eastAsia="en-US"/>
              </w:rPr>
              <w:t xml:space="preserve">§ </w:t>
            </w:r>
            <w:r>
              <w:rPr>
                <w:rFonts w:cs="Arial" w:ascii="Arial" w:hAnsi="Arial"/>
                <w:color w:val="000000"/>
                <w:sz w:val="20"/>
                <w:szCs w:val="20"/>
                <w:lang w:val="en-US" w:eastAsia="en-US"/>
              </w:rPr>
              <w:t xml:space="preserve"> Confidence interval</w:t>
            </w:r>
            <w:r>
              <w:rPr>
                <w:rFonts w:cs="Arial" w:ascii="Arial" w:hAnsi="Arial"/>
                <w:color w:val="000000"/>
                <w:sz w:val="20"/>
                <w:szCs w:val="20"/>
                <w:vertAlign w:val="superscript"/>
                <w:lang w:val="en-US" w:eastAsia="en-US"/>
              </w:rPr>
              <w:t xml:space="preserve">  </w:t>
            </w:r>
          </w:p>
          <w:p>
            <w:pPr>
              <w:pStyle w:val="Normal"/>
              <w:spacing w:lineRule="auto" w:line="240" w:before="0" w:after="0"/>
              <w:rPr>
                <w:rFonts w:ascii="Arial" w:hAnsi="Arial" w:cs="Arial"/>
                <w:sz w:val="20"/>
                <w:szCs w:val="20"/>
                <w:lang w:val="en-US" w:eastAsia="en-US"/>
              </w:rPr>
            </w:pPr>
            <w:r>
              <w:rPr>
                <w:rFonts w:cs="Arial" w:ascii="Arial" w:hAnsi="Arial"/>
                <w:sz w:val="20"/>
                <w:szCs w:val="20"/>
                <w:vertAlign w:val="superscript"/>
                <w:lang w:val="en-US" w:eastAsia="en-US"/>
              </w:rPr>
              <w:t>||</w:t>
            </w:r>
            <w:r>
              <w:rPr>
                <w:rFonts w:cs="Arial" w:ascii="Arial" w:hAnsi="Arial"/>
                <w:sz w:val="20"/>
                <w:szCs w:val="20"/>
                <w:lang w:val="en-US" w:eastAsia="en-US"/>
              </w:rPr>
              <w:t xml:space="preserve"> </w:t>
            </w:r>
            <w:r>
              <w:rPr>
                <w:rFonts w:cs="Arial" w:ascii="Arial" w:hAnsi="Arial"/>
                <w:color w:val="000000"/>
                <w:sz w:val="20"/>
                <w:szCs w:val="20"/>
                <w:lang w:val="en-US" w:eastAsia="en-US"/>
              </w:rPr>
              <w:t xml:space="preserve">Rurality Index of Ontario  </w:t>
            </w:r>
          </w:p>
        </w:tc>
        <w:tc>
          <w:tcPr>
            <w:tcW w:w="100" w:type="dxa"/>
            <w:tcBorders/>
            <w:shd w:fill="auto" w:val="clear"/>
            <w:tcMar>
              <w:left w:w="0" w:type="dxa"/>
              <w:right w:w="0" w:type="dxa"/>
            </w:tcMar>
          </w:tcPr>
          <w:p>
            <w:pPr>
              <w:pStyle w:val="Normal"/>
              <w:snapToGrid w:val="false"/>
              <w:spacing w:before="0" w:after="200"/>
              <w:rPr>
                <w:rFonts w:ascii="Arial" w:hAnsi="Arial" w:cs="Arial"/>
                <w:sz w:val="20"/>
                <w:szCs w:val="20"/>
                <w:lang w:val="en-US" w:eastAsia="en-US"/>
              </w:rPr>
            </w:pPr>
            <w:r>
              <w:rPr>
                <w:rFonts w:cs="Arial" w:ascii="Arial" w:hAnsi="Arial"/>
                <w:sz w:val="20"/>
                <w:szCs w:val="20"/>
                <w:lang w:val="en-US" w:eastAsia="en-US"/>
              </w:rPr>
            </w:r>
          </w:p>
        </w:tc>
      </w:tr>
      <w:tr>
        <w:trPr>
          <w:trHeight w:val="270" w:hRule="atLeast"/>
          <w:cantSplit w:val="true"/>
        </w:trPr>
        <w:tc>
          <w:tcPr>
            <w:tcW w:w="11078" w:type="dxa"/>
            <w:gridSpan w:val="10"/>
            <w:vMerge w:val="continue"/>
            <w:tcBorders>
              <w:bottom w:val="single" w:sz="8" w:space="0" w:color="000000"/>
              <w:insideH w:val="single" w:sz="8" w:space="0" w:color="000000"/>
            </w:tcBorders>
            <w:shd w:fill="auto" w:val="clear"/>
            <w:vAlign w:val="center"/>
          </w:tcPr>
          <w:p>
            <w:pPr>
              <w:pStyle w:val="Normal"/>
              <w:snapToGrid w:val="false"/>
              <w:spacing w:lineRule="auto" w:line="240" w:before="0" w:after="0"/>
              <w:rPr>
                <w:rFonts w:cs="Arial"/>
                <w:color w:val="000000"/>
                <w:sz w:val="20"/>
                <w:szCs w:val="20"/>
                <w:lang w:val="en-US" w:eastAsia="en-US"/>
              </w:rPr>
            </w:pPr>
            <w:r>
              <w:rPr>
                <w:rFonts w:cs="Arial"/>
                <w:color w:val="000000"/>
                <w:sz w:val="20"/>
                <w:szCs w:val="20"/>
                <w:lang w:val="en-US" w:eastAsia="en-US"/>
              </w:rPr>
            </w:r>
          </w:p>
        </w:tc>
        <w:tc>
          <w:tcPr>
            <w:tcW w:w="100" w:type="dxa"/>
            <w:tcBorders/>
            <w:shd w:fill="auto" w:val="clear"/>
            <w:tcMar>
              <w:left w:w="0" w:type="dxa"/>
              <w:right w:w="0" w:type="dxa"/>
            </w:tcMar>
          </w:tcPr>
          <w:p>
            <w:pPr>
              <w:pStyle w:val="Normal"/>
              <w:snapToGrid w:val="false"/>
              <w:spacing w:before="0" w:after="200"/>
              <w:rPr>
                <w:rFonts w:cs="Arial"/>
                <w:color w:val="000000"/>
                <w:sz w:val="20"/>
                <w:szCs w:val="20"/>
                <w:lang w:val="en-US" w:eastAsia="en-US"/>
              </w:rPr>
            </w:pPr>
            <w:r>
              <w:rPr>
                <w:rFonts w:cs="Arial"/>
                <w:color w:val="000000"/>
                <w:sz w:val="20"/>
                <w:szCs w:val="20"/>
                <w:lang w:val="en-US" w:eastAsia="en-US"/>
              </w:rPr>
            </w:r>
          </w:p>
        </w:tc>
      </w:tr>
    </w:tbl>
    <w:p>
      <w:pPr>
        <w:pStyle w:val="Normal"/>
        <w:autoSpaceDE w:val="false"/>
        <w:jc w:val="center"/>
        <w:rPr>
          <w:rFonts w:ascii="Arial" w:hAnsi="Arial" w:cs="Arial"/>
          <w:b/>
          <w:b/>
          <w:color w:val="000000"/>
          <w:sz w:val="20"/>
          <w:szCs w:val="20"/>
        </w:rPr>
      </w:pPr>
      <w:r>
        <w:rPr>
          <w:rFonts w:cs="Arial" w:ascii="Arial" w:hAnsi="Arial"/>
          <w:b/>
          <w:color w:val="000000"/>
          <w:sz w:val="20"/>
          <w:szCs w:val="20"/>
        </w:rPr>
        <w:t xml:space="preserve">APPENDIX A: </w:t>
      </w:r>
    </w:p>
    <w:p>
      <w:pPr>
        <w:pStyle w:val="Normal"/>
        <w:autoSpaceDE w:val="false"/>
        <w:jc w:val="center"/>
        <w:rPr/>
      </w:pPr>
      <w:r>
        <w:rPr>
          <w:rFonts w:cs="Arial" w:ascii="Arial" w:hAnsi="Arial"/>
          <w:b/>
          <w:color w:val="000000"/>
          <w:sz w:val="20"/>
          <w:szCs w:val="20"/>
        </w:rPr>
        <w:t>Ontario Health Insurance Progarm Diagnostic Codes (ICD-9) For Psychotic and Non Psychotic Disorders</w:t>
      </w:r>
    </w:p>
    <w:p>
      <w:pPr>
        <w:pStyle w:val="Normal"/>
        <w:autoSpaceDE w:val="false"/>
        <w:rPr>
          <w:rFonts w:ascii="Arial" w:hAnsi="Arial" w:cs="Arial"/>
          <w:b/>
          <w:b/>
          <w:color w:val="000000"/>
          <w:sz w:val="20"/>
          <w:szCs w:val="20"/>
        </w:rPr>
      </w:pPr>
      <w:r>
        <w:rPr>
          <w:rFonts w:cs="Arial" w:ascii="Arial" w:hAnsi="Arial"/>
          <w:b/>
          <w:color w:val="000000"/>
          <w:sz w:val="20"/>
          <w:szCs w:val="20"/>
        </w:rPr>
      </w:r>
    </w:p>
    <w:p>
      <w:pPr>
        <w:pStyle w:val="Normal"/>
        <w:autoSpaceDE w:val="false"/>
        <w:rPr>
          <w:rFonts w:ascii="Arial" w:hAnsi="Arial" w:cs="Arial"/>
          <w:b/>
          <w:b/>
          <w:color w:val="000000"/>
          <w:sz w:val="20"/>
          <w:szCs w:val="20"/>
        </w:rPr>
      </w:pPr>
      <w:r>
        <w:rPr>
          <w:rFonts w:cs="Arial" w:ascii="Arial" w:hAnsi="Arial"/>
          <w:b/>
          <w:color w:val="000000"/>
          <w:sz w:val="20"/>
          <w:szCs w:val="20"/>
        </w:rPr>
        <w:t xml:space="preserve">Psychosis/Bipolar: </w:t>
      </w:r>
    </w:p>
    <w:p>
      <w:pPr>
        <w:pStyle w:val="Normal"/>
        <w:autoSpaceDE w:val="false"/>
        <w:rPr>
          <w:rFonts w:ascii="Arial" w:hAnsi="Arial" w:cs="Arial"/>
          <w:color w:val="000000"/>
          <w:sz w:val="20"/>
          <w:szCs w:val="20"/>
        </w:rPr>
      </w:pPr>
      <w:r>
        <w:rPr>
          <w:rFonts w:cs="Arial" w:ascii="Arial" w:hAnsi="Arial"/>
          <w:color w:val="000000"/>
          <w:sz w:val="20"/>
          <w:szCs w:val="20"/>
        </w:rPr>
        <w:t xml:space="preserve">295 schizophrenia, 296 manic depressive psychosis, involutional melancholia, 297 other paranoid states, 298 other psychoses </w:t>
      </w:r>
    </w:p>
    <w:p>
      <w:pPr>
        <w:pStyle w:val="Normal"/>
        <w:autoSpaceDE w:val="false"/>
        <w:rPr>
          <w:rFonts w:ascii="Arial" w:hAnsi="Arial" w:cs="Arial"/>
          <w:b/>
          <w:b/>
          <w:color w:val="000000"/>
          <w:sz w:val="20"/>
          <w:szCs w:val="20"/>
        </w:rPr>
      </w:pPr>
      <w:r>
        <w:rPr>
          <w:rFonts w:cs="Arial" w:ascii="Arial" w:hAnsi="Arial"/>
          <w:b/>
          <w:color w:val="000000"/>
          <w:sz w:val="20"/>
          <w:szCs w:val="20"/>
        </w:rPr>
      </w:r>
    </w:p>
    <w:p>
      <w:pPr>
        <w:pStyle w:val="Normal"/>
        <w:autoSpaceDE w:val="false"/>
        <w:rPr>
          <w:rFonts w:ascii="Arial" w:hAnsi="Arial" w:cs="Arial"/>
          <w:b/>
          <w:b/>
          <w:color w:val="000000"/>
          <w:sz w:val="20"/>
          <w:szCs w:val="20"/>
        </w:rPr>
      </w:pPr>
      <w:r>
        <w:rPr>
          <w:rFonts w:cs="Arial" w:ascii="Arial" w:hAnsi="Arial"/>
          <w:b/>
          <w:color w:val="000000"/>
          <w:sz w:val="20"/>
          <w:szCs w:val="20"/>
        </w:rPr>
        <w:t xml:space="preserve">Other mental illness: </w:t>
      </w:r>
    </w:p>
    <w:p>
      <w:pPr>
        <w:pStyle w:val="Normal"/>
        <w:autoSpaceDE w:val="false"/>
        <w:rPr/>
      </w:pPr>
      <w:r>
        <w:rPr>
          <w:rFonts w:cs="Arial" w:ascii="Arial" w:hAnsi="Arial"/>
          <w:color w:val="000000"/>
          <w:sz w:val="20"/>
          <w:szCs w:val="20"/>
        </w:rPr>
        <w:t xml:space="preserve">300 anxiety neurosis, hysteria, neurasthenia, obsessive – compulsive neurosis, reactive depression, 301 personality disorders, 302 sexual deviations, 303 alcoholism, 304 drug dependence, 306 psychosomatic illness, 307 tics, anorexia nervosa 309 adjustment reaction, 311 depressive disorder, 897 economic problems, 898 marital difficulties, 899 parent- child problems 900 problems with aged parents or in-laws, 901 family disruption/ divorce, 902 education problems, 903 illegitimacy, 904 social maladjustment, 905 occupational problems, 906 legal problems ,909 other problems of social adjustment </w:t>
      </w:r>
    </w:p>
    <w:p>
      <w:pPr>
        <w:pStyle w:val="NormalWeb"/>
        <w:spacing w:before="0" w:after="100"/>
        <w:rPr>
          <w:rFonts w:ascii="Arial" w:hAnsi="Arial" w:cs="Arial"/>
          <w:color w:val="000000"/>
          <w:sz w:val="20"/>
          <w:szCs w:val="20"/>
        </w:rPr>
      </w:pPr>
      <w:r>
        <w:rPr>
          <w:rFonts w:cs="Arial" w:ascii="Arial" w:hAnsi="Arial"/>
          <w:color w:val="000000"/>
          <w:sz w:val="20"/>
          <w:szCs w:val="20"/>
        </w:rPr>
      </w:r>
    </w:p>
    <w:p>
      <w:pPr>
        <w:pStyle w:val="Normal"/>
        <w:spacing w:before="0" w:after="0"/>
        <w:rPr>
          <w:rFonts w:eastAsia="Calibri" w:cs="Calibri"/>
        </w:rPr>
      </w:pPr>
      <w:r>
        <w:rPr>
          <w:rFonts w:eastAsia="Calibri" w:cs="Calibri"/>
        </w:rPr>
        <w:t xml:space="preserve"> </w:t>
      </w:r>
    </w:p>
    <w:sectPr>
      <w:type w:val="nextPage"/>
      <w:pgSz w:orient="landscape" w:w="15840" w:h="12240"/>
      <w:pgMar w:left="1440" w:right="1440" w:header="0" w:top="1440" w:footer="0" w:bottom="144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Tahoma">
    <w:charset w:val="00"/>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Times New Roman" w:cs="Times New Roman"/>
      <w:color w:val="auto"/>
      <w:sz w:val="22"/>
      <w:szCs w:val="22"/>
      <w:lang w:val="en-CA" w:bidi="ar-SA" w:eastAsia="zh-CN"/>
    </w:rPr>
  </w:style>
  <w:style w:type="character" w:styleId="DefaultParagraphFont">
    <w:name w:val="Default Paragraph Font"/>
    <w:qFormat/>
    <w:rPr/>
  </w:style>
  <w:style w:type="character" w:styleId="Ft">
    <w:name w:val="ft"/>
    <w:qFormat/>
    <w:rPr/>
  </w:style>
  <w:style w:type="character" w:styleId="InternetLink">
    <w:name w:val="Internet Link"/>
    <w:rPr>
      <w:color w:val="0000FF"/>
      <w:u w:val="single"/>
    </w:rPr>
  </w:style>
  <w:style w:type="character" w:styleId="BalloonTextChar">
    <w:name w:val="Balloon Text Ch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NormalWeb">
    <w:name w:val="Normal (Web)"/>
    <w:basedOn w:val="Normal"/>
    <w:qFormat/>
    <w:pPr>
      <w:spacing w:lineRule="auto" w:line="240" w:before="100" w:after="100"/>
    </w:pPr>
    <w:rPr>
      <w:rFonts w:ascii="Times New Roman" w:hAnsi="Times New Roman" w:cs="Times New Roman"/>
      <w:sz w:val="24"/>
      <w:szCs w:val="24"/>
      <w:lang w:val="en-US"/>
    </w:rPr>
  </w:style>
  <w:style w:type="paragraph" w:styleId="BalloonText">
    <w:name w:val="Balloon Text"/>
    <w:basedOn w:val="Normal"/>
    <w:qFormat/>
    <w:pPr>
      <w:spacing w:lineRule="auto" w:line="240" w:before="0" w:after="0"/>
    </w:pPr>
    <w:rPr>
      <w:rFonts w:ascii="Tahoma" w:hAnsi="Tahoma" w:cs="Tahoma"/>
      <w:sz w:val="16"/>
      <w:szCs w:val="16"/>
      <w:lang w:val="en-CA"/>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lang w:val="en-C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2012-05-07T11:47:00Z</dcterms:created>
  <dc:creator>Leah</dc:creator>
  <dc:language>en-CA</dc:language>
  <cp:lastModifiedBy>Owner</cp:lastModifiedBy>
  <dcterms:modified xsi:type="dcterms:W3CDTF">2012-05-07T11:50:00Z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&lt;InstantFormat&gt;&lt;Enabled&gt;1&lt;/Enabled&gt;&lt;ScanUnformatted&gt;1&lt;/ScanUnformatted&gt;&lt;ScanChanges&gt;1&lt;/ScanChanges&gt;&lt;/InstantFormat&gt;</vt:lpwstr>
  </property>
  <property fmtid="{D5CDD505-2E9C-101B-9397-08002B2CF9AE}" pid="3" name="REFMGR.Layout">
    <vt:lpwstr>&lt;Layout&gt;&lt;StartingRefnum&gt;American Journal of Psychiatry&lt;/StartingRefnum&gt;&lt;FontName&gt;Calibri&lt;/FontName&gt;&lt;FontSize&gt;11&lt;/FontSize&gt;&lt;ReflistTitle&gt;Reference List&lt;/ReflistTitle&gt;&lt;SpaceAfter&gt;1&lt;/SpaceAfter&gt;&lt;ReflistOrder&gt;0&lt;/ReflistOrder&gt;&lt;CitationOrder&gt;0&lt;/CitationOrder&gt;&lt;NumberReferences&gt;1&lt;/NumberReferences&gt;&lt;FirstLineIndent&gt;720&lt;/FirstLineIndent&gt;&lt;HangingIndent&gt;0&lt;/HangingIndent&gt;&lt;LineSpacing&gt;2&lt;/LineSpacing&gt;&lt;ShowReprint&gt;3&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&lt;Databases&gt;&lt;Libraries&gt;&lt;item&gt;enrollment&lt;/item&gt;&lt;/Libraries&gt;&lt;/Databases&gt;</vt:lpwstr>
  </property>
</Properties>
</file>