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480"/>
        <w:jc w:val="center"/>
        <w:rPr/>
      </w:pPr>
      <w:r>
        <w:rPr>
          <w:rFonts w:cs="Times New Roman" w:ascii="Times New Roman" w:hAnsi="Times New Roman"/>
          <w:b/>
          <w:color w:val="000000"/>
          <w:sz w:val="24"/>
          <w:szCs w:val="24"/>
        </w:rPr>
        <w:t>A Vision of Cannabis Regulation: A Public Health Approach Based on</w:t>
      </w:r>
    </w:p>
    <w:p>
      <w:pPr>
        <w:pStyle w:val="Normal"/>
        <w:spacing w:lineRule="auto" w:line="480"/>
        <w:jc w:val="center"/>
        <w:rPr>
          <w:b/>
          <w:b/>
        </w:rPr>
      </w:pPr>
      <w:r>
        <w:rPr>
          <w:b/>
          <w:color w:val="000000"/>
        </w:rPr>
        <w:t>Lessons Learned from Regulating Alcohol and Tobacco</w:t>
      </w:r>
    </w:p>
    <w:p>
      <w:pPr>
        <w:pStyle w:val="NoSpacing"/>
        <w:spacing w:lineRule="auto" w:line="480"/>
        <w:rPr>
          <w:u w:val="single"/>
        </w:rPr>
      </w:pPr>
      <w:r>
        <w:rPr>
          <w:u w:val="single"/>
        </w:rPr>
        <w:t xml:space="preserve">Corresponding Author:  </w:t>
      </w:r>
    </w:p>
    <w:p>
      <w:pPr>
        <w:pStyle w:val="NoSpacing"/>
        <w:spacing w:lineRule="auto" w:line="480"/>
        <w:rPr/>
      </w:pPr>
      <w:r>
        <w:rPr/>
        <w:t xml:space="preserve">Mark Haden, MSW, is an </w:t>
      </w:r>
      <w:r>
        <w:rPr>
          <w:color w:val="000000"/>
        </w:rPr>
        <w:t>Adjunct Professor at the University of British Columbia School of Population and Public Health, a</w:t>
      </w:r>
      <w:r>
        <w:rPr/>
        <w:t xml:space="preserve">nd the Clinic Supervisor of the Raven Song Community Health Centre, Vancouver Coastal Health, </w:t>
      </w:r>
      <w:hyperlink r:id="rId2">
        <w:r>
          <w:rPr>
            <w:rStyle w:val="InternetLink"/>
          </w:rPr>
          <w:t>mark.haden@vch.ca</w:t>
        </w:r>
      </w:hyperlink>
      <w:r>
        <w:rPr/>
        <w:t>, 3rd Fl., 2450 Ontario St, Vancouver, BC, V5T 4T7 Canada, (604) 709 6535 (permission is granted for email address to be published)</w:t>
      </w:r>
    </w:p>
    <w:p>
      <w:pPr>
        <w:pStyle w:val="NoSpacing"/>
        <w:spacing w:lineRule="auto" w:line="480"/>
        <w:rPr>
          <w:u w:val="single"/>
        </w:rPr>
      </w:pPr>
      <w:r>
        <w:rPr>
          <w:u w:val="single"/>
        </w:rPr>
        <w:t>Other Author:</w:t>
      </w:r>
    </w:p>
    <w:p>
      <w:pPr>
        <w:pStyle w:val="Normal"/>
        <w:spacing w:lineRule="auto" w:line="480"/>
        <w:rPr/>
      </w:pPr>
      <w:r>
        <w:rPr/>
        <w:t>Brian Emerson, MD, MHSC, is the Chair of the Psychoactive Substances Committee, Health Officers Council of British Columbia and a</w:t>
      </w:r>
      <w:r>
        <w:rPr>
          <w:color w:val="000000"/>
        </w:rPr>
        <w:t xml:space="preserve"> </w:t>
      </w:r>
      <w:r>
        <w:rPr/>
        <w:t>Medical Consultant with the</w:t>
      </w:r>
      <w:r>
        <w:rPr>
          <w:color w:val="000000"/>
        </w:rPr>
        <w:t xml:space="preserve"> Population and Public Health Division, BC Ministry of Health.  </w:t>
      </w:r>
      <w:hyperlink r:id="rId3">
        <w:r>
          <w:rPr>
            <w:rStyle w:val="InternetLink"/>
          </w:rPr>
          <w:t>brian.emerson@gov.bc.ca</w:t>
        </w:r>
      </w:hyperlink>
    </w:p>
    <w:p>
      <w:pPr>
        <w:pStyle w:val="Normal"/>
        <w:spacing w:lineRule="auto" w:line="480" w:before="280" w:after="280"/>
        <w:rPr/>
      </w:pPr>
      <w:r>
        <w:rPr>
          <w:b/>
          <w:color w:val="111111"/>
        </w:rPr>
        <w:t>Author contributor statement:</w:t>
      </w:r>
      <w:r>
        <w:rPr>
          <w:color w:val="111111"/>
        </w:rPr>
        <w:t xml:space="preserve"> Both authors contributed substantially to conception and design of this article, drafted and revised the article andvgave final approval of the version to be published.</w:t>
      </w:r>
      <w:r>
        <w:rPr/>
        <w:t xml:space="preserve"> </w:t>
      </w:r>
    </w:p>
    <w:p>
      <w:pPr>
        <w:pStyle w:val="Normal"/>
        <w:spacing w:lineRule="auto" w:line="480" w:before="280" w:after="280"/>
        <w:rPr>
          <w:rFonts w:ascii="Georgia" w:hAnsi="Georgia" w:cs="Georgia"/>
          <w:color w:val="111111"/>
        </w:rPr>
      </w:pPr>
      <w:r>
        <w:rPr>
          <w:b/>
        </w:rPr>
        <w:t>Competing Interests:</w:t>
      </w:r>
      <w:r>
        <w:rPr/>
        <w:t xml:space="preserve"> The authors declare that they have reviewed the journal’s “Competing Interest Policy” and that they have no c</w:t>
      </w:r>
      <w:r>
        <w:rPr>
          <w:rStyle w:val="Urmheaderhighlight"/>
        </w:rPr>
        <w:t>onflicts of interest to declare.</w:t>
      </w:r>
    </w:p>
    <w:p>
      <w:pPr>
        <w:pStyle w:val="Normal"/>
        <w:spacing w:before="280" w:after="280"/>
        <w:jc w:val="center"/>
        <w:rPr>
          <w:b/>
          <w:b/>
          <w:sz w:val="28"/>
          <w:szCs w:val="28"/>
        </w:rPr>
      </w:pPr>
      <w:r>
        <w:rPr>
          <w:b/>
          <w:sz w:val="28"/>
          <w:szCs w:val="28"/>
        </w:rPr>
        <w:t>Disclaimer: This paper contains opinions of the individual authors and does not represent the positions of the institutions for which the authors work.</w:t>
      </w:r>
    </w:p>
    <w:p>
      <w:pPr>
        <w:pStyle w:val="NoSpacing"/>
        <w:rPr>
          <w:b/>
          <w:b/>
          <w:sz w:val="28"/>
          <w:szCs w:val="28"/>
        </w:rPr>
      </w:pPr>
      <w:r>
        <w:rPr>
          <w:b/>
          <w:sz w:val="28"/>
          <w:szCs w:val="28"/>
        </w:rPr>
      </w:r>
    </w:p>
    <w:p>
      <w:pPr>
        <w:pStyle w:val="NoSpacing"/>
        <w:rPr/>
      </w:pPr>
      <w:r>
        <w:rPr/>
        <w:t>Source(s) of support in the form of grants:  None</w:t>
      </w:r>
    </w:p>
    <w:p>
      <w:pPr>
        <w:pStyle w:val="Normal"/>
        <w:spacing w:before="280" w:after="280"/>
        <w:jc w:val="center"/>
        <w:rPr/>
      </w:pPr>
      <w:r>
        <w:rPr/>
        <w:t xml:space="preserve">Word counts: Abstract =  294 </w:t>
        <w:tab/>
        <w:t>Text only = 1876</w:t>
      </w:r>
    </w:p>
    <w:p>
      <w:pPr>
        <w:pStyle w:val="Normal"/>
        <w:spacing w:before="280" w:after="280"/>
        <w:jc w:val="center"/>
        <w:rPr/>
      </w:pPr>
      <w:r>
        <w:rPr/>
        <w:t>Number tables included = 5</w:t>
      </w:r>
    </w:p>
    <w:p>
      <w:pPr>
        <w:pStyle w:val="Normal"/>
        <w:spacing w:before="280" w:after="280"/>
        <w:jc w:val="center"/>
        <w:rPr>
          <w:b/>
          <w:b/>
        </w:rPr>
      </w:pPr>
      <w:r>
        <w:rPr>
          <w:b/>
        </w:rPr>
      </w:r>
      <w:r>
        <w:br w:type="page"/>
      </w:r>
    </w:p>
    <w:p>
      <w:pPr>
        <w:pStyle w:val="Normal"/>
        <w:spacing w:lineRule="auto" w:line="480"/>
        <w:jc w:val="center"/>
        <w:rPr>
          <w:b/>
          <w:b/>
        </w:rPr>
      </w:pPr>
      <w:r>
        <w:rPr>
          <w:b/>
          <w:color w:val="000000"/>
        </w:rPr>
        <w:t>Abstract</w:t>
      </w:r>
    </w:p>
    <w:p>
      <w:pPr>
        <w:pStyle w:val="Normal"/>
        <w:spacing w:lineRule="auto" w:line="480"/>
        <w:ind w:left="10" w:hanging="0"/>
        <w:rPr/>
      </w:pPr>
      <w:r>
        <w:rPr>
          <w:b/>
        </w:rPr>
        <w:t>Background:</w:t>
      </w:r>
      <w:r>
        <w:rPr/>
        <w:t xml:space="preserve"> </w:t>
      </w:r>
    </w:p>
    <w:p>
      <w:pPr>
        <w:pStyle w:val="Normal"/>
        <w:spacing w:lineRule="auto" w:line="480"/>
        <w:ind w:left="10" w:hanging="0"/>
        <w:rPr/>
      </w:pPr>
      <w:r>
        <w:rPr/>
        <w:t>There is growing scientific evidence and public acknowledgment of the failure and harms of cannabis prohibition, and increasing support for cannabis legalization.  What is missing is a discussion about the relative merits of different regulatory frameworks, including how a public health approach could be used to minimise the harms and maximise the benefits of cannabis.  T</w:t>
      </w:r>
      <w:r>
        <w:rPr>
          <w:color w:val="000000"/>
        </w:rPr>
        <w:t>he purpose of this paper is to inform the scientific and public dialogue by offering a proposal for cannabis regulation derived from evidence-based public health oriented recommendations for alcohol and tobacco.</w:t>
      </w:r>
    </w:p>
    <w:p>
      <w:pPr>
        <w:pStyle w:val="Normal"/>
        <w:spacing w:lineRule="auto" w:line="480"/>
        <w:rPr/>
      </w:pPr>
      <w:r>
        <w:rPr>
          <w:b/>
          <w:color w:val="111111"/>
        </w:rPr>
        <w:t xml:space="preserve">Methods: </w:t>
      </w:r>
      <w:r>
        <w:rPr/>
        <w:t xml:space="preserve">Since there is </w:t>
      </w:r>
      <w:r>
        <w:rPr>
          <w:color w:val="000000"/>
        </w:rPr>
        <w:t xml:space="preserve">very limited evidence base for public health oriented cannabis regulation as an alternative to cannabis global cannabis prohibition, and there is a substantial body of knowledge regarding the public health oriented regulatory evidence base for alcohol and tobacco, </w:t>
      </w:r>
      <w:r>
        <w:rPr/>
        <w:t>we examined international syntheses of evidence based recommendations for public health oriented alcohol and tobacco regulation to identify options  that have been shown to have public health benefits.</w:t>
      </w:r>
    </w:p>
    <w:p>
      <w:pPr>
        <w:pStyle w:val="Normal"/>
        <w:spacing w:lineRule="auto" w:line="480"/>
        <w:rPr>
          <w:rFonts w:ascii="Georgia" w:hAnsi="Georgia" w:cs="Georgia"/>
          <w:color w:val="111111"/>
        </w:rPr>
      </w:pPr>
      <w:r>
        <w:rPr>
          <w:b/>
          <w:color w:val="111111"/>
        </w:rPr>
        <w:t>Results</w:t>
      </w:r>
      <w:r>
        <w:rPr/>
        <w:t>: This paper describes a model of how cannabis could be regulated to control availability and accessibility (control structure, retail sales, price),  purchase, consumption, use, supply (production, product) and demand drivers (promotion, packaging) that could be researched as part of evaluating a strategy of public health regulation of cannabis.</w:t>
      </w:r>
    </w:p>
    <w:p>
      <w:pPr>
        <w:pStyle w:val="Normal"/>
        <w:spacing w:lineRule="auto" w:line="480"/>
        <w:rPr/>
      </w:pPr>
      <w:r>
        <w:rPr>
          <w:b/>
          <w:color w:val="111111"/>
        </w:rPr>
        <w:t>Interpretation:</w:t>
      </w:r>
      <w:r>
        <w:rPr/>
        <w:t xml:space="preserve"> As the public opinion supporting cannabis “legalization” is growing, proactive, rigorously evaluated action based on a public health approach needs to be taken. Otherwise a commercial exploitation model may result such that similar health and social problems as those associated with alcohol and tobacco may be repeated. Alcohol and tobacco evidence based recommendations suggest that a comprehensive public health approach to cannabis regulation could contain or reduce health and social problems that presently exist in the setting of cannabis prohibition, while allowing for benefits to accrue. </w:t>
      </w:r>
    </w:p>
    <w:p>
      <w:pPr>
        <w:pStyle w:val="Normal"/>
        <w:spacing w:lineRule="auto" w:line="480"/>
        <w:rPr>
          <w:color w:val="000000"/>
        </w:rPr>
      </w:pPr>
      <w:r>
        <w:rPr>
          <w:b/>
          <w:color w:val="000000"/>
        </w:rPr>
        <w:t xml:space="preserve">Acknowledgements </w:t>
      </w:r>
      <w:r>
        <w:rPr>
          <w:color w:val="000000"/>
        </w:rPr>
        <w:t>– The authors gratefully thank Rielle Capler, Benedikt Fischer, Dana Larsen, Philippe Lucas and Evan Wood for reviewing and providing helpful suggestions on draft versions of this paper.</w:t>
      </w:r>
      <w:r>
        <w:br w:type="page"/>
      </w:r>
    </w:p>
    <w:p>
      <w:pPr>
        <w:pStyle w:val="Normal"/>
        <w:jc w:val="center"/>
        <w:rPr>
          <w:b/>
          <w:b/>
        </w:rPr>
      </w:pPr>
      <w:r>
        <w:rPr>
          <w:b/>
        </w:rPr>
        <w:t>A Modest Proposal</w:t>
      </w:r>
      <w:r>
        <w:rPr>
          <w:b/>
          <w:color w:val="000000"/>
        </w:rPr>
        <w:t>: A Public Health Approach for Cannabis Regulation</w:t>
      </w:r>
    </w:p>
    <w:p>
      <w:pPr>
        <w:pStyle w:val="Normal"/>
        <w:rPr>
          <w:b/>
          <w:b/>
        </w:rPr>
      </w:pPr>
      <w:r>
        <w:rPr>
          <w:b/>
        </w:rPr>
      </w:r>
    </w:p>
    <w:p>
      <w:pPr>
        <w:pStyle w:val="Normal"/>
        <w:rPr/>
      </w:pPr>
      <w:r>
        <w:rPr>
          <w:b/>
        </w:rPr>
        <w:t>Introduction</w:t>
      </w:r>
      <w:r>
        <w:rPr>
          <w:b/>
          <w:u w:val="single"/>
        </w:rPr>
        <w:t xml:space="preserve"> </w:t>
      </w:r>
    </w:p>
    <w:p>
      <w:pPr>
        <w:pStyle w:val="PlainText"/>
        <w:spacing w:lineRule="auto" w:line="48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480"/>
        <w:rPr/>
      </w:pPr>
      <w:r>
        <w:rPr/>
        <w:t>There is growing evidence and awareness that prohibition of cannabis is not achieving its purported objectives of reducing use and potential harms, and</w:t>
      </w:r>
      <w:r>
        <w:rPr>
          <w:color w:val="000000"/>
        </w:rPr>
        <w:t xml:space="preserve"> has considerable adverse consequences (1-4)</w:t>
      </w:r>
      <w:r>
        <w:rPr/>
        <w:t>.</w:t>
      </w:r>
      <w:r>
        <w:rPr>
          <w:color w:val="000000"/>
        </w:rPr>
        <w:t xml:space="preserve">  Uruguay, Colorado, and Washington State have recently established non-criminal law based regulatory regimes for cannabis. However there is widespread uncertainty regarding potential benefits and harms of a non-prohibition based, regulated framework for cannabis.  The purpose of this paper is to address this uncertainty by suggesting a public health oriented model for cannabis regulation, derived from evidence-based recommendations for public health approaches to alcohol and tobacco. </w:t>
      </w:r>
    </w:p>
    <w:p>
      <w:pPr>
        <w:pStyle w:val="Normal"/>
        <w:spacing w:lineRule="auto" w:line="480"/>
        <w:jc w:val="both"/>
        <w:rPr>
          <w:b/>
          <w:b/>
          <w:color w:val="000000"/>
        </w:rPr>
      </w:pPr>
      <w:r>
        <w:rPr>
          <w:b/>
          <w:color w:val="000000"/>
        </w:rPr>
      </w:r>
    </w:p>
    <w:p>
      <w:pPr>
        <w:pStyle w:val="Normal"/>
        <w:autoSpaceDE w:val="false"/>
        <w:spacing w:lineRule="auto" w:line="480"/>
        <w:rPr/>
      </w:pPr>
      <w:r>
        <w:rPr>
          <w:b/>
          <w:color w:val="000000"/>
        </w:rPr>
        <w:t>Lessons Learned from Alcohol and Tobacco – A Proposed Regulatory Model</w:t>
      </w:r>
    </w:p>
    <w:p>
      <w:pPr>
        <w:pStyle w:val="NoSpacing"/>
        <w:rPr/>
      </w:pPr>
      <w:r>
        <w:rPr/>
      </w:r>
    </w:p>
    <w:p>
      <w:pPr>
        <w:pStyle w:val="Normal"/>
        <w:spacing w:lineRule="auto" w:line="480"/>
        <w:rPr/>
      </w:pPr>
      <w:r>
        <w:rPr>
          <w:color w:val="000000"/>
        </w:rPr>
        <w:t xml:space="preserve">There has been much research on alcohol and tobacco to identify regulations that protect health which is summarized in international syntheses of evidence-based recommendations i.e. </w:t>
      </w:r>
      <w:r>
        <w:rPr>
          <w:i/>
          <w:color w:val="000000"/>
        </w:rPr>
        <w:t>Alcohol: No Ordinary Commodity</w:t>
      </w:r>
      <w:r>
        <w:rPr>
          <w:color w:val="000000"/>
        </w:rPr>
        <w:t xml:space="preserve"> by Babor et al (5); and </w:t>
      </w:r>
      <w:r>
        <w:rPr>
          <w:i/>
          <w:color w:val="000000"/>
        </w:rPr>
        <w:t>The Framework Convention on Tobacco Control</w:t>
      </w:r>
      <w:r>
        <w:rPr>
          <w:color w:val="000000"/>
        </w:rPr>
        <w:t xml:space="preserve">  (FCTC) by the World Health Organization (6).</w:t>
      </w:r>
    </w:p>
    <w:p>
      <w:pPr>
        <w:pStyle w:val="Normal"/>
        <w:spacing w:lineRule="auto" w:line="480"/>
        <w:rPr>
          <w:color w:val="000000"/>
        </w:rPr>
      </w:pPr>
      <w:r>
        <w:rPr>
          <w:color w:val="000000"/>
        </w:rPr>
      </w:r>
    </w:p>
    <w:p>
      <w:pPr>
        <w:pStyle w:val="Normal"/>
        <w:spacing w:lineRule="auto" w:line="480"/>
        <w:rPr/>
      </w:pPr>
      <w:r>
        <w:rPr/>
        <w:t>Based on these sources we constructed comparative tables, organized according to the public health oriented regulatory framework for psychoactive substances proposed the Health Officers Council of BC (7)</w:t>
      </w:r>
      <w:r>
        <w:rPr>
          <w:color w:val="000000"/>
        </w:rPr>
        <w:t xml:space="preserve">. </w:t>
      </w:r>
    </w:p>
    <w:p>
      <w:pPr>
        <w:pStyle w:val="Normal"/>
        <w:autoSpaceDE w:val="false"/>
        <w:spacing w:lineRule="auto" w:line="480"/>
        <w:rPr>
          <w:b/>
          <w:b/>
          <w:color w:val="000000"/>
        </w:rPr>
      </w:pPr>
      <w:r>
        <w:rPr>
          <w:b/>
          <w:color w:val="000000"/>
        </w:rPr>
      </w:r>
    </w:p>
    <w:p>
      <w:pPr>
        <w:pStyle w:val="PlainText"/>
        <w:spacing w:lineRule="auto" w:line="480"/>
        <w:rPr>
          <w:rFonts w:ascii="Times New Roman" w:hAnsi="Times New Roman" w:cs="Times New Roman"/>
          <w:color w:val="000000"/>
          <w:sz w:val="24"/>
          <w:szCs w:val="24"/>
        </w:rPr>
      </w:pPr>
      <w:r>
        <w:rPr>
          <w:rFonts w:cs="Times New Roman" w:ascii="Times New Roman" w:hAnsi="Times New Roman"/>
          <w:sz w:val="24"/>
          <w:szCs w:val="24"/>
        </w:rPr>
        <w:t xml:space="preserve">Tables 1 to 4 </w:t>
      </w:r>
      <w:r>
        <w:rPr>
          <w:rFonts w:cs="Times New Roman" w:ascii="Times New Roman" w:hAnsi="Times New Roman"/>
          <w:color w:val="000000"/>
          <w:sz w:val="24"/>
          <w:szCs w:val="24"/>
        </w:rPr>
        <w:t>list the</w:t>
      </w:r>
      <w:r>
        <w:rPr>
          <w:rFonts w:cs="Times New Roman" w:ascii="Times New Roman" w:hAnsi="Times New Roman"/>
          <w:sz w:val="24"/>
          <w:szCs w:val="24"/>
        </w:rPr>
        <w:t xml:space="preserve"> evidence based regulatory recommendations for alcohol and tobacco from the Babor et al (5)</w:t>
      </w:r>
      <w:r>
        <w:rPr>
          <w:color w:val="000000"/>
        </w:rPr>
        <w:t xml:space="preserve"> </w:t>
      </w:r>
      <w:r>
        <w:rPr>
          <w:rFonts w:cs="Times New Roman" w:ascii="Times New Roman" w:hAnsi="Times New Roman"/>
          <w:sz w:val="24"/>
          <w:szCs w:val="24"/>
        </w:rPr>
        <w:t xml:space="preserve">and the FCTC (6), </w:t>
      </w:r>
      <w:r>
        <w:rPr>
          <w:rFonts w:cs="Times New Roman" w:ascii="Times New Roman" w:hAnsi="Times New Roman"/>
          <w:color w:val="000000"/>
          <w:sz w:val="24"/>
          <w:szCs w:val="24"/>
        </w:rPr>
        <w:t>which are summarized in Table 5</w:t>
      </w:r>
      <w:r>
        <w:rPr>
          <w:rFonts w:cs="Times New Roman" w:ascii="Times New Roman" w:hAnsi="Times New Roman"/>
          <w:sz w:val="24"/>
          <w:szCs w:val="24"/>
        </w:rPr>
        <w:t xml:space="preserve">.  </w:t>
      </w:r>
      <w:r>
        <w:rPr>
          <w:color w:val="000000"/>
        </w:rPr>
        <w:t>Based on these recommendations f</w:t>
      </w:r>
      <w:r>
        <w:rPr>
          <w:rFonts w:cs="Times New Roman" w:ascii="Times New Roman" w:hAnsi="Times New Roman"/>
          <w:sz w:val="24"/>
          <w:szCs w:val="24"/>
        </w:rPr>
        <w:t xml:space="preserve">ollowing are suggestions for how </w:t>
      </w:r>
      <w:r>
        <w:rPr>
          <w:rFonts w:cs="Times New Roman" w:ascii="Times New Roman" w:hAnsi="Times New Roman"/>
          <w:color w:val="000000"/>
          <w:sz w:val="24"/>
          <w:szCs w:val="24"/>
        </w:rPr>
        <w:t>these measures could be applied to cannabis. Where there existed gaps in the regulatory recommendations we used our judgment to propose measures that are consistent with the objective of protecting public health.</w:t>
      </w:r>
    </w:p>
    <w:p>
      <w:pPr>
        <w:pStyle w:val="PlainText"/>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spacing w:lineRule="auto" w:line="480"/>
        <w:rPr>
          <w:rFonts w:ascii="Cambria" w:hAnsi="Cambria" w:cs="Cambria"/>
          <w:b/>
          <w:b/>
        </w:rPr>
      </w:pPr>
      <w:r>
        <w:rPr>
          <w:rFonts w:cs="Cambria" w:ascii="Cambria" w:hAnsi="Cambria"/>
          <w:b/>
        </w:rPr>
        <w:t xml:space="preserve">Availability and Accessibility  </w:t>
      </w:r>
      <w:r>
        <w:rPr>
          <w:b/>
          <w:color w:val="000000"/>
        </w:rPr>
        <w:t>– Table 1</w:t>
      </w:r>
    </w:p>
    <w:p>
      <w:pPr>
        <w:pStyle w:val="Normal"/>
        <w:spacing w:lineRule="auto" w:line="480"/>
        <w:rPr>
          <w:b/>
          <w:b/>
          <w:color w:val="000000"/>
        </w:rPr>
      </w:pPr>
      <w:r>
        <w:rPr>
          <w:b/>
          <w:color w:val="000000"/>
        </w:rPr>
        <w:t>Control Structure</w:t>
      </w:r>
    </w:p>
    <w:p>
      <w:pPr>
        <w:pStyle w:val="Normal"/>
        <w:spacing w:lineRule="auto" w:line="480"/>
        <w:rPr>
          <w:color w:val="000000"/>
        </w:rPr>
      </w:pPr>
      <w:r>
        <w:rPr>
          <w:color w:val="000000"/>
        </w:rPr>
        <w:t xml:space="preserve">As shown in Table 1, research has concluded that a government monopoly is effective in limiting alcohol consumption and related harms. This is achieved by reducing the profit motive which can promote consumption through sales promotion and political influence of special interests to loosen restrictions on availability; by limiting the number of sales outlets and limiting hours and days of sales; and by having more professional staff to reduce likelihood of selling to minors (8). </w:t>
      </w:r>
    </w:p>
    <w:p>
      <w:pPr>
        <w:pStyle w:val="Normal"/>
        <w:autoSpaceDE w:val="false"/>
        <w:spacing w:lineRule="auto" w:line="480"/>
        <w:rPr>
          <w:color w:val="000000"/>
        </w:rPr>
      </w:pPr>
      <w:r>
        <w:rPr>
          <w:color w:val="000000"/>
        </w:rPr>
      </w:r>
    </w:p>
    <w:p>
      <w:pPr>
        <w:pStyle w:val="Normal"/>
        <w:autoSpaceDE w:val="false"/>
        <w:spacing w:lineRule="auto" w:line="480"/>
        <w:rPr/>
      </w:pPr>
      <w:r>
        <w:rPr>
          <w:color w:val="000000"/>
        </w:rPr>
        <w:t>Following the evidence-based summarized in Table 1, we suggest that jurisdictions develop cannabis specific legislation and regulatory oversight such as establishing a governing body (e.g. a “Cannabis Control Commission”) with a clear public health mandate</w:t>
      </w:r>
      <w:r>
        <w:rPr/>
        <w:t xml:space="preserve"> to manage cannabis, explicitly guided by public health oriented goals and objectives. </w:t>
      </w:r>
      <w:r>
        <w:rPr>
          <w:color w:val="000000"/>
        </w:rPr>
        <w:t xml:space="preserve">Government revenue generation should not be a primary driver. The Commission should operate at “arms length” from government to allow for stability, clarity of focus, and to provide insulation from industry influence which will promote revenue generation imperatives to the detriment of public health.  </w:t>
      </w:r>
    </w:p>
    <w:p>
      <w:pPr>
        <w:pStyle w:val="Normal"/>
        <w:autoSpaceDE w:val="false"/>
        <w:spacing w:lineRule="auto" w:line="480"/>
        <w:rPr>
          <w:color w:val="000000"/>
        </w:rPr>
      </w:pPr>
      <w:r>
        <w:rPr>
          <w:color w:val="000000"/>
        </w:rPr>
      </w:r>
    </w:p>
    <w:p>
      <w:pPr>
        <w:pStyle w:val="Normal"/>
        <w:autoSpaceDE w:val="false"/>
        <w:spacing w:lineRule="auto" w:line="480"/>
        <w:rPr/>
      </w:pPr>
      <w:r>
        <w:rPr>
          <w:color w:val="000000"/>
        </w:rPr>
        <w:t xml:space="preserve">The Commission would control cannabis production, packaging, distribution, retailing, and revenue allocation and have an important role in demand reduction. Processing and packaging would be done in Commission-licensed facilities according to set standards. </w:t>
      </w:r>
      <w:r>
        <w:rPr/>
        <w:t xml:space="preserve">Direct sales from producers to retailers or consumers would not be allowed.   </w:t>
      </w:r>
    </w:p>
    <w:p>
      <w:pPr>
        <w:pStyle w:val="Normal"/>
        <w:autoSpaceDE w:val="false"/>
        <w:spacing w:lineRule="auto" w:line="480"/>
        <w:rPr/>
      </w:pPr>
      <w:r>
        <w:rPr/>
      </w:r>
    </w:p>
    <w:p>
      <w:pPr>
        <w:pStyle w:val="Normal"/>
        <w:autoSpaceDE w:val="false"/>
        <w:spacing w:lineRule="auto" w:line="480"/>
        <w:rPr/>
      </w:pPr>
      <w:r>
        <w:rPr/>
        <w:t>While a ban on alcohol sales has been found to reduce consumption and harms (Table 1), widespread alcohol prohibition was tried and rejected in North America in the early part of the 20</w:t>
      </w:r>
      <w:r>
        <w:rPr>
          <w:vertAlign w:val="superscript"/>
        </w:rPr>
        <w:t>th</w:t>
      </w:r>
      <w:r>
        <w:rPr/>
        <w:t xml:space="preserve"> century (9).</w:t>
      </w:r>
    </w:p>
    <w:p>
      <w:pPr>
        <w:pStyle w:val="Normal"/>
        <w:autoSpaceDE w:val="false"/>
        <w:spacing w:lineRule="auto" w:line="480"/>
        <w:rPr>
          <w:b/>
          <w:b/>
          <w:color w:val="000000"/>
        </w:rPr>
      </w:pPr>
      <w:r>
        <w:rPr>
          <w:b/>
          <w:color w:val="000000"/>
        </w:rPr>
      </w:r>
    </w:p>
    <w:p>
      <w:pPr>
        <w:pStyle w:val="Normal"/>
        <w:autoSpaceDE w:val="false"/>
        <w:spacing w:lineRule="auto" w:line="480"/>
        <w:rPr/>
      </w:pPr>
      <w:r>
        <w:rPr>
          <w:b/>
          <w:color w:val="000000"/>
        </w:rPr>
        <w:t xml:space="preserve">Provision to Consumers </w:t>
      </w:r>
    </w:p>
    <w:p>
      <w:pPr>
        <w:pStyle w:val="Normal"/>
        <w:spacing w:lineRule="auto" w:line="480"/>
        <w:rPr>
          <w:color w:val="000000"/>
        </w:rPr>
      </w:pPr>
      <w:r>
        <w:rPr>
          <w:color w:val="000000"/>
        </w:rPr>
        <w:t xml:space="preserve">Cannabis would only be sold through Commission operated or licensed outlets explicitly designed and required by law to support public health objectives. To minimize cannabis promotion a standardized, neutral, non-promoting appearance and environment should be required. The street presence of outlets would be minimal with no advertising outside indicating the location of a cannabis outlet.  All signs would be small and designed with a consistent bland color and format (e.g. drab olive green with the logo of a mortar and pestle).  Staff could be dressed in standardized bland appearing attire and trained and certified about cannabis-related benefits and risks. Locating stores above (or below) the street level would reduce the visual presence, but would need to be accessible for people with mobility difficulties. Stores should not be allowed to be clustered, and not located within 500 meters of a school, playground, or alcohol retail outlet.  </w:t>
      </w:r>
    </w:p>
    <w:p>
      <w:pPr>
        <w:pStyle w:val="Normal"/>
        <w:spacing w:lineRule="auto" w:line="480"/>
        <w:rPr>
          <w:color w:val="000000"/>
        </w:rPr>
      </w:pPr>
      <w:r>
        <w:rPr>
          <w:color w:val="000000"/>
        </w:rPr>
      </w:r>
    </w:p>
    <w:p>
      <w:pPr>
        <w:pStyle w:val="Normal"/>
        <w:spacing w:lineRule="auto" w:line="480"/>
        <w:rPr>
          <w:color w:val="000000"/>
        </w:rPr>
      </w:pPr>
      <w:r>
        <w:rPr>
          <w:color w:val="000000"/>
        </w:rPr>
        <w:t>Health promotion messages would be prominently displayed including information about the laws against and risks of driving or operating heavy machinery while intoxicated.  Information and referral mechanisms for cannabis dependency treatment would also be standardized and prominently displayed.</w:t>
      </w:r>
    </w:p>
    <w:p>
      <w:pPr>
        <w:pStyle w:val="Normal"/>
        <w:spacing w:lineRule="auto" w:line="480"/>
        <w:rPr>
          <w:b/>
          <w:b/>
          <w:color w:val="000000"/>
        </w:rPr>
      </w:pPr>
      <w:r>
        <w:rPr>
          <w:b/>
          <w:color w:val="000000"/>
        </w:rPr>
      </w:r>
    </w:p>
    <w:p>
      <w:pPr>
        <w:pStyle w:val="Normal"/>
        <w:spacing w:lineRule="auto" w:line="480"/>
        <w:rPr>
          <w:color w:val="000000"/>
        </w:rPr>
      </w:pPr>
      <w:r>
        <w:rPr>
          <w:color w:val="000000"/>
        </w:rPr>
        <w:t>As Table 1 indicates hours of sale restrictions are important in reducing availability so we recommend similar limitations on cannabis retailers to allow reasonable access while preventing illegal market activity.</w:t>
      </w:r>
    </w:p>
    <w:p>
      <w:pPr>
        <w:pStyle w:val="Normal"/>
        <w:spacing w:lineRule="auto" w:line="480"/>
        <w:rPr>
          <w:color w:val="000000"/>
        </w:rPr>
      </w:pPr>
      <w:r>
        <w:rPr>
          <w:color w:val="000000"/>
        </w:rPr>
      </w:r>
    </w:p>
    <w:p>
      <w:pPr>
        <w:pStyle w:val="Normal"/>
        <w:spacing w:lineRule="auto" w:line="480"/>
        <w:rPr>
          <w:b/>
          <w:b/>
          <w:color w:val="000000"/>
        </w:rPr>
      </w:pPr>
      <w:r>
        <w:rPr>
          <w:b/>
          <w:color w:val="000000"/>
        </w:rPr>
        <w:t>Price</w:t>
      </w:r>
    </w:p>
    <w:p>
      <w:pPr>
        <w:pStyle w:val="Normal"/>
        <w:spacing w:lineRule="auto" w:line="480"/>
        <w:rPr>
          <w:color w:val="000000"/>
        </w:rPr>
      </w:pPr>
      <w:r>
        <w:rPr>
          <w:color w:val="000000"/>
        </w:rPr>
        <w:t xml:space="preserve">As shown in Table 1, there is strong evidence that taxation and price are important for reducing rates of use of alcohol and tobacco.  As such pricing, taxation and other policies should be used to establish a pricing structure that competes with the illegal market while ensuring a high enough price to restrict youth access, limit overall consumption, and allow for needs of patients using cannabis for therapeutic purposes.  </w:t>
      </w:r>
    </w:p>
    <w:p>
      <w:pPr>
        <w:pStyle w:val="Normal"/>
        <w:spacing w:lineRule="auto" w:line="480"/>
        <w:ind w:left="720" w:hanging="0"/>
        <w:rPr>
          <w:b/>
          <w:b/>
          <w:color w:val="000000"/>
        </w:rPr>
      </w:pPr>
      <w:r>
        <w:rPr>
          <w:b/>
          <w:color w:val="000000"/>
        </w:rPr>
      </w:r>
    </w:p>
    <w:p>
      <w:pPr>
        <w:pStyle w:val="Normal"/>
        <w:numPr>
          <w:ilvl w:val="0"/>
          <w:numId w:val="2"/>
        </w:numPr>
        <w:spacing w:lineRule="auto" w:line="480"/>
        <w:rPr>
          <w:b/>
          <w:b/>
          <w:color w:val="000000"/>
        </w:rPr>
      </w:pPr>
      <w:r>
        <w:rPr>
          <w:rFonts w:cs="Cambria" w:ascii="Cambria" w:hAnsi="Cambria"/>
          <w:b/>
          <w:color w:val="000000"/>
        </w:rPr>
        <w:t xml:space="preserve">Purchase, Consumption, Use </w:t>
      </w:r>
    </w:p>
    <w:p>
      <w:pPr>
        <w:pStyle w:val="Normal"/>
        <w:autoSpaceDE w:val="false"/>
        <w:spacing w:lineRule="auto" w:line="480"/>
        <w:rPr>
          <w:b/>
          <w:b/>
          <w:color w:val="000000"/>
        </w:rPr>
      </w:pPr>
      <w:r>
        <w:rPr>
          <w:b/>
          <w:color w:val="000000"/>
        </w:rPr>
        <w:t>Purchase</w:t>
      </w:r>
    </w:p>
    <w:p>
      <w:pPr>
        <w:pStyle w:val="Normal"/>
        <w:spacing w:lineRule="auto" w:line="480"/>
        <w:rPr/>
      </w:pPr>
      <w:r>
        <w:rPr>
          <w:color w:val="000000"/>
        </w:rPr>
        <w:t>As shown in Table 2 a minimum purchase age is important so regulations would require sales be limited to individuals over a specified age e.g. age 19.  Purchase could be by filling out a form to access behind the counter cannabis and c</w:t>
      </w:r>
      <w:r>
        <w:rPr/>
        <w:t>ould include a declaration that the cannabis is only for the purchaser or other legal age adults. Also as Table 2 shows rationing has moderate effectiveness, with effects greater on heavy drinkers so we propose that c</w:t>
      </w:r>
      <w:r>
        <w:rPr>
          <w:color w:val="000000"/>
        </w:rPr>
        <w:t xml:space="preserve">ustomers would only be allowed to purchase a maximum amount e.g. 10 grams a day.  This small volume would also prevent diversion to youth or trading within an unregulated market. </w:t>
      </w:r>
    </w:p>
    <w:p>
      <w:pPr>
        <w:pStyle w:val="Normal"/>
        <w:spacing w:lineRule="auto" w:line="480"/>
        <w:rPr>
          <w:color w:val="000000"/>
        </w:rPr>
      </w:pPr>
      <w:r>
        <w:rPr>
          <w:color w:val="000000"/>
        </w:rPr>
      </w:r>
    </w:p>
    <w:p>
      <w:pPr>
        <w:pStyle w:val="Normal"/>
        <w:spacing w:lineRule="auto" w:line="480"/>
        <w:rPr>
          <w:b/>
          <w:b/>
          <w:color w:val="000000"/>
        </w:rPr>
      </w:pPr>
      <w:r>
        <w:rPr>
          <w:b/>
          <w:color w:val="000000"/>
        </w:rPr>
        <w:t xml:space="preserve">Cannabis Use Locations </w:t>
      </w:r>
    </w:p>
    <w:p>
      <w:pPr>
        <w:pStyle w:val="CommentText"/>
        <w:spacing w:lineRule="auto" w:line="480"/>
        <w:rPr>
          <w:color w:val="000000"/>
          <w:sz w:val="24"/>
          <w:szCs w:val="24"/>
        </w:rPr>
      </w:pPr>
      <w:r>
        <w:rPr>
          <w:color w:val="000000"/>
          <w:sz w:val="24"/>
          <w:szCs w:val="24"/>
        </w:rPr>
        <w:t>Public use of alcohol and tobacco is a contentious issue, and there will likely be similar challenges in arriving at a cannabis public use policy. Although public drinking is widely restricted in Canada, as shown in Table 2 there is insufficient evidence of the public health effectiveness of bans on public use of alcohol. With respect to tobacco, restrictions on location of use are driven by the health hazards of environmental tobacco smoke.  These recommendations, as well as the lack of research on effects of environmental cannabis smoke and the public health concern about exposure to any type of smoke suggest that cannabis smoking be restricted to licensed cannabis consumption locations or home use.  Worker’s health could be protected by providing separately vented space for customers and not allowing tobacco smoking.</w:t>
      </w:r>
    </w:p>
    <w:p>
      <w:pPr>
        <w:pStyle w:val="CommentText"/>
        <w:spacing w:lineRule="auto" w:line="480"/>
        <w:rPr>
          <w:b/>
          <w:b/>
          <w:color w:val="000000"/>
          <w:sz w:val="24"/>
          <w:szCs w:val="24"/>
        </w:rPr>
      </w:pPr>
      <w:r>
        <w:rPr>
          <w:b/>
          <w:color w:val="000000"/>
          <w:sz w:val="24"/>
          <w:szCs w:val="24"/>
        </w:rPr>
      </w:r>
    </w:p>
    <w:p>
      <w:pPr>
        <w:pStyle w:val="CommentText"/>
        <w:spacing w:lineRule="auto" w:line="480"/>
        <w:rPr>
          <w:color w:val="000000"/>
          <w:sz w:val="24"/>
          <w:szCs w:val="24"/>
        </w:rPr>
      </w:pPr>
      <w:r>
        <w:rPr>
          <w:color w:val="000000"/>
          <w:sz w:val="24"/>
          <w:szCs w:val="24"/>
        </w:rPr>
        <w:t>For consistency with the policy of non-promotion (see below) cannabis lounges should have standardized neutral external and internal appearances, limited snack options and prominent health promotion information and referral information displayed, and no promotional materials or activities. Use locations also offer the opportunity for public health promotion as they provide a central, accessible and social venue through which information dissemination and demonstration of potential harm reduction and health promotion approaches can occur, such as encouraging use of smokeless modes of cannabis consumption that may reduce particulate exposure (10).</w:t>
      </w:r>
    </w:p>
    <w:p>
      <w:pPr>
        <w:pStyle w:val="CommentText"/>
        <w:spacing w:lineRule="auto" w:line="480"/>
        <w:rPr>
          <w:color w:val="000000"/>
          <w:sz w:val="24"/>
          <w:szCs w:val="24"/>
        </w:rPr>
      </w:pPr>
      <w:r>
        <w:rPr>
          <w:color w:val="000000"/>
          <w:sz w:val="24"/>
          <w:szCs w:val="24"/>
        </w:rPr>
      </w:r>
    </w:p>
    <w:p>
      <w:pPr>
        <w:pStyle w:val="CommentText"/>
        <w:spacing w:lineRule="auto" w:line="480"/>
        <w:rPr>
          <w:color w:val="000000"/>
          <w:sz w:val="24"/>
          <w:szCs w:val="24"/>
        </w:rPr>
      </w:pPr>
      <w:r>
        <w:rPr>
          <w:color w:val="000000"/>
          <w:sz w:val="24"/>
          <w:szCs w:val="24"/>
        </w:rPr>
        <w:t xml:space="preserve">No alcohol or tobacco use should be permitted in cannabis use locations to support the public health objective of separating cannabis, alcohol and tobacco consumption. </w:t>
      </w:r>
    </w:p>
    <w:p>
      <w:pPr>
        <w:pStyle w:val="CommentText"/>
        <w:spacing w:lineRule="auto" w:line="480"/>
        <w:rPr>
          <w:color w:val="000000"/>
          <w:sz w:val="24"/>
          <w:szCs w:val="24"/>
        </w:rPr>
      </w:pPr>
      <w:r>
        <w:rPr>
          <w:color w:val="000000"/>
          <w:sz w:val="24"/>
          <w:szCs w:val="24"/>
        </w:rPr>
      </w:r>
    </w:p>
    <w:p>
      <w:pPr>
        <w:pStyle w:val="Normal"/>
        <w:autoSpaceDE w:val="false"/>
        <w:spacing w:lineRule="auto" w:line="480"/>
        <w:rPr>
          <w:color w:val="000000"/>
        </w:rPr>
      </w:pPr>
      <w:r>
        <w:rPr>
          <w:color w:val="000000"/>
        </w:rPr>
        <w:t xml:space="preserve">Consumption locations would obtain their supply from the Commission and could sell to customers, would have restrictions on the days/ hours of operation and size, and be required to establish “good neighbour” agreements. Training would be required in recognizing and intervening with people experiencing problems related to their consumption patterns. No “special price reductions” or “happy hour discounts” would be permitted. </w:t>
      </w:r>
    </w:p>
    <w:p>
      <w:pPr>
        <w:pStyle w:val="Normal"/>
        <w:spacing w:lineRule="auto" w:line="480"/>
        <w:ind w:left="360" w:hanging="0"/>
        <w:rPr>
          <w:rFonts w:ascii="Cambria" w:hAnsi="Cambria" w:cs="Cambria"/>
          <w:b/>
          <w:b/>
          <w:color w:val="000000"/>
        </w:rPr>
      </w:pPr>
      <w:r>
        <w:rPr>
          <w:rFonts w:cs="Cambria" w:ascii="Cambria" w:hAnsi="Cambria"/>
          <w:b/>
          <w:color w:val="000000"/>
        </w:rPr>
      </w:r>
    </w:p>
    <w:p>
      <w:pPr>
        <w:pStyle w:val="Normal"/>
        <w:numPr>
          <w:ilvl w:val="0"/>
          <w:numId w:val="2"/>
        </w:numPr>
        <w:spacing w:lineRule="auto" w:line="480"/>
        <w:rPr/>
      </w:pPr>
      <w:r>
        <w:rPr>
          <w:rFonts w:eastAsia="Cambria" w:cs="Cambria" w:ascii="Cambria" w:hAnsi="Cambria"/>
          <w:b/>
        </w:rPr>
        <w:t xml:space="preserve"> </w:t>
      </w:r>
      <w:r>
        <w:rPr>
          <w:rFonts w:cs="Cambria" w:ascii="Cambria" w:hAnsi="Cambria"/>
          <w:b/>
        </w:rPr>
        <w:t xml:space="preserve">Supply </w:t>
      </w:r>
    </w:p>
    <w:p>
      <w:pPr>
        <w:pStyle w:val="Normal"/>
        <w:spacing w:lineRule="auto" w:line="480"/>
        <w:rPr>
          <w:color w:val="000000"/>
        </w:rPr>
      </w:pPr>
      <w:r>
        <w:rPr>
          <w:color w:val="000000"/>
        </w:rPr>
        <w:t>Babor et al (5); and the FCTC (6) provide no guidance with regards to public health oriented regulatory recommendations for the supply of alcohol and tobacco, yet s</w:t>
      </w:r>
      <w:r>
        <w:rPr/>
        <w:t xml:space="preserve">upply management is a critical control measure and is closely related to some of the measures described in the governance section.  </w:t>
      </w:r>
    </w:p>
    <w:p>
      <w:pPr>
        <w:pStyle w:val="Normal"/>
        <w:spacing w:lineRule="auto" w:line="480"/>
        <w:rPr>
          <w:b/>
          <w:b/>
          <w:color w:val="000000"/>
        </w:rPr>
      </w:pPr>
      <w:r>
        <w:rPr>
          <w:b/>
          <w:color w:val="000000"/>
        </w:rPr>
        <w:t>Production</w:t>
      </w:r>
    </w:p>
    <w:p>
      <w:pPr>
        <w:pStyle w:val="Normal"/>
        <w:autoSpaceDE w:val="false"/>
        <w:spacing w:lineRule="auto" w:line="480"/>
        <w:rPr/>
      </w:pPr>
      <w:r>
        <w:rPr/>
        <w:t>To control supply, the Commission would be the only organization authorized to purchase cannabis from licensed growers, import to the province, and supply retailers.</w:t>
      </w:r>
      <w:r>
        <w:rPr>
          <w:color w:val="000000"/>
        </w:rPr>
        <w:t xml:space="preserve"> Supply management systems similar to other agriculture marketing boards could be established to manage the supply and protect small producers.  People should be allowed to grow for their own personal consumption and would not be allowed to sell, which would be similar to home brewing of beer and wine which do not require a specific license. To legally grow cannabis for the purpose of selling would require a license and adherence to processes to ensure quality and safety.  T</w:t>
      </w:r>
      <w:r>
        <w:rPr/>
        <w:t>his model of for-profit private growers with controlled distribution and retailing is similar to provincial (11) or state alcohol monopolies and models that have been proposed for tobacco (12, 13).</w:t>
      </w:r>
      <w:r>
        <w:rPr>
          <w:color w:val="000000"/>
        </w:rPr>
        <w:t xml:space="preserve">  </w:t>
      </w:r>
    </w:p>
    <w:p>
      <w:pPr>
        <w:pStyle w:val="Normal"/>
        <w:autoSpaceDE w:val="false"/>
        <w:spacing w:lineRule="auto" w:line="480"/>
        <w:rPr>
          <w:color w:val="000000"/>
        </w:rPr>
      </w:pPr>
      <w:r>
        <w:rPr>
          <w:color w:val="000000"/>
        </w:rPr>
      </w:r>
    </w:p>
    <w:p>
      <w:pPr>
        <w:pStyle w:val="Normal"/>
        <w:autoSpaceDE w:val="false"/>
        <w:spacing w:lineRule="auto" w:line="480"/>
        <w:rPr/>
      </w:pPr>
      <w:r>
        <w:rPr>
          <w:color w:val="000000"/>
        </w:rPr>
        <w:t>Many public health problems are determined by social and economic factors (14) of which a significant determinant of health is unequal wealth distribution</w:t>
      </w:r>
      <w:r>
        <w:rPr/>
        <w:t xml:space="preserve"> (15)</w:t>
      </w:r>
      <w:r>
        <w:rPr>
          <w:color w:val="000000"/>
        </w:rPr>
        <w:t xml:space="preserve">.  An egalitarian approach to equitably distribute cannabis related wealth by supporting many small scale growers and producers and preventing large concentrations of wealth by multinational corporations should be adopted. </w:t>
      </w:r>
    </w:p>
    <w:p>
      <w:pPr>
        <w:pStyle w:val="Normal"/>
        <w:autoSpaceDE w:val="false"/>
        <w:spacing w:lineRule="auto" w:line="480"/>
        <w:rPr>
          <w:color w:val="000000"/>
        </w:rPr>
      </w:pPr>
      <w:r>
        <w:rPr>
          <w:color w:val="000000"/>
        </w:rPr>
      </w:r>
    </w:p>
    <w:p>
      <w:pPr>
        <w:pStyle w:val="Normal"/>
        <w:autoSpaceDE w:val="false"/>
        <w:spacing w:lineRule="auto" w:line="480"/>
        <w:rPr>
          <w:b/>
          <w:b/>
          <w:color w:val="000000"/>
        </w:rPr>
      </w:pPr>
      <w:r>
        <w:rPr>
          <w:b/>
          <w:color w:val="000000"/>
        </w:rPr>
        <w:t>Product</w:t>
      </w:r>
    </w:p>
    <w:p>
      <w:pPr>
        <w:pStyle w:val="Normal"/>
        <w:autoSpaceDE w:val="false"/>
        <w:spacing w:lineRule="auto" w:line="480"/>
        <w:rPr>
          <w:color w:val="000000"/>
        </w:rPr>
      </w:pPr>
      <w:r>
        <w:rPr>
          <w:color w:val="000000"/>
        </w:rPr>
        <w:t>Table 3 shows that there are no recommendations about regulation of alcohol product constituents, while the FCTC recommends that constituents and emissions of tobacco products be regulated.  Similar requirements as those recommended for tobacco should be applied to cannabis.</w:t>
      </w:r>
    </w:p>
    <w:p>
      <w:pPr>
        <w:pStyle w:val="Normal"/>
        <w:autoSpaceDE w:val="false"/>
        <w:spacing w:lineRule="auto" w:line="480"/>
        <w:rPr>
          <w:color w:val="000000"/>
        </w:rPr>
      </w:pPr>
      <w:r>
        <w:rPr>
          <w:color w:val="000000"/>
        </w:rPr>
      </w:r>
    </w:p>
    <w:p>
      <w:pPr>
        <w:pStyle w:val="Normal"/>
        <w:autoSpaceDE w:val="false"/>
        <w:spacing w:lineRule="auto" w:line="480"/>
        <w:rPr/>
      </w:pPr>
      <w:r>
        <w:rPr>
          <w:color w:val="000000"/>
        </w:rPr>
        <w:t>The concentration of the psychoactive ingredient delta-9-tetrahydrocannabinol (THC) has been noted to have increased over the years (16). Increased use of concentrated alcohol products emerged during alcohol prohibition where mostly spirits were available as illegal dealers preferred smaller packages when importing and transporting illegal alcohol</w:t>
      </w:r>
      <w:r>
        <w:rPr/>
        <w:t xml:space="preserve"> (9)</w:t>
      </w:r>
      <w:r>
        <w:rPr>
          <w:color w:val="000000"/>
        </w:rPr>
        <w:t>. Concentrated products increases risk of harm and are often not preferred by users. It has been observed in the Netherlands, where cannabis is de facto legal, that users prefer relatively lower THC concentrations (17).   In this model, retailers could sell a variety of strains with different concentrations of THC.</w:t>
      </w:r>
    </w:p>
    <w:p>
      <w:pPr>
        <w:pStyle w:val="Normal"/>
        <w:autoSpaceDE w:val="false"/>
        <w:spacing w:lineRule="auto" w:line="480"/>
        <w:rPr>
          <w:color w:val="000000"/>
        </w:rPr>
      </w:pPr>
      <w:r>
        <w:rPr>
          <w:color w:val="000000"/>
        </w:rPr>
      </w:r>
    </w:p>
    <w:p>
      <w:pPr>
        <w:pStyle w:val="Normal"/>
        <w:autoSpaceDE w:val="false"/>
        <w:spacing w:lineRule="auto" w:line="480"/>
        <w:rPr>
          <w:color w:val="000000"/>
        </w:rPr>
      </w:pPr>
      <w:r>
        <w:rPr>
          <w:color w:val="000000"/>
        </w:rPr>
        <w:t xml:space="preserve">Only bulk products should be available to allow individuals to determine their dose, rather than pre-determining the dose as is a feature of pre-made cigarettes.  Processed products (e.g. tinctures, cookies) prepared according to specific regulatory requirements should be available to avoid harms of smoke inhalation. </w:t>
      </w:r>
    </w:p>
    <w:p>
      <w:pPr>
        <w:pStyle w:val="Normal"/>
        <w:autoSpaceDE w:val="false"/>
        <w:spacing w:lineRule="auto" w:line="480"/>
        <w:rPr>
          <w:color w:val="000000"/>
        </w:rPr>
      </w:pPr>
      <w:r>
        <w:rPr>
          <w:color w:val="000000"/>
        </w:rPr>
      </w:r>
    </w:p>
    <w:p>
      <w:pPr>
        <w:pStyle w:val="Normal"/>
        <w:numPr>
          <w:ilvl w:val="0"/>
          <w:numId w:val="2"/>
        </w:numPr>
        <w:autoSpaceDE w:val="false"/>
        <w:spacing w:lineRule="auto" w:line="480"/>
        <w:rPr>
          <w:b/>
          <w:b/>
          <w:color w:val="000000"/>
        </w:rPr>
      </w:pPr>
      <w:r>
        <w:rPr>
          <w:b/>
          <w:color w:val="000000"/>
        </w:rPr>
        <w:t xml:space="preserve"> </w:t>
      </w:r>
      <w:r>
        <w:rPr>
          <w:b/>
          <w:color w:val="000000"/>
        </w:rPr>
        <w:t xml:space="preserve">Demand Drivers </w:t>
      </w:r>
    </w:p>
    <w:p>
      <w:pPr>
        <w:pStyle w:val="Normal"/>
        <w:spacing w:lineRule="auto" w:line="480"/>
        <w:rPr/>
      </w:pPr>
      <w:r>
        <w:rPr>
          <w:b/>
          <w:color w:val="000000"/>
        </w:rPr>
        <w:t xml:space="preserve">Promotion and Packaging </w:t>
      </w:r>
    </w:p>
    <w:p>
      <w:pPr>
        <w:pStyle w:val="Normal"/>
        <w:autoSpaceDE w:val="false"/>
        <w:spacing w:lineRule="auto" w:line="480"/>
        <w:rPr/>
      </w:pPr>
      <w:r>
        <w:rPr>
          <w:color w:val="000000"/>
        </w:rPr>
        <w:t>As shown in Table 4, there are well supported recommendations that limiting advertising, promotion, and sponsorship is effective at reducing psychoactive substance use and harms.  This reflects that o</w:t>
      </w:r>
      <w:r>
        <w:rPr/>
        <w:t>ne of the most important lessons of the commercialization of tobacco and alcohol is that product promotion is a significant driver of consumption and related harms.  Branding of products is critical to promotion, and once branding is allowed promotion is very difficult to prevent, therefore all branding and promotion of cannabis products should be prohibited</w:t>
      </w:r>
      <w:r>
        <w:rPr>
          <w:color w:val="000000"/>
        </w:rPr>
        <w:t xml:space="preserve"> including plain package requirements (i.e. no logos, brand names, or colourful packaging).</w:t>
      </w:r>
    </w:p>
    <w:p>
      <w:pPr>
        <w:pStyle w:val="Normal"/>
        <w:autoSpaceDE w:val="false"/>
        <w:spacing w:lineRule="auto" w:line="480"/>
        <w:rPr>
          <w:color w:val="000000"/>
        </w:rPr>
      </w:pPr>
      <w:r>
        <w:rPr>
          <w:color w:val="000000"/>
        </w:rPr>
      </w:r>
    </w:p>
    <w:p>
      <w:pPr>
        <w:pStyle w:val="Normal"/>
        <w:autoSpaceDE w:val="false"/>
        <w:spacing w:lineRule="auto" w:line="480"/>
        <w:rPr>
          <w:color w:val="000000"/>
        </w:rPr>
      </w:pPr>
      <w:r>
        <w:rPr>
          <w:color w:val="000000"/>
        </w:rPr>
        <w:t xml:space="preserve">Table 4 also indicates that product constituents and warnings labelling are considered important to prevent the harms of tobacco. For cannabis the packaging should describe the concentration of important constituents, the strain, and have dominant, standardized warning labels.  </w:t>
      </w:r>
    </w:p>
    <w:p>
      <w:pPr>
        <w:pStyle w:val="CommentText"/>
        <w:spacing w:lineRule="auto" w:line="480"/>
        <w:rPr>
          <w:b/>
          <w:b/>
          <w:color w:val="000000"/>
          <w:sz w:val="24"/>
          <w:szCs w:val="24"/>
        </w:rPr>
      </w:pPr>
      <w:r>
        <w:rPr>
          <w:b/>
          <w:color w:val="000000"/>
          <w:sz w:val="24"/>
          <w:szCs w:val="24"/>
        </w:rPr>
        <w:t>Dedicated revenue</w:t>
      </w:r>
    </w:p>
    <w:p>
      <w:pPr>
        <w:pStyle w:val="CommentText"/>
        <w:spacing w:lineRule="auto" w:line="480"/>
        <w:rPr/>
      </w:pPr>
      <w:r>
        <w:rPr>
          <w:color w:val="000000"/>
          <w:sz w:val="24"/>
          <w:szCs w:val="24"/>
        </w:rPr>
        <w:t>The revenue raised from cannabis regulation initiatives should be use for health and social initiatives.  For example, as the education level of a population is an important determinant of health, 50% of all revenue should be allocated to ensure that children and youth receive exceptional early child development programs and high quality publicly funded education. Other public health enhancing initiatives could also be supported such as housing for marginalized people and improving mental health and addictions prevention and treatment services.</w:t>
      </w:r>
    </w:p>
    <w:p>
      <w:pPr>
        <w:pStyle w:val="Normal"/>
        <w:autoSpaceDE w:val="false"/>
        <w:spacing w:lineRule="auto" w:line="480"/>
        <w:rPr>
          <w:b/>
          <w:b/>
          <w:color w:val="000000"/>
        </w:rPr>
      </w:pPr>
      <w:r>
        <w:rPr>
          <w:b/>
          <w:color w:val="000000"/>
        </w:rPr>
        <w:t>Conclusion</w:t>
      </w:r>
    </w:p>
    <w:p>
      <w:pPr>
        <w:pStyle w:val="Normal"/>
        <w:autoSpaceDE w:val="false"/>
        <w:spacing w:lineRule="auto" w:line="480"/>
        <w:rPr>
          <w:b/>
          <w:b/>
          <w:color w:val="000000"/>
        </w:rPr>
      </w:pPr>
      <w:r>
        <w:rPr>
          <w:color w:val="000000"/>
        </w:rPr>
        <w:t xml:space="preserve">The </w:t>
      </w:r>
      <w:r>
        <w:rPr/>
        <w:t>public opinion supporting cannabis “legalization”</w:t>
      </w:r>
      <w:r>
        <w:rPr>
          <w:color w:val="000000"/>
        </w:rPr>
        <w:t xml:space="preserve"> is growing in part due to increasing recognition of the lack of effectiveness and harms of cannabis prohibition, and it is imperative that proactive action based on a public health approach be taken.  Otherwise a commercial exploitation model may result such that similar public health and social problems as are associated with alcohol and tobacco will be repeated.  Changes to cannabis regulation should include rigorous evaluation to monitor for unintended consequences, potential harms and anticipated benefits of a new regime.</w:t>
      </w:r>
      <w:r>
        <w:br w:type="page"/>
      </w:r>
    </w:p>
    <w:p>
      <w:pPr>
        <w:pStyle w:val="Normal"/>
        <w:spacing w:lineRule="auto" w:line="480"/>
        <w:rPr>
          <w:b/>
          <w:b/>
          <w:color w:val="000000"/>
        </w:rPr>
      </w:pPr>
      <w:r>
        <w:rPr>
          <w:b/>
          <w:color w:val="000000"/>
        </w:rPr>
        <w:t>References</w:t>
      </w:r>
    </w:p>
    <w:p>
      <w:pPr>
        <w:pStyle w:val="Normal"/>
        <w:spacing w:lineRule="auto" w:line="480"/>
        <w:rPr>
          <w:color w:val="000000"/>
        </w:rPr>
      </w:pPr>
      <w:r>
        <w:rPr>
          <w:color w:val="000000"/>
        </w:rPr>
        <w:t>1. Global Commission on Drug Policy. The War on Drugs and HIV/AIDS: How the Criminalization of Drug Use Fuels the Global Pandemic; 2012.</w:t>
      </w:r>
    </w:p>
    <w:p>
      <w:pPr>
        <w:pStyle w:val="Normal"/>
        <w:spacing w:lineRule="auto" w:line="480"/>
        <w:rPr>
          <w:color w:val="000000"/>
        </w:rPr>
      </w:pPr>
      <w:r>
        <w:rPr>
          <w:color w:val="000000"/>
        </w:rPr>
        <w:t>2. Global Commission on Drug Policy. War on Drugs: Report of the Global Commission on Drug Policy. Global Commission on Drug Policy; 2011 June</w:t>
      </w:r>
    </w:p>
    <w:p>
      <w:pPr>
        <w:pStyle w:val="Normal"/>
        <w:spacing w:lineRule="auto" w:line="480"/>
        <w:rPr>
          <w:color w:val="000000"/>
        </w:rPr>
      </w:pPr>
      <w:r>
        <w:rPr>
          <w:color w:val="000000"/>
        </w:rPr>
        <w:t>3. Room, R, Fischer, B, Hall, W, Lenton, S, Reuter, P. Cannabis policy: moving beyond stalemate. Oxford; New York: Oxford University Press; 2010. 233 p.</w:t>
      </w:r>
    </w:p>
    <w:p>
      <w:pPr>
        <w:pStyle w:val="Normal"/>
        <w:spacing w:lineRule="auto" w:line="480"/>
        <w:rPr>
          <w:color w:val="000000"/>
        </w:rPr>
      </w:pPr>
      <w:r>
        <w:rPr>
          <w:color w:val="000000"/>
        </w:rPr>
        <w:t>4. Room R, Reuter P. How well do international drug conventions protect public health? The Lancet. 2012 7;379(9810):84-91.</w:t>
      </w:r>
    </w:p>
    <w:p>
      <w:pPr>
        <w:pStyle w:val="Normal"/>
        <w:spacing w:lineRule="auto" w:line="480"/>
        <w:rPr>
          <w:color w:val="000000"/>
        </w:rPr>
      </w:pPr>
      <w:r>
        <w:rPr>
          <w:color w:val="000000"/>
        </w:rPr>
        <w:t>5. Babor, T, et al. Alcohol : No Ordinary Commodity : research and public policy. ; Oxford University Press, 2010, New York, NY.</w:t>
      </w:r>
    </w:p>
    <w:p>
      <w:pPr>
        <w:pStyle w:val="Normal"/>
        <w:spacing w:lineRule="auto" w:line="480"/>
        <w:rPr/>
      </w:pPr>
      <w:r>
        <w:rPr>
          <w:color w:val="000000"/>
        </w:rPr>
        <w:t xml:space="preserve">6. World Health Organization. The Framework Convention on Tobacco Control  </w:t>
      </w:r>
      <w:hyperlink r:id="rId4">
        <w:r>
          <w:rPr>
            <w:rStyle w:val="InternetLink"/>
          </w:rPr>
          <w:t>http://www.who.int/fctc/text_download/en/index.html</w:t>
        </w:r>
      </w:hyperlink>
      <w:r>
        <w:rPr>
          <w:color w:val="000000"/>
        </w:rPr>
        <w:t>.</w:t>
      </w:r>
    </w:p>
    <w:p>
      <w:pPr>
        <w:pStyle w:val="Normal"/>
        <w:spacing w:lineRule="auto" w:line="480"/>
        <w:rPr>
          <w:color w:val="000000"/>
        </w:rPr>
      </w:pPr>
      <w:r>
        <w:rPr>
          <w:color w:val="000000"/>
        </w:rPr>
        <w:t>7. Health Officers Council of British Columbia. Public Health Perspectives for Regulating Psychoactive Substances - What we can do about alcohol, tobacco and other drugs; 2011.</w:t>
      </w:r>
    </w:p>
    <w:p>
      <w:pPr>
        <w:pStyle w:val="Normal"/>
        <w:spacing w:lineRule="auto" w:line="480"/>
        <w:rPr/>
      </w:pPr>
      <w:r>
        <w:rPr>
          <w:color w:val="000000"/>
        </w:rPr>
        <w:t>8. Room R. "In thinking about cannabis policy, what can be learned from alcohol and tobacco?" in: A cannabis reader: global issues and local experiences. European Monitoring Centre for Drugs and Drug Addiction, Lisbon; 2008. 119-135 p.</w:t>
      </w:r>
    </w:p>
    <w:p>
      <w:pPr>
        <w:pStyle w:val="Normal"/>
        <w:spacing w:lineRule="auto" w:line="480"/>
        <w:rPr>
          <w:color w:val="000000"/>
        </w:rPr>
      </w:pPr>
      <w:r>
        <w:rPr>
          <w:color w:val="000000"/>
        </w:rPr>
        <w:t>9. Gray, J. Booze. Toronto: Macmillan of Canada; 1972.</w:t>
      </w:r>
    </w:p>
    <w:p>
      <w:pPr>
        <w:pStyle w:val="Normal"/>
        <w:spacing w:lineRule="auto" w:line="480"/>
        <w:rPr>
          <w:color w:val="000000"/>
        </w:rPr>
      </w:pPr>
      <w:r>
        <w:rPr>
          <w:color w:val="000000"/>
        </w:rPr>
        <w:t>10. Earleywine M, Van Dam NT. Case studies in cannabis vaporization. Addiction Research &amp; Theory. 2010;18(3):243-9.</w:t>
      </w:r>
    </w:p>
    <w:p>
      <w:pPr>
        <w:pStyle w:val="Normal"/>
        <w:rPr/>
      </w:pPr>
      <w:r>
        <w:rPr>
          <w:color w:val="000000"/>
        </w:rPr>
        <w:t xml:space="preserve">11. BC Liquor Stores. </w:t>
      </w:r>
      <w:hyperlink r:id="rId5" w:tgtFrame="_blank">
        <w:r>
          <w:rPr>
            <w:rStyle w:val="InternetLink"/>
          </w:rPr>
          <w:t>http://www.</w:t>
        </w:r>
        <w:r>
          <w:rPr>
            <w:rStyle w:val="Hlite"/>
            <w:color w:val="0000FF"/>
            <w:u w:val="single"/>
          </w:rPr>
          <w:t>bcliquor</w:t>
        </w:r>
        <w:r>
          <w:rPr>
            <w:rStyle w:val="InternetLink"/>
          </w:rPr>
          <w:t>stores.com/about-us</w:t>
        </w:r>
      </w:hyperlink>
      <w:r>
        <w:rPr/>
        <w:t>.</w:t>
      </w:r>
    </w:p>
    <w:p>
      <w:pPr>
        <w:pStyle w:val="Normal"/>
        <w:rPr>
          <w:color w:val="000000"/>
        </w:rPr>
      </w:pPr>
      <w:r>
        <w:rPr>
          <w:color w:val="000000"/>
        </w:rPr>
        <w:t xml:space="preserve"> </w:t>
      </w:r>
    </w:p>
    <w:p>
      <w:pPr>
        <w:pStyle w:val="Normal"/>
        <w:spacing w:lineRule="auto" w:line="480"/>
        <w:rPr>
          <w:color w:val="000000"/>
        </w:rPr>
      </w:pPr>
      <w:r>
        <w:rPr>
          <w:color w:val="000000"/>
        </w:rPr>
        <w:t>12. Borland R. A strategy for controlling the marketing of tobacco products: A regulated market model. Tobacco Control. 2003;12:374-82.</w:t>
      </w:r>
    </w:p>
    <w:p>
      <w:pPr>
        <w:pStyle w:val="Normal"/>
        <w:spacing w:lineRule="auto" w:line="480"/>
        <w:rPr>
          <w:color w:val="000000"/>
        </w:rPr>
      </w:pPr>
      <w:r>
        <w:rPr>
          <w:color w:val="000000"/>
        </w:rPr>
        <w:t>13. Callard, C, Thompson, D, Collishaw, N. Curing the addiction to profits : a supply-side approach to phasing out tobacco. Ottawa: Canadian Centre for Policy Alternatives; 2005.</w:t>
      </w:r>
    </w:p>
    <w:p>
      <w:pPr>
        <w:pStyle w:val="Normal"/>
        <w:spacing w:lineRule="auto" w:line="480"/>
        <w:rPr>
          <w:color w:val="000000"/>
        </w:rPr>
      </w:pPr>
      <w:r>
        <w:rPr>
          <w:color w:val="000000"/>
        </w:rPr>
        <w:t>14. Commission on Social Determinants of Health. Closing the gap in a generation: health equity through action on the social determinants of health. Geneva: World Health Organization; . Report No.: 2008</w:t>
      </w:r>
    </w:p>
    <w:p>
      <w:pPr>
        <w:pStyle w:val="Normal"/>
        <w:spacing w:lineRule="auto" w:line="480"/>
        <w:rPr>
          <w:color w:val="000000"/>
        </w:rPr>
      </w:pPr>
      <w:r>
        <w:rPr>
          <w:color w:val="000000"/>
        </w:rPr>
        <w:t>15. Wilkinson, R. The Spirit Level: Why More Equal Societies Almost Always Do Better. London: Allen Lane; 2009.</w:t>
      </w:r>
    </w:p>
    <w:p>
      <w:pPr>
        <w:pStyle w:val="Normal"/>
        <w:spacing w:lineRule="auto" w:line="480"/>
        <w:rPr>
          <w:color w:val="000000"/>
        </w:rPr>
      </w:pPr>
      <w:r>
        <w:rPr>
          <w:color w:val="000000"/>
        </w:rPr>
        <w:t>16. ElSohly M. Quarterly Report Potency Monitoring Project, December 16, 2008 Thru March 15, 2009. University of Mississippi: National Center for Natural Products Research; 2009. Report No.: Report 104, National Institute On Drug Abuse</w:t>
      </w:r>
    </w:p>
    <w:p>
      <w:pPr>
        <w:pStyle w:val="Normal"/>
        <w:spacing w:lineRule="auto" w:line="480"/>
        <w:rPr/>
      </w:pPr>
      <w:r>
        <w:rPr>
          <w:color w:val="000000"/>
        </w:rPr>
        <w:t xml:space="preserve">17. Reinarman C. Cannabis policies and user practices: Market separation, price, </w:t>
        <w:br/>
        <w:t>potency, and accessibility in Amsterdam and San francisco. International Journal of Drug Policy. 2009 28–37;20:28-37.</w:t>
      </w:r>
    </w:p>
    <w:p>
      <w:pPr>
        <w:pStyle w:val="Normal"/>
        <w:rPr>
          <w:color w:val="000000"/>
        </w:rPr>
      </w:pPr>
      <w:r>
        <w:rPr>
          <w:color w:val="000000"/>
        </w:rPr>
      </w:r>
    </w:p>
    <w:sectPr>
      <w:headerReference w:type="default" r:id="rId6"/>
      <w:footerReference w:type="default" r:id="rId7"/>
      <w:type w:val="nextPage"/>
      <w:pgSz w:w="12240" w:h="1584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Georgia">
    <w:charset w:val="00"/>
    <w:family w:val="roman"/>
    <w:pitch w:val="variable"/>
  </w:font>
  <w:font w:name="Tahoma">
    <w:charset w:val="00"/>
    <w:family w:val="swiss"/>
    <w:pitch w:val="variable"/>
  </w:font>
  <w:font w:name="Liberation Sans">
    <w:altName w:val="Arial"/>
    <w:charset w:val="01"/>
    <w:family w:val="swiss"/>
    <w:pitch w:val="variable"/>
  </w:font>
  <w:font w:name="Geneva">
    <w:altName w:val="Arial"/>
    <w:charset w:val="00"/>
    <w:family w:val="auto"/>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MS Gothic;ＭＳ ゴシック" w:cs="Cambria"/>
        <w:sz w:val="32"/>
        <w:szCs w:val="32"/>
      </w:rPr>
    </w:pPr>
    <w:r>
      <w:rPr>
        <w:b/>
        <w:lang w:val="en-CA"/>
      </w:rPr>
      <w:t>Vision</w:t>
      <w:tab/>
      <w:tab/>
      <w:t xml:space="preserve">CONFIDENTIAL August 23 2013 </w:t>
    </w:r>
  </w:p>
  <w:p>
    <w:pPr>
      <w:pStyle w:val="Header"/>
      <w:rPr>
        <w:rFonts w:ascii="Cambria" w:hAnsi="Cambria" w:eastAsia="MS Gothic;ＭＳ ゴシック" w:cs="Cambria"/>
        <w:sz w:val="32"/>
        <w:szCs w:val="32"/>
      </w:rPr>
    </w:pPr>
    <w:r>
      <w:rPr>
        <w:rFonts w:eastAsia="MS Gothic;ＭＳ ゴシック" w:cs="Cambria" w:ascii="Cambria" w:hAnsi="Cambria"/>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qFormat/>
    <w:pPr>
      <w:keepNext/>
      <w:keepLines/>
      <w:numPr>
        <w:ilvl w:val="0"/>
        <w:numId w:val="1"/>
      </w:numPr>
      <w:spacing w:before="480" w:after="0"/>
      <w:outlineLvl w:val="0"/>
      <w:outlineLvl w:val="0"/>
    </w:pPr>
    <w:rPr>
      <w:rFonts w:ascii="Cambria" w:hAnsi="Cambria" w:eastAsia="Calibri" w:cs="Cambria"/>
      <w:b/>
      <w:bCs/>
      <w:color w:val="365F91"/>
      <w:sz w:val="28"/>
      <w:szCs w:val="28"/>
      <w:lang w:val="en-US"/>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eastAsia="Calibri" w:cs="Arial"/>
      <w:b/>
      <w:bCs/>
      <w:i/>
      <w:iCs/>
      <w:sz w:val="28"/>
      <w:szCs w:val="28"/>
      <w:lang w:val="en-US"/>
    </w:rPr>
  </w:style>
  <w:style w:type="paragraph" w:styleId="Heading3">
    <w:name w:val="Heading 3"/>
    <w:basedOn w:val="Normal"/>
    <w:next w:val="Normal"/>
    <w:qFormat/>
    <w:pPr>
      <w:keepNext/>
      <w:keepLines/>
      <w:numPr>
        <w:ilvl w:val="2"/>
        <w:numId w:val="1"/>
      </w:numPr>
      <w:spacing w:before="200" w:after="0"/>
      <w:outlineLvl w:val="2"/>
      <w:outlineLvl w:val="2"/>
    </w:pPr>
    <w:rPr>
      <w:rFonts w:ascii="Cambria" w:hAnsi="Cambria" w:eastAsia="Calibri" w:cs="Cambria"/>
      <w:b/>
      <w:bCs/>
      <w:color w:val="4F81BD"/>
      <w:lang w:val="en-US"/>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cs="Times New Roman"/>
    </w:rPr>
  </w:style>
  <w:style w:type="character" w:styleId="WW8Num10z0">
    <w:name w:val="WW8Num10z0"/>
    <w:qFormat/>
    <w:rPr>
      <w:rFonts w:ascii="Wingdings" w:hAnsi="Wingdings" w:cs="Wingdings"/>
    </w:rPr>
  </w:style>
  <w:style w:type="character" w:styleId="WW8Num10z1">
    <w:name w:val="WW8Num10z1"/>
    <w:qFormat/>
    <w:rPr>
      <w:rFonts w:cs="Times New Roman"/>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cs="Times New Rom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Symbol" w:hAnsi="Symbol" w:cs="Symbol"/>
    </w:rPr>
  </w:style>
  <w:style w:type="character" w:styleId="WW8Num17z2">
    <w:name w:val="WW8Num17z2"/>
    <w:qFormat/>
    <w:rPr>
      <w:rFonts w:ascii="Wingdings" w:hAnsi="Wingdings" w:cs="Wingdings"/>
    </w:rPr>
  </w:style>
  <w:style w:type="character" w:styleId="WW8Num17z4">
    <w:name w:val="WW8Num17z4"/>
    <w:qFormat/>
    <w:rPr>
      <w:rFonts w:ascii="Courier New" w:hAnsi="Courier New" w:cs="Courier New"/>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cs="Times New Roman"/>
    </w:rPr>
  </w:style>
  <w:style w:type="character" w:styleId="WW8Num24z0">
    <w:name w:val="WW8Num24z0"/>
    <w:qFormat/>
    <w:rPr>
      <w:rFonts w:cs="Times New Roman"/>
    </w:rPr>
  </w:style>
  <w:style w:type="character" w:styleId="WW8Num24z1">
    <w:name w:val="WW8Num24z1"/>
    <w:qFormat/>
    <w:rPr>
      <w:rFonts w:cs="Times New Roman"/>
    </w:rPr>
  </w:style>
  <w:style w:type="character" w:styleId="WW8Num25z0">
    <w:name w:val="WW8Num25z0"/>
    <w:qFormat/>
    <w:rPr>
      <w:rFonts w:cs="Times New Roman"/>
    </w:rPr>
  </w:style>
  <w:style w:type="character" w:styleId="WW8Num25z1">
    <w:name w:val="WW8Num25z1"/>
    <w:qFormat/>
    <w:rPr>
      <w:rFonts w:cs="Times New Roman"/>
    </w:rPr>
  </w:style>
  <w:style w:type="character" w:styleId="WW8Num26z0">
    <w:name w:val="WW8Num26z0"/>
    <w:qFormat/>
    <w:rPr>
      <w:rFonts w:cs="Times New Roman"/>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cs="Times New Roman"/>
    </w:rPr>
  </w:style>
  <w:style w:type="character" w:styleId="WW8Num28z1">
    <w:name w:val="WW8Num28z1"/>
    <w:qFormat/>
    <w:rPr>
      <w:rFonts w:ascii="Symbol" w:hAnsi="Symbol" w:cs="Symbol"/>
    </w:rPr>
  </w:style>
  <w:style w:type="character" w:styleId="WW8Num28z2">
    <w:name w:val="WW8Num28z2"/>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rFonts w:ascii="Courier New" w:hAnsi="Courier New" w:cs="Courier New"/>
    </w:rPr>
  </w:style>
  <w:style w:type="character" w:styleId="WW8Num29z1">
    <w:name w:val="WW8Num29z1"/>
    <w:qFormat/>
    <w:rPr>
      <w:rFonts w:ascii="Symbol" w:hAnsi="Symbol" w:cs="Symbol"/>
    </w:rPr>
  </w:style>
  <w:style w:type="character" w:styleId="WW8Num29z2">
    <w:name w:val="WW8Num29z2"/>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ascii="Symbol" w:hAnsi="Symbol" w:cs="Symbol"/>
      <w:color w:val="000000"/>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ambria" w:hAnsi="Cambria" w:cs="Times New Roman"/>
      <w:b/>
    </w:rPr>
  </w:style>
  <w:style w:type="character" w:styleId="WW8Num31z1">
    <w:name w:val="WW8Num31z1"/>
    <w:qFormat/>
    <w:rPr>
      <w:rFonts w:cs="Times New Roman"/>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eastAsia="Times New Roman"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ascii="Cambria" w:hAnsi="Cambria" w:cs="Times New Roman"/>
      <w:b/>
      <w:color w:val="365F91"/>
      <w:sz w:val="28"/>
    </w:rPr>
  </w:style>
  <w:style w:type="character" w:styleId="Heading2Char">
    <w:name w:val="Heading 2 Char"/>
    <w:basedOn w:val="DefaultParagraphFont"/>
    <w:qFormat/>
    <w:rPr>
      <w:rFonts w:ascii="Arial" w:hAnsi="Arial" w:cs="Times New Roman"/>
      <w:b/>
      <w:i/>
      <w:sz w:val="28"/>
      <w:lang w:val="en-US"/>
    </w:rPr>
  </w:style>
  <w:style w:type="character" w:styleId="Heading3Char">
    <w:name w:val="Heading 3 Char"/>
    <w:basedOn w:val="DefaultParagraphFont"/>
    <w:qFormat/>
    <w:rPr>
      <w:rFonts w:ascii="Cambria" w:hAnsi="Cambria" w:cs="Times New Roman"/>
      <w:b/>
      <w:color w:val="4F81BD"/>
      <w:sz w:val="24"/>
    </w:rPr>
  </w:style>
  <w:style w:type="character" w:styleId="HeaderChar">
    <w:name w:val="Header Char"/>
    <w:basedOn w:val="DefaultParagraphFont"/>
    <w:qFormat/>
    <w:rPr>
      <w:rFonts w:ascii="Times New Roman" w:hAnsi="Times New Roman" w:cs="Times New Roman"/>
      <w:sz w:val="24"/>
    </w:rPr>
  </w:style>
  <w:style w:type="character" w:styleId="FooterChar">
    <w:name w:val="Footer Char"/>
    <w:basedOn w:val="DefaultParagraphFont"/>
    <w:qFormat/>
    <w:rPr>
      <w:rFonts w:ascii="Times New Roman" w:hAnsi="Times New Roman" w:cs="Times New Roman"/>
      <w:sz w:val="24"/>
    </w:rPr>
  </w:style>
  <w:style w:type="character" w:styleId="FootnoteCharacters">
    <w:name w:val="Footnote Characters"/>
    <w:qFormat/>
    <w:rPr>
      <w:vertAlign w:val="superscript"/>
    </w:rPr>
  </w:style>
  <w:style w:type="character" w:styleId="BodyText3Char">
    <w:name w:val="Body Text 3 Char"/>
    <w:basedOn w:val="DefaultParagraphFont"/>
    <w:qFormat/>
    <w:rPr>
      <w:rFonts w:ascii="Times New Roman" w:hAnsi="Times New Roman" w:cs="Times New Roman"/>
      <w:sz w:val="16"/>
      <w:lang w:bidi="ar-SA"/>
    </w:rPr>
  </w:style>
  <w:style w:type="character" w:styleId="InternetLink">
    <w:name w:val="Internet Link"/>
    <w:basedOn w:val="DefaultParagraphFont"/>
    <w:rPr>
      <w:rFonts w:cs="Times New Roman"/>
      <w:color w:val="0000FF"/>
      <w:u w:val="single"/>
    </w:rPr>
  </w:style>
  <w:style w:type="character" w:styleId="FootnoteReference">
    <w:name w:val="Footnote Reference"/>
    <w:basedOn w:val="DefaultParagraphFont"/>
    <w:qFormat/>
    <w:rPr>
      <w:rFonts w:cs="Times New Roman"/>
      <w:vertAlign w:val="superscript"/>
    </w:rPr>
  </w:style>
  <w:style w:type="character" w:styleId="FootnoteTextChar">
    <w:name w:val="Footnote Text Char"/>
    <w:basedOn w:val="DefaultParagraphFont"/>
    <w:qFormat/>
    <w:rPr>
      <w:rFonts w:ascii="Times New Roman" w:hAnsi="Times New Roman" w:cs="Times New Roman"/>
      <w:sz w:val="20"/>
      <w:lang w:bidi="ar-SA"/>
    </w:rPr>
  </w:style>
  <w:style w:type="character" w:styleId="PlainTextChar">
    <w:name w:val="Plain Text Char"/>
    <w:basedOn w:val="DefaultParagraphFont"/>
    <w:qFormat/>
    <w:rPr>
      <w:rFonts w:ascii="Georgia" w:hAnsi="Georgia" w:cs="Times New Roman"/>
      <w:sz w:val="21"/>
    </w:rPr>
  </w:style>
  <w:style w:type="character" w:styleId="BalloonTextChar">
    <w:name w:val="Balloon Text Char"/>
    <w:basedOn w:val="DefaultParagraphFont"/>
    <w:qFormat/>
    <w:rPr>
      <w:rFonts w:ascii="Tahoma" w:hAnsi="Tahoma" w:cs="Times New Roman"/>
      <w:sz w:val="16"/>
    </w:rPr>
  </w:style>
  <w:style w:type="character" w:styleId="Emphasis">
    <w:name w:val="Emphasis"/>
    <w:basedOn w:val="DefaultParagraphFont"/>
    <w:qFormat/>
    <w:rPr>
      <w:rFonts w:cs="Times New Roman"/>
      <w:i/>
    </w:rPr>
  </w:style>
  <w:style w:type="character" w:styleId="CommentReference">
    <w:name w:val="Comment Reference"/>
    <w:basedOn w:val="DefaultParagraphFont"/>
    <w:qFormat/>
    <w:rPr>
      <w:rFonts w:cs="Times New Roman"/>
      <w:sz w:val="16"/>
    </w:rPr>
  </w:style>
  <w:style w:type="character" w:styleId="CommentTextChar">
    <w:name w:val="Comment Text Char"/>
    <w:basedOn w:val="DefaultParagraphFont"/>
    <w:qFormat/>
    <w:rPr>
      <w:rFonts w:ascii="Times New Roman" w:hAnsi="Times New Roman" w:cs="Times New Roman"/>
      <w:sz w:val="20"/>
    </w:rPr>
  </w:style>
  <w:style w:type="character" w:styleId="CommentSubjectChar">
    <w:name w:val="Comment Subject Char"/>
    <w:basedOn w:val="CommentTextChar"/>
    <w:qFormat/>
    <w:rPr>
      <w:rFonts w:ascii="Times New Roman" w:hAnsi="Times New Roman" w:cs="Times New Roman"/>
      <w:b/>
      <w:sz w:val="20"/>
    </w:rPr>
  </w:style>
  <w:style w:type="character" w:styleId="BodyTextChar">
    <w:name w:val="Body Text Char"/>
    <w:basedOn w:val="DefaultParagraphFont"/>
    <w:qFormat/>
    <w:rPr>
      <w:rFonts w:ascii="Times New Roman" w:hAnsi="Times New Roman" w:cs="Times New Roman"/>
      <w:sz w:val="24"/>
      <w:lang w:bidi="ar-SA"/>
    </w:rPr>
  </w:style>
  <w:style w:type="character" w:styleId="VisitedInternetLink">
    <w:name w:val="Visited Internet Link"/>
    <w:basedOn w:val="DefaultParagraphFont"/>
    <w:rPr>
      <w:rFonts w:cs="Times New Roman"/>
      <w:color w:val="800080"/>
      <w:u w:val="single"/>
    </w:rPr>
  </w:style>
  <w:style w:type="character" w:styleId="Jrnl">
    <w:name w:val="jrnl"/>
    <w:basedOn w:val="DefaultParagraphFont"/>
    <w:qFormat/>
    <w:rPr>
      <w:rFonts w:cs="Times New Roman"/>
    </w:rPr>
  </w:style>
  <w:style w:type="character" w:styleId="Sectionlabel">
    <w:name w:val="sectionlabel"/>
    <w:basedOn w:val="DefaultParagraphFont"/>
    <w:qFormat/>
    <w:rPr>
      <w:rFonts w:cs="Times New Roman"/>
      <w:b/>
      <w:bCs/>
    </w:rPr>
  </w:style>
  <w:style w:type="character" w:styleId="Urmheaderhighlight">
    <w:name w:val="urm_header_highlight"/>
    <w:basedOn w:val="DefaultParagraphFont"/>
    <w:qFormat/>
    <w:rPr>
      <w:rFonts w:cs="Times New Roman"/>
    </w:rPr>
  </w:style>
  <w:style w:type="character" w:styleId="StrongEmphasis">
    <w:name w:val="Strong Emphasis"/>
    <w:basedOn w:val="DefaultParagraphFont"/>
    <w:rPr>
      <w:b/>
      <w:bCs/>
    </w:rPr>
  </w:style>
  <w:style w:type="character" w:styleId="Hlite">
    <w:name w:val="hlite"/>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uppressAutoHyphens w:val="true"/>
      <w:spacing w:before="0" w:after="120"/>
    </w:pPr>
    <w:rPr>
      <w:rFonts w:eastAsia="Calibri"/>
      <w:lang w:val="en-US"/>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rPr>
      <w:rFonts w:eastAsia="Calibri"/>
      <w:lang w:val="en-US"/>
    </w:rPr>
  </w:style>
  <w:style w:type="paragraph" w:styleId="Footer">
    <w:name w:val="Footer"/>
    <w:basedOn w:val="Normal"/>
    <w:pPr/>
    <w:rPr>
      <w:rFonts w:eastAsia="Calibri"/>
      <w:lang w:val="en-US"/>
    </w:rPr>
  </w:style>
  <w:style w:type="paragraph" w:styleId="ListParagraph">
    <w:name w:val="List Paragraph"/>
    <w:basedOn w:val="Normal"/>
    <w:qFormat/>
    <w:pPr>
      <w:spacing w:before="0" w:after="0"/>
      <w:ind w:left="720" w:hanging="0"/>
      <w:contextualSpacing/>
    </w:pPr>
    <w:rPr/>
  </w:style>
  <w:style w:type="paragraph" w:styleId="BriefingNotes">
    <w:name w:val="BriefingNotes"/>
    <w:basedOn w:val="Normal"/>
    <w:qFormat/>
    <w:pPr>
      <w:suppressAutoHyphens w:val="true"/>
    </w:pPr>
    <w:rPr>
      <w:rFonts w:ascii="Geneva;Arial" w:hAnsi="Geneva;Arial" w:cs="Geneva;Arial"/>
      <w:szCs w:val="20"/>
      <w:lang w:val="en-GB"/>
    </w:rPr>
  </w:style>
  <w:style w:type="paragraph" w:styleId="BodyText3">
    <w:name w:val="Body Text 3"/>
    <w:basedOn w:val="Normal"/>
    <w:qFormat/>
    <w:pPr>
      <w:suppressAutoHyphens w:val="true"/>
      <w:spacing w:before="0" w:after="120"/>
    </w:pPr>
    <w:rPr>
      <w:rFonts w:eastAsia="Calibri"/>
      <w:sz w:val="16"/>
      <w:szCs w:val="16"/>
      <w:lang w:val="en-US"/>
    </w:rPr>
  </w:style>
  <w:style w:type="paragraph" w:styleId="NormalWeb">
    <w:name w:val="Normal (Web)"/>
    <w:basedOn w:val="Normal"/>
    <w:qFormat/>
    <w:pPr>
      <w:spacing w:before="280" w:after="280"/>
    </w:pPr>
    <w:rPr>
      <w:rFonts w:ascii="Verdana" w:hAnsi="Verdana" w:cs="Verdana"/>
      <w:sz w:val="18"/>
      <w:szCs w:val="18"/>
    </w:rPr>
  </w:style>
  <w:style w:type="paragraph" w:styleId="Footnote">
    <w:name w:val="Footnote"/>
    <w:basedOn w:val="Normal"/>
    <w:pPr>
      <w:suppressAutoHyphens w:val="true"/>
    </w:pPr>
    <w:rPr>
      <w:rFonts w:eastAsia="Calibri"/>
      <w:sz w:val="20"/>
      <w:szCs w:val="20"/>
      <w:lang w:val="en-US"/>
    </w:rPr>
  </w:style>
  <w:style w:type="paragraph" w:styleId="PlainText">
    <w:name w:val="Plain Text"/>
    <w:basedOn w:val="Normal"/>
    <w:qFormat/>
    <w:pPr/>
    <w:rPr>
      <w:rFonts w:ascii="Georgia" w:hAnsi="Georgia" w:eastAsia="Calibri" w:cs="Georgia"/>
      <w:sz w:val="21"/>
      <w:szCs w:val="21"/>
      <w:lang w:val="en-US"/>
    </w:rPr>
  </w:style>
  <w:style w:type="paragraph" w:styleId="BalloonText">
    <w:name w:val="Balloon Text"/>
    <w:basedOn w:val="Normal"/>
    <w:qFormat/>
    <w:pPr/>
    <w:rPr>
      <w:rFonts w:ascii="Tahoma" w:hAnsi="Tahoma" w:eastAsia="Calibri" w:cs="Tahoma"/>
      <w:sz w:val="16"/>
      <w:szCs w:val="16"/>
      <w:lang w:val="en-US"/>
    </w:rPr>
  </w:style>
  <w:style w:type="paragraph" w:styleId="NoSpacing">
    <w:name w:val="No Spacing"/>
    <w:qFormat/>
    <w:pPr>
      <w:widowControl/>
      <w:suppressAutoHyphens w:val="true"/>
    </w:pPr>
    <w:rPr>
      <w:rFonts w:ascii="Times New Roman" w:hAnsi="Times New Roman" w:eastAsia="Times New Roman" w:cs="Times New Roman"/>
      <w:color w:val="auto"/>
      <w:sz w:val="24"/>
      <w:szCs w:val="24"/>
      <w:lang w:val="en-CA" w:bidi="ar-SA" w:eastAsia="zh-CN"/>
    </w:rPr>
  </w:style>
  <w:style w:type="paragraph" w:styleId="CommentText">
    <w:name w:val="Comment Text"/>
    <w:basedOn w:val="Normal"/>
    <w:qFormat/>
    <w:pPr/>
    <w:rPr>
      <w:rFonts w:eastAsia="Calibri"/>
      <w:sz w:val="20"/>
      <w:szCs w:val="20"/>
      <w:lang w:val="en-US"/>
    </w:rPr>
  </w:style>
  <w:style w:type="paragraph" w:styleId="CommentSubject">
    <w:name w:val="Comment Subject"/>
    <w:basedOn w:val="CommentText"/>
    <w:next w:val="CommentText"/>
    <w:qFormat/>
    <w:pPr/>
    <w:rPr>
      <w:b/>
      <w:bCs/>
    </w:rPr>
  </w:style>
  <w:style w:type="paragraph" w:styleId="Section">
    <w:name w:val="section"/>
    <w:basedOn w:val="Normal"/>
    <w:qFormat/>
    <w:pPr>
      <w:spacing w:before="168" w:after="120"/>
      <w:ind w:firstLine="360"/>
    </w:pPr>
    <w:rPr/>
  </w:style>
  <w:style w:type="paragraph" w:styleId="Revision">
    <w:name w:val="Revision"/>
    <w:qFormat/>
    <w:pPr>
      <w:widowControl/>
      <w:suppressAutoHyphens w:val="true"/>
    </w:pPr>
    <w:rPr>
      <w:rFonts w:ascii="Times New Roman" w:hAnsi="Times New Roman" w:eastAsia="Times New Roman" w:cs="Times New Roman"/>
      <w:color w:val="auto"/>
      <w:sz w:val="24"/>
      <w:szCs w:val="24"/>
      <w:lang w:val="en-CA" w:bidi="ar-SA" w:eastAsia="zh-CN"/>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haden@vch.ca" TargetMode="External"/><Relationship Id="rId3" Type="http://schemas.openxmlformats.org/officeDocument/2006/relationships/hyperlink" Target="mailto:brian.emerson@gov.bc.ca" TargetMode="External"/><Relationship Id="rId4" Type="http://schemas.openxmlformats.org/officeDocument/2006/relationships/hyperlink" Target="http://www.who.int/fctc/text_download/en/index.html" TargetMode="External"/><Relationship Id="rId5" Type="http://schemas.openxmlformats.org/officeDocument/2006/relationships/hyperlink" Target="http://www.bcliquorstores.com/about-u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2013-09-05T11:36:00Z</dcterms:created>
  <dc:creator>bpemerso</dc:creator>
  <dc:language>en-CA</dc:language>
  <cp:lastModifiedBy>bpemerso</cp:lastModifiedBy>
  <cp:lastPrinted>2013-02-22T16:36:00Z</cp:lastPrinted>
  <dcterms:modified xsi:type="dcterms:W3CDTF">2013-09-05T11:47:00Z</dcterms:modified>
  <cp:revision>4</cp:revision>
  <dc:title>CONFIDENTIAL DRAFT May 4 2012</dc:title>
</cp:coreProperties>
</file>