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lineRule="auto" w:line="360"/>
        <w:rPr>
          <w:b/>
          <w:sz w:val="22"/>
          <w:u w:val="none"/>
          <w:lang w:val="en-CA"/>
        </w:rPr>
      </w:pPr>
      <w:r>
        <w:rPr>
          <w:b/>
          <w:sz w:val="22"/>
          <w:u w:val="none"/>
          <w:lang w:val="en-CA"/>
        </w:rPr>
      </w:r>
    </w:p>
    <w:p>
      <w:pPr>
        <w:pStyle w:val="Normal"/>
        <w:rPr>
          <w:sz w:val="22"/>
          <w:lang w:val="en-CA"/>
        </w:rPr>
      </w:pPr>
      <w:r>
        <w:rPr>
          <w:sz w:val="22"/>
          <w:lang w:val="en-CA"/>
        </w:rPr>
      </w:r>
    </w:p>
    <w:p>
      <w:pPr>
        <w:pStyle w:val="Normal"/>
        <w:rPr>
          <w:sz w:val="22"/>
          <w:lang w:val="en-CA"/>
        </w:rPr>
      </w:pPr>
      <w:r>
        <w:rPr>
          <w:sz w:val="22"/>
          <w:lang w:val="en-CA"/>
        </w:rPr>
      </w:r>
    </w:p>
    <w:p>
      <w:pPr>
        <w:pStyle w:val="Normal"/>
        <w:rPr>
          <w:sz w:val="22"/>
          <w:lang w:val="en-CA"/>
        </w:rPr>
      </w:pPr>
      <w:r>
        <w:rPr>
          <w:sz w:val="22"/>
          <w:lang w:val="en-CA"/>
        </w:rPr>
      </w:r>
    </w:p>
    <w:p>
      <w:pPr>
        <w:pStyle w:val="Normal"/>
        <w:rPr>
          <w:sz w:val="22"/>
          <w:lang w:val="en-CA"/>
        </w:rPr>
      </w:pPr>
      <w:r>
        <w:rPr>
          <w:sz w:val="22"/>
          <w:lang w:val="en-CA"/>
        </w:rPr>
      </w:r>
    </w:p>
    <w:p>
      <w:pPr>
        <w:pStyle w:val="Heading5"/>
        <w:numPr>
          <w:ilvl w:val="4"/>
          <w:numId w:val="1"/>
        </w:numPr>
        <w:rPr>
          <w:b/>
          <w:sz w:val="36"/>
          <w:szCs w:val="36"/>
          <w:lang w:val="en-CA"/>
        </w:rPr>
      </w:pPr>
      <w:r>
        <w:rPr>
          <w:b/>
          <w:sz w:val="36"/>
          <w:szCs w:val="36"/>
          <w:lang w:val="en-CA"/>
        </w:rPr>
      </w:r>
    </w:p>
    <w:p>
      <w:pPr>
        <w:pStyle w:val="Heading5"/>
        <w:numPr>
          <w:ilvl w:val="4"/>
          <w:numId w:val="1"/>
        </w:numPr>
        <w:rPr>
          <w:b/>
          <w:sz w:val="40"/>
          <w:szCs w:val="40"/>
          <w:lang w:val="en-CA"/>
        </w:rPr>
      </w:pPr>
      <w:r>
        <w:rPr>
          <w:b/>
          <w:sz w:val="40"/>
          <w:szCs w:val="40"/>
          <w:lang w:val="en-CA"/>
        </w:rPr>
        <w:t xml:space="preserve">The Psychosocial Dimension </w:t>
      </w:r>
    </w:p>
    <w:p>
      <w:pPr>
        <w:pStyle w:val="Heading5"/>
        <w:numPr>
          <w:ilvl w:val="4"/>
          <w:numId w:val="1"/>
        </w:numPr>
        <w:rPr>
          <w:b/>
          <w:sz w:val="40"/>
          <w:szCs w:val="40"/>
          <w:lang w:val="en-CA"/>
        </w:rPr>
      </w:pPr>
      <w:r>
        <w:rPr>
          <w:b/>
          <w:sz w:val="40"/>
          <w:szCs w:val="40"/>
          <w:lang w:val="en-CA"/>
        </w:rPr>
        <w:t xml:space="preserve">of Health and Social Service Interventions </w:t>
      </w:r>
    </w:p>
    <w:p>
      <w:pPr>
        <w:pStyle w:val="Heading5"/>
        <w:numPr>
          <w:ilvl w:val="4"/>
          <w:numId w:val="1"/>
        </w:numPr>
        <w:rPr>
          <w:rStyle w:val="FootnoteCharacters"/>
          <w:rStyle w:val="FootnoteAnchor"/>
          <w:b/>
          <w:sz w:val="40"/>
          <w:szCs w:val="40"/>
          <w:lang w:val="fr-FR"/>
        </w:rPr>
      </w:pPr>
      <w:r>
        <w:rPr>
          <w:b/>
          <w:sz w:val="40"/>
          <w:szCs w:val="40"/>
          <w:lang w:val="fr-FR"/>
        </w:rPr>
        <w:t>in Emergency Situations</w:t>
      </w:r>
      <w:r>
        <w:rPr>
          <w:rStyle w:val="FootnoteCharacters"/>
          <w:rStyle w:val="FootnoteAnchor"/>
          <w:b/>
          <w:sz w:val="40"/>
          <w:szCs w:val="40"/>
          <w:lang w:val="fr-FR"/>
        </w:rPr>
        <w:footnoteReference w:id="2"/>
      </w:r>
    </w:p>
    <w:p>
      <w:pPr>
        <w:pStyle w:val="Normal"/>
        <w:rPr>
          <w:b/>
          <w:sz w:val="28"/>
          <w:szCs w:val="28"/>
          <w:lang w:val="fr-FR"/>
        </w:rPr>
      </w:pPr>
      <w:r>
        <w:rPr>
          <w:b/>
          <w:sz w:val="28"/>
          <w:szCs w:val="28"/>
          <w:lang w:val="fr-FR"/>
        </w:rPr>
      </w:r>
    </w:p>
    <w:p>
      <w:pPr>
        <w:pStyle w:val="Normal"/>
        <w:jc w:val="center"/>
        <w:rPr>
          <w:b/>
          <w:sz w:val="28"/>
          <w:szCs w:val="28"/>
          <w:lang w:val="fr-FR"/>
        </w:rPr>
      </w:pPr>
      <w:r>
        <w:rPr>
          <w:b/>
          <w:sz w:val="28"/>
          <w:szCs w:val="28"/>
          <w:lang w:val="fr-FR"/>
        </w:rPr>
      </w:r>
    </w:p>
    <w:p>
      <w:pPr>
        <w:pStyle w:val="Normal"/>
        <w:rPr>
          <w:b/>
          <w:sz w:val="28"/>
          <w:szCs w:val="28"/>
          <w:lang w:val="fr-FR"/>
        </w:rPr>
      </w:pPr>
      <w:r>
        <w:rPr>
          <w:b/>
          <w:sz w:val="28"/>
          <w:szCs w:val="28"/>
          <w:lang w:val="fr-FR"/>
        </w:rPr>
      </w:r>
    </w:p>
    <w:p>
      <w:pPr>
        <w:pStyle w:val="Normal"/>
        <w:rPr>
          <w:b/>
          <w:sz w:val="28"/>
          <w:szCs w:val="28"/>
          <w:lang w:val="fr-FR"/>
        </w:rPr>
      </w:pPr>
      <w:r>
        <w:rPr>
          <w:b/>
          <w:sz w:val="28"/>
          <w:szCs w:val="28"/>
          <w:lang w:val="fr-FR"/>
        </w:rPr>
      </w:r>
    </w:p>
    <w:p>
      <w:pPr>
        <w:pStyle w:val="Normal"/>
        <w:rPr>
          <w:b/>
          <w:sz w:val="28"/>
          <w:szCs w:val="28"/>
          <w:lang w:val="fr-FR"/>
        </w:rPr>
      </w:pPr>
      <w:r>
        <w:rPr>
          <w:b/>
          <w:sz w:val="28"/>
          <w:szCs w:val="28"/>
          <w:lang w:val="fr-FR"/>
        </w:rPr>
      </w:r>
    </w:p>
    <w:p>
      <w:pPr>
        <w:pStyle w:val="Normal"/>
        <w:rPr>
          <w:b/>
          <w:sz w:val="28"/>
          <w:szCs w:val="28"/>
          <w:lang w:val="fr-FR"/>
        </w:rPr>
      </w:pPr>
      <w:r>
        <w:rPr>
          <w:b/>
          <w:sz w:val="28"/>
          <w:szCs w:val="28"/>
          <w:lang w:val="fr-FR"/>
        </w:rPr>
      </w:r>
    </w:p>
    <w:p>
      <w:pPr>
        <w:pStyle w:val="Normal"/>
        <w:rPr>
          <w:b/>
          <w:sz w:val="28"/>
          <w:szCs w:val="28"/>
          <w:lang w:val="fr-FR"/>
        </w:rPr>
      </w:pPr>
      <w:r>
        <w:rPr>
          <w:b/>
          <w:sz w:val="28"/>
          <w:szCs w:val="28"/>
          <w:lang w:val="fr-FR"/>
        </w:rPr>
      </w:r>
    </w:p>
    <w:p>
      <w:pPr>
        <w:pStyle w:val="Normal"/>
        <w:jc w:val="center"/>
        <w:rPr>
          <w:rStyle w:val="FootnoteCharacters"/>
          <w:rStyle w:val="FootnoteAnchor"/>
          <w:sz w:val="28"/>
          <w:szCs w:val="28"/>
          <w:lang w:val="en-CA"/>
        </w:rPr>
      </w:pPr>
      <w:r>
        <w:rPr>
          <w:sz w:val="28"/>
          <w:szCs w:val="28"/>
          <w:lang w:val="fr-FR"/>
        </w:rPr>
        <w:t>Marie-Claire Laurendeau, Ph.D.</w:t>
      </w:r>
      <w:r>
        <w:rPr>
          <w:rStyle w:val="FootnoteCharacters"/>
          <w:rStyle w:val="FootnoteAnchor"/>
          <w:sz w:val="28"/>
          <w:szCs w:val="28"/>
          <w:lang w:val="en-CA"/>
        </w:rPr>
        <w:footnoteReference w:id="3"/>
      </w:r>
    </w:p>
    <w:p>
      <w:pPr>
        <w:pStyle w:val="Normal"/>
        <w:jc w:val="center"/>
        <w:rPr>
          <w:i/>
          <w:sz w:val="28"/>
          <w:szCs w:val="28"/>
          <w:lang w:val="fr-FR"/>
        </w:rPr>
      </w:pPr>
      <w:r>
        <w:rPr>
          <w:i/>
          <w:sz w:val="28"/>
          <w:szCs w:val="28"/>
          <w:lang w:val="fr-FR"/>
        </w:rPr>
        <w:t>Institut national de santé publique du Québec</w:t>
      </w:r>
    </w:p>
    <w:p>
      <w:pPr>
        <w:pStyle w:val="Normal"/>
        <w:jc w:val="center"/>
        <w:rPr>
          <w:sz w:val="28"/>
          <w:szCs w:val="28"/>
          <w:lang w:val="fr-FR"/>
        </w:rPr>
      </w:pPr>
      <w:r>
        <w:rPr>
          <w:sz w:val="28"/>
          <w:szCs w:val="28"/>
          <w:lang w:val="fr-FR"/>
        </w:rPr>
      </w:r>
    </w:p>
    <w:p>
      <w:pPr>
        <w:pStyle w:val="Normal"/>
        <w:jc w:val="center"/>
        <w:rPr>
          <w:rStyle w:val="FootnoteCharacters"/>
          <w:rStyle w:val="FootnoteAnchor"/>
          <w:sz w:val="28"/>
          <w:szCs w:val="28"/>
          <w:lang w:val="en-CA"/>
        </w:rPr>
      </w:pPr>
      <w:r>
        <w:rPr>
          <w:sz w:val="28"/>
          <w:szCs w:val="28"/>
          <w:lang w:val="fr-FR"/>
        </w:rPr>
        <w:t>Lucie Labarre, M.A.</w:t>
      </w:r>
      <w:r>
        <w:rPr>
          <w:rStyle w:val="FootnoteCharacters"/>
          <w:rStyle w:val="FootnoteAnchor"/>
          <w:sz w:val="28"/>
          <w:szCs w:val="28"/>
          <w:lang w:val="en-CA"/>
        </w:rPr>
        <w:footnoteReference w:id="4"/>
      </w:r>
    </w:p>
    <w:p>
      <w:pPr>
        <w:pStyle w:val="Normal"/>
        <w:jc w:val="center"/>
        <w:rPr>
          <w:rStyle w:val="FootnoteCharacters"/>
          <w:rStyle w:val="FootnoteAnchor"/>
          <w:sz w:val="28"/>
          <w:szCs w:val="28"/>
          <w:lang w:val="en-CA"/>
        </w:rPr>
      </w:pPr>
      <w:r>
        <w:rPr>
          <w:sz w:val="28"/>
          <w:szCs w:val="28"/>
          <w:lang w:val="fr-FR"/>
        </w:rPr>
        <w:t>Ghyslaine Senécal, M.B.A.</w:t>
      </w:r>
      <w:r>
        <w:rPr>
          <w:rStyle w:val="FootnoteCharacters"/>
          <w:rStyle w:val="FootnoteAnchor"/>
          <w:sz w:val="28"/>
          <w:szCs w:val="28"/>
          <w:lang w:val="en-CA"/>
        </w:rPr>
        <w:footnoteReference w:id="5"/>
      </w:r>
    </w:p>
    <w:p>
      <w:pPr>
        <w:pStyle w:val="Normal"/>
        <w:jc w:val="center"/>
        <w:rPr>
          <w:i/>
          <w:sz w:val="28"/>
          <w:szCs w:val="28"/>
          <w:lang w:val="fr-FR"/>
        </w:rPr>
      </w:pPr>
      <w:r>
        <w:rPr>
          <w:i/>
          <w:sz w:val="28"/>
          <w:szCs w:val="28"/>
          <w:lang w:val="fr-FR"/>
        </w:rPr>
        <w:t>Agence de la santé et des services sociaux de Montréal</w:t>
      </w:r>
    </w:p>
    <w:p>
      <w:pPr>
        <w:pStyle w:val="Normal"/>
        <w:jc w:val="center"/>
        <w:rPr>
          <w:sz w:val="28"/>
          <w:szCs w:val="28"/>
          <w:lang w:val="fr-FR"/>
        </w:rPr>
      </w:pPr>
      <w:r>
        <w:rPr>
          <w:sz w:val="28"/>
          <w:szCs w:val="28"/>
          <w:lang w:val="fr-FR"/>
        </w:rPr>
      </w:r>
    </w:p>
    <w:p>
      <w:pPr>
        <w:pStyle w:val="Normal"/>
        <w:jc w:val="center"/>
        <w:rPr>
          <w:sz w:val="28"/>
          <w:szCs w:val="28"/>
          <w:lang w:val="fr-FR"/>
        </w:rPr>
      </w:pPr>
      <w:r>
        <w:rPr>
          <w:sz w:val="28"/>
          <w:szCs w:val="28"/>
          <w:lang w:val="fr-FR"/>
        </w:rPr>
      </w:r>
    </w:p>
    <w:p>
      <w:pPr>
        <w:pStyle w:val="Normal"/>
        <w:jc w:val="center"/>
        <w:rPr>
          <w:sz w:val="28"/>
          <w:szCs w:val="28"/>
          <w:lang w:val="fr-FR"/>
        </w:rPr>
      </w:pPr>
      <w:r>
        <w:rPr>
          <w:sz w:val="28"/>
          <w:szCs w:val="28"/>
          <w:lang w:val="fr-FR"/>
        </w:rPr>
      </w:r>
    </w:p>
    <w:p>
      <w:pPr>
        <w:pStyle w:val="Normal"/>
        <w:rPr>
          <w:sz w:val="28"/>
          <w:szCs w:val="28"/>
          <w:lang w:val="fr-FR"/>
        </w:rPr>
      </w:pPr>
      <w:r>
        <w:rPr>
          <w:sz w:val="28"/>
          <w:szCs w:val="28"/>
          <w:lang w:val="fr-FR"/>
        </w:rPr>
      </w:r>
    </w:p>
    <w:p>
      <w:pPr>
        <w:pStyle w:val="Normal"/>
        <w:jc w:val="center"/>
        <w:rPr>
          <w:sz w:val="28"/>
          <w:szCs w:val="28"/>
          <w:lang w:val="fr-FR"/>
        </w:rPr>
      </w:pPr>
      <w:r>
        <w:rPr>
          <w:sz w:val="28"/>
          <w:szCs w:val="28"/>
          <w:lang w:val="fr-FR"/>
        </w:rPr>
      </w:r>
    </w:p>
    <w:p>
      <w:pPr>
        <w:pStyle w:val="Normal"/>
        <w:jc w:val="center"/>
        <w:rPr>
          <w:sz w:val="28"/>
          <w:szCs w:val="28"/>
          <w:lang w:val="fr-FR"/>
        </w:rPr>
      </w:pPr>
      <w:r>
        <w:rPr>
          <w:sz w:val="28"/>
          <w:szCs w:val="28"/>
          <w:lang w:val="fr-FR"/>
        </w:rPr>
      </w:r>
    </w:p>
    <w:p>
      <w:pPr>
        <w:pStyle w:val="Normal"/>
        <w:jc w:val="center"/>
        <w:rPr>
          <w:sz w:val="28"/>
          <w:szCs w:val="28"/>
          <w:lang w:val="en-CA"/>
        </w:rPr>
      </w:pPr>
      <w:r>
        <w:rPr>
          <w:sz w:val="28"/>
          <w:szCs w:val="28"/>
          <w:lang w:val="en-CA"/>
        </w:rPr>
        <w:t>April 2007</w:t>
      </w:r>
    </w:p>
    <w:p>
      <w:pPr>
        <w:pStyle w:val="Normal"/>
        <w:rPr>
          <w:sz w:val="28"/>
          <w:szCs w:val="28"/>
          <w:lang w:val="en-CA"/>
        </w:rPr>
      </w:pPr>
      <w:r>
        <w:rPr>
          <w:sz w:val="28"/>
          <w:szCs w:val="28"/>
          <w:lang w:val="en-CA"/>
        </w:rPr>
      </w:r>
    </w:p>
    <w:p>
      <w:pPr>
        <w:pStyle w:val="Normal"/>
        <w:rPr>
          <w:b/>
          <w:bCs/>
          <w:sz w:val="28"/>
          <w:szCs w:val="28"/>
          <w:lang w:val="en-CA"/>
        </w:rPr>
      </w:pPr>
      <w:r>
        <w:rPr>
          <w:b/>
          <w:bCs/>
          <w:sz w:val="28"/>
          <w:szCs w:val="28"/>
          <w:lang w:val="en-CA"/>
        </w:rPr>
      </w:r>
    </w:p>
    <w:p>
      <w:pPr>
        <w:sectPr>
          <w:footerReference w:type="default" r:id="rId2"/>
          <w:footerReference w:type="first" r:id="rId3"/>
          <w:footnotePr>
            <w:numFmt w:val="decimal"/>
          </w:footnotePr>
          <w:type w:val="nextPage"/>
          <w:pgSz w:w="12240" w:h="15840"/>
          <w:pgMar w:left="1797" w:right="1797" w:header="0" w:top="1440" w:footer="720" w:bottom="1440" w:gutter="0"/>
          <w:pgNumType w:fmt="decimal"/>
          <w:formProt w:val="false"/>
          <w:titlePg/>
          <w:textDirection w:val="lrTb"/>
          <w:docGrid w:type="default" w:linePitch="360" w:charSpace="0"/>
        </w:sectPr>
        <w:pStyle w:val="Normal"/>
        <w:rPr>
          <w:b/>
          <w:bCs/>
          <w:sz w:val="28"/>
          <w:szCs w:val="28"/>
          <w:lang w:val="en-CA"/>
        </w:rPr>
      </w:pPr>
      <w:r>
        <w:rPr>
          <w:b/>
          <w:bCs/>
          <w:sz w:val="28"/>
          <w:szCs w:val="28"/>
          <w:lang w:val="en-CA"/>
        </w:rPr>
      </w:r>
    </w:p>
    <w:p>
      <w:pPr>
        <w:pStyle w:val="Normal"/>
        <w:pBdr>
          <w:top w:val="single" w:sz="4" w:space="1" w:color="000000"/>
          <w:left w:val="single" w:sz="4" w:space="4" w:color="000000"/>
          <w:bottom w:val="single" w:sz="4" w:space="1" w:color="000000"/>
          <w:right w:val="single" w:sz="4" w:space="4" w:color="000000"/>
        </w:pBdr>
        <w:spacing w:lineRule="auto" w:line="360"/>
        <w:jc w:val="both"/>
        <w:rPr>
          <w:b/>
          <w:bCs/>
          <w:sz w:val="22"/>
          <w:szCs w:val="22"/>
          <w:lang w:val="en-CA"/>
        </w:rPr>
      </w:pPr>
      <w:r>
        <w:rPr>
          <w:b/>
          <w:bCs/>
          <w:sz w:val="22"/>
          <w:szCs w:val="22"/>
          <w:lang w:val="en-CA"/>
        </w:rPr>
        <w:t>Summary</w:t>
      </w:r>
    </w:p>
    <w:p>
      <w:pPr>
        <w:pStyle w:val="Normal"/>
        <w:pBdr>
          <w:top w:val="single" w:sz="4" w:space="1" w:color="000000"/>
          <w:left w:val="single" w:sz="4" w:space="4" w:color="000000"/>
          <w:bottom w:val="single" w:sz="4" w:space="1" w:color="000000"/>
          <w:right w:val="single" w:sz="4" w:space="4" w:color="000000"/>
        </w:pBdr>
        <w:spacing w:lineRule="auto" w:line="360"/>
        <w:jc w:val="both"/>
        <w:rPr>
          <w:sz w:val="22"/>
          <w:szCs w:val="22"/>
          <w:lang w:val="en-CA"/>
        </w:rPr>
      </w:pPr>
      <w:r>
        <w:rPr>
          <w:sz w:val="22"/>
          <w:szCs w:val="22"/>
          <w:lang w:val="en-CA"/>
        </w:rPr>
        <w:t>The advent of disasters all over the world has fuelled interest in psychosocial intervention in emergency situations. The psychological impact of disasters and the role of the psychosocial component in emergency response plans are often underestimated. This article reveals the vital nature of the psychosocial component in a comprehensive emergency response plan. It describes and analyzes the psychological impacts of disasters, discusses the interventions to be carried out at the various stages of events as they unfold, and brings out perspectives for psychosocial intervention. For illustrative purposes, it also shows the way health and social services are organized within the framework of emergency response procedures for civil protection in Quebec.</w:t>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t>Introduction</w:t>
      </w:r>
    </w:p>
    <w:p>
      <w:pPr>
        <w:pStyle w:val="Normal"/>
        <w:spacing w:lineRule="auto" w:line="360"/>
        <w:jc w:val="both"/>
        <w:rPr>
          <w:b/>
          <w:bCs/>
          <w:sz w:val="22"/>
          <w:lang w:val="en-CA"/>
        </w:rPr>
      </w:pPr>
      <w:r>
        <w:rPr>
          <w:b/>
          <w:bCs/>
          <w:sz w:val="22"/>
          <w:lang w:val="en-CA"/>
        </w:rPr>
      </w:r>
    </w:p>
    <w:p>
      <w:pPr>
        <w:pStyle w:val="Normal"/>
        <w:spacing w:lineRule="auto" w:line="360"/>
        <w:jc w:val="both"/>
        <w:rPr>
          <w:sz w:val="22"/>
          <w:lang w:val="en-CA"/>
        </w:rPr>
      </w:pPr>
      <w:r>
        <w:rPr>
          <w:sz w:val="22"/>
          <w:lang w:val="en-CA"/>
        </w:rPr>
        <w:t xml:space="preserve">The advent of major disasters all over the world in recent decades has fuelled interest in emergency psychosocial interventions (1, 2). The psychological impacts of catastrophes are generally underestimated (3,4) even though they are often much greater than physical impacts (5). There is therefore unequal, and sometimes insufficient planning when it comes to the psychosocial component of comprehensive emergency response plans (3). To fill this gap, several government and health authorities, such as the NIMH and CDC in the United States, or the </w:t>
      </w:r>
      <w:r>
        <w:rPr>
          <w:i/>
          <w:sz w:val="22"/>
          <w:lang w:val="en-CA"/>
        </w:rPr>
        <w:t>Organisation de sécurité civile du Québec</w:t>
      </w:r>
      <w:r>
        <w:rPr>
          <w:sz w:val="22"/>
          <w:lang w:val="en-CA"/>
        </w:rPr>
        <w:t xml:space="preserve"> (Civil Protection Organization of Quebec) have started to include a psychosocial component in their overall emergency response plans (6,7).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b/>
          <w:sz w:val="22"/>
          <w:lang w:val="en-CA"/>
        </w:rPr>
      </w:pPr>
      <w:r>
        <w:rPr>
          <w:b/>
          <w:sz w:val="22"/>
          <w:lang w:val="en-CA"/>
        </w:rPr>
        <w:t>The Psychosocial Impacts of Disasters</w:t>
      </w:r>
    </w:p>
    <w:p>
      <w:pPr>
        <w:pStyle w:val="Normal"/>
        <w:spacing w:lineRule="auto" w:line="360"/>
        <w:jc w:val="both"/>
        <w:rPr>
          <w:b/>
          <w:sz w:val="22"/>
          <w:lang w:val="en-CA"/>
        </w:rPr>
      </w:pPr>
      <w:r>
        <w:rPr>
          <w:b/>
          <w:sz w:val="22"/>
          <w:lang w:val="en-CA"/>
        </w:rPr>
      </w:r>
    </w:p>
    <w:p>
      <w:pPr>
        <w:pStyle w:val="Normal"/>
        <w:spacing w:lineRule="auto" w:line="360"/>
        <w:jc w:val="both"/>
        <w:rPr>
          <w:sz w:val="22"/>
          <w:lang w:val="en-CA"/>
        </w:rPr>
      </w:pPr>
      <w:r>
        <w:rPr>
          <w:sz w:val="22"/>
          <w:lang w:val="en-CA"/>
        </w:rPr>
        <w:t xml:space="preserve">Disasters are defined as situations whose impact can overwhelm the adaptive capacity of affected populations and groups, to a varying extent and for more or less extended periods of time, depending on circumstances (8). There are two major types of disasters (4): natural disasters (e.g.: floods) and disasters linked to human activity, be they intentional (e.g.: shootings) or accidental (toxic spills). </w:t>
      </w:r>
    </w:p>
    <w:p>
      <w:pPr>
        <w:pStyle w:val="Normal"/>
        <w:pageBreakBefore/>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Disasters can have a significant psychosocial impact, because they bring substantial loss for the victims: loved ones, physical integrity, material goods, places they have made their own, sense of safety, etc. (8). Natural disasters usually have a beginning and an end, which helps make psychological recovery easier. Disasters linked to human activity, particularly intentional ones, are more disturbing (4), because they generate feelings of psychological threat and uncertainty linked to the associated risks. In such conditions, it is not unusual to see more long-term stress and demoralization reactions set in. (9). Although genocide is not included among the disasters linked to human activity covered in this paper, references on this issue have been included for interested readers. (10,11).</w:t>
      </w:r>
    </w:p>
    <w:p>
      <w:pPr>
        <w:pStyle w:val="Normal"/>
        <w:spacing w:lineRule="auto" w:line="360"/>
        <w:jc w:val="both"/>
        <w:rPr>
          <w:rFonts w:eastAsia="Arial"/>
          <w:sz w:val="22"/>
          <w:lang w:val="en-CA"/>
        </w:rPr>
      </w:pPr>
      <w:r>
        <w:rPr>
          <w:rFonts w:eastAsia="Arial"/>
          <w:sz w:val="22"/>
          <w:lang w:val="en-CA"/>
        </w:rPr>
        <w:t xml:space="preserve"> </w:t>
      </w:r>
    </w:p>
    <w:p>
      <w:pPr>
        <w:pStyle w:val="Normal"/>
        <w:spacing w:lineRule="auto" w:line="360"/>
        <w:jc w:val="both"/>
        <w:rPr>
          <w:sz w:val="22"/>
          <w:lang w:val="en-CA"/>
        </w:rPr>
      </w:pPr>
      <w:r>
        <w:rPr>
          <w:sz w:val="22"/>
          <w:lang w:val="en-CA"/>
        </w:rPr>
        <w:t xml:space="preserve">Disasters also create several categories of victims (8). First, there are the primary victims, those who are directly and personally affected. Then, there are the witnesses of disasters and of their traumatic effects, including emergency response service providers. Finally, there are all of the persons exposed indirectly to the victims themselves, or to the scene and impacts of the disaster through the media (e.g.: friends and family, general public).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A strong connection has been found between the level of media exposure and the degree of anxiety in persons who have not been directly exposed, and for whom these disasters are not even an immediate threat (4, 12, 13, 14, 15). Visual images are one of the most powerful channels for influencing the perceptions and emotional reactions of the population. Their impact is even more harmful among certain sub-groups of the population, such as children (14,15). That is why excessive or repeated exposure of more vulnerable persons to media reports is not recommended (13).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The Diagnostic and Statistic Manual of Mental Disorders (DSM IV) now recognizes that indirect exposure to traumatic events can trigger post-traumatic stress disorder (PTSD), defined as a prolonged stress reaction accompanied by dysfunction and a deterioration of adaptive functions. </w:t>
      </w:r>
    </w:p>
    <w:p>
      <w:pPr>
        <w:pStyle w:val="Normal"/>
        <w:pageBreakBefore/>
        <w:spacing w:lineRule="auto" w:line="360"/>
        <w:jc w:val="both"/>
        <w:rPr>
          <w:sz w:val="22"/>
          <w:lang w:val="en-CA"/>
        </w:rPr>
      </w:pPr>
      <w:r>
        <w:rPr>
          <w:sz w:val="22"/>
          <w:lang w:val="en-CA"/>
        </w:rPr>
        <w:t xml:space="preserve">A study conducted two years after the Oklahoma City terrorist attack revealed the presence of typical PTSD symptoms in the vast majority (87%) of a group of sixth-grade children from a remote city who had been exposed to the disaster in an indirect manner (e.g.: friend knew a person who had been killed or injured, the media) (15). Furthermore, 19% of them reported having difficulty functioning at school and at home. In the case of media exposure, reported symptoms were proportional to the degree of exposure.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A rigorous epidemiological study conducted two months after the events of September 11, 2001 in the United States confirmed the link between direct and indirect exposure (via television) to the events and the prevalence of clinical symptoms of post-traumatic stress disorder and psychological distress (12). In the case of direct exposure, geographic proximity to the site of the disaster was significantly linked to the prevalence of PTSD symptoms in the New-York region (11%), compared to the rest of the country (4%). With regard to indirect exposure, symptoms seemed to be significantly linked to the number of hours spent watching television, and to the graphic content of the scenes watched. A significant increase in anxiety was also found in adults, particularly women, exposed to television reports about terrorist activities (14).</w:t>
      </w:r>
    </w:p>
    <w:p>
      <w:pPr>
        <w:pStyle w:val="Normal"/>
        <w:spacing w:lineRule="auto" w:line="360"/>
        <w:jc w:val="both"/>
        <w:rPr>
          <w:rFonts w:eastAsia="Arial"/>
          <w:sz w:val="22"/>
          <w:lang w:val="en-CA"/>
        </w:rPr>
      </w:pPr>
      <w:r>
        <w:rPr>
          <w:rFonts w:eastAsia="Arial"/>
          <w:sz w:val="22"/>
          <w:lang w:val="en-CA"/>
        </w:rPr>
        <w:t xml:space="preserve"> </w:t>
      </w:r>
    </w:p>
    <w:p>
      <w:pPr>
        <w:pStyle w:val="Normal"/>
        <w:spacing w:lineRule="auto" w:line="360"/>
        <w:jc w:val="both"/>
        <w:rPr>
          <w:sz w:val="22"/>
          <w:lang w:val="en-CA"/>
        </w:rPr>
      </w:pPr>
      <w:r>
        <w:rPr>
          <w:sz w:val="22"/>
          <w:lang w:val="en-CA"/>
        </w:rPr>
        <w:t>Moderate and transitory stress reactions are by far the most frequent. Some people may experience more intense reactions that do not generally become chronic problems. Approximately 9% of people exposed to a disaster, directly or indirectly, will potentially develop a PTSD (8, 16). Some groups are naturally more vulnerable, such as children or the elderly, or even emergency response service providers, given the intensity and duration of their exposure to direct victims. That is why it is important to support service providers, through training and clinical supervision, among other measures. (7, 9, 17)</w:t>
      </w:r>
    </w:p>
    <w:p>
      <w:pPr>
        <w:pStyle w:val="Normal"/>
        <w:spacing w:lineRule="auto" w:line="360"/>
        <w:jc w:val="both"/>
        <w:rPr>
          <w:b/>
          <w:sz w:val="22"/>
          <w:lang w:val="en-CA"/>
        </w:rPr>
      </w:pPr>
      <w:r>
        <w:rPr>
          <w:b/>
          <w:sz w:val="22"/>
          <w:lang w:val="en-CA"/>
        </w:rPr>
      </w:r>
    </w:p>
    <w:p>
      <w:pPr>
        <w:pStyle w:val="Normal"/>
        <w:pageBreakBefore/>
        <w:spacing w:lineRule="auto" w:line="360"/>
        <w:jc w:val="both"/>
        <w:rPr>
          <w:b/>
          <w:sz w:val="22"/>
          <w:lang w:val="en-CA"/>
        </w:rPr>
      </w:pPr>
      <w:r>
        <w:rPr>
          <w:b/>
          <w:sz w:val="22"/>
          <w:lang w:val="en-CA"/>
        </w:rPr>
      </w:r>
    </w:p>
    <w:p>
      <w:pPr>
        <w:pStyle w:val="Normal"/>
        <w:spacing w:lineRule="auto" w:line="360"/>
        <w:jc w:val="both"/>
        <w:rPr>
          <w:b/>
          <w:sz w:val="22"/>
          <w:lang w:val="en-CA"/>
        </w:rPr>
      </w:pPr>
      <w:r>
        <w:rPr>
          <w:b/>
          <w:sz w:val="22"/>
          <w:lang w:val="en-CA"/>
        </w:rPr>
      </w:r>
    </w:p>
    <w:p>
      <w:pPr>
        <w:pStyle w:val="Normal"/>
        <w:spacing w:lineRule="auto" w:line="360"/>
        <w:jc w:val="both"/>
        <w:rPr>
          <w:b/>
          <w:sz w:val="22"/>
          <w:lang w:val="en-CA"/>
        </w:rPr>
      </w:pPr>
      <w:r>
        <w:rPr>
          <w:b/>
          <w:sz w:val="22"/>
          <w:lang w:val="en-CA"/>
        </w:rPr>
        <w:t>Emergency Psychosocial Interventions</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Psychosocial interventions can be provided at different times in the context of a comprehensive emergency response plan. In Quebec, the health and social services network has been very well equipped, since the early 1990s, to mobilize service providers and concerned partners, as part of the process of organizing civil protection services (see box on page 5).</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The </w:t>
      </w:r>
      <w:r>
        <w:rPr>
          <w:b/>
          <w:sz w:val="22"/>
          <w:lang w:val="en-CA"/>
        </w:rPr>
        <w:t>preparedness phase</w:t>
      </w:r>
      <w:r>
        <w:rPr>
          <w:sz w:val="22"/>
          <w:lang w:val="en-CA"/>
        </w:rPr>
        <w:t xml:space="preserve"> corresponds to the provisions made to prepare a proper response to the various disasters that might occur. The less prepared organizations and service providers are to face a disaster, the more severe the impacts will be (3). Common leadership, communication and cooperation problems that arise in emergency situations are in fact usually linked to insufficient planning (3, 23, 24).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That is why it is recommended to develop emergency response procedure plans or protocols identifying the resources required and specifying the responsibilities of each resource in the event of an emergency. Prior training of the service providers called upon to perform psychosocial interventions in emergency situations also has a direct influence on their ability to fulfill this function effectively (23).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pBdr>
          <w:top w:val="single" w:sz="4" w:space="1" w:color="000000"/>
          <w:left w:val="single" w:sz="4" w:space="4" w:color="000000"/>
          <w:bottom w:val="single" w:sz="4" w:space="1" w:color="000000"/>
          <w:right w:val="single" w:sz="4" w:space="4" w:color="000000"/>
        </w:pBdr>
        <w:jc w:val="both"/>
        <w:rPr>
          <w:b/>
          <w:sz w:val="22"/>
          <w:lang w:val="en-CA"/>
        </w:rPr>
      </w:pPr>
      <w:r>
        <w:rPr>
          <w:b/>
          <w:sz w:val="22"/>
          <w:lang w:val="en-CA"/>
        </w:rPr>
        <w:t>Quebec Model for the Organization of Health and Social Services in the Context of Emergency Civil Protection Measures</w:t>
      </w:r>
    </w:p>
    <w:p>
      <w:pPr>
        <w:pStyle w:val="Normal"/>
        <w:pBdr>
          <w:top w:val="single" w:sz="4" w:space="1" w:color="000000"/>
          <w:left w:val="single" w:sz="4" w:space="4" w:color="000000"/>
          <w:bottom w:val="single" w:sz="4" w:space="1" w:color="000000"/>
          <w:right w:val="single" w:sz="4" w:space="4" w:color="000000"/>
        </w:pBdr>
        <w:spacing w:lineRule="auto" w:line="360"/>
        <w:jc w:val="both"/>
        <w:rPr>
          <w:b/>
          <w:sz w:val="22"/>
          <w:szCs w:val="22"/>
          <w:lang w:val="en-CA"/>
        </w:rPr>
      </w:pPr>
      <w:r>
        <w:rPr>
          <w:b/>
          <w:sz w:val="22"/>
          <w:szCs w:val="22"/>
          <w:lang w:val="en-CA"/>
        </w:rPr>
      </w:r>
    </w:p>
    <w:p>
      <w:pPr>
        <w:pStyle w:val="Normal"/>
        <w:pBdr>
          <w:top w:val="single" w:sz="4" w:space="1" w:color="000000"/>
          <w:left w:val="single" w:sz="4" w:space="4" w:color="000000"/>
          <w:bottom w:val="single" w:sz="4" w:space="1" w:color="000000"/>
          <w:right w:val="single" w:sz="4" w:space="4" w:color="000000"/>
        </w:pBdr>
        <w:jc w:val="both"/>
        <w:rPr>
          <w:sz w:val="22"/>
          <w:szCs w:val="22"/>
          <w:lang w:val="en-CA"/>
        </w:rPr>
      </w:pPr>
      <w:r>
        <w:rPr>
          <w:sz w:val="22"/>
          <w:szCs w:val="22"/>
          <w:lang w:val="en-CA"/>
        </w:rPr>
        <w:t xml:space="preserve">In Quebec, the psychosocial component has been incorporated into the organization of emergency response services since the early 1990s. Following the shooting at the École Polytechnique in 1989, the </w:t>
      </w:r>
      <w:r>
        <w:rPr>
          <w:i/>
          <w:sz w:val="22"/>
          <w:szCs w:val="22"/>
          <w:lang w:val="en-CA"/>
        </w:rPr>
        <w:t>Ministère de la Santé et des Services sociaux</w:t>
      </w:r>
      <w:r>
        <w:rPr>
          <w:sz w:val="22"/>
          <w:szCs w:val="22"/>
          <w:lang w:val="en-CA"/>
        </w:rPr>
        <w:t xml:space="preserve"> (MSSS) of Quebec developed a model for the organization of health and social services in the context of civil protection emergency measures. Many elements of that model are still in effect today, including a health care network personnel training program and intervention kit, which is updated regularly (17, 18, 19). Following the Saguenay valley floods of 1996 and the ice storm of 1998, the </w:t>
      </w:r>
      <w:r>
        <w:rPr>
          <w:i/>
          <w:sz w:val="22"/>
          <w:szCs w:val="22"/>
          <w:lang w:val="en-CA"/>
        </w:rPr>
        <w:t xml:space="preserve">Civil Protection Act, </w:t>
      </w:r>
      <w:r>
        <w:rPr>
          <w:sz w:val="22"/>
          <w:szCs w:val="22"/>
          <w:lang w:val="en-CA"/>
        </w:rPr>
        <w:t xml:space="preserve">passed in 2001, entrusted the </w:t>
      </w:r>
      <w:r>
        <w:rPr>
          <w:i/>
          <w:sz w:val="22"/>
          <w:szCs w:val="22"/>
          <w:lang w:val="en-CA"/>
        </w:rPr>
        <w:t>Ministère de la Sécurité publique du Québec</w:t>
      </w:r>
      <w:r>
        <w:rPr>
          <w:sz w:val="22"/>
          <w:szCs w:val="22"/>
          <w:lang w:val="en-CA"/>
        </w:rPr>
        <w:t xml:space="preserve"> with an oversight role, encompassing the mandate to develop and maintain the </w:t>
      </w:r>
      <w:r>
        <w:rPr>
          <w:i/>
          <w:sz w:val="22"/>
          <w:szCs w:val="22"/>
          <w:lang w:val="en-CA"/>
        </w:rPr>
        <w:t>National Civil Protection Plan</w:t>
      </w:r>
      <w:r>
        <w:rPr>
          <w:sz w:val="22"/>
          <w:szCs w:val="22"/>
          <w:lang w:val="en-CA"/>
        </w:rPr>
        <w:t>, and the power to declare a national state of emergency. (7)</w:t>
      </w:r>
    </w:p>
    <w:p>
      <w:pPr>
        <w:pStyle w:val="Normal"/>
        <w:pBdr>
          <w:top w:val="single" w:sz="4" w:space="1" w:color="000000"/>
          <w:left w:val="single" w:sz="4" w:space="4" w:color="000000"/>
          <w:bottom w:val="single" w:sz="4" w:space="1" w:color="000000"/>
          <w:right w:val="single" w:sz="4" w:space="4" w:color="000000"/>
        </w:pBdr>
        <w:jc w:val="both"/>
        <w:rPr>
          <w:sz w:val="22"/>
          <w:szCs w:val="22"/>
          <w:lang w:val="en-CA"/>
        </w:rPr>
      </w:pPr>
      <w:r>
        <w:rPr>
          <w:sz w:val="22"/>
          <w:szCs w:val="22"/>
          <w:lang w:val="en-CA"/>
        </w:rPr>
      </w:r>
    </w:p>
    <w:p>
      <w:pPr>
        <w:pStyle w:val="Normal"/>
        <w:pBdr>
          <w:top w:val="single" w:sz="4" w:space="1" w:color="000000"/>
          <w:left w:val="single" w:sz="4" w:space="4" w:color="000000"/>
          <w:bottom w:val="single" w:sz="4" w:space="1" w:color="000000"/>
          <w:right w:val="single" w:sz="4" w:space="4" w:color="000000"/>
        </w:pBdr>
        <w:jc w:val="both"/>
        <w:rPr>
          <w:sz w:val="22"/>
          <w:szCs w:val="22"/>
          <w:lang w:val="en-CA"/>
        </w:rPr>
      </w:pPr>
      <w:r>
        <w:rPr>
          <w:sz w:val="22"/>
          <w:szCs w:val="22"/>
          <w:lang w:val="en-CA"/>
        </w:rPr>
        <w:t>Main elements of the Quebec model for emergency civil protection measures:</w:t>
      </w:r>
    </w:p>
    <w:p>
      <w:pPr>
        <w:pStyle w:val="Normal"/>
        <w:numPr>
          <w:ilvl w:val="0"/>
          <w:numId w:val="7"/>
        </w:numPr>
        <w:pBdr>
          <w:top w:val="single" w:sz="4" w:space="1" w:color="000000"/>
          <w:left w:val="single" w:sz="4" w:space="4" w:color="000000"/>
          <w:bottom w:val="single" w:sz="4" w:space="1" w:color="000000"/>
          <w:right w:val="single" w:sz="4" w:space="4" w:color="000000"/>
        </w:pBdr>
        <w:jc w:val="both"/>
        <w:rPr>
          <w:sz w:val="22"/>
          <w:szCs w:val="22"/>
          <w:lang w:val="en-CA"/>
        </w:rPr>
      </w:pPr>
      <w:r>
        <w:rPr>
          <w:rFonts w:eastAsia="Arial"/>
          <w:sz w:val="22"/>
          <w:szCs w:val="22"/>
          <w:lang w:val="en-CA"/>
        </w:rPr>
        <w:t xml:space="preserve"> </w:t>
      </w:r>
      <w:r>
        <w:rPr>
          <w:sz w:val="22"/>
          <w:szCs w:val="22"/>
          <w:lang w:val="en-CA"/>
        </w:rPr>
        <w:t>(</w:t>
      </w:r>
      <w:r>
        <w:rPr>
          <w:i/>
          <w:sz w:val="22"/>
          <w:szCs w:val="22"/>
          <w:lang w:val="en-CA"/>
        </w:rPr>
        <w:t>Plan national de sécurité civile</w:t>
      </w:r>
      <w:r>
        <w:rPr>
          <w:sz w:val="22"/>
          <w:szCs w:val="22"/>
          <w:lang w:val="en-CA"/>
        </w:rPr>
        <w:t xml:space="preserve"> (PNSC - National Civil Protection Plan): this plan makes it possible to organize and coordinate the actions of the 29 government departments and organizations involved. It includes fifteen or so missions aimed at meeting the needs of the population in a major emergency. </w:t>
      </w:r>
    </w:p>
    <w:p>
      <w:pPr>
        <w:pStyle w:val="Normal"/>
        <w:numPr>
          <w:ilvl w:val="0"/>
          <w:numId w:val="3"/>
        </w:numPr>
        <w:pBdr>
          <w:top w:val="single" w:sz="4" w:space="1" w:color="000000"/>
          <w:left w:val="single" w:sz="4" w:space="4" w:color="000000"/>
          <w:bottom w:val="single" w:sz="4" w:space="1" w:color="000000"/>
          <w:right w:val="single" w:sz="4" w:space="4" w:color="000000"/>
        </w:pBdr>
        <w:jc w:val="both"/>
        <w:rPr>
          <w:sz w:val="22"/>
          <w:szCs w:val="22"/>
          <w:lang w:val="en-CA"/>
        </w:rPr>
      </w:pPr>
      <w:r>
        <w:rPr>
          <w:sz w:val="22"/>
          <w:szCs w:val="22"/>
          <w:lang w:val="en-CA"/>
        </w:rPr>
        <w:t xml:space="preserve">Comité de sécurité civile du Québec (CSCQ – Quebec Civil Protection Committee): this body, which brings together the heads of the 12 main departments and organizations concerned, as well as the government coordinator designated by the Minister of Public Security, plans and supervises the government’s actions with regard to civil protection. </w:t>
      </w:r>
    </w:p>
    <w:p>
      <w:pPr>
        <w:pStyle w:val="Normal"/>
        <w:numPr>
          <w:ilvl w:val="0"/>
          <w:numId w:val="3"/>
        </w:numPr>
        <w:pBdr>
          <w:top w:val="single" w:sz="4" w:space="1" w:color="000000"/>
          <w:left w:val="single" w:sz="4" w:space="4" w:color="000000"/>
          <w:bottom w:val="single" w:sz="4" w:space="1" w:color="000000"/>
          <w:right w:val="single" w:sz="4" w:space="4" w:color="000000"/>
        </w:pBdr>
        <w:jc w:val="both"/>
        <w:rPr>
          <w:sz w:val="22"/>
          <w:szCs w:val="22"/>
          <w:lang w:val="en-CA"/>
        </w:rPr>
      </w:pPr>
      <w:r>
        <w:rPr>
          <w:i/>
          <w:sz w:val="22"/>
          <w:szCs w:val="22"/>
          <w:lang w:val="en-CA"/>
        </w:rPr>
        <w:t>Organisation de sécurité civile du Québec</w:t>
      </w:r>
      <w:r>
        <w:rPr>
          <w:sz w:val="22"/>
          <w:szCs w:val="22"/>
          <w:lang w:val="en-CA"/>
        </w:rPr>
        <w:t xml:space="preserve"> (OSCQ – Quebec Civil Protection Organization): directed by the government coordinator, this body plans Quebec-wide civil protection measures and coordinates the operations carried out according to the PNSC.</w:t>
      </w:r>
    </w:p>
    <w:p>
      <w:pPr>
        <w:pStyle w:val="Normal"/>
        <w:numPr>
          <w:ilvl w:val="0"/>
          <w:numId w:val="3"/>
        </w:numPr>
        <w:pBdr>
          <w:top w:val="single" w:sz="4" w:space="1" w:color="000000"/>
          <w:left w:val="single" w:sz="4" w:space="4" w:color="000000"/>
          <w:bottom w:val="single" w:sz="4" w:space="1" w:color="000000"/>
          <w:right w:val="single" w:sz="4" w:space="4" w:color="000000"/>
        </w:pBdr>
        <w:jc w:val="both"/>
        <w:rPr>
          <w:sz w:val="22"/>
          <w:szCs w:val="22"/>
          <w:lang w:val="en-CA"/>
        </w:rPr>
      </w:pPr>
      <w:r>
        <w:rPr>
          <w:sz w:val="22"/>
          <w:szCs w:val="22"/>
          <w:lang w:val="en-CA"/>
        </w:rPr>
        <w:t xml:space="preserve">Health and Social Service Organization Model for Civil Protection: within the OSCQ, the ministerial coordinator for civil protection of the MSSS provides information and cooperation with regard to the PNSC’s health mission. It fulfills this responsibility through five types of activities: 1) maintaining health and social service network activities: continuity of services; 2) physical health: reducing mortality and morbidity, including receiving a massive influx of disaster victims; 3) public health: setting up population protection measures; 4) psychosocial aspect: interventions to minimize psychosocial impacts and facilitate the return to everyday life; 5) communication: managing information for the population, the media, decision-makers, network staff and partners. </w:t>
      </w:r>
    </w:p>
    <w:p>
      <w:pPr>
        <w:pStyle w:val="Normal"/>
        <w:pBdr>
          <w:top w:val="single" w:sz="4" w:space="1" w:color="000000"/>
          <w:left w:val="single" w:sz="4" w:space="4" w:color="000000"/>
          <w:bottom w:val="single" w:sz="4" w:space="1" w:color="000000"/>
          <w:right w:val="single" w:sz="4" w:space="4" w:color="000000"/>
        </w:pBdr>
        <w:jc w:val="both"/>
        <w:rPr>
          <w:sz w:val="22"/>
          <w:szCs w:val="22"/>
          <w:lang w:val="en-CA"/>
        </w:rPr>
      </w:pPr>
      <w:r>
        <w:rPr>
          <w:sz w:val="22"/>
          <w:szCs w:val="22"/>
          <w:lang w:val="en-CA"/>
        </w:rPr>
      </w:r>
    </w:p>
    <w:p>
      <w:pPr>
        <w:pStyle w:val="Normal"/>
        <w:pBdr>
          <w:top w:val="single" w:sz="4" w:space="1" w:color="000000"/>
          <w:left w:val="single" w:sz="4" w:space="4" w:color="000000"/>
          <w:bottom w:val="single" w:sz="4" w:space="1" w:color="000000"/>
          <w:right w:val="single" w:sz="4" w:space="4" w:color="000000"/>
        </w:pBdr>
        <w:jc w:val="both"/>
        <w:rPr>
          <w:sz w:val="22"/>
          <w:szCs w:val="22"/>
          <w:lang w:val="en-CA"/>
        </w:rPr>
      </w:pPr>
      <w:r>
        <w:rPr>
          <w:sz w:val="22"/>
          <w:szCs w:val="22"/>
          <w:lang w:val="en-CA"/>
        </w:rPr>
        <w:t xml:space="preserve">At the central level, the MSSS establishes broad guidelines and sets budget parameters. At the regional level, the </w:t>
      </w:r>
      <w:r>
        <w:rPr>
          <w:i/>
          <w:sz w:val="22"/>
          <w:szCs w:val="22"/>
          <w:lang w:val="en-CA"/>
        </w:rPr>
        <w:t xml:space="preserve">Agences de santé et de services sociaux </w:t>
      </w:r>
      <w:r>
        <w:rPr>
          <w:sz w:val="22"/>
          <w:szCs w:val="22"/>
          <w:lang w:val="en-CA"/>
        </w:rPr>
        <w:t xml:space="preserve">(Health and Social Service Agencies) organize and coordinate services and allocate the budget to institutions. At the local service network level, the </w:t>
      </w:r>
      <w:r>
        <w:rPr>
          <w:i/>
          <w:sz w:val="22"/>
          <w:szCs w:val="22"/>
          <w:lang w:val="en-CA"/>
        </w:rPr>
        <w:t>Centres de santé et de services sociaux</w:t>
      </w:r>
      <w:r>
        <w:rPr>
          <w:sz w:val="22"/>
          <w:szCs w:val="22"/>
          <w:lang w:val="en-CA"/>
        </w:rPr>
        <w:t xml:space="preserve"> (CSSS – Health and Social Service Centres) provide all five types of services in connection with the other public and private institutions on their territory (hospitals, rehabilitation centres, long-term care centres, etc.), medical clinics and their various partners (municipalities, schools, etc.). Services provided at the local level must also fit in with the regional mobilization plan stipulated in the </w:t>
      </w:r>
      <w:r>
        <w:rPr>
          <w:i/>
          <w:iCs/>
          <w:sz w:val="22"/>
          <w:szCs w:val="22"/>
          <w:lang w:val="en-CA"/>
        </w:rPr>
        <w:t>Public Health Act</w:t>
      </w:r>
      <w:r>
        <w:rPr>
          <w:sz w:val="22"/>
          <w:szCs w:val="22"/>
          <w:lang w:val="en-CA"/>
        </w:rPr>
        <w:t>. (7, 17, 20, 21, 22)</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The preparatory phase makes it possible, among other things, to: </w:t>
      </w:r>
    </w:p>
    <w:p>
      <w:pPr>
        <w:pStyle w:val="Normal"/>
        <w:numPr>
          <w:ilvl w:val="0"/>
          <w:numId w:val="2"/>
        </w:numPr>
        <w:spacing w:lineRule="auto" w:line="360"/>
        <w:jc w:val="both"/>
        <w:rPr>
          <w:sz w:val="22"/>
          <w:lang w:val="en-CA"/>
        </w:rPr>
      </w:pPr>
      <w:r>
        <w:rPr>
          <w:sz w:val="22"/>
          <w:lang w:val="en-CA"/>
        </w:rPr>
        <w:t>develop cooperation agreements with partners who are likely to be closely linked to emergency psychosocial interventions (e.g.: professional associations, community organizations, crisis centres, religious communities, etc.);</w:t>
      </w:r>
    </w:p>
    <w:p>
      <w:pPr>
        <w:pStyle w:val="Normal"/>
        <w:numPr>
          <w:ilvl w:val="0"/>
          <w:numId w:val="2"/>
        </w:numPr>
        <w:spacing w:lineRule="auto" w:line="360"/>
        <w:jc w:val="both"/>
        <w:rPr>
          <w:sz w:val="22"/>
          <w:lang w:val="en-CA"/>
        </w:rPr>
      </w:pPr>
      <w:r>
        <w:rPr>
          <w:sz w:val="22"/>
          <w:lang w:val="en-CA"/>
        </w:rPr>
        <w:t>fine-tune communication and information management mechanisms for the media and general public (13);</w:t>
      </w:r>
    </w:p>
    <w:p>
      <w:pPr>
        <w:pStyle w:val="Normal"/>
        <w:numPr>
          <w:ilvl w:val="0"/>
          <w:numId w:val="2"/>
        </w:numPr>
        <w:spacing w:lineRule="auto" w:line="360"/>
        <w:jc w:val="both"/>
        <w:rPr>
          <w:sz w:val="22"/>
          <w:lang w:val="en-CA"/>
        </w:rPr>
      </w:pPr>
      <w:r>
        <w:rPr>
          <w:sz w:val="22"/>
          <w:lang w:val="en-CA"/>
        </w:rPr>
        <w:t>develop tools to identify vulnerable clienteles, survey the situation and conduct evaluations, in order to better capture the needs of the population and the effectiveness of the measures set up. These tools can pinpoint aspects such as: the needs of vulnerable persons; the nature of citizens’ fears; the precautions already taken and desired preparation; the factors influencing the feeling of safety and measures likely to increase this feeling; expectations with regard to resources and services, etc. (25). Given their monitoring, evaluation and research functions, public health bodies can play a useful role in this respect.</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The </w:t>
      </w:r>
      <w:r>
        <w:rPr>
          <w:b/>
          <w:sz w:val="22"/>
          <w:lang w:val="en-CA"/>
        </w:rPr>
        <w:t>response phase</w:t>
      </w:r>
      <w:r>
        <w:rPr>
          <w:sz w:val="22"/>
          <w:lang w:val="en-CA"/>
        </w:rPr>
        <w:t xml:space="preserve"> corresponds to the period immediately surrounding the disaster. The goal of psychosocial interventions during this phase is to smooth the way for psychological assimilation of the events. It is also to minimize the negative impact of those events in order to restore individuals’ and communities’ ability to function psychologically and socially as soon as possible. It is a question of lessening feelings of fear, uncertainty and vulnerability among the individuals and various sub-groups of the population affected by the disaster, and restoring their feelings of confidence, competence, self-sufficiency and control. It is also necessary to preserve social cohesion and maintain national social support networks by encouraging mutual help groups within the affected communities, for instance.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It is important to put into practice, as quickly as possible, various agreement protocols developed during the preparedness phase. The fact of working in close cooperation with partners not only makes it possible to enhance the effectiveness of the actions undertaken; it also helps reassure the population by showing that there is an organized model for cooperation and action to overcome the chaos (26). A proactive attitude and rapid response on the part of the authorities concerned helps restore a feeling of safety.</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During the response phase, information needs usually supersede psychological assistance needs (13, 27). Insufficient, inaccurate or contradictory information causes psychological distress (4). Conversely, a clear communication strategy that uses official spokespersons and credible experts keeps fearful and anxious reactions generated by rumours and misinformation from escalating. Factual, rigorous treatment of information is psychologically reassuring: it dissipates uncertainty and worry, and conveys, either explicitly or implicitly, the message that the actions that have been set up will be effective in the short or medium term (28).</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This is also the time at which it is appropriate to use and adjust the educational material developed for this purpose, for the various groups, including service providers, the media and the general public (20). In Quebec, the </w:t>
      </w:r>
      <w:r>
        <w:rPr>
          <w:i/>
          <w:sz w:val="22"/>
          <w:lang w:val="en-CA"/>
        </w:rPr>
        <w:t>Trousse d’outils pour l’intervention psychosociale dans le cadre des mesures d’urgence</w:t>
      </w:r>
      <w:r>
        <w:rPr>
          <w:sz w:val="22"/>
          <w:lang w:val="en-CA"/>
        </w:rPr>
        <w:t xml:space="preserve"> (Emergency Psychosocial Intervention Tool Kit) developed for service providers contains material that addresses the various aspects of emergency psychosocial intervention. It covers typical psychological reactions according to age group, phases of the adaptation process and influencing factors, recommended strategies and approaches, etc. (19)</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The </w:t>
      </w:r>
      <w:r>
        <w:rPr>
          <w:b/>
          <w:sz w:val="22"/>
          <w:lang w:val="en-CA"/>
        </w:rPr>
        <w:t>recovery phase</w:t>
      </w:r>
      <w:r>
        <w:rPr>
          <w:sz w:val="22"/>
          <w:lang w:val="en-CA"/>
        </w:rPr>
        <w:t xml:space="preserve"> is the more or less extended recovery period following the disaster. It is aimed at facilitating the psychological recovery process in the medium and long term, and restoring the sense of community. At that point, disaster victims often realize what they have lost to an even greater extent. Their psychological needs are therefore sometimes felt more intensely than during preceding phases. Symbolic activities (e.g.: commemorative ceremonies) take on great importance. At the individual level, they help alleviate sadness. At the collective level, they foster the return of social cohesion.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Paradoxically, this period is often the period in which the media become progressively less interested in the situation, to the benefit of more recent events and “hotter” news. Emergency services, broadly deployed during the response phase, are withdrawn, as service providers return to their regular occupations. Volunteer efforts also decrease gradually, at a time when they could be more useful than ever. A widespread withdrawal of attention from the media and service providers therefore takes place precisely at a time when the people, groups and communities that experienced the disaster are really starting to mourn. </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In the most vulnerable persons, this is generally the time at which the most severe psychological problems appear, such as PTSD. These problems can be detected, either through the persistence of symptoms that were already present during the response phase, or through the appearance of new “delayed-reaction” symptoms. This, in fact, is why it is of capital importance to ensure that sufficient resources are maintained to make it possible to screen, guide and support the most severely affected groups. Taking into account general practitioners’ role as a doorway into the care system, it is particularly important to raise their awareness of this phenomenon, and of the close connection between physical and psychological symptoms, be they specific (PTSD) or not (distress).</w:t>
      </w:r>
    </w:p>
    <w:p>
      <w:pPr>
        <w:pStyle w:val="Normal"/>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The recovery phase is, finally, the ideal period for conducting studies to evaluate the effectiveness and outcomes of actions set up during the previous phases (3). As mentioned earlier, public health bodies can help conduct such studies and develop further knowledge with regard to the effects of disasters on the health and well-being of the population (including the level of psychological distress), and to the appropriateness of the interventions provided. </w:t>
      </w:r>
    </w:p>
    <w:p>
      <w:pPr>
        <w:pStyle w:val="Normal"/>
        <w:rPr>
          <w:sz w:val="22"/>
          <w:lang w:val="en-CA"/>
        </w:rPr>
      </w:pPr>
      <w:r>
        <w:rPr>
          <w:sz w:val="22"/>
          <w:lang w:val="en-CA"/>
        </w:rPr>
      </w:r>
    </w:p>
    <w:p>
      <w:pPr>
        <w:pStyle w:val="Normal"/>
        <w:rPr>
          <w:sz w:val="22"/>
          <w:lang w:val="en-CA"/>
        </w:rPr>
      </w:pPr>
      <w:r>
        <w:rPr>
          <w:sz w:val="22"/>
          <w:lang w:val="en-CA"/>
        </w:rPr>
      </w:r>
    </w:p>
    <w:p>
      <w:pPr>
        <w:pStyle w:val="Heading4"/>
        <w:numPr>
          <w:ilvl w:val="3"/>
          <w:numId w:val="1"/>
        </w:numPr>
        <w:jc w:val="both"/>
        <w:rPr>
          <w:sz w:val="22"/>
          <w:lang w:val="en-CA"/>
        </w:rPr>
      </w:pPr>
      <w:r>
        <w:rPr>
          <w:sz w:val="22"/>
          <w:lang w:val="en-CA"/>
        </w:rPr>
        <w:t>Conclusion and Perspectives</w:t>
      </w:r>
    </w:p>
    <w:p>
      <w:pPr>
        <w:pStyle w:val="Normal"/>
        <w:rPr>
          <w:sz w:val="22"/>
          <w:lang w:val="en-CA"/>
        </w:rPr>
      </w:pPr>
      <w:r>
        <w:rPr>
          <w:sz w:val="22"/>
          <w:lang w:val="en-CA"/>
        </w:rPr>
      </w:r>
    </w:p>
    <w:p>
      <w:pPr>
        <w:pStyle w:val="Normal"/>
        <w:spacing w:lineRule="auto" w:line="360"/>
        <w:jc w:val="both"/>
        <w:rPr>
          <w:rFonts w:cs="Arial (W1)" w:ascii="Arial (W1)" w:hAnsi="Arial (W1)"/>
          <w:sz w:val="22"/>
          <w:lang w:val="en-CA"/>
        </w:rPr>
      </w:pPr>
      <w:r>
        <w:rPr>
          <w:sz w:val="22"/>
          <w:lang w:val="en-CA"/>
        </w:rPr>
        <w:t>The growing risk of disasters or other emergency situations has led health services to better organize their response by setting up an emergency response plan in all institutions, as is currently the case in Quebec. The psychosocial aspect is now specifically considered</w:t>
      </w:r>
      <w:r>
        <w:rPr>
          <w:rFonts w:cs="Arial (W1)" w:ascii="Arial (W1)" w:hAnsi="Arial (W1)"/>
          <w:sz w:val="22"/>
          <w:lang w:val="en-CA"/>
        </w:rPr>
        <w:t xml:space="preserve"> (29), and involves the development of information and intervention tools, as well as various support activities in emergency situations. In Quebec, the health care network is particularly active with regard to psychosocial interventions, as demonstrated by the Quebec Plan to Fight the Flu Pandemic (30).</w:t>
      </w:r>
    </w:p>
    <w:p>
      <w:pPr>
        <w:pStyle w:val="Normal"/>
        <w:pageBreakBefore/>
        <w:spacing w:lineRule="auto" w:line="360"/>
        <w:jc w:val="both"/>
        <w:rPr>
          <w:sz w:val="22"/>
          <w:lang w:val="en-CA"/>
        </w:rPr>
      </w:pPr>
      <w:r>
        <w:rPr>
          <w:sz w:val="22"/>
          <w:lang w:val="en-CA"/>
        </w:rPr>
      </w:r>
    </w:p>
    <w:p>
      <w:pPr>
        <w:pStyle w:val="Normal"/>
        <w:spacing w:lineRule="auto" w:line="360"/>
        <w:jc w:val="both"/>
        <w:rPr>
          <w:sz w:val="22"/>
          <w:lang w:val="en-CA"/>
        </w:rPr>
      </w:pPr>
      <w:r>
        <w:rPr>
          <w:sz w:val="22"/>
          <w:lang w:val="en-CA"/>
        </w:rPr>
        <w:t xml:space="preserve">Based on the above analysis and the documents consulted, it is possible to conclude with a few perspectives on the development of psychosocial intervention in emergency situations, notably: </w:t>
      </w:r>
    </w:p>
    <w:p>
      <w:pPr>
        <w:pStyle w:val="Normal"/>
        <w:numPr>
          <w:ilvl w:val="0"/>
          <w:numId w:val="4"/>
        </w:numPr>
        <w:spacing w:lineRule="auto" w:line="360"/>
        <w:jc w:val="both"/>
        <w:rPr>
          <w:sz w:val="22"/>
          <w:lang w:val="en-CA"/>
        </w:rPr>
      </w:pPr>
      <w:r>
        <w:rPr>
          <w:sz w:val="22"/>
          <w:lang w:val="en-CA"/>
        </w:rPr>
        <w:t xml:space="preserve">the importance of paying more attention to clinical supervision of service providers, taking into account their high degree of exposure to disaster victims and, consequently, their increased vulnerability to stress; </w:t>
      </w:r>
    </w:p>
    <w:p>
      <w:pPr>
        <w:pStyle w:val="Normal"/>
        <w:numPr>
          <w:ilvl w:val="0"/>
          <w:numId w:val="6"/>
        </w:numPr>
        <w:spacing w:lineRule="auto" w:line="360"/>
        <w:jc w:val="both"/>
        <w:rPr>
          <w:sz w:val="22"/>
          <w:lang w:val="en-CA"/>
        </w:rPr>
      </w:pPr>
      <w:r>
        <w:rPr>
          <w:sz w:val="22"/>
          <w:lang w:val="en-CA"/>
        </w:rPr>
        <w:t>the relevance of creating, during the preparedness phase, a bank of resource persons able to provide either clinical supervision or advisory assistance with regard to the coverage plan or the appropriateness of psychosocial services relative to the impacts of the disaster, or, finally, special expertise in areas that complement emergency psychosocial intervention (e.g.: terrorism, cultural mediation, etc.);</w:t>
      </w:r>
    </w:p>
    <w:p>
      <w:pPr>
        <w:pStyle w:val="Normal"/>
        <w:numPr>
          <w:ilvl w:val="0"/>
          <w:numId w:val="6"/>
        </w:numPr>
        <w:spacing w:lineRule="auto" w:line="360"/>
        <w:jc w:val="both"/>
        <w:rPr>
          <w:sz w:val="22"/>
          <w:lang w:val="en-CA"/>
        </w:rPr>
      </w:pPr>
      <w:r>
        <w:rPr>
          <w:sz w:val="22"/>
          <w:lang w:val="en-CA"/>
        </w:rPr>
        <w:t xml:space="preserve">the usefulness of continuing to evaluate the effects and outcomes of the interventions provided, in the aim of improving current practices. </w:t>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r>
    </w:p>
    <w:p>
      <w:pPr>
        <w:pStyle w:val="Normal"/>
        <w:pageBreakBefore/>
        <w:spacing w:lineRule="auto" w:line="360"/>
        <w:jc w:val="both"/>
        <w:rPr>
          <w:b/>
          <w:bCs/>
          <w:sz w:val="22"/>
          <w:lang w:val="en-CA"/>
        </w:rPr>
      </w:pPr>
      <w:r>
        <w:rPr>
          <w:b/>
          <w:bCs/>
          <w:sz w:val="22"/>
          <w:lang w:val="en-CA"/>
        </w:rPr>
      </w:r>
    </w:p>
    <w:p>
      <w:pPr>
        <w:pStyle w:val="Normal"/>
        <w:spacing w:lineRule="auto" w:line="360"/>
        <w:jc w:val="both"/>
        <w:rPr>
          <w:b/>
          <w:bCs/>
          <w:sz w:val="22"/>
          <w:lang w:val="en-CA"/>
        </w:rPr>
      </w:pPr>
      <w:r>
        <w:rPr>
          <w:b/>
          <w:bCs/>
          <w:sz w:val="22"/>
          <w:lang w:val="en-CA"/>
        </w:rPr>
        <w:t>References</w:t>
      </w:r>
    </w:p>
    <w:p>
      <w:pPr>
        <w:pStyle w:val="Normal"/>
        <w:rPr>
          <w:sz w:val="22"/>
          <w:lang w:val="en-CA"/>
        </w:rPr>
      </w:pPr>
      <w:r>
        <w:rPr>
          <w:sz w:val="22"/>
          <w:lang w:val="en-CA"/>
        </w:rPr>
      </w:r>
    </w:p>
    <w:p>
      <w:pPr>
        <w:pStyle w:val="Normal"/>
        <w:ind w:left="284" w:right="0" w:hanging="284"/>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Everly, GS Jr. “Thoughts on training guidelines in emergency mental health and crisis intervention”, </w:t>
      </w:r>
      <w:r>
        <w:rPr>
          <w:i/>
          <w:sz w:val="22"/>
          <w:lang w:val="en-CA"/>
        </w:rPr>
        <w:t>Int. J. Emerg. Ment. Health</w:t>
      </w:r>
      <w:r>
        <w:rPr>
          <w:sz w:val="22"/>
          <w:lang w:val="en-CA"/>
        </w:rPr>
        <w:t>, 2002, 4 (3), 139-141.</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Everly, GS Jr, Langlieb, A. “The evolving nature of disaster mental health services”,</w:t>
      </w:r>
      <w:r>
        <w:rPr>
          <w:i/>
          <w:sz w:val="22"/>
          <w:lang w:val="en-CA"/>
        </w:rPr>
        <w:t xml:space="preserve"> Int. J. Emerg. Ment. Health</w:t>
      </w:r>
      <w:r>
        <w:rPr>
          <w:sz w:val="22"/>
          <w:lang w:val="en-CA"/>
        </w:rPr>
        <w:t>, 2003, 5 (3), 113-119.</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Kizer, KW. “Lessons learned in public health emergency management: personal reflections”, </w:t>
      </w:r>
      <w:r>
        <w:rPr>
          <w:i/>
          <w:sz w:val="22"/>
          <w:lang w:val="en-CA"/>
        </w:rPr>
        <w:t>Prehospital Disaster Med</w:t>
      </w:r>
      <w:r>
        <w:rPr>
          <w:sz w:val="22"/>
          <w:lang w:val="en-CA"/>
        </w:rPr>
        <w:t>., 2000, 15 (4), 209-214.</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iCs/>
          <w:sz w:val="22"/>
          <w:lang w:val="fr-FR"/>
        </w:rPr>
      </w:pPr>
      <w:r>
        <w:rPr>
          <w:iCs/>
          <w:sz w:val="22"/>
          <w:lang w:val="fr-FR"/>
        </w:rPr>
        <w:t>Lemyre, L., Clément, M., Corneil, W., Russo Garrido, S. “Les impacts psychosociaux du terrorisme”, in</w:t>
      </w:r>
      <w:r>
        <w:rPr>
          <w:sz w:val="22"/>
          <w:lang w:val="fr-FR"/>
        </w:rPr>
        <w:t xml:space="preserve"> D. Maltais &amp; M.A. Rheault (Eds), </w:t>
      </w:r>
      <w:r>
        <w:rPr>
          <w:i/>
          <w:sz w:val="22"/>
          <w:lang w:val="fr-FR"/>
        </w:rPr>
        <w:t>Intervention sociale en cas de catastrophe</w:t>
      </w:r>
      <w:r>
        <w:rPr>
          <w:sz w:val="22"/>
          <w:lang w:val="fr-FR"/>
        </w:rPr>
        <w:t>, Presses de l’Université du Québec, 2005,</w:t>
      </w:r>
      <w:r>
        <w:rPr>
          <w:iCs/>
          <w:sz w:val="22"/>
          <w:lang w:val="fr-FR"/>
        </w:rPr>
        <w:t xml:space="preserve"> 351-368.</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en-CA"/>
        </w:rPr>
      </w:pPr>
      <w:r>
        <w:rPr>
          <w:sz w:val="22"/>
          <w:lang w:val="en-CA"/>
        </w:rPr>
        <w:t xml:space="preserve">Parker, CL, Barnett, DJ, Everly, GS Jr, Links, JM. “Expanding disaster mental health response: a conceptual training framework for public health professionals”, </w:t>
      </w:r>
      <w:r>
        <w:rPr>
          <w:i/>
          <w:sz w:val="22"/>
          <w:lang w:val="en-CA"/>
        </w:rPr>
        <w:t>Int. J. Emergency Ment. Health</w:t>
      </w:r>
      <w:r>
        <w:rPr>
          <w:sz w:val="22"/>
          <w:lang w:val="en-CA"/>
        </w:rPr>
        <w:t>, 2006, 8 (2), 101-109.</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Parker, CL, Everly, GS Jr, Barnett, DJ, Links, JM. “Establishing evidence-informed core intervention competencies in psychological first aid for public health personnel”, </w:t>
      </w:r>
      <w:r>
        <w:rPr>
          <w:i/>
          <w:sz w:val="22"/>
          <w:lang w:val="en-CA"/>
        </w:rPr>
        <w:t>Int. J. Emerg. Ment. Health</w:t>
      </w:r>
      <w:r>
        <w:rPr>
          <w:sz w:val="22"/>
          <w:lang w:val="en-CA"/>
        </w:rPr>
        <w:t>, 2006, 8 (2), 83-92.</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bCs/>
          <w:sz w:val="22"/>
          <w:lang w:val="fr-FR"/>
        </w:rPr>
      </w:pPr>
      <w:r>
        <w:rPr>
          <w:bCs/>
          <w:sz w:val="22"/>
          <w:lang w:val="fr-FR"/>
        </w:rPr>
        <w:t xml:space="preserve">Martel, C. “Les grands dérangements et la perspective du soutien aux changements humains”, </w:t>
      </w:r>
      <w:r>
        <w:rPr>
          <w:sz w:val="22"/>
          <w:lang w:val="fr-FR"/>
        </w:rPr>
        <w:t>in D. Maltais &amp; M.A. Rheault (Eds),</w:t>
      </w:r>
      <w:r>
        <w:rPr>
          <w:i/>
          <w:sz w:val="22"/>
          <w:lang w:val="fr-FR"/>
        </w:rPr>
        <w:t xml:space="preserve"> Intervention sociale en cas de catastrophe</w:t>
      </w:r>
      <w:r>
        <w:rPr>
          <w:sz w:val="22"/>
          <w:lang w:val="fr-FR"/>
        </w:rPr>
        <w:t>, Presses de l’Université du Québec, 2005,</w:t>
      </w:r>
      <w:r>
        <w:rPr>
          <w:bCs/>
          <w:sz w:val="22"/>
          <w:lang w:val="fr-FR"/>
        </w:rPr>
        <w:t xml:space="preserve"> 35-95.</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fr-FR"/>
        </w:rPr>
      </w:pPr>
      <w:r>
        <w:rPr>
          <w:sz w:val="22"/>
          <w:lang w:val="fr-FR"/>
        </w:rPr>
        <w:t>Maltais, D., Robichaud, S., Simard, A.</w:t>
      </w:r>
      <w:r>
        <w:rPr>
          <w:i/>
          <w:sz w:val="22"/>
          <w:lang w:val="fr-FR"/>
        </w:rPr>
        <w:t xml:space="preserve"> Désastres et sinistrés</w:t>
      </w:r>
      <w:r>
        <w:rPr>
          <w:sz w:val="22"/>
          <w:lang w:val="fr-FR"/>
        </w:rPr>
        <w:t>, Les éditions JCL inc., Chicoutimi, Québec, 2001.</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en-CA"/>
        </w:rPr>
      </w:pPr>
      <w:r>
        <w:rPr>
          <w:sz w:val="22"/>
          <w:lang w:val="en-CA"/>
        </w:rPr>
        <w:t xml:space="preserve">Young Landesman, L. </w:t>
      </w:r>
      <w:r>
        <w:rPr>
          <w:i/>
          <w:sz w:val="22"/>
          <w:lang w:val="en-CA"/>
        </w:rPr>
        <w:t xml:space="preserve">Public health management of disasters: the practice guide, </w:t>
      </w:r>
      <w:r>
        <w:rPr>
          <w:sz w:val="22"/>
          <w:lang w:val="en-CA"/>
        </w:rPr>
        <w:t>Washington, DC, American Public Health Association, 2001.</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Neugebauer, R.  “Psychosocial research and interventions after the Rwanda genocide”, in</w:t>
      </w:r>
      <w:r>
        <w:rPr>
          <w:i/>
          <w:iCs/>
          <w:sz w:val="22"/>
          <w:lang w:val="en-CA"/>
        </w:rPr>
        <w:t xml:space="preserve"> Handbook of international disaster psychology: practices and programs</w:t>
      </w:r>
      <w:r>
        <w:rPr>
          <w:sz w:val="22"/>
          <w:lang w:val="en-CA"/>
        </w:rPr>
        <w:t>, Westport, CT, US, Praeger Publishers/Greenwood Publishing Group, 2006, 125-136.</w:t>
      </w:r>
    </w:p>
    <w:p>
      <w:pPr>
        <w:pStyle w:val="Normal"/>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Dyregrov, A., Gupta, L., Gjestad, R., Mukanoheli, E.  “Trauma exposure and psychological reactions to genocide among Rwandan children”, </w:t>
      </w:r>
      <w:r>
        <w:rPr>
          <w:i/>
          <w:iCs/>
          <w:sz w:val="22"/>
          <w:lang w:val="en-CA"/>
        </w:rPr>
        <w:t>Journal of Traumatic Stress</w:t>
      </w:r>
      <w:r>
        <w:rPr>
          <w:sz w:val="22"/>
          <w:lang w:val="en-CA"/>
        </w:rPr>
        <w:t>, 2000, 13 (1), 3-21.</w:t>
      </w:r>
    </w:p>
    <w:p>
      <w:pPr>
        <w:pStyle w:val="Normal"/>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Schlenger, W.E., Caddell, J.M., Ebert, L., Jordan, K., Rourke, K.M., Wilson, D., Thalji, L., Dennis, J.M., Fairbank, J.A., Kulka, R.A. “Psychological reactions to terrorist attacks: findings from the national survey of Americans’ reactions to September 11”, </w:t>
      </w:r>
      <w:r>
        <w:rPr>
          <w:i/>
          <w:sz w:val="22"/>
          <w:lang w:val="en-CA"/>
        </w:rPr>
        <w:t>JAMA</w:t>
      </w:r>
      <w:r>
        <w:rPr>
          <w:sz w:val="22"/>
          <w:lang w:val="en-CA"/>
        </w:rPr>
        <w:t>, 2002, 288 (5), 1-18.</w:t>
      </w:r>
    </w:p>
    <w:p>
      <w:pPr>
        <w:pStyle w:val="Normal"/>
        <w:tabs>
          <w:tab w:val="left" w:pos="567" w:leader="none"/>
        </w:tabs>
        <w:ind w:left="567" w:right="0" w:hanging="567"/>
        <w:jc w:val="both"/>
        <w:rPr>
          <w:iCs/>
          <w:sz w:val="22"/>
          <w:lang w:val="en-CA"/>
        </w:rPr>
      </w:pPr>
      <w:r>
        <w:rPr>
          <w:iCs/>
          <w:sz w:val="22"/>
          <w:lang w:val="en-CA"/>
        </w:rPr>
      </w:r>
    </w:p>
    <w:p>
      <w:pPr>
        <w:pStyle w:val="Normal"/>
        <w:numPr>
          <w:ilvl w:val="0"/>
          <w:numId w:val="5"/>
        </w:numPr>
        <w:tabs>
          <w:tab w:val="left" w:pos="567" w:leader="none"/>
        </w:tabs>
        <w:ind w:left="567" w:right="0" w:hanging="567"/>
        <w:jc w:val="both"/>
        <w:rPr>
          <w:iCs/>
          <w:sz w:val="22"/>
          <w:lang w:val="fr-FR"/>
        </w:rPr>
      </w:pPr>
      <w:r>
        <w:rPr>
          <w:iCs/>
          <w:sz w:val="22"/>
          <w:lang w:val="fr-FR"/>
        </w:rPr>
        <w:t>Desmeules, J., Maltais, D. “Les médias en temps de catastrophe”,</w:t>
      </w:r>
      <w:r>
        <w:rPr>
          <w:sz w:val="22"/>
          <w:lang w:val="fr-FR"/>
        </w:rPr>
        <w:t xml:space="preserve"> in D. Maltais &amp; M.A. Rheault (Eds), </w:t>
      </w:r>
      <w:r>
        <w:rPr>
          <w:i/>
          <w:sz w:val="22"/>
          <w:lang w:val="fr-FR"/>
        </w:rPr>
        <w:t>Intervention sociale en cas de catastrophe</w:t>
      </w:r>
      <w:r>
        <w:rPr>
          <w:sz w:val="22"/>
          <w:lang w:val="fr-FR"/>
        </w:rPr>
        <w:t xml:space="preserve">, Presses de l’Université du Québec, 2005, </w:t>
      </w:r>
      <w:r>
        <w:rPr>
          <w:iCs/>
          <w:sz w:val="22"/>
          <w:lang w:val="fr-FR"/>
        </w:rPr>
        <w:t>369-385.</w:t>
      </w:r>
    </w:p>
    <w:p>
      <w:pPr>
        <w:pStyle w:val="Normal"/>
        <w:tabs>
          <w:tab w:val="left" w:pos="567" w:leader="none"/>
          <w:tab w:val="left" w:pos="851" w:leader="none"/>
        </w:tabs>
        <w:ind w:left="567" w:right="0" w:hanging="567"/>
        <w:jc w:val="both"/>
        <w:rPr>
          <w:sz w:val="22"/>
          <w:lang w:val="fr-FR"/>
        </w:rPr>
      </w:pPr>
      <w:r>
        <w:rPr>
          <w:sz w:val="22"/>
          <w:lang w:val="fr-FR"/>
        </w:rPr>
      </w:r>
    </w:p>
    <w:p>
      <w:pPr>
        <w:pStyle w:val="Normal"/>
        <w:numPr>
          <w:ilvl w:val="0"/>
          <w:numId w:val="5"/>
        </w:numPr>
        <w:tabs>
          <w:tab w:val="left" w:pos="567" w:leader="none"/>
          <w:tab w:val="left" w:pos="851" w:leader="none"/>
        </w:tabs>
        <w:ind w:left="567" w:right="0" w:hanging="567"/>
        <w:jc w:val="both"/>
        <w:rPr>
          <w:sz w:val="22"/>
          <w:lang w:val="en-CA"/>
        </w:rPr>
      </w:pPr>
      <w:r>
        <w:rPr>
          <w:sz w:val="22"/>
          <w:lang w:val="en-CA"/>
        </w:rPr>
        <w:t xml:space="preserve">Slone, M. “Responses to media coverage of terrorism”, </w:t>
      </w:r>
      <w:r>
        <w:rPr>
          <w:i/>
          <w:sz w:val="22"/>
          <w:lang w:val="en-CA"/>
        </w:rPr>
        <w:t>J. of Conflict Resolution</w:t>
      </w:r>
      <w:r>
        <w:rPr>
          <w:sz w:val="22"/>
          <w:lang w:val="en-CA"/>
        </w:rPr>
        <w:t>, 2000, 44 (4), 508-522.</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Pfefferbaum, B. et al. “Posttraumatic stress two years after the Oklahoma city bombing in youths geographically distant from the explosion”, </w:t>
      </w:r>
      <w:r>
        <w:rPr>
          <w:i/>
          <w:sz w:val="22"/>
          <w:lang w:val="en-CA"/>
        </w:rPr>
        <w:t>Psychiatry</w:t>
      </w:r>
      <w:r>
        <w:rPr>
          <w:sz w:val="22"/>
          <w:lang w:val="en-CA"/>
        </w:rPr>
        <w:t>, 2000, 63 (4), 358-370.</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Everly, G.S. “Five principles of crisis intervention: reducing the risk of premature crisis intervention”, </w:t>
      </w:r>
      <w:r>
        <w:rPr>
          <w:i/>
          <w:sz w:val="22"/>
          <w:lang w:val="en-CA"/>
        </w:rPr>
        <w:t>Int. J. Emergency Mental Health</w:t>
      </w:r>
      <w:r>
        <w:rPr>
          <w:sz w:val="22"/>
          <w:lang w:val="en-CA"/>
        </w:rPr>
        <w:t xml:space="preserve">, 2000, </w:t>
      </w:r>
      <w:r>
        <w:rPr>
          <w:i/>
          <w:sz w:val="22"/>
          <w:lang w:val="en-CA"/>
        </w:rPr>
        <w:t>2</w:t>
      </w:r>
      <w:r>
        <w:rPr>
          <w:sz w:val="22"/>
          <w:lang w:val="en-CA"/>
        </w:rPr>
        <w:t xml:space="preserve"> (1), 1-4.</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fr-FR"/>
        </w:rPr>
      </w:pPr>
      <w:r>
        <w:rPr>
          <w:sz w:val="22"/>
          <w:lang w:val="fr-FR"/>
        </w:rPr>
        <w:t xml:space="preserve">Malenfant, P.-P. </w:t>
      </w:r>
      <w:r>
        <w:rPr>
          <w:i/>
          <w:sz w:val="22"/>
          <w:lang w:val="fr-FR"/>
        </w:rPr>
        <w:t>L’intervention sociosanitaire en contexte de sécurité civile : guide de formation</w:t>
      </w:r>
      <w:r>
        <w:rPr>
          <w:sz w:val="22"/>
          <w:lang w:val="fr-FR"/>
        </w:rPr>
        <w:t xml:space="preserve"> (document currently under revision). Structure organisationnelle en sécurité civile : mission santé (Module 3). Gouvernement du Québec, ministère de la Santé et des Services sociaux, Coordination ministérielle en sécurité civile, 2006.</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fr-FR"/>
        </w:rPr>
      </w:pPr>
      <w:r>
        <w:rPr>
          <w:sz w:val="22"/>
          <w:lang w:val="fr-FR"/>
        </w:rPr>
        <w:t xml:space="preserve">Ministère de la Santé et des Services sociaux. </w:t>
      </w:r>
      <w:r>
        <w:rPr>
          <w:i/>
          <w:iCs/>
          <w:sz w:val="22"/>
          <w:lang w:val="fr-FR"/>
        </w:rPr>
        <w:t>L’intervention sociosanitaire dans le cadre des mesures d’urgence : volet services psychosociaux</w:t>
      </w:r>
      <w:r>
        <w:rPr>
          <w:iCs/>
          <w:sz w:val="22"/>
          <w:lang w:val="fr-FR"/>
        </w:rPr>
        <w:t>.</w:t>
      </w:r>
      <w:r>
        <w:rPr>
          <w:sz w:val="22"/>
          <w:lang w:val="fr-FR"/>
        </w:rPr>
        <w:t xml:space="preserve"> Gouvernement du Québec, Direction de la formation et du développement, 1994.</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fr-FR"/>
        </w:rPr>
      </w:pPr>
      <w:r>
        <w:rPr>
          <w:sz w:val="22"/>
          <w:lang w:val="fr-FR"/>
        </w:rPr>
        <w:t xml:space="preserve">Ministère de la Santé et des Services sociaux. </w:t>
      </w:r>
      <w:r>
        <w:rPr>
          <w:i/>
          <w:iCs/>
          <w:sz w:val="22"/>
          <w:lang w:val="fr-FR"/>
        </w:rPr>
        <w:t>Trousse d’outils pour l’intervention psychosociale dans le cadre des mesures d’urgence</w:t>
      </w:r>
      <w:r>
        <w:rPr>
          <w:iCs/>
          <w:sz w:val="22"/>
          <w:lang w:val="fr-FR"/>
        </w:rPr>
        <w:t>.</w:t>
      </w:r>
      <w:r>
        <w:rPr>
          <w:sz w:val="22"/>
          <w:lang w:val="fr-FR"/>
        </w:rPr>
        <w:t xml:space="preserve"> Gouvernement du Québec, Direction de la formation et du développement, 1994.</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bCs/>
          <w:sz w:val="22"/>
          <w:lang w:val="en-CA"/>
        </w:rPr>
      </w:pPr>
      <w:r>
        <w:rPr>
          <w:bCs/>
          <w:sz w:val="22"/>
          <w:lang w:val="fr-FR"/>
        </w:rPr>
        <w:t xml:space="preserve">Ministère de la Santé et des Services sociaux. </w:t>
      </w:r>
      <w:r>
        <w:rPr>
          <w:bCs/>
          <w:i/>
          <w:sz w:val="22"/>
          <w:lang w:val="fr-FR"/>
        </w:rPr>
        <w:t>Les services généraux offerts par les centres de santé et de services sociaux.</w:t>
      </w:r>
      <w:r>
        <w:rPr>
          <w:bCs/>
          <w:sz w:val="22"/>
          <w:lang w:val="fr-FR"/>
        </w:rPr>
        <w:t xml:space="preserve"> </w:t>
      </w:r>
      <w:r>
        <w:rPr>
          <w:bCs/>
          <w:sz w:val="22"/>
          <w:lang w:val="en-CA"/>
        </w:rPr>
        <w:t xml:space="preserve">Gouvernement du Québec, Direction générale des services sociaux, 2004. </w:t>
      </w:r>
    </w:p>
    <w:p>
      <w:pPr>
        <w:pStyle w:val="Normal"/>
        <w:tabs>
          <w:tab w:val="left" w:pos="567" w:leader="none"/>
        </w:tabs>
        <w:ind w:left="567" w:right="0" w:hanging="567"/>
        <w:jc w:val="both"/>
        <w:rPr>
          <w:bCs/>
          <w:sz w:val="22"/>
          <w:lang w:val="en-CA"/>
        </w:rPr>
      </w:pPr>
      <w:r>
        <w:rPr>
          <w:bCs/>
          <w:sz w:val="22"/>
          <w:lang w:val="en-CA"/>
        </w:rPr>
      </w:r>
    </w:p>
    <w:p>
      <w:pPr>
        <w:pStyle w:val="Normal"/>
        <w:numPr>
          <w:ilvl w:val="0"/>
          <w:numId w:val="5"/>
        </w:numPr>
        <w:tabs>
          <w:tab w:val="left" w:pos="567" w:leader="none"/>
        </w:tabs>
        <w:ind w:left="567" w:right="0" w:hanging="567"/>
        <w:jc w:val="both"/>
        <w:rPr>
          <w:bCs/>
          <w:sz w:val="22"/>
          <w:lang w:val="fr-FR"/>
        </w:rPr>
      </w:pPr>
      <w:r>
        <w:rPr>
          <w:bCs/>
          <w:sz w:val="22"/>
          <w:lang w:val="fr-FR"/>
        </w:rPr>
        <w:t>Maltais, D., Tremblay, S., Côté, N.</w:t>
      </w:r>
      <w:r>
        <w:rPr>
          <w:bCs/>
          <w:i/>
          <w:sz w:val="22"/>
          <w:lang w:val="fr-FR"/>
        </w:rPr>
        <w:t xml:space="preserve"> Intervention en situation de désastre : connaître les conséquences de l’exposition aux catastrophes pour mieux intervenir</w:t>
      </w:r>
      <w:r>
        <w:rPr>
          <w:bCs/>
          <w:sz w:val="22"/>
          <w:lang w:val="fr-FR"/>
        </w:rPr>
        <w:t xml:space="preserve">, Université du Québec à Chicoutimi, 2006. </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fr-FR"/>
        </w:rPr>
      </w:pPr>
      <w:r>
        <w:rPr>
          <w:iCs/>
          <w:sz w:val="22"/>
          <w:lang w:val="fr-FR"/>
        </w:rPr>
        <w:t xml:space="preserve">Ministère de la Santé et des Services sociaux. </w:t>
      </w:r>
      <w:r>
        <w:rPr>
          <w:i/>
          <w:iCs/>
          <w:sz w:val="22"/>
          <w:lang w:val="fr-FR"/>
        </w:rPr>
        <w:t>Implication du CLSC au plan de la santé publique de première ligne dans le cadre de la mise en œuvre du plan de mesures d’urgence municipal lors d’un sinistre</w:t>
      </w:r>
      <w:r>
        <w:rPr>
          <w:sz w:val="22"/>
          <w:lang w:val="fr-FR"/>
        </w:rPr>
        <w:t>, Gouvernement du Québec, 2002.</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en-CA"/>
        </w:rPr>
      </w:pPr>
      <w:r>
        <w:rPr>
          <w:sz w:val="22"/>
          <w:lang w:val="en-CA"/>
        </w:rPr>
        <w:t xml:space="preserve">Everly, G.S. &amp; Mitchell, J.T. “America under attack: the “10 commandments” of responding to mass terrorist attacks”, </w:t>
      </w:r>
      <w:r>
        <w:rPr>
          <w:i/>
          <w:sz w:val="22"/>
          <w:lang w:val="en-CA"/>
        </w:rPr>
        <w:t>Int. J. Emergency Mental Health</w:t>
      </w:r>
      <w:r>
        <w:rPr>
          <w:sz w:val="22"/>
          <w:lang w:val="en-CA"/>
        </w:rPr>
        <w:t>, 2001, 3 (3), 133-135.</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Mitchell, J.T. “Essential factors for effective psychological response to disasters and other crises”, </w:t>
      </w:r>
      <w:r>
        <w:rPr>
          <w:i/>
          <w:sz w:val="22"/>
          <w:lang w:val="en-CA"/>
        </w:rPr>
        <w:t>Int. J. Emergency Mental Health,</w:t>
      </w:r>
      <w:r>
        <w:rPr>
          <w:sz w:val="22"/>
          <w:lang w:val="en-CA"/>
        </w:rPr>
        <w:t xml:space="preserve"> 1999, 1, 51-58.</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Dudley-Grant, G.R., Mendez, G.I., Zinn, J. “Strategies for anticipating and preventing psychosocial trauma of hurricanes through community education”, </w:t>
      </w:r>
      <w:r>
        <w:rPr>
          <w:i/>
          <w:sz w:val="22"/>
          <w:lang w:val="en-CA"/>
        </w:rPr>
        <w:t>Professional Psychology: Research &amp; Practice</w:t>
      </w:r>
      <w:r>
        <w:rPr>
          <w:sz w:val="22"/>
          <w:lang w:val="en-CA"/>
        </w:rPr>
        <w:t>, 2000, 31 (4), 387-392.</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Tucker, P. et al. “Oklahoma City: disaster challenges for mental health and medical administrators”, </w:t>
      </w:r>
      <w:r>
        <w:rPr>
          <w:i/>
          <w:sz w:val="22"/>
          <w:lang w:val="en-CA"/>
        </w:rPr>
        <w:t>The Journal of Behavioral Health Services &amp; Research</w:t>
      </w:r>
      <w:r>
        <w:rPr>
          <w:sz w:val="22"/>
          <w:lang w:val="en-CA"/>
        </w:rPr>
        <w:t>, 1998, 25 (1), 93-99.</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iCs/>
          <w:sz w:val="22"/>
          <w:lang w:val="fr-FR"/>
        </w:rPr>
      </w:pPr>
      <w:r>
        <w:rPr>
          <w:iCs/>
          <w:sz w:val="22"/>
          <w:lang w:val="fr-FR"/>
        </w:rPr>
        <w:t>Maltais, D. “Les caractéristiques de l’intervention sociale en cas de catastrophe macrosociale”,</w:t>
      </w:r>
      <w:r>
        <w:rPr>
          <w:sz w:val="22"/>
          <w:lang w:val="fr-FR"/>
        </w:rPr>
        <w:t xml:space="preserve"> in D. Maltais &amp; M.A. Rheault (Eds), </w:t>
      </w:r>
      <w:r>
        <w:rPr>
          <w:i/>
          <w:sz w:val="22"/>
          <w:lang w:val="fr-FR"/>
        </w:rPr>
        <w:t>Intervention sociale en cas de catastrophe</w:t>
      </w:r>
      <w:r>
        <w:rPr>
          <w:sz w:val="22"/>
          <w:lang w:val="fr-FR"/>
        </w:rPr>
        <w:t xml:space="preserve">, Presses de l’Université du Québec, 2005, </w:t>
      </w:r>
      <w:r>
        <w:rPr>
          <w:iCs/>
          <w:sz w:val="22"/>
          <w:lang w:val="fr-FR"/>
        </w:rPr>
        <w:t>7-34.</w:t>
      </w:r>
    </w:p>
    <w:p>
      <w:pPr>
        <w:pStyle w:val="Normal"/>
        <w:tabs>
          <w:tab w:val="left" w:pos="567" w:leader="none"/>
        </w:tabs>
        <w:ind w:left="567" w:right="0" w:hanging="567"/>
        <w:jc w:val="both"/>
        <w:rPr>
          <w:sz w:val="22"/>
          <w:lang w:val="fr-FR"/>
        </w:rPr>
      </w:pPr>
      <w:r>
        <w:rPr>
          <w:sz w:val="22"/>
          <w:lang w:val="fr-FR"/>
        </w:rPr>
      </w:r>
    </w:p>
    <w:p>
      <w:pPr>
        <w:pStyle w:val="Normal"/>
        <w:numPr>
          <w:ilvl w:val="0"/>
          <w:numId w:val="5"/>
        </w:numPr>
        <w:tabs>
          <w:tab w:val="left" w:pos="567" w:leader="none"/>
        </w:tabs>
        <w:ind w:left="567" w:right="0" w:hanging="567"/>
        <w:jc w:val="both"/>
        <w:rPr>
          <w:sz w:val="22"/>
          <w:lang w:val="en-CA"/>
        </w:rPr>
      </w:pPr>
      <w:r>
        <w:rPr>
          <w:sz w:val="22"/>
          <w:lang w:val="en-CA"/>
        </w:rPr>
        <w:t xml:space="preserve">Everly, G.S. “Crisis management briefing (CMB): large group crisis intervention in response to terrorism, disasters, and violence”, </w:t>
      </w:r>
      <w:r>
        <w:rPr>
          <w:i/>
          <w:sz w:val="22"/>
          <w:lang w:val="en-CA"/>
        </w:rPr>
        <w:t>Int. J. Emergency Mental Health</w:t>
      </w:r>
      <w:r>
        <w:rPr>
          <w:sz w:val="22"/>
          <w:lang w:val="en-CA"/>
        </w:rPr>
        <w:t>, 2000, 2 (1), 53-57.</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en-CA"/>
        </w:rPr>
        <w:t xml:space="preserve">Bosher, L. “Emergency management and public health systems”, </w:t>
      </w:r>
      <w:r>
        <w:rPr>
          <w:i/>
          <w:sz w:val="22"/>
          <w:lang w:val="en-CA"/>
        </w:rPr>
        <w:t>J. R. Soc. Health</w:t>
      </w:r>
      <w:r>
        <w:rPr>
          <w:sz w:val="22"/>
          <w:lang w:val="en-CA"/>
        </w:rPr>
        <w:t>, 2006, 126 (2), 65-66.</w:t>
      </w:r>
    </w:p>
    <w:p>
      <w:pPr>
        <w:pStyle w:val="Normal"/>
        <w:tabs>
          <w:tab w:val="left" w:pos="567" w:leader="none"/>
        </w:tabs>
        <w:ind w:left="567" w:right="0" w:hanging="567"/>
        <w:jc w:val="both"/>
        <w:rPr>
          <w:sz w:val="22"/>
          <w:lang w:val="en-CA"/>
        </w:rPr>
      </w:pPr>
      <w:r>
        <w:rPr>
          <w:sz w:val="22"/>
          <w:lang w:val="en-CA"/>
        </w:rPr>
      </w:r>
    </w:p>
    <w:p>
      <w:pPr>
        <w:pStyle w:val="Normal"/>
        <w:numPr>
          <w:ilvl w:val="0"/>
          <w:numId w:val="5"/>
        </w:numPr>
        <w:tabs>
          <w:tab w:val="left" w:pos="567" w:leader="none"/>
        </w:tabs>
        <w:ind w:left="567" w:right="0" w:hanging="567"/>
        <w:jc w:val="both"/>
        <w:rPr>
          <w:sz w:val="22"/>
          <w:lang w:val="en-CA"/>
        </w:rPr>
      </w:pPr>
      <w:r>
        <w:rPr>
          <w:sz w:val="22"/>
          <w:lang w:val="fr-FR"/>
        </w:rPr>
        <w:t xml:space="preserve">Ministère de la Santé et des Services sociaux. </w:t>
      </w:r>
      <w:r>
        <w:rPr>
          <w:i/>
          <w:sz w:val="22"/>
          <w:lang w:val="fr-FR"/>
        </w:rPr>
        <w:t>Plan québécois de lutte à la pandémie d’influenza – Mission Santé</w:t>
      </w:r>
      <w:r>
        <w:rPr>
          <w:sz w:val="22"/>
          <w:lang w:val="fr-FR"/>
        </w:rPr>
        <w:t xml:space="preserve">. </w:t>
      </w:r>
      <w:r>
        <w:rPr>
          <w:sz w:val="22"/>
          <w:lang w:val="en-CA"/>
        </w:rPr>
        <w:t>Gouvernement du Québec, 2006.</w:t>
      </w:r>
    </w:p>
    <w:sectPr>
      <w:footerReference w:type="default" r:id="rId4"/>
      <w:footnotePr>
        <w:numFmt w:val="decimal"/>
      </w:footnotePr>
      <w:type w:val="nextPage"/>
      <w:pgSz w:w="12240" w:h="15840"/>
      <w:pgMar w:left="1797" w:right="1797"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Ecofont Vera Sans">
    <w:charset w:val="01"/>
    <w:family w:val="swiss"/>
    <w:pitch w:val="default"/>
  </w:font>
  <w:font w:name="Tahoma">
    <w:charset w:val="00"/>
    <w:family w:val="swiss"/>
    <w:pitch w:val="variable"/>
  </w:font>
  <w:font w:name="Arial (W1)">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432.3pt;height:1.65pt;margin-top:0.05pt;margin-left:425.55pt">
          <v:fill opacity="0f"/>
          <v:textbox>
            <w:txbxContent>
              <w:p>
                <w:pPr>
                  <w:pStyle w:val="Footer"/>
                  <w:jc w:val="right"/>
                  <w:rPr>
                    <w:rStyle w:val="PageNumber"/>
                  </w:rPr>
                </w:pPr>
                <w:r>
                  <w:rPr>
                    <w:rStyle w:val="PageNumber"/>
                  </w:rPr>
                  <w:fldChar w:fldCharType="begin"/>
                </w:r>
                <w:r>
                  <w:instrText> PAGE </w:instrText>
                </w:r>
                <w:r>
                  <w:fldChar w:fldCharType="separate"/>
                </w:r>
                <w:r>
                  <w:t>2</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6.75pt;height:27.6pt;margin-top:0.05pt;margin-left:418.9pt">
          <v:fill opacity="0f"/>
          <v:textbox>
            <w:txbxContent>
              <w:p>
                <w:pPr>
                  <w:pStyle w:val="Footer"/>
                  <w:jc w:val="right"/>
                  <w:rPr>
                    <w:rStyle w:val="PageNumber"/>
                  </w:rPr>
                </w:pPr>
                <w:r>
                  <w:rPr>
                    <w:rStyle w:val="PageNumber"/>
                  </w:rPr>
                  <w:fldChar w:fldCharType="begin"/>
                </w:r>
                <w:r>
                  <w:instrText> PAGE </w:instrText>
                </w:r>
                <w:r>
                  <w:fldChar w:fldCharType="separate"/>
                </w:r>
                <w:r>
                  <w:t>12</w:t>
                </w:r>
                <w:r>
                  <w:fldChar w:fldCharType="end"/>
                </w:r>
              </w:p>
              <w:p>
                <w:pPr>
                  <w:pStyle w:val="Footer"/>
                  <w:rPr/>
                </w:pPr>
                <w:r>
                  <w:rPr/>
                </w:r>
              </w:p>
            </w:txbxContent>
          </v:textbox>
          <w10:wrap type="square" side="largest"/>
        </v:rect>
      </w:pic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lang w:val="fr-FR"/>
        </w:rPr>
      </w:pPr>
      <w:r>
        <w:rPr>
          <w:rFonts w:eastAsia="Arial"/>
          <w:lang w:val="fr-FR"/>
        </w:rPr>
        <w:footnoteRef/>
        <w:tab/>
        <w:t xml:space="preserve"> </w:t>
      </w:r>
      <w:r>
        <w:rPr>
          <w:lang w:val="fr-FR"/>
        </w:rPr>
        <w:t>The translation of this article was made possible by joint funding from the Agence de la santé et des services sociaux de Montréal and the Institut national de santé publique du Québec</w:t>
      </w:r>
    </w:p>
  </w:footnote>
  <w:footnote w:id="3">
    <w:p>
      <w:pPr>
        <w:pStyle w:val="Footnote"/>
        <w:ind w:left="142" w:right="0" w:hanging="142"/>
        <w:rPr>
          <w:lang w:val="en-CA"/>
        </w:rPr>
      </w:pPr>
      <w:r>
        <w:rPr>
          <w:rFonts w:eastAsia="Arial"/>
          <w:lang w:val="en-CA"/>
        </w:rPr>
        <w:footnoteRef/>
        <w:tab/>
        <w:t xml:space="preserve"> </w:t>
      </w:r>
      <w:r>
        <w:rPr>
          <w:lang w:val="en-CA"/>
        </w:rPr>
        <w:tab/>
        <w:t xml:space="preserve">Marie-Claire Laurendeau is the Coordinator of Research and Innovation at the </w:t>
      </w:r>
      <w:r>
        <w:rPr>
          <w:i/>
          <w:lang w:val="en-CA"/>
        </w:rPr>
        <w:t>Institut national de santé publique du Québec</w:t>
      </w:r>
      <w:r>
        <w:rPr>
          <w:lang w:val="en-CA"/>
        </w:rPr>
        <w:t xml:space="preserve"> (Quebec National Institute of Public Health)</w:t>
      </w:r>
    </w:p>
  </w:footnote>
  <w:footnote w:id="4">
    <w:p>
      <w:pPr>
        <w:pStyle w:val="Footnote"/>
        <w:ind w:left="142" w:right="0" w:hanging="142"/>
        <w:rPr>
          <w:rFonts w:cs="Arial (W1)" w:ascii="Arial (W1)" w:hAnsi="Arial (W1)"/>
          <w:i/>
          <w:lang w:val="en-CA"/>
        </w:rPr>
      </w:pPr>
      <w:r>
        <w:rPr>
          <w:rFonts w:eastAsia="Arial"/>
          <w:lang w:val="en-CA"/>
        </w:rPr>
        <w:footnoteRef/>
        <w:tab/>
        <w:t xml:space="preserve"> </w:t>
      </w:r>
      <w:r>
        <w:rPr>
          <w:lang w:val="en-CA"/>
        </w:rPr>
        <w:tab/>
        <w:t>Lucie Labarre is the Regional Coordinator of Psychosocial Component of Emergency Response Operations</w:t>
      </w:r>
      <w:r>
        <w:rPr>
          <w:rFonts w:cs="Arial (W1)" w:ascii="Arial (W1)" w:hAnsi="Arial (W1)"/>
          <w:lang w:val="en-CA"/>
        </w:rPr>
        <w:t xml:space="preserve"> at the </w:t>
      </w:r>
      <w:r>
        <w:rPr>
          <w:rFonts w:cs="Arial (W1)" w:ascii="Arial (W1)" w:hAnsi="Arial (W1)"/>
          <w:i/>
          <w:lang w:val="en-CA"/>
        </w:rPr>
        <w:t>Agence de la santé et des services sociaux de Montréal</w:t>
      </w:r>
    </w:p>
  </w:footnote>
  <w:footnote w:id="5">
    <w:p>
      <w:pPr>
        <w:pStyle w:val="Footnote"/>
        <w:ind w:left="142" w:right="0" w:hanging="142"/>
        <w:rPr>
          <w:i/>
          <w:lang w:val="en-CA"/>
        </w:rPr>
      </w:pPr>
      <w:r>
        <w:rPr>
          <w:rFonts w:eastAsia="Arial"/>
          <w:lang w:val="en-CA"/>
        </w:rPr>
        <w:footnoteRef/>
        <w:tab/>
        <w:t xml:space="preserve"> </w:t>
      </w:r>
      <w:r>
        <w:rPr>
          <w:lang w:val="en-CA"/>
        </w:rPr>
        <w:tab/>
        <w:t xml:space="preserve">Ghyslaine Senécal is Coordinator of Emergency Response Operations and Civil Protection, Health Mission, at the </w:t>
      </w:r>
      <w:r>
        <w:rPr>
          <w:i/>
          <w:lang w:val="en-CA"/>
        </w:rPr>
        <w:t>Agence de la santé et des services sociaux de Montréal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sz w:val="22"/>
      </w:rPr>
    </w:lvl>
  </w:abstractNum>
  <w:abstractNum w:abstractNumId="3">
    <w:lvl w:ilvl="0">
      <w:start w:val="1"/>
      <w:numFmt w:val="bullet"/>
      <w:lvlText w:val=""/>
      <w:lvlJc w:val="left"/>
      <w:pPr>
        <w:tabs>
          <w:tab w:val="num" w:pos="360"/>
        </w:tabs>
        <w:ind w:left="360" w:hanging="360"/>
      </w:pPr>
      <w:rPr>
        <w:rFonts w:ascii="Wingdings" w:hAnsi="Wingdings" w:cs="Wingdings" w:hint="default"/>
        <w:sz w:val="22"/>
        <w:szCs w:val="22"/>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decimal"/>
      <w:lvlText w:val="%1."/>
      <w:lvlJc w:val="left"/>
      <w:pPr>
        <w:tabs>
          <w:tab w:val="num" w:pos="644"/>
        </w:tabs>
        <w:ind w:left="644" w:hanging="360"/>
      </w:pPr>
      <w:rPr>
        <w:sz w:val="22"/>
      </w:rPr>
    </w:lvl>
  </w:abstractNum>
  <w:abstractNum w:abstractNumId="6">
    <w:lvl w:ilvl="0">
      <w:start w:val="1"/>
      <w:numFmt w:val="bullet"/>
      <w:lvlText w:val=""/>
      <w:lvlJc w:val="left"/>
      <w:pPr>
        <w:tabs>
          <w:tab w:val="num" w:pos="360"/>
        </w:tabs>
        <w:ind w:left="360" w:hanging="360"/>
      </w:pPr>
      <w:rPr>
        <w:rFonts w:ascii="Symbol" w:hAnsi="Symbol" w:cs="Symbol" w:hint="default"/>
        <w:sz w:val="22"/>
      </w:rPr>
    </w:lvl>
  </w:abstractNum>
  <w:abstractNum w:abstractNumId="7">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footnotePr>
    <w:numFmt w:val="decimal"/>
    <w:footnote w:id="0"/>
    <w:footnote w:id="1"/>
  </w:foot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Arial" w:hAnsi="Arial" w:eastAsia="Times New Roman" w:cs="Arial"/>
      <w:color w:val="auto"/>
      <w:sz w:val="24"/>
      <w:szCs w:val="24"/>
      <w:lang w:val="fr-CA" w:bidi="ar-SA" w:eastAsia="zh-CN"/>
    </w:rPr>
  </w:style>
  <w:style w:type="paragraph" w:styleId="Heading1">
    <w:name w:val="Heading 1"/>
    <w:basedOn w:val="Normal"/>
    <w:next w:val="Normal"/>
    <w:pPr>
      <w:keepNext/>
      <w:numPr>
        <w:ilvl w:val="0"/>
        <w:numId w:val="1"/>
      </w:numPr>
      <w:outlineLvl w:val="0"/>
      <w:outlineLvl w:val="0"/>
    </w:pPr>
    <w:rPr>
      <w:u w:val="single"/>
    </w:rPr>
  </w:style>
  <w:style w:type="paragraph" w:styleId="Heading2">
    <w:name w:val="Heading 2"/>
    <w:basedOn w:val="Normal"/>
    <w:next w:val="Normal"/>
    <w:pPr>
      <w:keepNext/>
      <w:numPr>
        <w:ilvl w:val="1"/>
        <w:numId w:val="1"/>
      </w:numPr>
      <w:outlineLvl w:val="1"/>
      <w:outlineLvl w:val="1"/>
    </w:pPr>
    <w:rPr>
      <w:b/>
      <w:bCs/>
      <w:u w:val="single"/>
    </w:rPr>
  </w:style>
  <w:style w:type="paragraph" w:styleId="Heading3">
    <w:name w:val="Heading 3"/>
    <w:basedOn w:val="Normal"/>
    <w:next w:val="Normal"/>
    <w:pPr>
      <w:keepNext/>
      <w:numPr>
        <w:ilvl w:val="2"/>
        <w:numId w:val="1"/>
      </w:numPr>
      <w:outlineLvl w:val="2"/>
      <w:outlineLvl w:val="2"/>
    </w:pPr>
    <w:rPr>
      <w:i/>
      <w:iCs/>
    </w:rPr>
  </w:style>
  <w:style w:type="paragraph" w:styleId="Heading4">
    <w:name w:val="Heading 4"/>
    <w:basedOn w:val="Normal"/>
    <w:next w:val="Normal"/>
    <w:pPr>
      <w:keepNext/>
      <w:numPr>
        <w:ilvl w:val="3"/>
        <w:numId w:val="1"/>
      </w:numPr>
      <w:spacing w:lineRule="auto" w:line="360"/>
      <w:outlineLvl w:val="3"/>
      <w:outlineLvl w:val="3"/>
    </w:pPr>
    <w:rPr>
      <w:b/>
      <w:bCs/>
    </w:rPr>
  </w:style>
  <w:style w:type="paragraph" w:styleId="Heading5">
    <w:name w:val="Heading 5"/>
    <w:basedOn w:val="Normal"/>
    <w:next w:val="Normal"/>
    <w:pPr>
      <w:keepNext/>
      <w:numPr>
        <w:ilvl w:val="4"/>
        <w:numId w:val="1"/>
      </w:numPr>
      <w:jc w:val="center"/>
      <w:outlineLvl w:val="4"/>
      <w:outlineLvl w:val="4"/>
    </w:pPr>
    <w:rPr>
      <w:sz w:val="32"/>
      <w:szCs w:val="32"/>
    </w:rPr>
  </w:style>
  <w:style w:type="character" w:styleId="WW8Num1z0">
    <w:name w:val="WW8Num1z0"/>
    <w:rPr>
      <w:rFonts w:ascii="Symbol" w:hAnsi="Symbol" w:cs="Symbol"/>
      <w:sz w:val="22"/>
      <w:lang w:val="en-CA"/>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3z0">
    <w:name w:val="WW8Num3z0"/>
    <w:rPr>
      <w:rFonts w:ascii="Wingdings" w:hAnsi="Wingdings" w:cs="Wingdings"/>
    </w:rPr>
  </w:style>
  <w:style w:type="character" w:styleId="WW8Num3z1">
    <w:name w:val="WW8Num3z1"/>
    <w:rPr>
      <w:rFonts w:ascii="Courier New" w:hAnsi="Courier New" w:cs="Courier New"/>
    </w:rPr>
  </w:style>
  <w:style w:type="character" w:styleId="WW8Num3z3">
    <w:name w:val="WW8Num3z3"/>
    <w:rPr>
      <w:rFonts w:ascii="Symbol" w:hAnsi="Symbol" w:cs="Symbol"/>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Wingdings" w:hAnsi="Wingdings" w:cs="Wingdings"/>
    </w:rPr>
  </w:style>
  <w:style w:type="character" w:styleId="WW8Num6z1">
    <w:name w:val="WW8Num6z1"/>
    <w:rPr>
      <w:rFonts w:ascii="Courier New" w:hAnsi="Courier New" w:cs="Courier New"/>
    </w:rPr>
  </w:style>
  <w:style w:type="character" w:styleId="WW8Num6z3">
    <w:name w:val="WW8Num6z3"/>
    <w:rPr>
      <w:rFonts w:ascii="Symbol" w:hAnsi="Symbol" w:cs="Symbol"/>
    </w:rPr>
  </w:style>
  <w:style w:type="character" w:styleId="WW8Num7z0">
    <w:name w:val="WW8Num7z0"/>
    <w:rPr>
      <w:rFonts w:ascii="Wingdings" w:hAnsi="Wingdings" w:cs="Wingdings"/>
      <w:sz w:val="22"/>
      <w:szCs w:val="22"/>
      <w:lang w:val="en-CA"/>
    </w:rPr>
  </w:style>
  <w:style w:type="character" w:styleId="WW8Num7z1">
    <w:name w:val="WW8Num7z1"/>
    <w:rPr>
      <w:rFonts w:ascii="Courier New" w:hAnsi="Courier New" w:cs="Courier New"/>
    </w:rPr>
  </w:style>
  <w:style w:type="character" w:styleId="WW8Num7z3">
    <w:name w:val="WW8Num7z3"/>
    <w:rPr>
      <w:rFonts w:ascii="Symbol" w:hAnsi="Symbol" w:cs="Symbol"/>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Symbol"/>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Symbol" w:hAnsi="Symbol" w:cs="Symbol"/>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Symbol" w:hAnsi="Symbol" w:cs="Symbol"/>
    </w:rPr>
  </w:style>
  <w:style w:type="character" w:styleId="WW8Num15z0">
    <w:name w:val="WW8Num15z0"/>
    <w:rPr>
      <w:rFonts w:ascii="Symbol" w:hAnsi="Symbol" w:cs="Symbol"/>
    </w:rPr>
  </w:style>
  <w:style w:type="character" w:styleId="WW8Num16z0">
    <w:name w:val="WW8Num16z0"/>
    <w:rPr/>
  </w:style>
  <w:style w:type="character" w:styleId="WW8Num16z1">
    <w:name w:val="WW8Num16z1"/>
    <w:rPr/>
  </w:style>
  <w:style w:type="character" w:styleId="WW8Num16z2">
    <w:name w:val="WW8Num16z2"/>
    <w:rPr/>
  </w:style>
  <w:style w:type="character" w:styleId="WW8Num16z3">
    <w:name w:val="WW8Num16z3"/>
    <w:rPr/>
  </w:style>
  <w:style w:type="character" w:styleId="WW8Num16z4">
    <w:name w:val="WW8Num16z4"/>
    <w:rPr/>
  </w:style>
  <w:style w:type="character" w:styleId="WW8Num16z5">
    <w:name w:val="WW8Num16z5"/>
    <w:rPr/>
  </w:style>
  <w:style w:type="character" w:styleId="WW8Num16z6">
    <w:name w:val="WW8Num16z6"/>
    <w:rPr/>
  </w:style>
  <w:style w:type="character" w:styleId="WW8Num16z7">
    <w:name w:val="WW8Num16z7"/>
    <w:rPr/>
  </w:style>
  <w:style w:type="character" w:styleId="WW8Num16z8">
    <w:name w:val="WW8Num16z8"/>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rFonts w:ascii="Wingdings" w:hAnsi="Wingdings" w:cs="Wingdings"/>
    </w:rPr>
  </w:style>
  <w:style w:type="character" w:styleId="WW8Num19z1">
    <w:name w:val="WW8Num19z1"/>
    <w:rPr>
      <w:rFonts w:ascii="Courier New" w:hAnsi="Courier New" w:cs="Courier New"/>
    </w:rPr>
  </w:style>
  <w:style w:type="character" w:styleId="WW8Num19z3">
    <w:name w:val="WW8Num19z3"/>
    <w:rPr>
      <w:rFonts w:ascii="Symbol" w:hAnsi="Symbol" w:cs="Symbol"/>
    </w:rPr>
  </w:style>
  <w:style w:type="character" w:styleId="WW8Num20z0">
    <w:name w:val="WW8Num20z0"/>
    <w:rPr/>
  </w:style>
  <w:style w:type="character" w:styleId="WW8Num20z1">
    <w:name w:val="WW8Num20z1"/>
    <w:rPr/>
  </w:style>
  <w:style w:type="character" w:styleId="WW8Num20z2">
    <w:name w:val="WW8Num20z2"/>
    <w:rPr/>
  </w:style>
  <w:style w:type="character" w:styleId="WW8Num20z3">
    <w:name w:val="WW8Num20z3"/>
    <w:rPr/>
  </w:style>
  <w:style w:type="character" w:styleId="WW8Num20z4">
    <w:name w:val="WW8Num20z4"/>
    <w:rPr/>
  </w:style>
  <w:style w:type="character" w:styleId="WW8Num20z5">
    <w:name w:val="WW8Num20z5"/>
    <w:rPr/>
  </w:style>
  <w:style w:type="character" w:styleId="WW8Num20z6">
    <w:name w:val="WW8Num20z6"/>
    <w:rPr/>
  </w:style>
  <w:style w:type="character" w:styleId="WW8Num20z7">
    <w:name w:val="WW8Num20z7"/>
    <w:rPr/>
  </w:style>
  <w:style w:type="character" w:styleId="WW8Num20z8">
    <w:name w:val="WW8Num20z8"/>
    <w:rPr/>
  </w:style>
  <w:style w:type="character" w:styleId="WW8Num21z0">
    <w:name w:val="WW8Num21z0"/>
    <w:rPr/>
  </w:style>
  <w:style w:type="character" w:styleId="WW8Num21z1">
    <w:name w:val="WW8Num21z1"/>
    <w:rPr/>
  </w:style>
  <w:style w:type="character" w:styleId="WW8Num21z2">
    <w:name w:val="WW8Num21z2"/>
    <w:rPr/>
  </w:style>
  <w:style w:type="character" w:styleId="WW8Num21z3">
    <w:name w:val="WW8Num21z3"/>
    <w:rPr/>
  </w:style>
  <w:style w:type="character" w:styleId="WW8Num21z4">
    <w:name w:val="WW8Num21z4"/>
    <w:rPr/>
  </w:style>
  <w:style w:type="character" w:styleId="WW8Num21z5">
    <w:name w:val="WW8Num21z5"/>
    <w:rPr/>
  </w:style>
  <w:style w:type="character" w:styleId="WW8Num21z6">
    <w:name w:val="WW8Num21z6"/>
    <w:rPr/>
  </w:style>
  <w:style w:type="character" w:styleId="WW8Num21z7">
    <w:name w:val="WW8Num21z7"/>
    <w:rPr/>
  </w:style>
  <w:style w:type="character" w:styleId="WW8Num21z8">
    <w:name w:val="WW8Num21z8"/>
    <w:rPr/>
  </w:style>
  <w:style w:type="character" w:styleId="WW8Num22z0">
    <w:name w:val="WW8Num22z0"/>
    <w:rPr>
      <w:rFonts w:ascii="Symbol" w:hAnsi="Symbol" w:cs="Symbol"/>
    </w:rPr>
  </w:style>
  <w:style w:type="character" w:styleId="WW8Num23z0">
    <w:name w:val="WW8Num23z0"/>
    <w:rPr/>
  </w:style>
  <w:style w:type="character" w:styleId="WW8Num23z1">
    <w:name w:val="WW8Num23z1"/>
    <w:rPr/>
  </w:style>
  <w:style w:type="character" w:styleId="WW8Num23z2">
    <w:name w:val="WW8Num23z2"/>
    <w:rPr/>
  </w:style>
  <w:style w:type="character" w:styleId="WW8Num23z3">
    <w:name w:val="WW8Num23z3"/>
    <w:rPr/>
  </w:style>
  <w:style w:type="character" w:styleId="WW8Num23z4">
    <w:name w:val="WW8Num23z4"/>
    <w:rPr/>
  </w:style>
  <w:style w:type="character" w:styleId="WW8Num23z5">
    <w:name w:val="WW8Num23z5"/>
    <w:rPr/>
  </w:style>
  <w:style w:type="character" w:styleId="WW8Num23z6">
    <w:name w:val="WW8Num23z6"/>
    <w:rPr/>
  </w:style>
  <w:style w:type="character" w:styleId="WW8Num23z7">
    <w:name w:val="WW8Num23z7"/>
    <w:rPr/>
  </w:style>
  <w:style w:type="character" w:styleId="WW8Num23z8">
    <w:name w:val="WW8Num23z8"/>
    <w:rPr/>
  </w:style>
  <w:style w:type="character" w:styleId="WW8Num24z0">
    <w:name w:val="WW8Num24z0"/>
    <w:rPr>
      <w:rFonts w:ascii="Symbol" w:hAnsi="Symbol" w:cs="Symbol"/>
    </w:rPr>
  </w:style>
  <w:style w:type="character" w:styleId="WW8Num24z1">
    <w:name w:val="WW8Num24z1"/>
    <w:rPr>
      <w:rFonts w:ascii="Courier New" w:hAnsi="Courier New" w:cs="Courier New"/>
    </w:rPr>
  </w:style>
  <w:style w:type="character" w:styleId="WW8Num24z2">
    <w:name w:val="WW8Num24z2"/>
    <w:rPr>
      <w:rFonts w:ascii="Wingdings" w:hAnsi="Wingdings" w:cs="Wingdings"/>
    </w:rPr>
  </w:style>
  <w:style w:type="character" w:styleId="WW8Num25z0">
    <w:name w:val="WW8Num25z0"/>
    <w:rPr/>
  </w:style>
  <w:style w:type="character" w:styleId="WW8Num25z1">
    <w:name w:val="WW8Num25z1"/>
    <w:rPr/>
  </w:style>
  <w:style w:type="character" w:styleId="WW8Num25z2">
    <w:name w:val="WW8Num25z2"/>
    <w:rPr/>
  </w:style>
  <w:style w:type="character" w:styleId="WW8Num25z3">
    <w:name w:val="WW8Num25z3"/>
    <w:rPr/>
  </w:style>
  <w:style w:type="character" w:styleId="WW8Num25z4">
    <w:name w:val="WW8Num25z4"/>
    <w:rPr/>
  </w:style>
  <w:style w:type="character" w:styleId="WW8Num25z5">
    <w:name w:val="WW8Num25z5"/>
    <w:rPr/>
  </w:style>
  <w:style w:type="character" w:styleId="WW8Num25z6">
    <w:name w:val="WW8Num25z6"/>
    <w:rPr/>
  </w:style>
  <w:style w:type="character" w:styleId="WW8Num25z7">
    <w:name w:val="WW8Num25z7"/>
    <w:rPr/>
  </w:style>
  <w:style w:type="character" w:styleId="WW8Num25z8">
    <w:name w:val="WW8Num25z8"/>
    <w:rPr/>
  </w:style>
  <w:style w:type="character" w:styleId="WW8Num26z0">
    <w:name w:val="WW8Num26z0"/>
    <w:rPr>
      <w:rFonts w:ascii="Wingdings" w:hAnsi="Wingdings" w:cs="Wingdings"/>
    </w:rPr>
  </w:style>
  <w:style w:type="character" w:styleId="WW8Num27z0">
    <w:name w:val="WW8Num27z0"/>
    <w:rPr>
      <w:rFonts w:ascii="Symbol" w:hAnsi="Symbol" w:cs="Symbol"/>
    </w:rPr>
  </w:style>
  <w:style w:type="character" w:styleId="WW8Num28z0">
    <w:name w:val="WW8Num28z0"/>
    <w:rPr/>
  </w:style>
  <w:style w:type="character" w:styleId="WW8Num28z1">
    <w:name w:val="WW8Num28z1"/>
    <w:rPr/>
  </w:style>
  <w:style w:type="character" w:styleId="WW8Num28z2">
    <w:name w:val="WW8Num28z2"/>
    <w:rPr/>
  </w:style>
  <w:style w:type="character" w:styleId="WW8Num28z3">
    <w:name w:val="WW8Num28z3"/>
    <w:rPr/>
  </w:style>
  <w:style w:type="character" w:styleId="WW8Num28z4">
    <w:name w:val="WW8Num28z4"/>
    <w:rPr/>
  </w:style>
  <w:style w:type="character" w:styleId="WW8Num28z5">
    <w:name w:val="WW8Num28z5"/>
    <w:rPr/>
  </w:style>
  <w:style w:type="character" w:styleId="WW8Num28z6">
    <w:name w:val="WW8Num28z6"/>
    <w:rPr/>
  </w:style>
  <w:style w:type="character" w:styleId="WW8Num28z7">
    <w:name w:val="WW8Num28z7"/>
    <w:rPr/>
  </w:style>
  <w:style w:type="character" w:styleId="WW8Num28z8">
    <w:name w:val="WW8Num28z8"/>
    <w:rPr/>
  </w:style>
  <w:style w:type="character" w:styleId="WW8Num29z0">
    <w:name w:val="WW8Num29z0"/>
    <w:rPr>
      <w:rFonts w:ascii="Symbol" w:hAnsi="Symbol" w:cs="Symbol"/>
    </w:rPr>
  </w:style>
  <w:style w:type="character" w:styleId="WW8Num30z0">
    <w:name w:val="WW8Num30z0"/>
    <w:rPr/>
  </w:style>
  <w:style w:type="character" w:styleId="WW8Num30z1">
    <w:name w:val="WW8Num30z1"/>
    <w:rPr/>
  </w:style>
  <w:style w:type="character" w:styleId="WW8Num30z2">
    <w:name w:val="WW8Num30z2"/>
    <w:rPr/>
  </w:style>
  <w:style w:type="character" w:styleId="WW8Num30z3">
    <w:name w:val="WW8Num30z3"/>
    <w:rPr/>
  </w:style>
  <w:style w:type="character" w:styleId="WW8Num30z4">
    <w:name w:val="WW8Num30z4"/>
    <w:rPr/>
  </w:style>
  <w:style w:type="character" w:styleId="WW8Num30z5">
    <w:name w:val="WW8Num30z5"/>
    <w:rPr/>
  </w:style>
  <w:style w:type="character" w:styleId="WW8Num30z6">
    <w:name w:val="WW8Num30z6"/>
    <w:rPr/>
  </w:style>
  <w:style w:type="character" w:styleId="WW8Num30z7">
    <w:name w:val="WW8Num30z7"/>
    <w:rPr/>
  </w:style>
  <w:style w:type="character" w:styleId="WW8Num30z8">
    <w:name w:val="WW8Num30z8"/>
    <w:rPr/>
  </w:style>
  <w:style w:type="character" w:styleId="WW8Num31z0">
    <w:name w:val="WW8Num31z0"/>
    <w:rPr>
      <w:rFonts w:ascii="Symbol" w:hAnsi="Symbol" w:cs="Symbol"/>
    </w:rPr>
  </w:style>
  <w:style w:type="character" w:styleId="WW8Num32z0">
    <w:name w:val="WW8Num32z0"/>
    <w:rPr>
      <w:rFonts w:ascii="Symbol" w:hAnsi="Symbol" w:cs="Symbol"/>
    </w:rPr>
  </w:style>
  <w:style w:type="character" w:styleId="WW8Num33z0">
    <w:name w:val="WW8Num33z0"/>
    <w:rPr>
      <w:rFonts w:ascii="Symbol" w:hAnsi="Symbol" w:cs="Symbol"/>
    </w:rPr>
  </w:style>
  <w:style w:type="character" w:styleId="WW8Num34z0">
    <w:name w:val="WW8Num34z0"/>
    <w:rPr>
      <w:sz w:val="22"/>
      <w:lang w:val="en-CA"/>
    </w:rPr>
  </w:style>
  <w:style w:type="character" w:styleId="WW8Num34z1">
    <w:name w:val="WW8Num34z1"/>
    <w:rPr/>
  </w:style>
  <w:style w:type="character" w:styleId="WW8Num34z2">
    <w:name w:val="WW8Num34z2"/>
    <w:rPr/>
  </w:style>
  <w:style w:type="character" w:styleId="WW8Num34z3">
    <w:name w:val="WW8Num34z3"/>
    <w:rPr/>
  </w:style>
  <w:style w:type="character" w:styleId="WW8Num34z4">
    <w:name w:val="WW8Num34z4"/>
    <w:rPr/>
  </w:style>
  <w:style w:type="character" w:styleId="WW8Num34z5">
    <w:name w:val="WW8Num34z5"/>
    <w:rPr/>
  </w:style>
  <w:style w:type="character" w:styleId="WW8Num34z6">
    <w:name w:val="WW8Num34z6"/>
    <w:rPr/>
  </w:style>
  <w:style w:type="character" w:styleId="WW8Num34z7">
    <w:name w:val="WW8Num34z7"/>
    <w:rPr/>
  </w:style>
  <w:style w:type="character" w:styleId="WW8Num34z8">
    <w:name w:val="WW8Num34z8"/>
    <w:rPr/>
  </w:style>
  <w:style w:type="character" w:styleId="WW8Num35z0">
    <w:name w:val="WW8Num35z0"/>
    <w:rPr/>
  </w:style>
  <w:style w:type="character" w:styleId="WW8Num35z1">
    <w:name w:val="WW8Num35z1"/>
    <w:rPr/>
  </w:style>
  <w:style w:type="character" w:styleId="WW8Num35z2">
    <w:name w:val="WW8Num35z2"/>
    <w:rPr/>
  </w:style>
  <w:style w:type="character" w:styleId="WW8Num35z3">
    <w:name w:val="WW8Num35z3"/>
    <w:rPr/>
  </w:style>
  <w:style w:type="character" w:styleId="WW8Num35z4">
    <w:name w:val="WW8Num35z4"/>
    <w:rPr/>
  </w:style>
  <w:style w:type="character" w:styleId="WW8Num35z5">
    <w:name w:val="WW8Num35z5"/>
    <w:rPr/>
  </w:style>
  <w:style w:type="character" w:styleId="WW8Num35z6">
    <w:name w:val="WW8Num35z6"/>
    <w:rPr/>
  </w:style>
  <w:style w:type="character" w:styleId="WW8Num35z7">
    <w:name w:val="WW8Num35z7"/>
    <w:rPr/>
  </w:style>
  <w:style w:type="character" w:styleId="WW8Num35z8">
    <w:name w:val="WW8Num35z8"/>
    <w:rPr/>
  </w:style>
  <w:style w:type="character" w:styleId="WW8Num36z0">
    <w:name w:val="WW8Num36z0"/>
    <w:rPr>
      <w:rFonts w:ascii="Symbol" w:hAnsi="Symbol" w:cs="Symbol"/>
    </w:rPr>
  </w:style>
  <w:style w:type="character" w:styleId="WW8Num37z0">
    <w:name w:val="WW8Num37z0"/>
    <w:rPr>
      <w:rFonts w:ascii="Symbol" w:hAnsi="Symbol" w:cs="Symbol"/>
      <w:sz w:val="22"/>
      <w:lang w:val="en-CA"/>
    </w:rPr>
  </w:style>
  <w:style w:type="character" w:styleId="WW8Num38z0">
    <w:name w:val="WW8Num38z0"/>
    <w:rPr>
      <w:rFonts w:ascii="Symbol" w:hAnsi="Symbol" w:cs="Symbol"/>
    </w:rPr>
  </w:style>
  <w:style w:type="character" w:styleId="WW8Num38z1">
    <w:name w:val="WW8Num38z1"/>
    <w:rPr>
      <w:rFonts w:ascii="Courier New" w:hAnsi="Courier New" w:cs="Courier New"/>
    </w:rPr>
  </w:style>
  <w:style w:type="character" w:styleId="WW8Num38z2">
    <w:name w:val="WW8Num38z2"/>
    <w:rPr>
      <w:rFonts w:ascii="Wingdings" w:hAnsi="Wingdings" w:cs="Wingdings"/>
    </w:rPr>
  </w:style>
  <w:style w:type="character" w:styleId="WW8Num39z0">
    <w:name w:val="WW8Num39z0"/>
    <w:rPr>
      <w:rFonts w:ascii="Symbol" w:hAnsi="Symbol" w:cs="Symbol"/>
    </w:rPr>
  </w:style>
  <w:style w:type="character" w:styleId="WW8Num39z1">
    <w:name w:val="WW8Num39z1"/>
    <w:rPr>
      <w:rFonts w:ascii="Courier New" w:hAnsi="Courier New" w:cs="Courier New"/>
    </w:rPr>
  </w:style>
  <w:style w:type="character" w:styleId="WW8Num39z2">
    <w:name w:val="WW8Num39z2"/>
    <w:rPr>
      <w:rFonts w:ascii="Wingdings" w:hAnsi="Wingdings" w:cs="Wingdings"/>
    </w:rPr>
  </w:style>
  <w:style w:type="character" w:styleId="WW8Num40z0">
    <w:name w:val="WW8Num40z0"/>
    <w:rPr/>
  </w:style>
  <w:style w:type="character" w:styleId="WW8Num40z1">
    <w:name w:val="WW8Num40z1"/>
    <w:rPr/>
  </w:style>
  <w:style w:type="character" w:styleId="WW8Num40z2">
    <w:name w:val="WW8Num40z2"/>
    <w:rPr/>
  </w:style>
  <w:style w:type="character" w:styleId="WW8Num40z3">
    <w:name w:val="WW8Num40z3"/>
    <w:rPr/>
  </w:style>
  <w:style w:type="character" w:styleId="WW8Num40z4">
    <w:name w:val="WW8Num40z4"/>
    <w:rPr/>
  </w:style>
  <w:style w:type="character" w:styleId="WW8Num40z5">
    <w:name w:val="WW8Num40z5"/>
    <w:rPr/>
  </w:style>
  <w:style w:type="character" w:styleId="WW8Num40z6">
    <w:name w:val="WW8Num40z6"/>
    <w:rPr/>
  </w:style>
  <w:style w:type="character" w:styleId="WW8Num40z7">
    <w:name w:val="WW8Num40z7"/>
    <w:rPr/>
  </w:style>
  <w:style w:type="character" w:styleId="WW8Num40z8">
    <w:name w:val="WW8Num40z8"/>
    <w:rPr/>
  </w:style>
  <w:style w:type="character" w:styleId="WW8Num41z0">
    <w:name w:val="WW8Num41z0"/>
    <w:rPr>
      <w:rFonts w:ascii="Wingdings" w:hAnsi="Wingdings" w:cs="Wingdings"/>
    </w:rPr>
  </w:style>
  <w:style w:type="character" w:styleId="WW8Num41z1">
    <w:name w:val="WW8Num41z1"/>
    <w:rPr>
      <w:rFonts w:ascii="Courier New" w:hAnsi="Courier New" w:cs="Courier New"/>
    </w:rPr>
  </w:style>
  <w:style w:type="character" w:styleId="WW8Num41z3">
    <w:name w:val="WW8Num41z3"/>
    <w:rPr>
      <w:rFonts w:ascii="Symbol" w:hAnsi="Symbol" w:cs="Symbol"/>
    </w:rPr>
  </w:style>
  <w:style w:type="character" w:styleId="Policepardfaut">
    <w:name w:val="Police par défaut"/>
    <w:rPr/>
  </w:style>
  <w:style w:type="character" w:styleId="PageNumber">
    <w:name w:val="Page Number"/>
    <w:basedOn w:val="Policepardfaut"/>
    <w:rPr/>
  </w:style>
  <w:style w:type="character" w:styleId="Marquedecommentaire">
    <w:name w:val="Marque de commentaire"/>
    <w:basedOn w:val="Policepardfaut"/>
    <w:rPr>
      <w:sz w:val="16"/>
      <w:szCs w:val="16"/>
    </w:rPr>
  </w:style>
  <w:style w:type="character" w:styleId="FootnoteCharacters">
    <w:name w:val="Footnote Characters"/>
    <w:basedOn w:val="Policepardfau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pBdr>
        <w:top w:val="single" w:sz="4" w:space="1" w:color="000000"/>
        <w:left w:val="single" w:sz="4" w:space="4" w:color="000000"/>
        <w:bottom w:val="single" w:sz="4" w:space="1" w:color="000000"/>
        <w:right w:val="single" w:sz="4" w:space="4" w:color="000000"/>
      </w:pBdr>
    </w:pPr>
    <w:rPr>
      <w:i/>
      <w:iCs/>
      <w:sz w:val="20"/>
      <w:szCs w:val="20"/>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rPr>
      <w:rFonts w:ascii="Tahoma" w:hAnsi="Tahoma" w:cs="Tahoma"/>
      <w:sz w:val="16"/>
      <w:szCs w:val="16"/>
    </w:rPr>
  </w:style>
  <w:style w:type="paragraph" w:styleId="Footnote">
    <w:name w:val="Footnote"/>
    <w:basedOn w:val="Normal"/>
    <w:pPr/>
    <w:rPr>
      <w:sz w:val="20"/>
      <w:szCs w:val="20"/>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 w:type="numbering" w:styleId="WW8Num41">
    <w:name w:val="WW8Num4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2007-05-02T12:00:00Z</dcterms:created>
  <dc:creator>Robert Perreault</dc:creator>
  <dc:language>en-CA</dc:language>
  <cp:lastModifiedBy>Laumar01</cp:lastModifiedBy>
  <cp:lastPrinted>2007-01-28T17:31:00Z</cp:lastPrinted>
  <dcterms:modified xsi:type="dcterms:W3CDTF">2007-05-07T11:48:00Z</dcterms:modified>
  <cp:revision>10</cp:revision>
  <dc:title>Introduction</dc:title>
</cp:coreProperties>
</file>