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wmf" ContentType="image/x-wmf"/>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rPr>
      </w:pPr>
      <w:r>
        <w:rPr>
          <w:rFonts w:cs="Arial"/>
        </w:rPr>
      </w:r>
    </w:p>
    <w:p>
      <w:pPr>
        <w:pStyle w:val="Xl24"/>
        <w:spacing w:lineRule="auto" w:line="480" w:before="0" w:after="0"/>
        <w:jc w:val="center"/>
        <w:rPr>
          <w:rFonts w:cs="Arial" w:ascii="Arial" w:hAnsi="Arial"/>
          <w:b/>
        </w:rPr>
      </w:pPr>
      <w:r>
        <w:rPr>
          <w:rFonts w:cs="Arial" w:ascii="Arial" w:hAnsi="Arial"/>
          <w:b/>
        </w:rPr>
        <w:t>LABORATORY TESTING IN NEWLY TREATED ELDERLY HYPERTENSIVES: A POPULATION-BASED COHORT STUDY</w:t>
      </w:r>
    </w:p>
    <w:p>
      <w:pPr>
        <w:pStyle w:val="Normal"/>
        <w:jc w:val="center"/>
        <w:rPr>
          <w:rFonts w:cs="Arial"/>
          <w:lang w:val="sv-SE"/>
        </w:rPr>
      </w:pPr>
      <w:r>
        <w:rPr>
          <w:rFonts w:cs="Arial"/>
          <w:lang w:val="sv-SE"/>
        </w:rPr>
        <w:t>Finlay A. McAlister</w:t>
      </w:r>
      <w:r>
        <w:rPr>
          <w:rFonts w:cs="Arial"/>
          <w:vertAlign w:val="superscript"/>
          <w:lang w:val="sv-SE"/>
        </w:rPr>
        <w:t>1</w:t>
      </w:r>
      <w:r>
        <w:rPr>
          <w:rFonts w:cs="Arial"/>
          <w:lang w:val="sv-SE"/>
        </w:rPr>
        <w:t>, Karen Tu</w:t>
      </w:r>
      <w:r>
        <w:rPr>
          <w:rFonts w:cs="Arial"/>
          <w:vertAlign w:val="superscript"/>
          <w:lang w:val="sv-SE"/>
        </w:rPr>
        <w:t>2,3</w:t>
      </w:r>
      <w:r>
        <w:rPr>
          <w:rFonts w:cs="Arial"/>
          <w:lang w:val="sv-SE"/>
        </w:rPr>
        <w:t>, Sumit R. Majumdar</w:t>
      </w:r>
      <w:r>
        <w:rPr>
          <w:rFonts w:cs="Arial"/>
          <w:vertAlign w:val="superscript"/>
          <w:lang w:val="sv-SE"/>
        </w:rPr>
        <w:t>1</w:t>
      </w:r>
      <w:r>
        <w:rPr>
          <w:rFonts w:cs="Arial"/>
          <w:lang w:val="sv-SE"/>
        </w:rPr>
        <w:t xml:space="preserve">, </w:t>
      </w:r>
    </w:p>
    <w:p>
      <w:pPr>
        <w:pStyle w:val="Normal"/>
        <w:jc w:val="center"/>
        <w:rPr>
          <w:rFonts w:cs="Arial"/>
          <w:vertAlign w:val="superscript"/>
          <w:lang w:val="sv-SE"/>
        </w:rPr>
      </w:pPr>
      <w:r>
        <w:rPr>
          <w:rFonts w:cs="Arial"/>
          <w:lang w:val="sv-SE"/>
        </w:rPr>
        <w:t>Rajdeep Padwal</w:t>
      </w:r>
      <w:r>
        <w:rPr>
          <w:rFonts w:cs="Arial"/>
          <w:vertAlign w:val="superscript"/>
          <w:lang w:val="sv-SE"/>
        </w:rPr>
        <w:t>1</w:t>
      </w:r>
      <w:r>
        <w:rPr>
          <w:rFonts w:cs="Arial"/>
          <w:lang w:val="sv-SE"/>
        </w:rPr>
        <w:t>, Zhongliang Chen</w:t>
      </w:r>
      <w:r>
        <w:rPr>
          <w:rFonts w:cs="Arial"/>
          <w:vertAlign w:val="superscript"/>
          <w:lang w:val="sv-SE"/>
        </w:rPr>
        <w:t>3</w:t>
      </w:r>
      <w:r>
        <w:rPr>
          <w:rFonts w:cs="Arial"/>
          <w:lang w:val="sv-SE"/>
        </w:rPr>
        <w:t>, Norman R.C. Campbell</w:t>
      </w:r>
      <w:r>
        <w:rPr>
          <w:rFonts w:cs="Arial"/>
          <w:vertAlign w:val="superscript"/>
          <w:lang w:val="sv-SE"/>
        </w:rPr>
        <w:t>4</w:t>
      </w:r>
    </w:p>
    <w:p>
      <w:pPr>
        <w:pStyle w:val="Normal"/>
        <w:rPr>
          <w:rFonts w:cs="Arial"/>
          <w:lang w:val="sv-SE"/>
        </w:rPr>
      </w:pPr>
      <w:r>
        <w:rPr>
          <w:rFonts w:cs="Arial"/>
          <w:lang w:val="sv-SE"/>
        </w:rPr>
      </w:r>
    </w:p>
    <w:p>
      <w:pPr>
        <w:pStyle w:val="Normal"/>
        <w:rPr>
          <w:rFonts w:cs="Arial"/>
          <w:lang w:val="sv-SE"/>
        </w:rPr>
      </w:pPr>
      <w:r>
        <w:rPr>
          <w:rFonts w:cs="Arial"/>
          <w:lang w:val="sv-SE"/>
        </w:rPr>
      </w:r>
    </w:p>
    <w:p>
      <w:pPr>
        <w:pStyle w:val="Xl24"/>
        <w:spacing w:before="0" w:after="0"/>
        <w:rPr>
          <w:rFonts w:eastAsia="Times New Roman" w:cs="Times New Roman" w:ascii="Arial" w:hAnsi="Arial"/>
          <w:bCs/>
          <w:vertAlign w:val="superscript"/>
        </w:rPr>
      </w:pPr>
      <w:r>
        <w:rPr>
          <w:rFonts w:eastAsia="Times New Roman" w:cs="Times New Roman" w:ascii="Arial" w:hAnsi="Arial"/>
          <w:b/>
          <w:bCs/>
        </w:rPr>
        <w:t>Affiliations:</w:t>
        <w:tab/>
        <w:tab/>
      </w:r>
      <w:r>
        <w:rPr>
          <w:rFonts w:eastAsia="Times New Roman" w:cs="Times New Roman" w:ascii="Arial" w:hAnsi="Arial"/>
          <w:bCs/>
          <w:vertAlign w:val="superscript"/>
        </w:rPr>
        <w:t>1</w:t>
      </w:r>
      <w:r>
        <w:rPr>
          <w:rFonts w:eastAsia="Times New Roman" w:cs="Times New Roman" w:ascii="Arial" w:hAnsi="Arial"/>
          <w:bCs/>
        </w:rPr>
        <w:t>Division of General Internal Medicine, University of Alberta, Edmonton, Canada;</w:t>
      </w:r>
      <w:r>
        <w:rPr>
          <w:rFonts w:eastAsia="Times New Roman" w:cs="Times New Roman" w:ascii="Arial" w:hAnsi="Arial"/>
          <w:bCs/>
          <w:vertAlign w:val="superscript"/>
        </w:rPr>
        <w:t xml:space="preserve"> 2</w:t>
      </w:r>
      <w:r>
        <w:rPr>
          <w:rFonts w:eastAsia="Times New Roman" w:cs="Times New Roman" w:ascii="Arial" w:hAnsi="Arial"/>
          <w:bCs/>
        </w:rPr>
        <w:t xml:space="preserve">Department of Family and Community Medicine, University of Toronto, Toronto, Canada; </w:t>
      </w:r>
      <w:r>
        <w:rPr>
          <w:rFonts w:eastAsia="Times New Roman" w:cs="Times New Roman" w:ascii="Arial" w:hAnsi="Arial"/>
          <w:bCs/>
          <w:vertAlign w:val="superscript"/>
        </w:rPr>
        <w:t>3</w:t>
      </w:r>
      <w:r>
        <w:rPr>
          <w:rFonts w:eastAsia="Times New Roman" w:cs="Times New Roman" w:ascii="Arial" w:hAnsi="Arial"/>
          <w:bCs/>
        </w:rPr>
        <w:t xml:space="preserve">Institute For Clinical Evaluative Sciences (ICES), Toronto, Canada; and </w:t>
      </w:r>
      <w:r>
        <w:rPr>
          <w:rFonts w:eastAsia="Times New Roman" w:cs="Times New Roman" w:ascii="Arial" w:hAnsi="Arial"/>
          <w:bCs/>
          <w:vertAlign w:val="superscript"/>
        </w:rPr>
        <w:t>4</w:t>
      </w:r>
      <w:r>
        <w:rPr>
          <w:rFonts w:eastAsia="Times New Roman" w:cs="Times New Roman" w:ascii="Arial" w:hAnsi="Arial"/>
          <w:bCs/>
        </w:rPr>
        <w:t>Departments of Medicine and Pharmacology and Therapeutics, University of Calgary, Calgary, Canada</w:t>
      </w:r>
      <w:r>
        <w:rPr>
          <w:rFonts w:eastAsia="Times New Roman" w:cs="Times New Roman" w:ascii="Arial" w:hAnsi="Arial"/>
          <w:bCs/>
          <w:vertAlign w:val="superscript"/>
        </w:rPr>
        <w:t xml:space="preserve"> </w:t>
      </w:r>
    </w:p>
    <w:p>
      <w:pPr>
        <w:pStyle w:val="Normal"/>
        <w:rPr>
          <w:rFonts w:cs="Arial"/>
        </w:rPr>
      </w:pPr>
      <w:r>
        <w:rPr>
          <w:rFonts w:cs="Arial"/>
        </w:rPr>
      </w:r>
    </w:p>
    <w:p>
      <w:pPr>
        <w:pStyle w:val="Normal"/>
        <w:rPr>
          <w:rFonts w:cs="Arial"/>
        </w:rPr>
      </w:pPr>
      <w:r>
        <w:rPr>
          <w:rFonts w:cs="Arial"/>
          <w:b/>
        </w:rPr>
        <w:t>Support:</w:t>
        <w:tab/>
      </w:r>
      <w:r>
        <w:rPr>
          <w:rFonts w:cs="Arial"/>
        </w:rPr>
        <w:t>This research was supported by a Grant-in-Aid from the Heart and Stroke Foundation of Ontario Grant #NA 5459. This organization was not involved in the design/conduct of the study, collection of the data, analysis/interpretation, or preparation/review/approval of the manuscript.  KT is supported by a Canadian Institutes of Health Research (CIHR) Short-Term Clinician Investigator Award.  FM and SM are supported by Alberta Heritage Foundation for Medical Research Population Health Scholar Awards and CIHR New Investigator Awards, and FM also holds the University of Alberta/Merck Frosst/Aventis Chair in Patient Health Management.</w:t>
      </w:r>
    </w:p>
    <w:p>
      <w:pPr>
        <w:pStyle w:val="Normal"/>
        <w:rPr>
          <w:rFonts w:cs="Arial"/>
        </w:rPr>
      </w:pPr>
      <w:r>
        <w:rPr>
          <w:rFonts w:cs="Arial"/>
        </w:rPr>
      </w:r>
    </w:p>
    <w:p>
      <w:pPr>
        <w:pStyle w:val="Xl24"/>
        <w:spacing w:before="0" w:after="0"/>
        <w:rPr>
          <w:rFonts w:eastAsia="Times New Roman" w:cs="Times New Roman" w:ascii="Arial" w:hAnsi="Arial"/>
        </w:rPr>
      </w:pPr>
      <w:r>
        <w:rPr>
          <w:rFonts w:eastAsia="Times New Roman" w:cs="Times New Roman" w:ascii="Arial" w:hAnsi="Arial"/>
          <w:b/>
        </w:rPr>
        <w:t>Word Count:</w:t>
      </w:r>
      <w:r>
        <w:rPr>
          <w:rFonts w:eastAsia="Times New Roman" w:cs="Times New Roman" w:ascii="Arial" w:hAnsi="Arial"/>
        </w:rPr>
        <w:tab/>
        <w:t>2698 text, 32 references, 3 tables, 1 figure</w:t>
      </w:r>
    </w:p>
    <w:p>
      <w:pPr>
        <w:pStyle w:val="Xl24"/>
        <w:spacing w:before="0" w:after="0"/>
        <w:rPr>
          <w:rFonts w:eastAsia="Times New Roman" w:cs="Times New Roman" w:ascii="Arial" w:hAnsi="Arial"/>
        </w:rPr>
      </w:pPr>
      <w:r>
        <w:rPr>
          <w:rFonts w:eastAsia="Times New Roman" w:cs="Times New Roman" w:ascii="Arial" w:hAnsi="Arial"/>
          <w:b/>
        </w:rPr>
        <w:t>Running Title:</w:t>
        <w:tab/>
      </w:r>
      <w:r>
        <w:rPr>
          <w:rFonts w:eastAsia="Times New Roman" w:cs="Times New Roman" w:ascii="Arial" w:hAnsi="Arial"/>
        </w:rPr>
        <w:t>Antihypertensive prescribing and testing</w:t>
      </w:r>
    </w:p>
    <w:p>
      <w:pPr>
        <w:pStyle w:val="Xl24"/>
        <w:spacing w:before="0" w:after="0"/>
        <w:rPr>
          <w:rFonts w:eastAsia="Times New Roman" w:cs="Times New Roman" w:ascii="Arial" w:hAnsi="Arial"/>
          <w:b/>
        </w:rPr>
      </w:pPr>
      <w:r>
        <w:rPr>
          <w:rFonts w:eastAsia="Times New Roman" w:cs="Times New Roman" w:ascii="Arial" w:hAnsi="Arial"/>
          <w:b/>
        </w:rPr>
      </w:r>
    </w:p>
    <w:p>
      <w:pPr>
        <w:pStyle w:val="Heading1"/>
        <w:numPr>
          <w:ilvl w:val="0"/>
          <w:numId w:val="1"/>
        </w:numPr>
        <w:spacing w:lineRule="auto" w:line="240"/>
        <w:rPr/>
      </w:pPr>
      <w:r>
        <w:rPr/>
        <w:t xml:space="preserve">Corresponding Author: </w:t>
      </w:r>
    </w:p>
    <w:p>
      <w:pPr>
        <w:pStyle w:val="Xl24"/>
        <w:spacing w:before="0" w:after="0"/>
        <w:rPr>
          <w:rFonts w:eastAsia="Times New Roman" w:cs="Times New Roman" w:ascii="Arial" w:hAnsi="Arial"/>
        </w:rPr>
      </w:pPr>
      <w:r>
        <w:rPr>
          <w:rFonts w:eastAsia="Times New Roman" w:cs="Times New Roman" w:ascii="Arial" w:hAnsi="Arial"/>
        </w:rPr>
        <w:t>Finlay McAlister. 2E3.24 Walter Mackenzie Centre, University of Alberta Hospital, 8440 112 Street, Edmonton, Alberta T6G 2R7; Tele: 780-407-1399; Fax: 780-407-2680</w:t>
      </w:r>
    </w:p>
    <w:p>
      <w:pPr>
        <w:pStyle w:val="Xl24"/>
        <w:spacing w:before="0" w:after="0"/>
        <w:rPr>
          <w:rFonts w:eastAsia="Times New Roman" w:cs="Times New Roman" w:ascii="Arial" w:hAnsi="Arial"/>
          <w:lang w:val="it-IT"/>
        </w:rPr>
      </w:pPr>
      <w:r>
        <w:rPr>
          <w:rFonts w:eastAsia="Times New Roman" w:cs="Times New Roman" w:ascii="Arial" w:hAnsi="Arial"/>
          <w:lang w:val="it-IT"/>
        </w:rPr>
        <w:t>e-mail: Finlay.McAlister@ualberta.ca</w:t>
      </w:r>
    </w:p>
    <w:p>
      <w:pPr>
        <w:pStyle w:val="Normal"/>
        <w:pageBreakBefore/>
        <w:spacing w:lineRule="auto" w:line="480"/>
        <w:rPr>
          <w:rFonts w:cs="Arial"/>
          <w:b/>
          <w:bCs/>
        </w:rPr>
      </w:pPr>
      <w:r>
        <w:rPr>
          <w:rFonts w:cs="Arial"/>
          <w:b/>
          <w:bCs/>
        </w:rPr>
        <w:t xml:space="preserve">ABSTRACT </w:t>
      </w:r>
    </w:p>
    <w:p>
      <w:pPr>
        <w:pStyle w:val="Normal"/>
        <w:spacing w:lineRule="auto" w:line="480"/>
        <w:rPr>
          <w:rFonts w:cs="Arial"/>
        </w:rPr>
      </w:pPr>
      <w:r>
        <w:rPr>
          <w:b/>
        </w:rPr>
        <w:t>Background:</w:t>
      </w:r>
      <w:r>
        <w:rPr/>
        <w:tab/>
      </w:r>
      <w:r>
        <w:rPr>
          <w:rFonts w:cs="Arial"/>
        </w:rPr>
        <w:t xml:space="preserve">A purported advantage of newer antihypertensive drug classes is a reduced need for laboratory testing, but little is known about the frequency of laboratory monitoring in clinical practice and whether this differs across drug classes.  </w:t>
      </w:r>
    </w:p>
    <w:p>
      <w:pPr>
        <w:pStyle w:val="Normal"/>
        <w:spacing w:lineRule="auto" w:line="480"/>
        <w:rPr>
          <w:rFonts w:cs="Arial"/>
        </w:rPr>
      </w:pPr>
      <w:r>
        <w:rPr>
          <w:b/>
        </w:rPr>
        <w:t>Methods:</w:t>
      </w:r>
      <w:r>
        <w:rPr/>
        <w:t xml:space="preserve">  </w:t>
        <w:tab/>
      </w:r>
      <w:r>
        <w:rPr>
          <w:rFonts w:cs="Arial"/>
        </w:rPr>
        <w:t>A population-based cohort study using linked administrative databases in Ontario, Canada.  All elderly residents of Ontario who were newly treated for uncomplicated hypertension between 1994 and 2002 were followed for 24 months or until they were</w:t>
      </w:r>
      <w:r>
        <w:rPr>
          <w:rFonts w:cs="Arial"/>
          <w:lang w:val="en-GB"/>
        </w:rPr>
        <w:t xml:space="preserve"> hospitalized</w:t>
      </w:r>
      <w:r>
        <w:rPr>
          <w:rFonts w:cs="Arial"/>
        </w:rPr>
        <w:t xml:space="preserve">, died, or were no longer on their initially prescribed monotherapy.  We examined the frequency and type of laboratory tests performed while patients were treated with antihypertensive monotherapy. </w:t>
      </w:r>
    </w:p>
    <w:p>
      <w:pPr>
        <w:pStyle w:val="Normal"/>
        <w:spacing w:lineRule="auto" w:line="480"/>
        <w:rPr/>
      </w:pPr>
      <w:r>
        <w:rPr>
          <w:b/>
        </w:rPr>
        <w:t>Results:</w:t>
      </w:r>
      <w:r>
        <w:rPr/>
        <w:tab/>
        <w:t>In this cohort of 164,413 patients, 39% were treated with thiazides and 46% were prescribed “newer” drug classes as initial therapy.  At baseline, 96,534 individuals (59%) did not have any laboratory testing done and during 1,701,520 months of monotherapy (mean time on initial agent 10.3 months) only 79,985 (49%) had any tests done.  Laboratory testing was significantly more frequent in patients prescribed thiazides than newer drug classes: the adjusted rate ratios [aRR]) for laboratory testing were 0.94 (95%CI 0.93-0.95) with ACE-inhibitors, 0.80 (95%CI 0.79-0.81) with calcium channel blockers, and 0.79 (95%CI 0.76-0.82) with angiotensin-receptor blockers.  However, the absolute increase in testing was small (16 extra electrolyte tests, 6 extra renal function tests, 4 extra glucose tests, and 6 less serum cholesterol tests per 100 patients every 6 months) such that the extra laboratory testing observed with thiazides resulted in an additional cost of only $0.63 CDN per patient every 6 months compared to the newer drug classes.</w:t>
      </w:r>
    </w:p>
    <w:p>
      <w:pPr>
        <w:pStyle w:val="Normal"/>
        <w:spacing w:lineRule="auto" w:line="480"/>
        <w:rPr/>
      </w:pPr>
      <w:r>
        <w:rPr>
          <w:b/>
        </w:rPr>
        <w:t>Conclusions:</w:t>
      </w:r>
      <w:r>
        <w:rPr/>
        <w:t xml:space="preserve"> </w:t>
        <w:tab/>
        <w:t>Laboratory monitoring is infrequent in hypertension and although initial choice of</w:t>
      </w:r>
      <w:r>
        <w:rPr>
          <w:b/>
        </w:rPr>
        <w:t xml:space="preserve"> </w:t>
      </w:r>
      <w:r>
        <w:rPr/>
        <w:t xml:space="preserve">antihypertensive agent is associated with subsequent frequency of laboratory testing in clinical practice, the magnitude of these differences is small. </w:t>
      </w:r>
    </w:p>
    <w:p>
      <w:pPr>
        <w:pStyle w:val="Normal"/>
        <w:spacing w:lineRule="auto" w:line="480"/>
        <w:rPr>
          <w:rFonts w:cs="Arial"/>
        </w:rPr>
      </w:pPr>
      <w:r>
        <w:rPr>
          <w:rFonts w:cs="Arial"/>
        </w:rPr>
      </w:r>
    </w:p>
    <w:p>
      <w:pPr>
        <w:pStyle w:val="Normal"/>
        <w:spacing w:lineRule="auto" w:line="480"/>
        <w:rPr>
          <w:rFonts w:cs="Arial"/>
        </w:rPr>
      </w:pPr>
      <w:r>
        <w:rPr>
          <w:rFonts w:cs="Arial"/>
        </w:rPr>
      </w:r>
    </w:p>
    <w:p>
      <w:pPr>
        <w:pStyle w:val="Normal"/>
        <w:spacing w:lineRule="auto" w:line="480"/>
        <w:rPr>
          <w:rFonts w:cs="Arial"/>
        </w:rPr>
      </w:pPr>
      <w:r>
        <w:rPr>
          <w:rFonts w:cs="Arial"/>
        </w:rPr>
      </w:r>
    </w:p>
    <w:p>
      <w:pPr>
        <w:pStyle w:val="Normal"/>
        <w:pageBreakBefore/>
        <w:spacing w:lineRule="auto" w:line="480"/>
        <w:rPr>
          <w:rFonts w:eastAsia="Arial" w:cs="Arial"/>
        </w:rPr>
      </w:pPr>
      <w:r>
        <w:rPr>
          <w:rFonts w:eastAsia="Arial" w:cs="Arial"/>
        </w:rPr>
        <w:t xml:space="preserve"> </w:t>
      </w:r>
    </w:p>
    <w:p>
      <w:pPr>
        <w:pStyle w:val="Normal"/>
        <w:spacing w:lineRule="auto" w:line="480"/>
        <w:ind w:left="0" w:right="0" w:firstLine="720"/>
        <w:rPr>
          <w:rFonts w:cs="Arial"/>
        </w:rPr>
      </w:pPr>
      <w:r>
        <w:rPr>
          <w:rFonts w:cs="Arial"/>
        </w:rPr>
        <w:t xml:space="preserve">Thiazide diuretics, angiotensin converting enzyme (ACE) inhibitors, calcium channel blockers and angiotensin receptor blockers (hereafter, the latter 3 are referred to as “newer agents”) prevent cardiovascular morbidity and mortality in elderly patients with uncomplicated hypertension,[1,2] and the reduction in events is directly related to the reduction in blood pressure.[2,3]  Thus, debates over which drug class should be recommended for initial therapy in hypertension frequently revolve around issues of costs, adherence, and tolerability.  While defining the predictors of long-term adherence with antihypertensive agents is an area of active research, differences in tolerability between drug classes are best judged in randomised trials, several of which have reported similar adherence and tolerability with each of the major drug classes.[4-7]  Thus, cost is increasingly cited as the key factor in choosing between drug classes for initial therapy in patients with uncomplicated hypertension.[8]  </w:t>
      </w:r>
    </w:p>
    <w:p>
      <w:pPr>
        <w:pStyle w:val="Normal"/>
        <w:spacing w:lineRule="auto" w:line="480"/>
        <w:ind w:left="0" w:right="0" w:firstLine="720"/>
        <w:rPr>
          <w:rFonts w:cs="Arial"/>
        </w:rPr>
      </w:pPr>
      <w:r>
        <w:rPr>
          <w:rFonts w:cs="Arial"/>
        </w:rPr>
        <w:t>Advocates of the use of thiazides as first-line treatment for elderly hypertensives cite their cheaper acquisition costs,[9] while opponents counter that there is less need for (and thus less cost associated with) laboratory testing with newer agents.  However, there is little published evidence on the frequency of laboratory monitoring in hypertensive individuals (and none examining differences between drug classes) and without such data one can only speculate as to whether the cheaper acquisition costs of thiazides are offset by increased costs for laboratory monitoring.  Indeed, attempts to model the economic implications of using thiazides versus newer drug classes have been forced to make assumptions about the frequency of laboratory testing with different drug classes based on the frequency of testing recommended in clinical practice guidelines given the paucity of data.[9,10]</w:t>
      </w:r>
    </w:p>
    <w:p>
      <w:pPr>
        <w:pStyle w:val="Normal"/>
        <w:spacing w:lineRule="auto" w:line="480"/>
        <w:ind w:left="0" w:right="0" w:firstLine="720"/>
        <w:rPr/>
      </w:pPr>
      <w:r>
        <w:rPr/>
        <w:t xml:space="preserve">As randomised trial protocols specify type and frequency of laboratory tests and standardize these across treatment arms, none of the antihypertensive randomised trials can be used to answer this question.  Thus, a cohort study is the strongest study design to explore antihypertensive prescribing practices and the impact of initial drug choice on subsequent laboratory testing practices.  </w:t>
      </w:r>
    </w:p>
    <w:p>
      <w:pPr>
        <w:pStyle w:val="Normal"/>
        <w:rPr>
          <w:rFonts w:cs="Arial" w:ascii="Arial Bold;Arial" w:hAnsi="Arial Bold;Arial"/>
          <w:b/>
          <w:bCs/>
          <w:caps/>
        </w:rPr>
      </w:pPr>
      <w:r>
        <w:rPr>
          <w:rFonts w:cs="Arial" w:ascii="Arial Bold;Arial" w:hAnsi="Arial Bold;Arial"/>
          <w:b/>
          <w:bCs/>
          <w:caps/>
        </w:rPr>
        <w:t>Methods</w:t>
      </w:r>
    </w:p>
    <w:p>
      <w:pPr>
        <w:pStyle w:val="Normal"/>
        <w:rPr>
          <w:rFonts w:cs="Arial" w:ascii="Arial Bold;Arial" w:hAnsi="Arial Bold;Arial"/>
          <w:b/>
          <w:bCs/>
          <w:caps/>
        </w:rPr>
      </w:pPr>
      <w:r>
        <w:rPr>
          <w:rFonts w:cs="Arial" w:ascii="Arial Bold;Arial" w:hAnsi="Arial Bold;Arial"/>
          <w:b/>
          <w:bCs/>
          <w:caps/>
        </w:rPr>
      </w:r>
    </w:p>
    <w:p>
      <w:pPr>
        <w:pStyle w:val="Normal"/>
        <w:rPr>
          <w:rFonts w:cs="Arial" w:ascii="Arial Bold;Arial" w:hAnsi="Arial Bold;Arial"/>
          <w:b/>
          <w:bCs/>
          <w:i/>
        </w:rPr>
      </w:pPr>
      <w:r>
        <w:rPr>
          <w:rFonts w:cs="Arial" w:ascii="Arial Bold;Arial" w:hAnsi="Arial Bold;Arial"/>
          <w:b/>
          <w:bCs/>
          <w:i/>
        </w:rPr>
        <w:t>Assembly of Cohort:</w:t>
      </w:r>
    </w:p>
    <w:p>
      <w:pPr>
        <w:pStyle w:val="Normal"/>
        <w:rPr>
          <w:rFonts w:cs="Arial"/>
        </w:rPr>
      </w:pPr>
      <w:r>
        <w:rPr>
          <w:rFonts w:cs="Arial"/>
        </w:rPr>
      </w:r>
    </w:p>
    <w:p>
      <w:pPr>
        <w:pStyle w:val="Normal"/>
        <w:spacing w:lineRule="auto" w:line="480"/>
        <w:ind w:left="0" w:right="0" w:firstLine="720"/>
        <w:rPr/>
      </w:pPr>
      <w:r>
        <w:rPr>
          <w:rFonts w:cs="Arial"/>
        </w:rPr>
        <w:t xml:space="preserve">As previously described in detail,[11] </w:t>
      </w:r>
      <w:r>
        <w:rPr/>
        <w:t xml:space="preserve">we cross-linked the Ontario Drug Benefit database with the Ontario Health Insurance Plan physician claims database (which records all fee-for-service billings and the most responsible diagnoses at each visit), the Canadian Institute for Health Information hospitalization database (which records the primary diagnosis and up to 15 secondary diagnoses for all discharges from acute care hospitals), and the Registered Persons Database (which records dates of death or emigration from Ontario) to identify a cohort of all Ontario residents aged 66 years or older who received a new outpatient prescription for an antihypertensive agent between July 1, 1994 and March 31, 2002.  These databases record information for all Ontario residents aged 65 and older and the comprehensiveness and validity of these administrative databases in Ontario has been validated.[12]  </w:t>
      </w:r>
    </w:p>
    <w:p>
      <w:pPr>
        <w:pStyle w:val="Normal"/>
        <w:spacing w:lineRule="auto" w:line="480"/>
        <w:ind w:left="0" w:right="0" w:firstLine="720"/>
        <w:rPr/>
      </w:pPr>
      <w:r>
        <w:rPr/>
        <w:t>In order to ensure that these prescriptions were for hypertension, we excluded any patients with diabetes mellitus (by cross-linking with the Ontario Diabetes Database)[13] or a non-blood pressure lowering indication for antihypertensive agents by excluding any patients with (i) physician billing claims within 3 years or (ii) hospitalization discharge codes within 4 years or (iii) prescriptions for marker medications in the Ontario Drug Benefit database within one year for any of the following conditions: myocardial infarction or angina, heart failure, arrhythmias, renal disease (including nephropathy), stroke or transient ischemic attack, liver disease,</w:t>
      </w:r>
      <w:r>
        <w:rPr>
          <w:lang w:val="en-GB"/>
        </w:rPr>
        <w:t xml:space="preserve"> oesophageal</w:t>
      </w:r>
      <w:r>
        <w:rPr/>
        <w:t xml:space="preserve"> varices, hyperthyroidism, or migraine headaches.  In order to identify incident cases of treated hypertension in our cohort, we included only patients age 66 and over (the Ontario Drug Benefit database starts at age 65) and excluded any patients with a claim date for an antihypertensive drug in the 12 months prior to the start of the study to exclude prevalent hypertensives getting medication refills.  Finally, in order to examine laboratory testing by drug class, we excluded any patients who were started on more than one antihypertensive agent concurrently at the time of initial treatment.</w:t>
      </w:r>
    </w:p>
    <w:p>
      <w:pPr>
        <w:pStyle w:val="Normal"/>
        <w:spacing w:lineRule="auto" w:line="480"/>
        <w:ind w:left="0" w:right="0" w:firstLine="720"/>
        <w:rPr/>
      </w:pPr>
      <w:r>
        <w:rPr/>
        <w:t xml:space="preserve">We followed our cohort of newly treated hypertensive patients for 2 years or until they died, were hospitalised, discontinued the initially prescribed drug class, or had another antihypertensive added for concurrent therapy.[11]  </w:t>
      </w:r>
    </w:p>
    <w:p>
      <w:pPr>
        <w:pStyle w:val="Normal"/>
        <w:spacing w:lineRule="auto" w:line="480"/>
        <w:rPr>
          <w:b/>
          <w:i/>
        </w:rPr>
      </w:pPr>
      <w:r>
        <w:rPr>
          <w:b/>
          <w:i/>
        </w:rPr>
        <w:t xml:space="preserve">Proportion of patients having tests done at least once: </w:t>
      </w:r>
    </w:p>
    <w:p>
      <w:pPr>
        <w:pStyle w:val="Normal"/>
        <w:spacing w:lineRule="auto" w:line="480"/>
        <w:ind w:left="0" w:right="0" w:firstLine="720"/>
        <w:rPr/>
      </w:pPr>
      <w:r>
        <w:rPr/>
        <w:t xml:space="preserve">We linked our cohort to the Ontario Health Insurance database to examine laboratory testing patterns in the 6 months immediately preceding their first antihypertensive prescription (to define baseline testing patterns) and in the first 24 months after the initial antihypertensive dispensation (to define testing patterns during follow-up).  The Ontario Health Insurance database includes billing claims data for laboratory tests performed in laboratories outside the hospital setting.[14-16]  We defined “electrolyte tests” as a measurement of serum sodium or potassium; “cholesterol tests” as having a total cholesterol, high density lipoprotein cholesterol, and/or triglycerides measured; “glucose test” as having a fasting or random blood glucose measured; and “renal function tests” as having a serum creatinine or creatinine clearance measured.  </w:t>
      </w:r>
    </w:p>
    <w:p>
      <w:pPr>
        <w:pStyle w:val="Normal"/>
        <w:spacing w:lineRule="auto" w:line="480"/>
        <w:ind w:left="0" w:right="0" w:firstLine="720"/>
        <w:rPr/>
      </w:pPr>
      <w:r>
        <w:rPr/>
        <w:t xml:space="preserve">We calculated the proportion of patients prescribed each drug class who had each test done at least once while they were taking monotherapy.  Associations between drug class and whether laboratory tests were done at least once were assessed in logistic regression models comparing thiazides to newer agents with adjustment for patient age, gender, Charlson co-morbidity score,[17] and baseline testing patterns (ie. in the 6 months prior to the initial antihypertensive prescription).  Patients treated with beta-blockers were excluded from this analysis since beta-blockers are not recommended for initial monotherapy in elderly patients with uncomplicated hypertension, and thus the question of whether beta-blocker treated patients received more or less testing is a moot point.[8,18,19]  </w:t>
      </w:r>
    </w:p>
    <w:p>
      <w:pPr>
        <w:pStyle w:val="Normal"/>
        <w:spacing w:lineRule="auto" w:line="480"/>
        <w:rPr>
          <w:b/>
          <w:i/>
        </w:rPr>
      </w:pPr>
      <w:r>
        <w:rPr>
          <w:b/>
          <w:i/>
        </w:rPr>
        <w:t xml:space="preserve">Frequency and number of tests performed: </w:t>
      </w:r>
    </w:p>
    <w:p>
      <w:pPr>
        <w:pStyle w:val="Normal"/>
        <w:spacing w:lineRule="auto" w:line="480"/>
        <w:ind w:left="0" w:right="0" w:firstLine="720"/>
        <w:rPr/>
      </w:pPr>
      <w:r>
        <w:rPr/>
        <w:t>We calculated the test density for each test per 3, 6, and 12 months of monotherapy treatment (defined as the number of tests performed per 100 patients treated with monotherapy for each time period) and compared results across drug classes using ANOVA.  In addition, we performed Poisson regression (with censoring at time of hospitalization, death, discontinuation of monotherapy, or switching of drug class) to compare the frequency of testing between drug classes while on monotherapy after adjustment for age, gender, co-morbidity, and testing in the 6 months prior to the initial antihypertensive prescription.</w:t>
      </w:r>
    </w:p>
    <w:p>
      <w:pPr>
        <w:pStyle w:val="Normal"/>
        <w:spacing w:lineRule="auto" w:line="480"/>
        <w:ind w:left="0" w:right="0" w:firstLine="720"/>
        <w:rPr/>
      </w:pPr>
      <w:r>
        <w:rPr/>
        <w:t xml:space="preserve">All analyses were conducted using SAS version 8.02 (SAS Institute, Cary, NC).  </w:t>
      </w:r>
    </w:p>
    <w:p>
      <w:pPr>
        <w:pStyle w:val="Heading2"/>
        <w:numPr>
          <w:ilvl w:val="1"/>
          <w:numId w:val="1"/>
        </w:numPr>
        <w:rPr>
          <w:i w:val="false"/>
          <w:caps/>
          <w:sz w:val="24"/>
          <w:szCs w:val="24"/>
        </w:rPr>
      </w:pPr>
      <w:r>
        <w:rPr>
          <w:i w:val="false"/>
          <w:caps/>
          <w:sz w:val="24"/>
          <w:szCs w:val="24"/>
        </w:rPr>
        <w:t>Results</w:t>
      </w:r>
    </w:p>
    <w:p>
      <w:pPr>
        <w:pStyle w:val="Normal"/>
        <w:rPr/>
      </w:pPr>
      <w:r>
        <w:rPr/>
      </w:r>
    </w:p>
    <w:p>
      <w:pPr>
        <w:pStyle w:val="Normal"/>
        <w:spacing w:lineRule="auto" w:line="480"/>
        <w:ind w:left="0" w:right="0" w:firstLine="720"/>
        <w:rPr/>
      </w:pPr>
      <w:r>
        <w:rPr/>
        <w:t>From July 1994 through to March 2002, we identified 164,413 persons over age 65</w:t>
      </w:r>
      <w:r>
        <w:rPr>
          <w:rFonts w:cs="Arial"/>
        </w:rPr>
        <w:t xml:space="preserve"> years with uncomplicated hypertension who were newly started on monotherapy and who did not have </w:t>
      </w:r>
      <w:r>
        <w:rPr/>
        <w:t xml:space="preserve">comorbidities or non-blood pressure lowering indications </w:t>
      </w:r>
      <w:r>
        <w:rPr>
          <w:rFonts w:cs="Arial"/>
        </w:rPr>
        <w:t xml:space="preserve">for that medication.  Their </w:t>
      </w:r>
      <w:r>
        <w:rPr/>
        <w:t xml:space="preserve">mean age was 73 years (standard deviation 6 years), 60 340 (37%) were male, and the first-line antihypertensives prescribed in this cohort were thiazides (39%), ACE inhibitors (30%), calcium channel blockers (15%), beta-blockers (15%), and angiotensin receptor blockers (1%) – Table 1.  Duration of time on monotherapy with the initially prescribed antihypertensive drug ranged from the maximum of 24 months in 41,886 patients (25%) to less than 6 months in 81,002 patients (49%) - mean time on monotherapy with the initially prescribed agent was 10.3 months.  </w:t>
      </w:r>
    </w:p>
    <w:p>
      <w:pPr>
        <w:pStyle w:val="Normal"/>
        <w:spacing w:lineRule="auto" w:line="480"/>
        <w:rPr>
          <w:b/>
          <w:i/>
        </w:rPr>
      </w:pPr>
      <w:r>
        <w:rPr>
          <w:b/>
          <w:i/>
        </w:rPr>
        <w:t xml:space="preserve">Proportion of patients having tests done at least once: </w:t>
      </w:r>
    </w:p>
    <w:p>
      <w:pPr>
        <w:pStyle w:val="Normal"/>
        <w:spacing w:lineRule="auto" w:line="480"/>
        <w:ind w:left="0" w:right="0" w:firstLine="720"/>
        <w:rPr/>
      </w:pPr>
      <w:r>
        <w:rPr/>
        <w:t>Prior to their initial antihypertensive prescription, patients prescribed newer agents were more likely to have had laboratory tests done than patients who were prescribed thiazides (Figure 1, all p&lt;0.0001) – however, it should be noted that 96,534 patients (59%) did not have any laboratory testing done in the 6 months prior to their initial prescription.  After being prescribed antihypertensive therapy, 79,985 of the cohort patients (49%) had at least one laboratory test done at any point during follow-up (50% of those who had testing done prior to their initial prescription, and 48% of those who did not have testing done prior to their initial prescription).</w:t>
      </w:r>
    </w:p>
    <w:p>
      <w:pPr>
        <w:pStyle w:val="Normal"/>
        <w:spacing w:lineRule="auto" w:line="480"/>
        <w:ind w:left="0" w:right="0" w:firstLine="720"/>
        <w:rPr/>
      </w:pPr>
      <w:r>
        <w:rPr/>
        <w:t>In comparison to patients prescribed newer agents, a greater proportion of patients prescribed thiazides had their serum electrolytes measured at least once during follow-up (38% versus 31%, OR 1.38, 95% CI 1.35 to 1.41, after adjusting for age, gender, co-morbidity, and baseline testing) but fewer thiazide-treated patients had any monitoring of their renal function (41% versus 42%, adjusted OR 0.95, 95% CI 0.93 to 0.97), serum glucose (38% versus 40%, adjusted  OR 0.90, 95% CI 0.88 to 0.92), or cholesterol (24% versus 32%, adjusted OR 0.72, 95% CI 0.70 to 0.74) – Figure 1.  As a result, the number of patients who had at least one laboratory test performed while on monotherapy with their initial antihypertensive prescription did not differ between thiazides and newer agents (49% versus 50%, adjusted OR 0.98, 95% CI 0.96 to 1.01).</w:t>
      </w:r>
    </w:p>
    <w:p>
      <w:pPr>
        <w:pStyle w:val="Normal"/>
        <w:spacing w:lineRule="auto" w:line="480"/>
        <w:rPr>
          <w:b/>
          <w:i/>
        </w:rPr>
      </w:pPr>
      <w:r>
        <w:rPr>
          <w:b/>
          <w:i/>
        </w:rPr>
        <w:t xml:space="preserve">Frequency and number of tests performed: </w:t>
      </w:r>
    </w:p>
    <w:p>
      <w:pPr>
        <w:pStyle w:val="Normal"/>
        <w:spacing w:lineRule="auto" w:line="480"/>
        <w:ind w:left="0" w:right="0" w:firstLine="720"/>
        <w:rPr/>
      </w:pPr>
      <w:r>
        <w:rPr/>
        <w:t>During 1,701,520 months of monotherapy in this cohort of patients, the most frequently performed laboratory tests were renal function tests (77 052 tests every 6 months), serum glucose (69 393 tests every 6 months), serum electrolytes (63 193 tests every 6 months), and cholesterol measurements (47 115 tests every 6 months).  Patients treated with thiazides had significantly more measurements of renal function, serum electrolytes, or glucose during follow-up than patients prescribed newer agents, but had less monitoring of serum cholesterols (all p&lt;0.0001, Table 2).  These associations were maintained on multivariate Poisson regression analyses adjusting for age, gender, co-morbidity, and baseline testing patterns (Table 3).</w:t>
      </w:r>
    </w:p>
    <w:p>
      <w:pPr>
        <w:pStyle w:val="Normal"/>
        <w:spacing w:lineRule="auto" w:line="480"/>
        <w:rPr>
          <w:b/>
          <w:i/>
        </w:rPr>
      </w:pPr>
      <w:r>
        <w:rPr>
          <w:b/>
          <w:i/>
        </w:rPr>
        <w:t>Magnitude of differences:</w:t>
      </w:r>
    </w:p>
    <w:p>
      <w:pPr>
        <w:pStyle w:val="Normal"/>
        <w:spacing w:lineRule="auto" w:line="480"/>
        <w:rPr/>
      </w:pPr>
      <w:r>
        <w:rPr/>
        <w:tab/>
        <w:t xml:space="preserve">Thiazide-treated patients had 16 extra electrolyte tests, 6 extra renal function tests, and 4 extra serum glucose tests (but 6 less serum cholesterol tests) per 100 patients every 6 months compared to patients prescribed newer agents.  A formal cost-effectiveness (or cost-minimization) analysis would require incorporation of the costs induced by testing (such as additional diagnoses and physician visits, clinical events, and indirect costs) which we did not capture.  However, the direct cost implications of the laboratory testing profiles we observed in this population-based cohort would be, on a per patient basis and per 6 months, $11.88 CDN for thiazides and $11. 25 CDN for those treated with the newer drugs.  In other words, when considering laboratory testing costs only, the choice of a thiazide for initial monotherapy in our cohort of elderly patients with uncomplicated hypertension resulted in an extra $0.63 CDN in laboratory testing costs every 6 months. </w:t>
      </w:r>
    </w:p>
    <w:p>
      <w:pPr>
        <w:pStyle w:val="Normal"/>
        <w:spacing w:lineRule="auto" w:line="480"/>
        <w:rPr>
          <w:rFonts w:cs="Arial"/>
          <w:b/>
        </w:rPr>
      </w:pPr>
      <w:r>
        <w:rPr>
          <w:rFonts w:cs="Arial"/>
          <w:b/>
        </w:rPr>
        <w:t>DISCUSSION</w:t>
      </w:r>
    </w:p>
    <w:p>
      <w:pPr>
        <w:pStyle w:val="Normal"/>
        <w:spacing w:lineRule="auto" w:line="480"/>
        <w:ind w:left="0" w:right="0" w:firstLine="720"/>
        <w:rPr/>
      </w:pPr>
      <w:r>
        <w:rPr/>
        <w:t xml:space="preserve">In summary, we found that the frequency of laboratory testing in newly treated elderly hypertensives was substantially lower than anticipated, and far lower than is recommended in current guidelines.[8,20,21]  At baseline, 59% of these elderly hypertensives did not have any laboratory testing done and over a mean follow-up of 10.3 months, less than half had any laboratory testing done (and almost two-thirds did not have their serum electrolytes or renal function monitored even once).  Patients prescribed thiazides were significantly more likely to have their serum electrolytes, glucose, and renal function monitored than patients prescribed any of the newer drug classes, even after adjustment for age, gender, co-morbidities, and baseline testing prior to the initial prescription.  However, the magnitude of the increase in laboratory testing frequency was small and the additional costs per patient of $0.63 CDN per 6 months are substantially less than the acquisition costs for 6 month supplies of ACE inhibitors (ranging between $126.79 and $242.28 CDN in the Ontario Drug Benefit Plan, depending on the particular agent and dose prescribed), angiotensin receptor blockers ($214.90 to $230.74 CDN in Ontario), or calcium channel blockers ($90.16 to $437.93 CDN in Ontario) compared to thiazides ($14.13 for a 6 month supply of 25 mg daily hydrochlorothiazide in Ontario). </w:t>
      </w:r>
    </w:p>
    <w:p>
      <w:pPr>
        <w:pStyle w:val="Normal"/>
        <w:spacing w:lineRule="auto" w:line="480"/>
        <w:ind w:left="0" w:right="0" w:firstLine="720"/>
        <w:rPr/>
      </w:pPr>
      <w:r>
        <w:rPr/>
        <w:t xml:space="preserve">The distribution of antihypertensive drug classes prescribed in our cohort of elderly hypertensives and the fact that only one quarter remained on initially prescribed monotherapy for the entire 2 year duration of follow-up in our study are consistent with recently published data from other locales.[22-25]  Our finding that many patients started on antihypertensive therapy do not have recommended laboratory testing done also confirms the results of previous studies conducted in other settings and limited to patients prescribed an ACE inhibitor or angiotensin-receptor blocker.[26-28]  In addition to reporting on a larger and population-based sample from a different locale, we have extended these earlier cross-sectional studies by reporting longitudinally on a wider variety of tests in patients treated with all the major antihypertensive drug classes, and with adjustment for age, gender, co-morbidity, and prior testing patterns.  The lower degree of laboratory monitoring we found compared to these aforementioned studies is not unexpected since our cohort explicitly excluded patients with diabetes or cardiac comorbidities, or patients treated with multiple antihypertensive agents.[27,29]  </w:t>
      </w:r>
    </w:p>
    <w:p>
      <w:pPr>
        <w:pStyle w:val="Normal"/>
        <w:spacing w:lineRule="auto" w:line="480"/>
        <w:ind w:left="0" w:right="0" w:firstLine="720"/>
        <w:rPr/>
      </w:pPr>
      <w:r>
        <w:rPr>
          <w:rFonts w:cs="Arial"/>
        </w:rPr>
        <w:t xml:space="preserve">Although our study includes complete information on prescribing and laboratory testing for a large, representative, and population-based sample of all adults over age 65 with newly treated uncomplicated hypertension with 100% follow-up in Canada’s largest province (thus avoiding problems with small samples, selection bias, and measurement bias), there are some limitations.  </w:t>
      </w:r>
      <w:r>
        <w:rPr/>
        <w:t xml:space="preserve">First, the use of antihypertensive prescriptions to define cases of hypertension will miss those patients who have not been prescribed therapy- however, data from NHANES 1999-2002 in the United States and the National Public Health and Community Health Surveys in Canada 2000-2003 have shown that over 80% of elderly individuals with recognized hypertension are prescribed antihypertensive therapy.[30,31]  Secondly, our study was limited to the elderly – however, the prevalence of hypertension increases with age and more than half of all elderly individuals are hypertensive.[32]  </w:t>
      </w:r>
      <w:r>
        <w:rPr>
          <w:rFonts w:cs="Arial"/>
        </w:rPr>
        <w:t xml:space="preserve">Third, we did not have access to blood pressure readings and the reasons why physicians chose to prescribe one drug over another are not recorded in administrative data.  However, this does not directly impact our question of interest: do laboratory testing patterns differ across antihypertensive drug classes?  Fourth, just as we only have data on patients who fill their antihypertensive prescription, our laboratory test data is also affected by patient compliance – to the extent that some patients do not follow through with recommended testing, our observed testing rates likely underestimate physician test ordering behavior.  Fifth, </w:t>
      </w:r>
      <w:r>
        <w:rPr/>
        <w:t xml:space="preserve">we considered only direct costs related to laboratory testing; costs induced by testing (or not testing appropriately) such as physician visits, clinical events, or indirect costs were not captured.  Finally, we only examined testing within the first 24 months after a new antihypertensive prescription – however, previous studies have demonstrated that if testing is done at all, it is usually done within the first month of a new prescription.[28]  Indeed, we did find that testing frequency was highest in the first 90 days after prescription and declined subsequently.  </w:t>
      </w:r>
    </w:p>
    <w:p>
      <w:pPr>
        <w:pStyle w:val="Normal"/>
        <w:spacing w:lineRule="auto" w:line="480"/>
        <w:ind w:left="0" w:right="0" w:firstLine="720"/>
        <w:rPr>
          <w:rFonts w:cs="Arial"/>
        </w:rPr>
      </w:pPr>
      <w:r>
        <w:rPr/>
        <w:t xml:space="preserve">It must be recognized that our study is a description of current patterns of practice as they relate to testing; whether or not frequency of “appropriate” testing actually improves hypertension-related health outcomes is not something that has yet been answered in the literature, nor was our study designed to address this issue.  </w:t>
      </w:r>
      <w:r>
        <w:rPr>
          <w:rFonts w:cs="Arial"/>
        </w:rPr>
        <w:t>Indeed, none of the plethora of large randomized trials of antihypertensive agents published in the past decade are able to answer this question because many trial participants withdrew from therapy and the majority of trial patients were treated with multiple drugs – both facts make it difficult to attribute laboratory abnormalities and the timing of their detection to the initially allocated drug(s).  As a result, current recommendations for the frequency with which to monitor laboratory tests in patients prescribed antihypertensive therapies are largely subjective and based on expert opinion with little empiric evidence to support either appropriateness or cost-effectiveness.  There is clearly a need for better research to inform future recommendations for laboratory monitoring based on the frequency, severity, and timing of abnormalities seen when particular therapies are used in clinical practice.  Our study is the first, but necessary, step to better understanding these oft-neglected issues.</w:t>
      </w:r>
    </w:p>
    <w:p>
      <w:pPr>
        <w:pStyle w:val="Normal"/>
        <w:spacing w:lineRule="auto" w:line="480"/>
        <w:rPr/>
      </w:pPr>
      <w:r>
        <w:rPr/>
        <w:tab/>
        <w:t xml:space="preserve">In conclusion, we found that in a cohort of elderly patients with uncomplicated hypertension, laboratory testing before and after their first prescription was infrequent and although those initially treated with thiazides had laboratory tests performed more frequently, the magnitude of the increase was small.  As a result, while the costs for laboratory testing in thiazide-treated patients were higher than for those patients treated with newer agents ($0.63 CDN per 6 months), when balanced against their known efficacy[1] and the substantially higher acquisition costs for ACE-inhibitors, angiotensin-receptor blockers, or calcium channel blockers, the use of thiazides remains an attractive economic option for the treatment of uncomplicated hypertension.  Our study refutes claims that the use of thiazide diuretics for hypertension treatment results in marked additional laboratory monitoring costs and thus provides support for those advocating in favor of thiazide diuretics as first line agents for patients with uncomplicated hypertension. </w:t>
      </w:r>
    </w:p>
    <w:p>
      <w:pPr>
        <w:pStyle w:val="Normal"/>
        <w:pageBreakBefore/>
        <w:spacing w:lineRule="atLeast" w:line="240" w:before="120" w:after="120"/>
        <w:rPr>
          <w:rFonts w:cs="Arial"/>
          <w:b/>
          <w:color w:val="000000"/>
        </w:rPr>
      </w:pPr>
      <w:r>
        <w:rPr>
          <w:rFonts w:cs="Arial"/>
          <w:b/>
        </w:rPr>
        <w:t>Contributorship Statement:</w:t>
      </w:r>
      <w:r>
        <w:rPr>
          <w:rFonts w:cs="Arial"/>
          <w:b/>
          <w:color w:val="000000"/>
        </w:rPr>
        <w:t xml:space="preserve"> </w:t>
      </w:r>
    </w:p>
    <w:p>
      <w:pPr>
        <w:pStyle w:val="Normal"/>
        <w:spacing w:lineRule="auto" w:line="480"/>
        <w:rPr/>
      </w:pPr>
      <w:r>
        <w:rPr>
          <w:rFonts w:cs="Arial"/>
          <w:color w:val="000000"/>
        </w:rPr>
        <w:t>FM is the guarantor for this manuscript.</w:t>
      </w:r>
      <w:r>
        <w:rPr>
          <w:rFonts w:cs="Verdana" w:ascii="Verdana" w:hAnsi="Verdana"/>
          <w:color w:val="000000"/>
        </w:rPr>
        <w:t xml:space="preserve">  </w:t>
      </w:r>
      <w:r>
        <w:rPr/>
        <w:t xml:space="preserve">All authors took part in study conception and design, interpretation of results, revision for important content, and approved the final manuscript.  FM drafted the initial manuscript.  </w:t>
      </w:r>
    </w:p>
    <w:p>
      <w:pPr>
        <w:pStyle w:val="Normal"/>
        <w:spacing w:lineRule="auto" w:line="480"/>
        <w:rPr>
          <w:rFonts w:cs="Arial"/>
          <w:b/>
        </w:rPr>
      </w:pPr>
      <w:r>
        <w:rPr>
          <w:rFonts w:cs="Arial"/>
          <w:b/>
        </w:rPr>
      </w:r>
    </w:p>
    <w:p>
      <w:pPr>
        <w:pStyle w:val="Normal"/>
        <w:spacing w:lineRule="auto" w:line="480"/>
        <w:rPr>
          <w:rFonts w:cs="Arial"/>
          <w:b/>
        </w:rPr>
      </w:pPr>
      <w:r>
        <w:rPr>
          <w:rFonts w:cs="Arial"/>
          <w:b/>
        </w:rPr>
        <w:t>Statement of Competing Interests</w:t>
      </w:r>
    </w:p>
    <w:p>
      <w:pPr>
        <w:pStyle w:val="Normal"/>
        <w:spacing w:lineRule="auto" w:line="480"/>
        <w:rPr>
          <w:rFonts w:cs="Arial"/>
        </w:rPr>
      </w:pPr>
      <w:r>
        <w:rPr>
          <w:rFonts w:cs="Arial"/>
          <w:color w:val="000000"/>
        </w:rPr>
        <w:t>All authors declare that they have nothing to declare.</w:t>
      </w:r>
      <w:r>
        <w:rPr>
          <w:rFonts w:cs="Arial"/>
        </w:rPr>
        <w:t xml:space="preserve">  </w:t>
      </w:r>
    </w:p>
    <w:p>
      <w:pPr>
        <w:pStyle w:val="Normal"/>
        <w:spacing w:lineRule="auto" w:line="480"/>
        <w:rPr>
          <w:rFonts w:cs="Arial"/>
          <w:b/>
        </w:rPr>
      </w:pPr>
      <w:r>
        <w:rPr>
          <w:rFonts w:cs="Arial"/>
          <w:b/>
        </w:rPr>
      </w:r>
    </w:p>
    <w:p>
      <w:pPr>
        <w:pStyle w:val="Normal"/>
        <w:spacing w:lineRule="auto" w:line="480"/>
        <w:rPr>
          <w:rFonts w:cs="Arial"/>
          <w:b/>
        </w:rPr>
      </w:pPr>
      <w:r>
        <w:rPr>
          <w:rFonts w:cs="Arial"/>
          <w:b/>
        </w:rPr>
        <w:t>Role of the Funding Sources</w:t>
      </w:r>
    </w:p>
    <w:p>
      <w:pPr>
        <w:pStyle w:val="Normal"/>
        <w:spacing w:lineRule="auto" w:line="480"/>
        <w:rPr>
          <w:rFonts w:cs="Arial"/>
        </w:rPr>
      </w:pPr>
      <w:r>
        <w:rPr>
          <w:rFonts w:cs="Arial"/>
        </w:rPr>
        <w:t>The funding sources had no role in study design, data collection, data analysis or interpretation, or writing of the report.  All authors had full access to all of the data in the study and FM had the final responsibility for the decision to submit for publication.</w:t>
      </w:r>
    </w:p>
    <w:p>
      <w:pPr>
        <w:pStyle w:val="Normal"/>
        <w:pageBreakBefore/>
        <w:spacing w:lineRule="auto" w:line="480"/>
        <w:rPr>
          <w:b/>
        </w:rPr>
      </w:pPr>
      <w:r>
        <w:rPr>
          <w:b/>
        </w:rPr>
        <w:t>REFERENCES:</w:t>
      </w:r>
    </w:p>
    <w:p>
      <w:pPr>
        <w:pStyle w:val="BodyText2"/>
        <w:numPr>
          <w:ilvl w:val="0"/>
          <w:numId w:val="2"/>
        </w:numPr>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4"/>
        </w:rPr>
      </w:pPr>
      <w:r>
        <w:rPr>
          <w:rFonts w:cs="Arial"/>
          <w:szCs w:val="24"/>
          <w:lang w:val="de-DE"/>
        </w:rPr>
        <w:t xml:space="preserve">Psaty BP, Lumley T, Furberg CD, Schellenbaum G, Pahor M, Alderman MH, Weiss NH. </w:t>
      </w:r>
      <w:r>
        <w:rPr>
          <w:rFonts w:cs="Arial"/>
          <w:szCs w:val="24"/>
        </w:rPr>
        <w:t>Health outcomes associated with various antihypertensive therapies used as first-line agents.  A network meta-analysis.  JAMA 2003;289:2534-2544.</w:t>
      </w:r>
    </w:p>
    <w:p>
      <w:pPr>
        <w:pStyle w:val="BodyText2"/>
        <w:numPr>
          <w:ilvl w:val="0"/>
          <w:numId w:val="2"/>
        </w:numPr>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4"/>
          <w:lang w:val="en-CA" w:eastAsia="en-CA"/>
        </w:rPr>
      </w:pPr>
      <w:r>
        <w:rPr>
          <w:rFonts w:cs="Arial"/>
          <w:szCs w:val="24"/>
        </w:rPr>
        <w:t xml:space="preserve">Blood Pressure Lowering Treatment Trialists’ Collaboration.  </w:t>
      </w:r>
      <w:r>
        <w:rPr>
          <w:rFonts w:cs="Arial"/>
          <w:szCs w:val="24"/>
          <w:lang w:val="en-CA" w:eastAsia="en-CA"/>
        </w:rPr>
        <w:t>Effects of different blood-pressure-lowering regimens on major cardiovascular events: results of prospectively-designed overviews of randomised trials</w:t>
      </w:r>
      <w:r>
        <w:rPr>
          <w:rFonts w:cs="Arial"/>
          <w:b/>
          <w:szCs w:val="24"/>
          <w:lang w:val="en-CA" w:eastAsia="en-CA"/>
        </w:rPr>
        <w:t>.</w:t>
      </w:r>
      <w:r>
        <w:rPr>
          <w:rFonts w:cs="Arial"/>
          <w:szCs w:val="24"/>
        </w:rPr>
        <w:t xml:space="preserve"> </w:t>
      </w:r>
      <w:r>
        <w:rPr>
          <w:rFonts w:cs="Arial"/>
          <w:szCs w:val="24"/>
          <w:lang w:val="en-CA" w:eastAsia="en-CA"/>
        </w:rPr>
        <w:t>Lancet 2003;362:1527-35.</w:t>
      </w:r>
    </w:p>
    <w:p>
      <w:pPr>
        <w:pStyle w:val="Normal"/>
        <w:numPr>
          <w:ilvl w:val="0"/>
          <w:numId w:val="2"/>
        </w:numPr>
        <w:spacing w:lineRule="auto" w:line="480"/>
        <w:rPr>
          <w:rFonts w:cs="Arial"/>
        </w:rPr>
      </w:pPr>
      <w:r>
        <w:rPr>
          <w:rFonts w:cs="Arial"/>
        </w:rPr>
        <w:t xml:space="preserve">Staessen JA, Wang J-G, Thijs L. Cardiovascular prevention and blood pressure reduction:  a quantitative overview updated until 1 March 2003. J Hypertens 2003; </w:t>
      </w:r>
      <w:r>
        <w:rPr>
          <w:rFonts w:cs="Arial"/>
          <w:b/>
        </w:rPr>
        <w:t>21</w:t>
      </w:r>
      <w:r>
        <w:rPr>
          <w:rFonts w:cs="Arial"/>
        </w:rPr>
        <w:t>(6):1055-1076.</w:t>
      </w:r>
    </w:p>
    <w:p>
      <w:pPr>
        <w:pStyle w:val="BodyText2"/>
        <w:numPr>
          <w:ilvl w:val="0"/>
          <w:numId w:val="2"/>
        </w:numPr>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rPr>
      </w:pPr>
      <w:r>
        <w:rPr>
          <w:rFonts w:cs="Arial"/>
        </w:rPr>
        <w:t>ALLHAT Officers and Coordinators for the ALLHAT Collaborative Research Group. Major outcomes in high-risk hypertensive patients randomized to angiotensin-converting enzyme inhibitor or calcium channel blocker vs. diuretic: The Antihypertensive and Lipid-Lowering Treatment to Prevent Heart Attack Trial  (ALLHAT). JAMA 2002;288(23):2981-97.</w:t>
      </w:r>
    </w:p>
    <w:p>
      <w:pPr>
        <w:pStyle w:val="Normal"/>
        <w:numPr>
          <w:ilvl w:val="0"/>
          <w:numId w:val="2"/>
        </w:numPr>
        <w:spacing w:lineRule="auto" w:line="480"/>
        <w:rPr>
          <w:rFonts w:cs="Arial"/>
        </w:rPr>
      </w:pPr>
      <w:r>
        <w:rPr>
          <w:rFonts w:cs="Arial"/>
        </w:rPr>
        <w:t>Neaton JD, Grimm RH, Prineas RJ, et al for the TOMHS Research Group.  Treatment of Mild Hypertension Study.  Final Results.  JAMA 1993;270:7113-24.</w:t>
      </w:r>
    </w:p>
    <w:p>
      <w:pPr>
        <w:pStyle w:val="Normal"/>
        <w:numPr>
          <w:ilvl w:val="0"/>
          <w:numId w:val="2"/>
        </w:numPr>
        <w:spacing w:lineRule="auto" w:line="480"/>
        <w:rPr>
          <w:rFonts w:cs="Arial"/>
        </w:rPr>
      </w:pPr>
      <w:r>
        <w:rPr>
          <w:rFonts w:cs="Arial"/>
          <w:lang w:val="sv-SE"/>
        </w:rPr>
        <w:t xml:space="preserve">Materson BJ, Reda DJ, Cushman WC, et al.  </w:t>
      </w:r>
      <w:r>
        <w:rPr>
          <w:rFonts w:cs="Arial"/>
        </w:rPr>
        <w:t>Single drug therapy for hypertension in men.  A comparison of six antihypertensive agents with placebo.  N Engl J Med 1993;328:914-21.</w:t>
      </w:r>
    </w:p>
    <w:p>
      <w:pPr>
        <w:pStyle w:val="Normal"/>
        <w:numPr>
          <w:ilvl w:val="0"/>
          <w:numId w:val="2"/>
        </w:numPr>
        <w:spacing w:lineRule="auto" w:line="480"/>
        <w:rPr>
          <w:rFonts w:cs="Arial"/>
        </w:rPr>
      </w:pPr>
      <w:r>
        <w:rPr>
          <w:rFonts w:cs="Arial"/>
        </w:rPr>
        <w:t>Hansson L, Lindholm L, Ekbom T, et al.  Randomised trial of old and new antihypertensive drugs in elderly patients: cardiovascular mortality and morbidity in the Swedish Trial in Old Patients with Hypertension-2 study.  Lancet 1999;354:1751-56.</w:t>
      </w:r>
    </w:p>
    <w:p>
      <w:pPr>
        <w:pStyle w:val="Normal"/>
        <w:numPr>
          <w:ilvl w:val="0"/>
          <w:numId w:val="2"/>
        </w:numPr>
        <w:spacing w:lineRule="auto" w:line="480"/>
        <w:rPr>
          <w:rFonts w:cs="Arial"/>
        </w:rPr>
      </w:pPr>
      <w:r>
        <w:rPr>
          <w:rFonts w:cs="Arial"/>
        </w:rPr>
        <w:t>National Institute for Health and Clinical Excellence/British Hypertension Society.  NICE Clinical Guideline No. 34.  Hypertension: Management of hypertension in adults in primary care.  June 28, 2006.  Available at www.nice.org.uk/CG034.</w:t>
      </w:r>
    </w:p>
    <w:p>
      <w:pPr>
        <w:pStyle w:val="Normal"/>
        <w:numPr>
          <w:ilvl w:val="0"/>
          <w:numId w:val="2"/>
        </w:numPr>
        <w:spacing w:lineRule="auto" w:line="480"/>
        <w:rPr>
          <w:rFonts w:cs="Arial"/>
        </w:rPr>
      </w:pPr>
      <w:r>
        <w:rPr>
          <w:rFonts w:cs="Arial"/>
        </w:rPr>
        <w:t>Fischer MA, Avorn J.  Economic implications of evidence-based prescribing for hypertension.  Can better care cost less?  JAMA 2004;291:1850-56.</w:t>
      </w:r>
    </w:p>
    <w:p>
      <w:pPr>
        <w:pStyle w:val="Normal"/>
        <w:numPr>
          <w:ilvl w:val="0"/>
          <w:numId w:val="2"/>
        </w:numPr>
        <w:spacing w:lineRule="auto" w:line="480"/>
        <w:rPr>
          <w:rFonts w:cs="Arial"/>
        </w:rPr>
      </w:pPr>
      <w:r>
        <w:rPr>
          <w:rFonts w:cs="Arial"/>
        </w:rPr>
        <w:t>Stafilas PC, Sarafidis PA, Lasaridis AN, Aletras VH, Niakas DA.  An economic evaluation of the 2003 European Society of Hypertension- European Society of Cardiology Guidelines for the management of mild-to-moderate hypertension in Greece.  Am J Hypertens 2005;18:1233-40.</w:t>
      </w:r>
    </w:p>
    <w:p>
      <w:pPr>
        <w:pStyle w:val="Normal"/>
        <w:numPr>
          <w:ilvl w:val="0"/>
          <w:numId w:val="2"/>
        </w:numPr>
        <w:spacing w:lineRule="auto" w:line="480"/>
        <w:rPr/>
      </w:pPr>
      <w:r>
        <w:rPr>
          <w:rFonts w:cs="Arial"/>
          <w:lang w:val="it-IT"/>
        </w:rPr>
        <w:t xml:space="preserve">Tu K, Campbell NRC, Duong-Hua M, McAlister FA. </w:t>
      </w:r>
      <w:r>
        <w:rPr>
          <w:rFonts w:cs="Arial"/>
        </w:rPr>
        <w:t>Hypertension Management in the Elderly Has Improved:  Ontario Prescribing Trends, 1994 to 2002. Hypertension 2005;45:1113-1118.</w:t>
      </w:r>
      <w:r>
        <w:rPr/>
        <w:t xml:space="preserve"> </w:t>
      </w:r>
    </w:p>
    <w:p>
      <w:pPr>
        <w:pStyle w:val="Normal"/>
        <w:numPr>
          <w:ilvl w:val="0"/>
          <w:numId w:val="2"/>
        </w:numPr>
        <w:spacing w:lineRule="auto" w:line="480"/>
        <w:rPr/>
      </w:pPr>
      <w:r>
        <w:rPr/>
        <w:t xml:space="preserve">Williams JI, Young W: A summary of studies on the quality of health care administrative databases in Canada.  In </w:t>
      </w:r>
      <w:r>
        <w:rPr>
          <w:i/>
        </w:rPr>
        <w:t>Patterns of Health Care in Ontario. The ICES Practice Atlas.</w:t>
      </w:r>
      <w:r>
        <w:rPr/>
        <w:t xml:space="preserve"> Goel V, Williams JI, Anderson GM, Blackstein-Hirsh P, Fooks C, Naylor CD, Eds.  Ottawa, Canadian Medical Association, 1996, p. 339-345.</w:t>
      </w:r>
    </w:p>
    <w:p>
      <w:pPr>
        <w:pStyle w:val="Normal"/>
        <w:numPr>
          <w:ilvl w:val="0"/>
          <w:numId w:val="2"/>
        </w:numPr>
        <w:spacing w:lineRule="auto" w:line="480"/>
        <w:rPr/>
      </w:pPr>
      <w:r>
        <w:rPr/>
        <w:t>Hux JE, Ivis F, Flintoft V, Bica A: Diabetes in Ontario: determination of prevalence and incidence using a validated administrative data algorithm. Diabetes Care 25:52-516, 2002</w:t>
      </w:r>
    </w:p>
    <w:p>
      <w:pPr>
        <w:pStyle w:val="Normal"/>
        <w:numPr>
          <w:ilvl w:val="0"/>
          <w:numId w:val="2"/>
        </w:numPr>
        <w:spacing w:lineRule="auto" w:line="480"/>
        <w:rPr/>
      </w:pPr>
      <w:r>
        <w:rPr/>
        <w:t>Salient Features of the Laboratory Industry in Ontario, 1992-93. Toronto: Ontario Ministry of Health 1995</w:t>
      </w:r>
    </w:p>
    <w:p>
      <w:pPr>
        <w:pStyle w:val="Normal"/>
        <w:numPr>
          <w:ilvl w:val="0"/>
          <w:numId w:val="2"/>
        </w:numPr>
        <w:spacing w:lineRule="auto" w:line="480"/>
        <w:rPr/>
      </w:pPr>
      <w:r>
        <w:rPr/>
        <w:t>van Walraven C, Goel, V, Chan B. Effect of population-based interventions on laboratory utilization: A time-series analysis. JAMA 1998;280:2028-2033</w:t>
      </w:r>
    </w:p>
    <w:p>
      <w:pPr>
        <w:pStyle w:val="Normal"/>
        <w:numPr>
          <w:ilvl w:val="0"/>
          <w:numId w:val="2"/>
        </w:numPr>
        <w:spacing w:lineRule="auto" w:line="480"/>
        <w:rPr>
          <w:rFonts w:cs="Arial"/>
        </w:rPr>
      </w:pPr>
      <w:r>
        <w:rPr>
          <w:rFonts w:cs="Arial"/>
        </w:rPr>
        <w:t>van Walraven C, Raymond M.  Population-based study of repeat laboratory testing.  Clin Chemistry 2003;49:1997-2005.</w:t>
      </w:r>
    </w:p>
    <w:p>
      <w:pPr>
        <w:pStyle w:val="Normal"/>
        <w:numPr>
          <w:ilvl w:val="0"/>
          <w:numId w:val="2"/>
        </w:numPr>
        <w:spacing w:lineRule="auto" w:line="480"/>
        <w:rPr/>
      </w:pPr>
      <w:r>
        <w:rPr>
          <w:lang w:val="it-IT"/>
        </w:rPr>
        <w:t xml:space="preserve">Charlson ME, Pompei P, Ales KL, MacKenzie CR. </w:t>
      </w:r>
      <w:r>
        <w:rPr/>
        <w:t>A new method of classifying prognostic comorbidity in longitudinal studies: Development and validation. J Chron Dis 1987;40:373-383.</w:t>
      </w:r>
    </w:p>
    <w:p>
      <w:pPr>
        <w:pStyle w:val="Normal"/>
        <w:numPr>
          <w:ilvl w:val="0"/>
          <w:numId w:val="2"/>
        </w:numPr>
        <w:spacing w:lineRule="auto" w:line="480"/>
        <w:rPr>
          <w:rFonts w:cs="Arial"/>
        </w:rPr>
      </w:pPr>
      <w:r>
        <w:rPr>
          <w:rFonts w:cs="Arial"/>
        </w:rPr>
        <w:t xml:space="preserve">Khan N, McAlister FA.  Re-examining the efficacy of </w:t>
      </w:r>
      <w:r>
        <w:rPr>
          <w:rFonts w:ascii="Symbol" w:hAnsi="Symbol"/>
        </w:rPr>
        <w:t></w:t>
      </w:r>
      <w:r>
        <w:rPr>
          <w:rFonts w:cs="Arial"/>
        </w:rPr>
        <w:t>-blockers for the treatment of hypertension: a meta-analysis.  CMAJ 2006;174:1737-42.</w:t>
      </w:r>
    </w:p>
    <w:p>
      <w:pPr>
        <w:pStyle w:val="Normal"/>
        <w:numPr>
          <w:ilvl w:val="0"/>
          <w:numId w:val="2"/>
        </w:numPr>
        <w:spacing w:lineRule="auto" w:line="480"/>
        <w:rPr>
          <w:rFonts w:cs="Arial"/>
        </w:rPr>
      </w:pPr>
      <w:r>
        <w:rPr>
          <w:rFonts w:cs="Arial"/>
        </w:rPr>
        <w:t xml:space="preserve">Messerli FH, Grossman E, Goldbourt U.  Are </w:t>
      </w:r>
      <w:r>
        <w:rPr>
          <w:rFonts w:ascii="Symbol" w:hAnsi="Symbol"/>
        </w:rPr>
        <w:t></w:t>
      </w:r>
      <w:r>
        <w:rPr>
          <w:rFonts w:cs="Arial"/>
        </w:rPr>
        <w:t>–blockers efficacious as first-line therapy for hypertension in the elderly?  JAMA 1998;279:1903-7.</w:t>
      </w:r>
    </w:p>
    <w:p>
      <w:pPr>
        <w:pStyle w:val="Normal"/>
        <w:numPr>
          <w:ilvl w:val="0"/>
          <w:numId w:val="2"/>
        </w:numPr>
        <w:spacing w:lineRule="auto" w:line="480"/>
        <w:jc w:val="both"/>
        <w:rPr>
          <w:rFonts w:cs="Arial"/>
        </w:rPr>
      </w:pPr>
      <w:r>
        <w:rPr>
          <w:rFonts w:cs="Arial"/>
          <w:lang w:val="sv-SE"/>
        </w:rPr>
        <w:t xml:space="preserve">Hemmelgarn BR, McAlister FA, Myers MG, et al.  </w:t>
      </w:r>
      <w:r>
        <w:rPr>
          <w:rFonts w:cs="Arial"/>
        </w:rPr>
        <w:t>The 2005 Canadian Hypertension Education Program recommendations for the management of hypertension : Part 1- Blood pressure measurement, diagnosis, and assessment of risk.  Can J Cardiol 2005;21:645-56.</w:t>
      </w:r>
    </w:p>
    <w:p>
      <w:pPr>
        <w:pStyle w:val="Normal"/>
        <w:numPr>
          <w:ilvl w:val="0"/>
          <w:numId w:val="2"/>
        </w:numPr>
        <w:spacing w:lineRule="auto" w:line="480"/>
        <w:rPr>
          <w:rFonts w:cs="Arial"/>
        </w:rPr>
      </w:pPr>
      <w:r>
        <w:rPr>
          <w:rFonts w:cs="Arial"/>
        </w:rPr>
        <w:t>Chobanian AV, Bakris GL, Black HR, Cushman WC, Green LA, Izzo JLJr, et al. The Seventh Report of the Joint National Committee on Prevention, Detection, Evaluation, and Treatment of High Blood Pressure.  The JNC 7 Report. JAMA 2003; 289:2560-2572.</w:t>
      </w:r>
    </w:p>
    <w:p>
      <w:pPr>
        <w:pStyle w:val="Normal"/>
        <w:numPr>
          <w:ilvl w:val="0"/>
          <w:numId w:val="2"/>
        </w:numPr>
        <w:spacing w:lineRule="auto" w:line="480"/>
        <w:rPr>
          <w:rFonts w:cs="Arial"/>
        </w:rPr>
      </w:pPr>
      <w:r>
        <w:rPr>
          <w:rFonts w:cs="Arial"/>
        </w:rPr>
        <w:t>Gu Q, Paulose-Ram R, Dillon C, Burt V. Antihypertensive Medication Use Among US Adults With Hypertension. Circulation 2006; 113:213-221.</w:t>
      </w:r>
    </w:p>
    <w:p>
      <w:pPr>
        <w:pStyle w:val="Normal"/>
        <w:numPr>
          <w:ilvl w:val="0"/>
          <w:numId w:val="2"/>
        </w:numPr>
        <w:spacing w:lineRule="auto" w:line="480"/>
        <w:rPr/>
      </w:pPr>
      <w:r>
        <w:rPr/>
        <w:t>Monane M, Bohn RL, Gurwitz JH, Glynn RJ, Levin R, Avorn J.  The effects of initial drug choice and comorbidity on antihypertensive therapy compliance. Results from a population-based study in the elderly.  Am J Hypertens 1997;10:697-704</w:t>
      </w:r>
    </w:p>
    <w:p>
      <w:pPr>
        <w:pStyle w:val="Normal"/>
        <w:numPr>
          <w:ilvl w:val="0"/>
          <w:numId w:val="2"/>
        </w:numPr>
        <w:spacing w:lineRule="auto" w:line="480"/>
        <w:rPr/>
      </w:pPr>
      <w:r>
        <w:rPr>
          <w:lang w:val="fr-FR"/>
        </w:rPr>
        <w:t xml:space="preserve">Bourgault C, Rainville B, Suissa S.  </w:t>
      </w:r>
      <w:r>
        <w:rPr/>
        <w:t>Antihypertensive drug therapy in Saskatchewan: Patterns of use and determinants in hypertension.  Arch Intern Med 2001;161:1873-1879</w:t>
      </w:r>
    </w:p>
    <w:p>
      <w:pPr>
        <w:pStyle w:val="Normal"/>
        <w:numPr>
          <w:ilvl w:val="0"/>
          <w:numId w:val="2"/>
        </w:numPr>
        <w:spacing w:lineRule="auto" w:line="480"/>
        <w:rPr/>
      </w:pPr>
      <w:r>
        <w:rPr>
          <w:lang w:val="fr-FR"/>
        </w:rPr>
        <w:t xml:space="preserve">Cushman WC, Ford CE, Cutler JA, et al.  </w:t>
      </w:r>
      <w:r>
        <w:rPr/>
        <w:t>Success and predictors of blood pressure control in diverse North American settings: The Antihypertensive and Lipid-Lowering Treatment to Prevent Heart Attack Trial (ALLHAT). J Clin Hypertens 2002;4:393-404.</w:t>
      </w:r>
    </w:p>
    <w:p>
      <w:pPr>
        <w:pStyle w:val="Normal"/>
        <w:numPr>
          <w:ilvl w:val="0"/>
          <w:numId w:val="2"/>
        </w:numPr>
        <w:spacing w:lineRule="auto" w:line="480"/>
        <w:rPr>
          <w:rFonts w:cs="Arial"/>
        </w:rPr>
      </w:pPr>
      <w:r>
        <w:rPr>
          <w:rFonts w:cs="Arial"/>
        </w:rPr>
        <w:t>Hurley JS, Roberts M, Solberg LI, et al.  Laboratory safety monitoring of chronic medications in ambulatory care settings.  J Gen Intern Med 2005;20:331-33.</w:t>
      </w:r>
    </w:p>
    <w:p>
      <w:pPr>
        <w:pStyle w:val="Normal"/>
        <w:numPr>
          <w:ilvl w:val="0"/>
          <w:numId w:val="2"/>
        </w:numPr>
        <w:spacing w:lineRule="auto" w:line="480"/>
        <w:rPr>
          <w:rFonts w:cs="Arial"/>
        </w:rPr>
      </w:pPr>
      <w:r>
        <w:rPr>
          <w:rFonts w:cs="Arial"/>
          <w:lang w:val="it-IT"/>
        </w:rPr>
        <w:t xml:space="preserve">Raebel MA, McClure DL, Simon SR, et al.  </w:t>
      </w:r>
      <w:r>
        <w:rPr>
          <w:rFonts w:cs="Arial"/>
        </w:rPr>
        <w:t>Laboratory monitoring of potassium and creatinine in ambulatory patients receiving angiotensin converting enzyme inhibitors and angiotensin receptor blockers.  Pharmacoepidemiol Drug Saf 2006;(in press)</w:t>
      </w:r>
    </w:p>
    <w:p>
      <w:pPr>
        <w:pStyle w:val="Normal"/>
        <w:numPr>
          <w:ilvl w:val="0"/>
          <w:numId w:val="2"/>
        </w:numPr>
        <w:spacing w:lineRule="auto" w:line="480"/>
        <w:rPr>
          <w:rFonts w:cs="Arial"/>
        </w:rPr>
      </w:pPr>
      <w:r>
        <w:rPr>
          <w:rFonts w:cs="Arial"/>
        </w:rPr>
        <w:t xml:space="preserve">Raebel MA, Lyons EE, Andrade SE, et al.  Laboratory monitoring of drugs at initiation of therapy in ambulatory care.  J Gen Intern Med 2005;20:1120-26.  </w:t>
      </w:r>
    </w:p>
    <w:p>
      <w:pPr>
        <w:pStyle w:val="Normal"/>
        <w:numPr>
          <w:ilvl w:val="0"/>
          <w:numId w:val="2"/>
        </w:numPr>
        <w:spacing w:lineRule="auto" w:line="480"/>
        <w:rPr>
          <w:rFonts w:cs="Arial"/>
        </w:rPr>
      </w:pPr>
      <w:r>
        <w:rPr>
          <w:rFonts w:cs="Arial"/>
          <w:lang w:val="fr-FR"/>
        </w:rPr>
        <w:t xml:space="preserve">Simon SR, Andrade SE, Ellis JL, et al.  </w:t>
      </w:r>
      <w:r>
        <w:rPr>
          <w:rFonts w:cs="Arial"/>
        </w:rPr>
        <w:t>Baseline laboratory monitoring of cardiovascular medicines in ambulatory care among elderly HMO enrollees in the US.  J Am Geriatr Soc 2005;53:2165-69.</w:t>
      </w:r>
    </w:p>
    <w:p>
      <w:pPr>
        <w:pStyle w:val="Normal"/>
        <w:numPr>
          <w:ilvl w:val="0"/>
          <w:numId w:val="2"/>
        </w:numPr>
        <w:spacing w:lineRule="auto" w:line="480"/>
        <w:rPr>
          <w:rFonts w:cs="Arial"/>
        </w:rPr>
      </w:pPr>
      <w:r>
        <w:rPr>
          <w:rFonts w:cs="Arial"/>
        </w:rPr>
        <w:t>Onysko J, Maxwell C, Eliasziw M, Zhang JX, Campbell NRC.  Increases in the diagnosis and drug treatment of hypertensive Canadians.  Can J Cardiol</w:t>
      </w:r>
      <w:r>
        <w:rPr>
          <w:rFonts w:cs="Arial"/>
          <w:i/>
        </w:rPr>
        <w:t xml:space="preserve"> </w:t>
      </w:r>
      <w:r>
        <w:rPr>
          <w:rFonts w:cs="Arial"/>
        </w:rPr>
        <w:t>2005;21(suppl C):123.[abstract]</w:t>
      </w:r>
    </w:p>
    <w:p>
      <w:pPr>
        <w:pStyle w:val="Normal"/>
        <w:numPr>
          <w:ilvl w:val="0"/>
          <w:numId w:val="2"/>
        </w:numPr>
        <w:spacing w:lineRule="auto" w:line="480"/>
        <w:rPr>
          <w:rFonts w:cs="Arial"/>
        </w:rPr>
      </w:pPr>
      <w:r>
        <w:rPr>
          <w:rFonts w:cs="Arial"/>
        </w:rPr>
        <w:t xml:space="preserve">Hajjar I, Kotchen TA.  Trends in Prevalence, Awareness, Treatment, and Control of Hypertension in the United States, 1988-2000. </w:t>
      </w:r>
      <w:r>
        <w:rPr>
          <w:rFonts w:cs="Arial"/>
          <w:i/>
        </w:rPr>
        <w:t xml:space="preserve"> </w:t>
      </w:r>
      <w:r>
        <w:rPr>
          <w:rFonts w:cs="Arial"/>
        </w:rPr>
        <w:t>JAMA 2003;290:199-206.</w:t>
      </w:r>
    </w:p>
    <w:p>
      <w:pPr>
        <w:pStyle w:val="Normal"/>
        <w:numPr>
          <w:ilvl w:val="0"/>
          <w:numId w:val="2"/>
        </w:numPr>
        <w:spacing w:lineRule="auto" w:line="480"/>
        <w:rPr/>
      </w:pPr>
      <w:r>
        <w:rPr/>
        <w:t xml:space="preserve">Fields LE, Burt VL, Cutler JA, Hughes J, Roccella EJ, Sorlie P.  </w:t>
      </w:r>
      <w:r>
        <w:rPr>
          <w:rFonts w:cs="Arial"/>
        </w:rPr>
        <w:t xml:space="preserve">The burden of adult hypertension in the United States 1999 to 2000.  A rising tide. </w:t>
      </w:r>
      <w:r>
        <w:rPr/>
        <w:t>Hypertension 2004;44:398-404.</w:t>
      </w:r>
    </w:p>
    <w:p>
      <w:pPr>
        <w:pStyle w:val="Normal"/>
        <w:spacing w:lineRule="auto" w:line="480"/>
        <w:ind w:left="360" w:right="0" w:hanging="0"/>
        <w:rPr>
          <w:rFonts w:cs="Arial"/>
        </w:rPr>
      </w:pPr>
      <w:r>
        <w:rPr>
          <w:rFonts w:cs="Arial"/>
        </w:rPr>
      </w:r>
    </w:p>
    <w:p>
      <w:pPr>
        <w:sectPr>
          <w:footerReference w:type="default" r:id="rId2"/>
          <w:type w:val="nextPage"/>
          <w:pgSz w:w="12240" w:h="15840"/>
          <w:pgMar w:left="1800" w:right="1800" w:header="0" w:top="1440" w:footer="720" w:bottom="1440" w:gutter="0"/>
          <w:pgNumType w:start="1" w:fmt="decimal"/>
          <w:formProt w:val="false"/>
          <w:textDirection w:val="lrTb"/>
          <w:docGrid w:type="default" w:linePitch="360" w:charSpace="0"/>
        </w:sectPr>
        <w:pStyle w:val="CommentText"/>
        <w:rPr>
          <w:rFonts w:cs="Arial"/>
        </w:rPr>
      </w:pPr>
      <w:r>
        <w:rPr>
          <w:rFonts w:cs="Arial"/>
        </w:rPr>
      </w:r>
    </w:p>
    <w:p>
      <w:pPr>
        <w:pStyle w:val="Normal"/>
        <w:spacing w:lineRule="auto" w:line="480"/>
        <w:ind w:left="360" w:right="0" w:hanging="0"/>
        <w:rPr>
          <w:rFonts w:cs="Arial"/>
          <w:b/>
        </w:rPr>
      </w:pPr>
      <w:r>
        <w:rPr>
          <w:rFonts w:cs="Arial"/>
          <w:b/>
        </w:rPr>
        <w:t>Table 1:</w:t>
        <w:tab/>
        <w:t>Baseline demographics and test ordering frequency, antihypertensive prescriptions, and duration of monotherapy in a cohort of elderly hypertensives</w:t>
      </w:r>
    </w:p>
    <w:tbl>
      <w:tblPr>
        <w:jc w:val="left"/>
        <w:tblInd w:w="-15" w:type="dxa"/>
        <w:tblBorders>
          <w:top w:val="single" w:sz="12" w:space="0" w:color="000000"/>
          <w:left w:val="single" w:sz="12" w:space="0" w:color="000000"/>
          <w:bottom w:val="single" w:sz="6" w:space="0" w:color="000000"/>
          <w:insideH w:val="single" w:sz="6" w:space="0" w:color="000000"/>
          <w:right w:val="nil"/>
          <w:insideV w:val="nil"/>
        </w:tblBorders>
        <w:tblCellMar>
          <w:top w:w="0" w:type="dxa"/>
          <w:left w:w="93" w:type="dxa"/>
          <w:bottom w:w="0" w:type="dxa"/>
          <w:right w:w="108" w:type="dxa"/>
        </w:tblCellMar>
      </w:tblPr>
      <w:tblGrid>
        <w:gridCol w:w="4068"/>
        <w:gridCol w:w="1636"/>
        <w:gridCol w:w="1605"/>
        <w:gridCol w:w="1358"/>
        <w:gridCol w:w="1550"/>
        <w:gridCol w:w="1647"/>
        <w:gridCol w:w="1559"/>
      </w:tblGrid>
      <w:tr>
        <w:trPr>
          <w:trHeight w:val="255" w:hRule="atLeast"/>
          <w:cantSplit w:val="false"/>
        </w:trPr>
        <w:tc>
          <w:tcPr>
            <w:tcW w:w="4068" w:type="dxa"/>
            <w:vMerge w:val="restart"/>
            <w:tcBorders>
              <w:top w:val="single" w:sz="12"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rPr>
                <w:rFonts w:cs="Arial"/>
                <w:sz w:val="20"/>
                <w:szCs w:val="20"/>
              </w:rPr>
            </w:pPr>
            <w:r>
              <w:rPr>
                <w:rFonts w:cs="Arial"/>
                <w:sz w:val="20"/>
                <w:szCs w:val="20"/>
              </w:rPr>
              <w:t> </w:t>
            </w:r>
          </w:p>
          <w:p>
            <w:pPr>
              <w:pStyle w:val="Normal"/>
              <w:rPr>
                <w:rFonts w:cs="Arial"/>
                <w:sz w:val="20"/>
                <w:szCs w:val="20"/>
              </w:rPr>
            </w:pPr>
            <w:r>
              <w:rPr>
                <w:rFonts w:cs="Arial"/>
                <w:sz w:val="20"/>
                <w:szCs w:val="20"/>
              </w:rPr>
              <w:t> </w:t>
            </w:r>
          </w:p>
        </w:tc>
        <w:tc>
          <w:tcPr>
            <w:tcW w:w="1636" w:type="dxa"/>
            <w:vMerge w:val="restart"/>
            <w:tcBorders>
              <w:top w:val="single" w:sz="12"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snapToGrid w:val="false"/>
              <w:rPr>
                <w:rFonts w:cs="Arial"/>
                <w:b/>
                <w:sz w:val="20"/>
                <w:szCs w:val="20"/>
              </w:rPr>
            </w:pPr>
            <w:r>
              <w:rPr>
                <w:rFonts w:cs="Arial"/>
                <w:b/>
                <w:sz w:val="20"/>
                <w:szCs w:val="20"/>
              </w:rPr>
            </w:r>
          </w:p>
          <w:p>
            <w:pPr>
              <w:pStyle w:val="Normal"/>
              <w:rPr>
                <w:rFonts w:cs="Arial"/>
                <w:b/>
                <w:sz w:val="20"/>
                <w:szCs w:val="20"/>
              </w:rPr>
            </w:pPr>
            <w:r>
              <w:rPr>
                <w:rFonts w:cs="Arial"/>
                <w:b/>
                <w:sz w:val="20"/>
                <w:szCs w:val="20"/>
              </w:rPr>
            </w:r>
          </w:p>
          <w:p>
            <w:pPr>
              <w:pStyle w:val="Normal"/>
              <w:rPr>
                <w:rFonts w:cs="Arial"/>
                <w:b/>
                <w:sz w:val="20"/>
                <w:szCs w:val="20"/>
              </w:rPr>
            </w:pPr>
            <w:r>
              <w:rPr>
                <w:rFonts w:cs="Arial"/>
                <w:b/>
                <w:sz w:val="20"/>
                <w:szCs w:val="20"/>
              </w:rPr>
            </w:r>
          </w:p>
          <w:p>
            <w:pPr>
              <w:pStyle w:val="Normal"/>
              <w:rPr>
                <w:rFonts w:cs="Arial"/>
                <w:b/>
                <w:sz w:val="20"/>
                <w:szCs w:val="20"/>
              </w:rPr>
            </w:pPr>
            <w:r>
              <w:rPr>
                <w:rFonts w:cs="Arial"/>
                <w:b/>
                <w:sz w:val="20"/>
                <w:szCs w:val="20"/>
              </w:rPr>
              <w:t>Total</w:t>
            </w:r>
          </w:p>
        </w:tc>
        <w:tc>
          <w:tcPr>
            <w:tcW w:w="7719" w:type="dxa"/>
            <w:gridSpan w:val="5"/>
            <w:tcBorders>
              <w:top w:val="single" w:sz="12"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snapToGrid w:val="false"/>
              <w:jc w:val="center"/>
              <w:rPr>
                <w:rFonts w:cs="Arial"/>
                <w:b/>
                <w:sz w:val="20"/>
                <w:szCs w:val="20"/>
              </w:rPr>
            </w:pPr>
            <w:r>
              <w:rPr>
                <w:rFonts w:cs="Arial"/>
                <w:b/>
                <w:sz w:val="20"/>
                <w:szCs w:val="20"/>
              </w:rPr>
            </w:r>
          </w:p>
          <w:p>
            <w:pPr>
              <w:pStyle w:val="Normal"/>
              <w:jc w:val="center"/>
              <w:rPr>
                <w:rFonts w:cs="Arial"/>
                <w:b/>
                <w:sz w:val="20"/>
                <w:szCs w:val="20"/>
              </w:rPr>
            </w:pPr>
            <w:r>
              <w:rPr>
                <w:rFonts w:cs="Arial"/>
                <w:b/>
                <w:sz w:val="20"/>
                <w:szCs w:val="20"/>
              </w:rPr>
            </w:r>
          </w:p>
          <w:p>
            <w:pPr>
              <w:pStyle w:val="Normal"/>
              <w:jc w:val="center"/>
              <w:rPr>
                <w:rFonts w:cs="Arial"/>
                <w:b/>
                <w:sz w:val="20"/>
                <w:szCs w:val="20"/>
              </w:rPr>
            </w:pPr>
            <w:r>
              <w:rPr>
                <w:rFonts w:cs="Arial"/>
                <w:b/>
                <w:sz w:val="20"/>
                <w:szCs w:val="20"/>
              </w:rPr>
              <w:t>Initially prescribed antihypertensive class</w:t>
            </w:r>
          </w:p>
          <w:p>
            <w:pPr>
              <w:pStyle w:val="Normal"/>
              <w:jc w:val="center"/>
              <w:rPr>
                <w:rFonts w:cs="Arial"/>
                <w:b/>
                <w:sz w:val="20"/>
                <w:szCs w:val="20"/>
              </w:rPr>
            </w:pPr>
            <w:r>
              <w:rPr>
                <w:rFonts w:cs="Arial"/>
                <w:b/>
                <w:sz w:val="20"/>
                <w:szCs w:val="20"/>
              </w:rPr>
            </w:r>
          </w:p>
        </w:tc>
      </w:tr>
      <w:tr>
        <w:trPr>
          <w:trHeight w:val="255" w:hRule="atLeast"/>
          <w:cantSplit w:val="false"/>
        </w:trPr>
        <w:tc>
          <w:tcPr>
            <w:tcW w:w="4068"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rPr>
                <w:rFonts w:cs="Arial" w:ascii="Times New Roman" w:hAnsi="Times New Roman"/>
                <w:sz w:val="20"/>
                <w:szCs w:val="20"/>
              </w:rPr>
            </w:pPr>
            <w:r>
              <w:rPr>
                <w:rFonts w:cs="Arial" w:ascii="Times New Roman" w:hAnsi="Times New Roman"/>
                <w:sz w:val="20"/>
                <w:szCs w:val="20"/>
              </w:rPr>
            </w:r>
          </w:p>
        </w:tc>
        <w:tc>
          <w:tcPr>
            <w:tcW w:w="1636" w:type="dxa"/>
            <w:vMerge w:val="continue"/>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snapToGrid w:val="false"/>
              <w:rPr>
                <w:rFonts w:cs="Arial"/>
                <w:sz w:val="20"/>
                <w:szCs w:val="20"/>
              </w:rPr>
            </w:pPr>
            <w:r>
              <w:rPr>
                <w:rFonts w:cs="Arial"/>
                <w:sz w:val="20"/>
                <w:szCs w:val="20"/>
              </w:rPr>
            </w:r>
          </w:p>
        </w:tc>
        <w:tc>
          <w:tcPr>
            <w:tcW w:w="1605"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b/>
                <w:sz w:val="20"/>
                <w:szCs w:val="20"/>
              </w:rPr>
            </w:pPr>
            <w:r>
              <w:rPr>
                <w:rFonts w:cs="Arial"/>
                <w:b/>
                <w:sz w:val="20"/>
                <w:szCs w:val="20"/>
              </w:rPr>
              <w:t>ACE inhibitor</w:t>
            </w:r>
          </w:p>
        </w:tc>
        <w:tc>
          <w:tcPr>
            <w:tcW w:w="1358"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b/>
                <w:sz w:val="20"/>
                <w:szCs w:val="20"/>
              </w:rPr>
            </w:pPr>
            <w:r>
              <w:rPr>
                <w:rFonts w:cs="Arial"/>
                <w:b/>
                <w:sz w:val="20"/>
                <w:szCs w:val="20"/>
              </w:rPr>
              <w:t>ARB</w:t>
            </w:r>
          </w:p>
        </w:tc>
        <w:tc>
          <w:tcPr>
            <w:tcW w:w="155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b/>
                <w:sz w:val="20"/>
                <w:szCs w:val="20"/>
              </w:rPr>
            </w:pPr>
            <w:r>
              <w:rPr>
                <w:rFonts w:cs="Arial"/>
                <w:b/>
                <w:sz w:val="20"/>
                <w:szCs w:val="20"/>
              </w:rPr>
              <w:t>Beta Blocker</w:t>
            </w:r>
          </w:p>
        </w:tc>
        <w:tc>
          <w:tcPr>
            <w:tcW w:w="1647"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b/>
                <w:sz w:val="20"/>
                <w:szCs w:val="20"/>
              </w:rPr>
            </w:pPr>
            <w:r>
              <w:rPr>
                <w:rFonts w:cs="Arial"/>
                <w:b/>
                <w:sz w:val="20"/>
                <w:szCs w:val="20"/>
              </w:rPr>
              <w:t>Calcium Channel Blocker</w:t>
            </w:r>
          </w:p>
        </w:tc>
        <w:tc>
          <w:tcPr>
            <w:tcW w:w="1559"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b/>
                <w:sz w:val="20"/>
                <w:szCs w:val="20"/>
              </w:rPr>
            </w:pPr>
            <w:r>
              <w:rPr>
                <w:rFonts w:cs="Arial"/>
                <w:b/>
                <w:sz w:val="20"/>
                <w:szCs w:val="20"/>
              </w:rPr>
              <w:t>Thiazides</w:t>
            </w:r>
          </w:p>
        </w:tc>
      </w:tr>
      <w:tr>
        <w:trPr>
          <w:trHeight w:val="315" w:hRule="atLeast"/>
          <w:cantSplit w:val="false"/>
        </w:trPr>
        <w:tc>
          <w:tcPr>
            <w:tcW w:w="4068" w:type="dxa"/>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rPr>
                <w:rFonts w:cs="Arial"/>
                <w:sz w:val="20"/>
                <w:szCs w:val="20"/>
              </w:rPr>
            </w:pPr>
            <w:r>
              <w:rPr>
                <w:rFonts w:cs="Arial"/>
                <w:sz w:val="20"/>
                <w:szCs w:val="20"/>
              </w:rPr>
              <w:t xml:space="preserve">Initiated on agent as first choice </w:t>
            </w:r>
          </w:p>
        </w:tc>
        <w:tc>
          <w:tcPr>
            <w:tcW w:w="163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164,413</w:t>
            </w:r>
          </w:p>
        </w:tc>
        <w:tc>
          <w:tcPr>
            <w:tcW w:w="1605"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48,810 (30%)</w:t>
            </w:r>
          </w:p>
        </w:tc>
        <w:tc>
          <w:tcPr>
            <w:tcW w:w="1358"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1,479 (1%)</w:t>
            </w:r>
          </w:p>
        </w:tc>
        <w:tc>
          <w:tcPr>
            <w:tcW w:w="155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24,274 (15%)</w:t>
            </w:r>
          </w:p>
        </w:tc>
        <w:tc>
          <w:tcPr>
            <w:tcW w:w="1647"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25,393 (15%)</w:t>
            </w:r>
          </w:p>
        </w:tc>
        <w:tc>
          <w:tcPr>
            <w:tcW w:w="1559"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64,457 (39%)</w:t>
            </w:r>
          </w:p>
        </w:tc>
      </w:tr>
      <w:tr>
        <w:trPr>
          <w:trHeight w:val="315" w:hRule="atLeast"/>
          <w:cantSplit w:val="false"/>
        </w:trPr>
        <w:tc>
          <w:tcPr>
            <w:tcW w:w="4068" w:type="dxa"/>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rPr>
                <w:rFonts w:cs="Arial"/>
                <w:sz w:val="20"/>
                <w:szCs w:val="20"/>
              </w:rPr>
            </w:pPr>
            <w:r>
              <w:rPr>
                <w:rFonts w:cs="Arial"/>
                <w:sz w:val="20"/>
                <w:szCs w:val="20"/>
              </w:rPr>
              <w:t>Mean age (SD)</w:t>
            </w:r>
          </w:p>
        </w:tc>
        <w:tc>
          <w:tcPr>
            <w:tcW w:w="163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73.1 (6.1)</w:t>
            </w:r>
          </w:p>
        </w:tc>
        <w:tc>
          <w:tcPr>
            <w:tcW w:w="1605"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72.6 (5.8)</w:t>
            </w:r>
          </w:p>
        </w:tc>
        <w:tc>
          <w:tcPr>
            <w:tcW w:w="1358"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71.0 (5.2)</w:t>
            </w:r>
          </w:p>
        </w:tc>
        <w:tc>
          <w:tcPr>
            <w:tcW w:w="155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72.3 (5.6)</w:t>
            </w:r>
          </w:p>
        </w:tc>
        <w:tc>
          <w:tcPr>
            <w:tcW w:w="1647"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72.8 (5.9)</w:t>
            </w:r>
          </w:p>
        </w:tc>
        <w:tc>
          <w:tcPr>
            <w:tcW w:w="1559"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vAlign w:val="bottom"/>
          </w:tcPr>
          <w:p>
            <w:pPr>
              <w:pStyle w:val="Normal"/>
              <w:jc w:val="center"/>
              <w:rPr>
                <w:rFonts w:cs="Arial"/>
                <w:sz w:val="20"/>
                <w:szCs w:val="20"/>
              </w:rPr>
            </w:pPr>
            <w:r>
              <w:rPr>
                <w:rFonts w:cs="Arial"/>
                <w:sz w:val="20"/>
                <w:szCs w:val="20"/>
              </w:rPr>
              <w:t>73.9 (6.5)</w:t>
            </w:r>
          </w:p>
        </w:tc>
      </w:tr>
      <w:tr>
        <w:trPr>
          <w:trHeight w:val="315" w:hRule="atLeast"/>
          <w:cantSplit w:val="false"/>
        </w:trPr>
        <w:tc>
          <w:tcPr>
            <w:tcW w:w="4068" w:type="dxa"/>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rPr>
                <w:rFonts w:cs="Arial"/>
                <w:sz w:val="20"/>
                <w:szCs w:val="20"/>
              </w:rPr>
            </w:pPr>
            <w:r>
              <w:rPr>
                <w:rFonts w:cs="Arial"/>
                <w:sz w:val="20"/>
                <w:szCs w:val="20"/>
              </w:rPr>
              <w:t>Male (%)</w:t>
            </w:r>
          </w:p>
        </w:tc>
        <w:tc>
          <w:tcPr>
            <w:tcW w:w="163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60,340 (37%)</w:t>
            </w:r>
          </w:p>
        </w:tc>
        <w:tc>
          <w:tcPr>
            <w:tcW w:w="1605"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20,549 (42%)</w:t>
            </w:r>
          </w:p>
        </w:tc>
        <w:tc>
          <w:tcPr>
            <w:tcW w:w="1358"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640 (43%)</w:t>
            </w:r>
          </w:p>
        </w:tc>
        <w:tc>
          <w:tcPr>
            <w:tcW w:w="155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9,491 (39%)</w:t>
            </w:r>
          </w:p>
        </w:tc>
        <w:tc>
          <w:tcPr>
            <w:tcW w:w="1647"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10,208 (40%)</w:t>
            </w:r>
          </w:p>
        </w:tc>
        <w:tc>
          <w:tcPr>
            <w:tcW w:w="1559"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vAlign w:val="bottom"/>
          </w:tcPr>
          <w:p>
            <w:pPr>
              <w:pStyle w:val="Normal"/>
              <w:jc w:val="center"/>
              <w:rPr>
                <w:rFonts w:cs="Arial"/>
                <w:sz w:val="20"/>
                <w:szCs w:val="20"/>
              </w:rPr>
            </w:pPr>
            <w:r>
              <w:rPr>
                <w:rFonts w:cs="Arial"/>
                <w:sz w:val="20"/>
                <w:szCs w:val="20"/>
              </w:rPr>
              <w:t>19,466 (30%)</w:t>
            </w:r>
          </w:p>
        </w:tc>
      </w:tr>
      <w:tr>
        <w:trPr>
          <w:trHeight w:val="315" w:hRule="atLeast"/>
          <w:cantSplit w:val="false"/>
        </w:trPr>
        <w:tc>
          <w:tcPr>
            <w:tcW w:w="4068" w:type="dxa"/>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rPr>
                <w:rFonts w:cs="Arial"/>
                <w:sz w:val="20"/>
                <w:szCs w:val="20"/>
              </w:rPr>
            </w:pPr>
            <w:r>
              <w:rPr>
                <w:rFonts w:cs="Arial"/>
                <w:sz w:val="20"/>
                <w:szCs w:val="20"/>
              </w:rPr>
              <w:t>Number of months taking monotherapy with originally prescribed drug class</w:t>
            </w:r>
          </w:p>
          <w:p>
            <w:pPr>
              <w:pStyle w:val="Normal"/>
              <w:rPr>
                <w:rFonts w:cs="Arial"/>
                <w:sz w:val="20"/>
                <w:szCs w:val="20"/>
              </w:rPr>
            </w:pPr>
            <w:r>
              <w:rPr>
                <w:rFonts w:cs="Arial"/>
                <w:sz w:val="20"/>
                <w:szCs w:val="20"/>
              </w:rPr>
              <w:t>-total</w:t>
            </w:r>
          </w:p>
          <w:p>
            <w:pPr>
              <w:pStyle w:val="Normal"/>
              <w:rPr>
                <w:rFonts w:cs="Arial"/>
                <w:sz w:val="20"/>
                <w:szCs w:val="20"/>
              </w:rPr>
            </w:pPr>
            <w:r>
              <w:rPr>
                <w:rFonts w:cs="Arial"/>
                <w:sz w:val="20"/>
                <w:szCs w:val="20"/>
              </w:rPr>
              <w:t>-mean (SD)</w:t>
            </w:r>
          </w:p>
          <w:p>
            <w:pPr>
              <w:pStyle w:val="Normal"/>
              <w:rPr>
                <w:rFonts w:cs="Arial"/>
                <w:sz w:val="20"/>
                <w:szCs w:val="20"/>
              </w:rPr>
            </w:pPr>
            <w:r>
              <w:rPr>
                <w:rFonts w:cs="Arial"/>
                <w:sz w:val="20"/>
                <w:szCs w:val="20"/>
              </w:rPr>
              <w:t>-median</w:t>
            </w:r>
          </w:p>
        </w:tc>
        <w:tc>
          <w:tcPr>
            <w:tcW w:w="163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snapToGrid w:val="false"/>
              <w:jc w:val="center"/>
              <w:rPr>
                <w:rFonts w:cs="Arial"/>
                <w:sz w:val="20"/>
                <w:szCs w:val="20"/>
              </w:rPr>
            </w:pPr>
            <w:r>
              <w:rPr>
                <w:rFonts w:cs="Arial"/>
                <w:sz w:val="20"/>
                <w:szCs w:val="20"/>
              </w:rPr>
            </w:r>
          </w:p>
          <w:p>
            <w:pPr>
              <w:pStyle w:val="Normal"/>
              <w:jc w:val="center"/>
              <w:rPr>
                <w:rFonts w:cs="Arial"/>
                <w:sz w:val="20"/>
                <w:szCs w:val="20"/>
              </w:rPr>
            </w:pPr>
            <w:r>
              <w:rPr>
                <w:rFonts w:cs="Arial"/>
                <w:sz w:val="20"/>
                <w:szCs w:val="20"/>
              </w:rPr>
            </w:r>
          </w:p>
          <w:p>
            <w:pPr>
              <w:pStyle w:val="Normal"/>
              <w:jc w:val="center"/>
              <w:rPr>
                <w:rFonts w:cs="Arial"/>
                <w:sz w:val="20"/>
                <w:szCs w:val="20"/>
              </w:rPr>
            </w:pPr>
            <w:r>
              <w:rPr>
                <w:rFonts w:cs="Arial"/>
                <w:sz w:val="20"/>
                <w:szCs w:val="20"/>
              </w:rPr>
              <w:t>1,701,520</w:t>
            </w:r>
          </w:p>
          <w:p>
            <w:pPr>
              <w:pStyle w:val="Normal"/>
              <w:jc w:val="center"/>
              <w:rPr>
                <w:rFonts w:cs="Arial"/>
                <w:sz w:val="20"/>
                <w:szCs w:val="20"/>
              </w:rPr>
            </w:pPr>
            <w:r>
              <w:rPr>
                <w:rFonts w:cs="Arial"/>
                <w:sz w:val="20"/>
                <w:szCs w:val="20"/>
              </w:rPr>
              <w:t>10.3 (9.4)</w:t>
            </w:r>
          </w:p>
          <w:p>
            <w:pPr>
              <w:pStyle w:val="Normal"/>
              <w:jc w:val="center"/>
              <w:rPr>
                <w:rFonts w:cs="Arial"/>
                <w:sz w:val="20"/>
                <w:szCs w:val="20"/>
              </w:rPr>
            </w:pPr>
            <w:r>
              <w:rPr>
                <w:rFonts w:cs="Arial"/>
                <w:sz w:val="20"/>
                <w:szCs w:val="20"/>
              </w:rPr>
              <w:t>6</w:t>
            </w:r>
          </w:p>
        </w:tc>
        <w:tc>
          <w:tcPr>
            <w:tcW w:w="1605"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snapToGrid w:val="false"/>
              <w:jc w:val="center"/>
              <w:rPr>
                <w:rFonts w:cs="Arial"/>
                <w:sz w:val="20"/>
                <w:szCs w:val="20"/>
              </w:rPr>
            </w:pPr>
            <w:r>
              <w:rPr>
                <w:rFonts w:cs="Arial"/>
                <w:sz w:val="20"/>
                <w:szCs w:val="20"/>
              </w:rPr>
            </w:r>
          </w:p>
          <w:p>
            <w:pPr>
              <w:pStyle w:val="Normal"/>
              <w:jc w:val="center"/>
              <w:rPr>
                <w:rFonts w:cs="Arial"/>
                <w:sz w:val="20"/>
                <w:szCs w:val="20"/>
              </w:rPr>
            </w:pPr>
            <w:r>
              <w:rPr>
                <w:rFonts w:cs="Arial"/>
                <w:sz w:val="20"/>
                <w:szCs w:val="20"/>
              </w:rPr>
            </w:r>
          </w:p>
          <w:p>
            <w:pPr>
              <w:pStyle w:val="Normal"/>
              <w:jc w:val="center"/>
              <w:rPr>
                <w:rFonts w:cs="Arial"/>
                <w:sz w:val="20"/>
                <w:szCs w:val="20"/>
              </w:rPr>
            </w:pPr>
            <w:r>
              <w:rPr>
                <w:rFonts w:cs="Arial"/>
                <w:sz w:val="20"/>
                <w:szCs w:val="20"/>
              </w:rPr>
              <w:t>549,149</w:t>
            </w:r>
          </w:p>
          <w:p>
            <w:pPr>
              <w:pStyle w:val="Normal"/>
              <w:jc w:val="center"/>
              <w:rPr>
                <w:rFonts w:cs="Arial"/>
                <w:sz w:val="20"/>
                <w:szCs w:val="20"/>
              </w:rPr>
            </w:pPr>
            <w:r>
              <w:rPr>
                <w:rFonts w:cs="Arial"/>
                <w:sz w:val="20"/>
                <w:szCs w:val="20"/>
              </w:rPr>
              <w:t>11.3 (9.5)</w:t>
            </w:r>
          </w:p>
          <w:p>
            <w:pPr>
              <w:pStyle w:val="Normal"/>
              <w:jc w:val="center"/>
              <w:rPr>
                <w:rFonts w:cs="Arial"/>
                <w:sz w:val="20"/>
                <w:szCs w:val="20"/>
              </w:rPr>
            </w:pPr>
            <w:r>
              <w:rPr>
                <w:rFonts w:cs="Arial"/>
                <w:sz w:val="20"/>
                <w:szCs w:val="20"/>
              </w:rPr>
              <w:t>7</w:t>
            </w:r>
          </w:p>
        </w:tc>
        <w:tc>
          <w:tcPr>
            <w:tcW w:w="1358"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snapToGrid w:val="false"/>
              <w:jc w:val="center"/>
              <w:rPr>
                <w:rFonts w:cs="Arial"/>
                <w:sz w:val="20"/>
                <w:szCs w:val="20"/>
              </w:rPr>
            </w:pPr>
            <w:r>
              <w:rPr>
                <w:rFonts w:cs="Arial"/>
                <w:sz w:val="20"/>
                <w:szCs w:val="20"/>
              </w:rPr>
            </w:r>
          </w:p>
          <w:p>
            <w:pPr>
              <w:pStyle w:val="Normal"/>
              <w:jc w:val="center"/>
              <w:rPr>
                <w:rFonts w:cs="Arial"/>
                <w:sz w:val="20"/>
                <w:szCs w:val="20"/>
              </w:rPr>
            </w:pPr>
            <w:r>
              <w:rPr>
                <w:rFonts w:cs="Arial"/>
                <w:sz w:val="20"/>
                <w:szCs w:val="20"/>
              </w:rPr>
            </w:r>
          </w:p>
          <w:p>
            <w:pPr>
              <w:pStyle w:val="Normal"/>
              <w:jc w:val="center"/>
              <w:rPr>
                <w:rFonts w:cs="Arial"/>
                <w:sz w:val="20"/>
                <w:szCs w:val="20"/>
              </w:rPr>
            </w:pPr>
            <w:r>
              <w:rPr>
                <w:rFonts w:cs="Arial"/>
                <w:sz w:val="20"/>
                <w:szCs w:val="20"/>
              </w:rPr>
              <w:t>17,942</w:t>
            </w:r>
          </w:p>
          <w:p>
            <w:pPr>
              <w:pStyle w:val="Normal"/>
              <w:jc w:val="center"/>
              <w:rPr>
                <w:rFonts w:cs="Arial"/>
                <w:sz w:val="20"/>
                <w:szCs w:val="20"/>
              </w:rPr>
            </w:pPr>
            <w:r>
              <w:rPr>
                <w:rFonts w:cs="Arial"/>
                <w:sz w:val="20"/>
                <w:szCs w:val="20"/>
              </w:rPr>
              <w:t>12.1 (9.7)</w:t>
            </w:r>
          </w:p>
          <w:p>
            <w:pPr>
              <w:pStyle w:val="Normal"/>
              <w:jc w:val="center"/>
              <w:rPr>
                <w:rFonts w:cs="Arial"/>
                <w:sz w:val="20"/>
                <w:szCs w:val="20"/>
              </w:rPr>
            </w:pPr>
            <w:r>
              <w:rPr>
                <w:rFonts w:cs="Arial"/>
                <w:sz w:val="20"/>
                <w:szCs w:val="20"/>
              </w:rPr>
              <w:t>9</w:t>
            </w:r>
          </w:p>
        </w:tc>
        <w:tc>
          <w:tcPr>
            <w:tcW w:w="155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snapToGrid w:val="false"/>
              <w:jc w:val="center"/>
              <w:rPr>
                <w:rFonts w:cs="Arial"/>
                <w:sz w:val="20"/>
                <w:szCs w:val="20"/>
              </w:rPr>
            </w:pPr>
            <w:r>
              <w:rPr>
                <w:rFonts w:cs="Arial"/>
                <w:sz w:val="20"/>
                <w:szCs w:val="20"/>
              </w:rPr>
            </w:r>
          </w:p>
          <w:p>
            <w:pPr>
              <w:pStyle w:val="Normal"/>
              <w:jc w:val="center"/>
              <w:rPr>
                <w:rFonts w:cs="Arial"/>
                <w:sz w:val="20"/>
                <w:szCs w:val="20"/>
              </w:rPr>
            </w:pPr>
            <w:r>
              <w:rPr>
                <w:rFonts w:cs="Arial"/>
                <w:sz w:val="20"/>
                <w:szCs w:val="20"/>
              </w:rPr>
            </w:r>
          </w:p>
          <w:p>
            <w:pPr>
              <w:pStyle w:val="Normal"/>
              <w:jc w:val="center"/>
              <w:rPr>
                <w:rFonts w:cs="Arial"/>
                <w:sz w:val="20"/>
                <w:szCs w:val="20"/>
              </w:rPr>
            </w:pPr>
            <w:r>
              <w:rPr>
                <w:rFonts w:cs="Arial"/>
                <w:sz w:val="20"/>
                <w:szCs w:val="20"/>
              </w:rPr>
              <w:t>236,828</w:t>
            </w:r>
          </w:p>
          <w:p>
            <w:pPr>
              <w:pStyle w:val="Normal"/>
              <w:jc w:val="center"/>
              <w:rPr>
                <w:rFonts w:cs="Arial"/>
                <w:sz w:val="20"/>
                <w:szCs w:val="20"/>
              </w:rPr>
            </w:pPr>
            <w:r>
              <w:rPr>
                <w:rFonts w:cs="Arial"/>
                <w:sz w:val="20"/>
                <w:szCs w:val="20"/>
              </w:rPr>
              <w:t>9.8 (9.2)</w:t>
            </w:r>
          </w:p>
          <w:p>
            <w:pPr>
              <w:pStyle w:val="Normal"/>
              <w:jc w:val="center"/>
              <w:rPr>
                <w:rFonts w:cs="Arial"/>
                <w:sz w:val="20"/>
                <w:szCs w:val="20"/>
              </w:rPr>
            </w:pPr>
            <w:r>
              <w:rPr>
                <w:rFonts w:cs="Arial"/>
                <w:sz w:val="20"/>
                <w:szCs w:val="20"/>
              </w:rPr>
              <w:t>5</w:t>
            </w:r>
          </w:p>
        </w:tc>
        <w:tc>
          <w:tcPr>
            <w:tcW w:w="1647"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snapToGrid w:val="false"/>
              <w:jc w:val="center"/>
              <w:rPr>
                <w:rFonts w:cs="Arial"/>
                <w:sz w:val="20"/>
                <w:szCs w:val="20"/>
              </w:rPr>
            </w:pPr>
            <w:r>
              <w:rPr>
                <w:rFonts w:cs="Arial"/>
                <w:sz w:val="20"/>
                <w:szCs w:val="20"/>
              </w:rPr>
            </w:r>
          </w:p>
          <w:p>
            <w:pPr>
              <w:pStyle w:val="Normal"/>
              <w:jc w:val="center"/>
              <w:rPr>
                <w:rFonts w:cs="Arial"/>
                <w:sz w:val="20"/>
                <w:szCs w:val="20"/>
              </w:rPr>
            </w:pPr>
            <w:r>
              <w:rPr>
                <w:rFonts w:cs="Arial"/>
                <w:sz w:val="20"/>
                <w:szCs w:val="20"/>
              </w:rPr>
            </w:r>
          </w:p>
          <w:p>
            <w:pPr>
              <w:pStyle w:val="Normal"/>
              <w:jc w:val="center"/>
              <w:rPr>
                <w:rFonts w:cs="Arial"/>
                <w:sz w:val="20"/>
                <w:szCs w:val="20"/>
              </w:rPr>
            </w:pPr>
            <w:r>
              <w:rPr>
                <w:rFonts w:cs="Arial"/>
                <w:sz w:val="20"/>
                <w:szCs w:val="20"/>
              </w:rPr>
              <w:t>286,705</w:t>
            </w:r>
          </w:p>
          <w:p>
            <w:pPr>
              <w:pStyle w:val="Normal"/>
              <w:jc w:val="center"/>
              <w:rPr>
                <w:rFonts w:cs="Arial"/>
                <w:sz w:val="20"/>
                <w:szCs w:val="20"/>
              </w:rPr>
            </w:pPr>
            <w:r>
              <w:rPr>
                <w:rFonts w:cs="Arial"/>
                <w:sz w:val="20"/>
                <w:szCs w:val="20"/>
              </w:rPr>
              <w:t>11.3 (9.6)</w:t>
            </w:r>
          </w:p>
          <w:p>
            <w:pPr>
              <w:pStyle w:val="Normal"/>
              <w:jc w:val="center"/>
              <w:rPr>
                <w:rFonts w:cs="Arial"/>
                <w:sz w:val="20"/>
                <w:szCs w:val="20"/>
              </w:rPr>
            </w:pPr>
            <w:r>
              <w:rPr>
                <w:rFonts w:cs="Arial"/>
                <w:sz w:val="20"/>
                <w:szCs w:val="20"/>
              </w:rPr>
              <w:t>7</w:t>
            </w:r>
          </w:p>
        </w:tc>
        <w:tc>
          <w:tcPr>
            <w:tcW w:w="1559"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snapToGrid w:val="false"/>
              <w:jc w:val="center"/>
              <w:rPr>
                <w:rFonts w:cs="Arial"/>
                <w:sz w:val="20"/>
                <w:szCs w:val="20"/>
              </w:rPr>
            </w:pPr>
            <w:r>
              <w:rPr>
                <w:rFonts w:cs="Arial"/>
                <w:sz w:val="20"/>
                <w:szCs w:val="20"/>
              </w:rPr>
            </w:r>
          </w:p>
          <w:p>
            <w:pPr>
              <w:pStyle w:val="Normal"/>
              <w:jc w:val="center"/>
              <w:rPr>
                <w:rFonts w:cs="Arial"/>
                <w:sz w:val="20"/>
                <w:szCs w:val="20"/>
              </w:rPr>
            </w:pPr>
            <w:r>
              <w:rPr>
                <w:rFonts w:cs="Arial"/>
                <w:sz w:val="20"/>
                <w:szCs w:val="20"/>
              </w:rPr>
            </w:r>
          </w:p>
          <w:p>
            <w:pPr>
              <w:pStyle w:val="Normal"/>
              <w:jc w:val="center"/>
              <w:rPr>
                <w:rFonts w:cs="Arial"/>
                <w:sz w:val="20"/>
                <w:szCs w:val="20"/>
              </w:rPr>
            </w:pPr>
            <w:r>
              <w:rPr>
                <w:rFonts w:cs="Arial"/>
                <w:sz w:val="20"/>
                <w:szCs w:val="20"/>
              </w:rPr>
              <w:t>610,896</w:t>
            </w:r>
          </w:p>
          <w:p>
            <w:pPr>
              <w:pStyle w:val="Normal"/>
              <w:jc w:val="center"/>
              <w:rPr>
                <w:rFonts w:cs="Arial"/>
                <w:sz w:val="20"/>
                <w:szCs w:val="20"/>
              </w:rPr>
            </w:pPr>
            <w:r>
              <w:rPr>
                <w:rFonts w:cs="Arial"/>
                <w:sz w:val="20"/>
                <w:szCs w:val="20"/>
              </w:rPr>
              <w:t>9.5 (9.1)</w:t>
            </w:r>
          </w:p>
          <w:p>
            <w:pPr>
              <w:pStyle w:val="Normal"/>
              <w:jc w:val="center"/>
              <w:rPr>
                <w:rFonts w:cs="Arial"/>
                <w:sz w:val="20"/>
                <w:szCs w:val="20"/>
              </w:rPr>
            </w:pPr>
            <w:r>
              <w:rPr>
                <w:rFonts w:cs="Arial"/>
                <w:sz w:val="20"/>
                <w:szCs w:val="20"/>
              </w:rPr>
              <w:t>4</w:t>
            </w:r>
          </w:p>
        </w:tc>
      </w:tr>
      <w:tr>
        <w:trPr>
          <w:trHeight w:val="315" w:hRule="atLeast"/>
          <w:cantSplit w:val="false"/>
        </w:trPr>
        <w:tc>
          <w:tcPr>
            <w:tcW w:w="4068" w:type="dxa"/>
            <w:tcBorders>
              <w:top w:val="single" w:sz="6" w:space="0" w:color="000000"/>
              <w:left w:val="single" w:sz="12" w:space="0" w:color="000000"/>
              <w:bottom w:val="single" w:sz="12" w:space="0" w:color="000000"/>
              <w:insideH w:val="single" w:sz="12" w:space="0" w:color="000000"/>
              <w:right w:val="nil"/>
              <w:insideV w:val="nil"/>
            </w:tcBorders>
            <w:shd w:fill="auto" w:val="clear"/>
            <w:tcMar>
              <w:left w:w="93" w:type="dxa"/>
            </w:tcMar>
          </w:tcPr>
          <w:p>
            <w:pPr>
              <w:pStyle w:val="Normal"/>
              <w:rPr>
                <w:rFonts w:cs="Arial"/>
                <w:sz w:val="20"/>
                <w:szCs w:val="20"/>
              </w:rPr>
            </w:pPr>
            <w:r>
              <w:rPr>
                <w:rFonts w:cs="Arial"/>
                <w:sz w:val="20"/>
                <w:szCs w:val="20"/>
              </w:rPr>
              <w:t>Charlson scores</w:t>
            </w:r>
          </w:p>
          <w:p>
            <w:pPr>
              <w:pStyle w:val="Normal"/>
              <w:rPr>
                <w:rFonts w:cs="Arial"/>
                <w:sz w:val="20"/>
                <w:szCs w:val="20"/>
              </w:rPr>
            </w:pPr>
            <w:r>
              <w:rPr>
                <w:rFonts w:cs="Arial"/>
                <w:sz w:val="20"/>
                <w:szCs w:val="20"/>
              </w:rPr>
              <w:t>0</w:t>
            </w:r>
          </w:p>
          <w:p>
            <w:pPr>
              <w:pStyle w:val="Normal"/>
              <w:rPr>
                <w:rFonts w:cs="Arial"/>
                <w:sz w:val="20"/>
                <w:szCs w:val="20"/>
              </w:rPr>
            </w:pPr>
            <w:r>
              <w:rPr>
                <w:rFonts w:cs="Arial"/>
                <w:sz w:val="20"/>
                <w:szCs w:val="20"/>
              </w:rPr>
              <w:t>1-2</w:t>
            </w:r>
          </w:p>
          <w:p>
            <w:pPr>
              <w:pStyle w:val="Normal"/>
              <w:rPr>
                <w:rFonts w:cs="Arial"/>
                <w:sz w:val="20"/>
                <w:szCs w:val="20"/>
              </w:rPr>
            </w:pPr>
            <w:r>
              <w:rPr>
                <w:rFonts w:cs="Arial"/>
                <w:sz w:val="20"/>
                <w:szCs w:val="20"/>
              </w:rPr>
              <w:t>3 or more</w:t>
            </w:r>
          </w:p>
        </w:tc>
        <w:tc>
          <w:tcPr>
            <w:tcW w:w="1636" w:type="dxa"/>
            <w:tcBorders>
              <w:top w:val="single" w:sz="6" w:space="0" w:color="000000"/>
              <w:left w:val="single" w:sz="6" w:space="0" w:color="000000"/>
              <w:bottom w:val="single" w:sz="12" w:space="0" w:color="000000"/>
              <w:insideH w:val="single" w:sz="12" w:space="0" w:color="000000"/>
              <w:right w:val="nil"/>
              <w:insideV w:val="nil"/>
            </w:tcBorders>
            <w:shd w:fill="auto" w:val="clear"/>
            <w:tcMar>
              <w:left w:w="100" w:type="dxa"/>
            </w:tcMar>
          </w:tcPr>
          <w:p>
            <w:pPr>
              <w:pStyle w:val="Normal"/>
              <w:snapToGrid w:val="false"/>
              <w:jc w:val="center"/>
              <w:rPr>
                <w:rFonts w:cs="Arial"/>
                <w:sz w:val="20"/>
                <w:szCs w:val="20"/>
              </w:rPr>
            </w:pPr>
            <w:r>
              <w:rPr>
                <w:rFonts w:cs="Arial"/>
                <w:sz w:val="20"/>
                <w:szCs w:val="20"/>
              </w:rPr>
            </w:r>
          </w:p>
          <w:p>
            <w:pPr>
              <w:pStyle w:val="Normal"/>
              <w:jc w:val="center"/>
              <w:rPr>
                <w:rFonts w:cs="Arial"/>
                <w:sz w:val="20"/>
                <w:szCs w:val="20"/>
              </w:rPr>
            </w:pPr>
            <w:r>
              <w:rPr>
                <w:rFonts w:cs="Arial"/>
                <w:sz w:val="20"/>
                <w:szCs w:val="20"/>
              </w:rPr>
              <w:t>151,858 (92%)</w:t>
            </w:r>
          </w:p>
          <w:p>
            <w:pPr>
              <w:pStyle w:val="Normal"/>
              <w:jc w:val="center"/>
              <w:rPr>
                <w:rFonts w:cs="Arial"/>
                <w:sz w:val="20"/>
                <w:szCs w:val="20"/>
              </w:rPr>
            </w:pPr>
            <w:r>
              <w:rPr>
                <w:rFonts w:cs="Arial"/>
                <w:sz w:val="20"/>
                <w:szCs w:val="20"/>
              </w:rPr>
              <w:t>10,447 (6%)</w:t>
            </w:r>
          </w:p>
          <w:p>
            <w:pPr>
              <w:pStyle w:val="Normal"/>
              <w:jc w:val="center"/>
              <w:rPr>
                <w:rFonts w:cs="Arial"/>
                <w:sz w:val="20"/>
                <w:szCs w:val="20"/>
              </w:rPr>
            </w:pPr>
            <w:r>
              <w:rPr>
                <w:rFonts w:cs="Arial"/>
                <w:sz w:val="20"/>
                <w:szCs w:val="20"/>
              </w:rPr>
              <w:t>2108 (1%)</w:t>
            </w:r>
          </w:p>
        </w:tc>
        <w:tc>
          <w:tcPr>
            <w:tcW w:w="1605" w:type="dxa"/>
            <w:tcBorders>
              <w:top w:val="single" w:sz="6" w:space="0" w:color="000000"/>
              <w:left w:val="single" w:sz="6" w:space="0" w:color="000000"/>
              <w:bottom w:val="single" w:sz="12" w:space="0" w:color="000000"/>
              <w:insideH w:val="single" w:sz="12" w:space="0" w:color="000000"/>
              <w:right w:val="nil"/>
              <w:insideV w:val="nil"/>
            </w:tcBorders>
            <w:shd w:fill="auto" w:val="clear"/>
            <w:tcMar>
              <w:left w:w="100" w:type="dxa"/>
            </w:tcMar>
          </w:tcPr>
          <w:p>
            <w:pPr>
              <w:pStyle w:val="Normal"/>
              <w:snapToGrid w:val="false"/>
              <w:jc w:val="center"/>
              <w:rPr>
                <w:rFonts w:cs="Arial"/>
                <w:sz w:val="20"/>
                <w:szCs w:val="20"/>
              </w:rPr>
            </w:pPr>
            <w:r>
              <w:rPr>
                <w:rFonts w:cs="Arial"/>
                <w:sz w:val="20"/>
                <w:szCs w:val="20"/>
              </w:rPr>
            </w:r>
          </w:p>
          <w:p>
            <w:pPr>
              <w:pStyle w:val="Normal"/>
              <w:jc w:val="center"/>
              <w:rPr>
                <w:rFonts w:cs="Arial"/>
                <w:sz w:val="20"/>
                <w:szCs w:val="20"/>
              </w:rPr>
            </w:pPr>
            <w:r>
              <w:rPr>
                <w:rFonts w:cs="Arial"/>
                <w:sz w:val="20"/>
                <w:szCs w:val="20"/>
              </w:rPr>
              <w:t>45,560 (93%)</w:t>
            </w:r>
          </w:p>
          <w:p>
            <w:pPr>
              <w:pStyle w:val="Normal"/>
              <w:jc w:val="center"/>
              <w:rPr>
                <w:rFonts w:cs="Arial"/>
                <w:sz w:val="20"/>
                <w:szCs w:val="20"/>
              </w:rPr>
            </w:pPr>
            <w:r>
              <w:rPr>
                <w:rFonts w:cs="Arial"/>
                <w:sz w:val="20"/>
                <w:szCs w:val="20"/>
              </w:rPr>
              <w:t>2771 (6%)</w:t>
            </w:r>
          </w:p>
          <w:p>
            <w:pPr>
              <w:pStyle w:val="Normal"/>
              <w:jc w:val="center"/>
              <w:rPr>
                <w:rFonts w:cs="Arial"/>
                <w:sz w:val="20"/>
                <w:szCs w:val="20"/>
              </w:rPr>
            </w:pPr>
            <w:r>
              <w:rPr>
                <w:rFonts w:cs="Arial"/>
                <w:sz w:val="20"/>
                <w:szCs w:val="20"/>
              </w:rPr>
              <w:t>479 (1%)</w:t>
            </w:r>
          </w:p>
        </w:tc>
        <w:tc>
          <w:tcPr>
            <w:tcW w:w="1358" w:type="dxa"/>
            <w:tcBorders>
              <w:top w:val="single" w:sz="6" w:space="0" w:color="000000"/>
              <w:left w:val="single" w:sz="6" w:space="0" w:color="000000"/>
              <w:bottom w:val="single" w:sz="12" w:space="0" w:color="000000"/>
              <w:insideH w:val="single" w:sz="12" w:space="0" w:color="000000"/>
              <w:right w:val="nil"/>
              <w:insideV w:val="nil"/>
            </w:tcBorders>
            <w:shd w:fill="auto" w:val="clear"/>
            <w:tcMar>
              <w:left w:w="100" w:type="dxa"/>
            </w:tcMar>
          </w:tcPr>
          <w:p>
            <w:pPr>
              <w:pStyle w:val="Normal"/>
              <w:snapToGrid w:val="false"/>
              <w:jc w:val="center"/>
              <w:rPr>
                <w:rFonts w:cs="Arial"/>
                <w:sz w:val="20"/>
                <w:szCs w:val="20"/>
              </w:rPr>
            </w:pPr>
            <w:r>
              <w:rPr>
                <w:rFonts w:cs="Arial"/>
                <w:sz w:val="20"/>
                <w:szCs w:val="20"/>
              </w:rPr>
            </w:r>
          </w:p>
          <w:p>
            <w:pPr>
              <w:pStyle w:val="Normal"/>
              <w:jc w:val="center"/>
              <w:rPr>
                <w:rFonts w:cs="Arial"/>
                <w:sz w:val="20"/>
                <w:szCs w:val="20"/>
              </w:rPr>
            </w:pPr>
            <w:r>
              <w:rPr>
                <w:rFonts w:cs="Arial"/>
                <w:sz w:val="20"/>
                <w:szCs w:val="20"/>
              </w:rPr>
              <w:t>1399 (95%)</w:t>
            </w:r>
          </w:p>
          <w:p>
            <w:pPr>
              <w:pStyle w:val="Normal"/>
              <w:jc w:val="center"/>
              <w:rPr>
                <w:rFonts w:cs="Arial"/>
                <w:sz w:val="20"/>
                <w:szCs w:val="20"/>
              </w:rPr>
            </w:pPr>
            <w:r>
              <w:rPr>
                <w:rFonts w:cs="Arial"/>
                <w:sz w:val="20"/>
                <w:szCs w:val="20"/>
              </w:rPr>
              <w:t>71 (5%)</w:t>
            </w:r>
          </w:p>
          <w:p>
            <w:pPr>
              <w:pStyle w:val="Normal"/>
              <w:jc w:val="center"/>
              <w:rPr>
                <w:rFonts w:cs="Arial"/>
                <w:sz w:val="20"/>
                <w:szCs w:val="20"/>
              </w:rPr>
            </w:pPr>
            <w:r>
              <w:rPr>
                <w:rFonts w:cs="Arial"/>
                <w:sz w:val="20"/>
                <w:szCs w:val="20"/>
              </w:rPr>
              <w:t>9 (1%)</w:t>
            </w:r>
          </w:p>
        </w:tc>
        <w:tc>
          <w:tcPr>
            <w:tcW w:w="1550" w:type="dxa"/>
            <w:tcBorders>
              <w:top w:val="single" w:sz="6" w:space="0" w:color="000000"/>
              <w:left w:val="single" w:sz="6" w:space="0" w:color="000000"/>
              <w:bottom w:val="single" w:sz="12" w:space="0" w:color="000000"/>
              <w:insideH w:val="single" w:sz="12" w:space="0" w:color="000000"/>
              <w:right w:val="nil"/>
              <w:insideV w:val="nil"/>
            </w:tcBorders>
            <w:shd w:fill="auto" w:val="clear"/>
            <w:tcMar>
              <w:left w:w="100" w:type="dxa"/>
            </w:tcMar>
          </w:tcPr>
          <w:p>
            <w:pPr>
              <w:pStyle w:val="Normal"/>
              <w:snapToGrid w:val="false"/>
              <w:jc w:val="center"/>
              <w:rPr>
                <w:rFonts w:cs="Arial"/>
                <w:sz w:val="20"/>
                <w:szCs w:val="20"/>
              </w:rPr>
            </w:pPr>
            <w:r>
              <w:rPr>
                <w:rFonts w:cs="Arial"/>
                <w:sz w:val="20"/>
                <w:szCs w:val="20"/>
              </w:rPr>
            </w:r>
          </w:p>
          <w:p>
            <w:pPr>
              <w:pStyle w:val="Normal"/>
              <w:jc w:val="center"/>
              <w:rPr>
                <w:rFonts w:cs="Arial"/>
                <w:sz w:val="20"/>
                <w:szCs w:val="20"/>
              </w:rPr>
            </w:pPr>
            <w:r>
              <w:rPr>
                <w:rFonts w:cs="Arial"/>
                <w:sz w:val="20"/>
                <w:szCs w:val="20"/>
              </w:rPr>
              <w:t>22,685 (94%)</w:t>
            </w:r>
          </w:p>
          <w:p>
            <w:pPr>
              <w:pStyle w:val="Normal"/>
              <w:jc w:val="center"/>
              <w:rPr>
                <w:rFonts w:cs="Arial"/>
                <w:sz w:val="20"/>
                <w:szCs w:val="20"/>
              </w:rPr>
            </w:pPr>
            <w:r>
              <w:rPr>
                <w:rFonts w:cs="Arial"/>
                <w:sz w:val="20"/>
                <w:szCs w:val="20"/>
              </w:rPr>
              <w:t>1311 (5%)</w:t>
            </w:r>
          </w:p>
          <w:p>
            <w:pPr>
              <w:pStyle w:val="Normal"/>
              <w:jc w:val="center"/>
              <w:rPr>
                <w:rFonts w:cs="Arial"/>
                <w:sz w:val="20"/>
                <w:szCs w:val="20"/>
              </w:rPr>
            </w:pPr>
            <w:r>
              <w:rPr>
                <w:rFonts w:cs="Arial"/>
                <w:sz w:val="20"/>
                <w:szCs w:val="20"/>
              </w:rPr>
              <w:t>278 (1%)</w:t>
            </w:r>
          </w:p>
        </w:tc>
        <w:tc>
          <w:tcPr>
            <w:tcW w:w="1647" w:type="dxa"/>
            <w:tcBorders>
              <w:top w:val="single" w:sz="6" w:space="0" w:color="000000"/>
              <w:left w:val="single" w:sz="6" w:space="0" w:color="000000"/>
              <w:bottom w:val="single" w:sz="12" w:space="0" w:color="000000"/>
              <w:insideH w:val="single" w:sz="12" w:space="0" w:color="000000"/>
              <w:right w:val="nil"/>
              <w:insideV w:val="nil"/>
            </w:tcBorders>
            <w:shd w:fill="auto" w:val="clear"/>
            <w:tcMar>
              <w:left w:w="100" w:type="dxa"/>
            </w:tcMar>
          </w:tcPr>
          <w:p>
            <w:pPr>
              <w:pStyle w:val="Normal"/>
              <w:snapToGrid w:val="false"/>
              <w:jc w:val="center"/>
              <w:rPr>
                <w:rFonts w:cs="Arial"/>
                <w:sz w:val="20"/>
                <w:szCs w:val="20"/>
              </w:rPr>
            </w:pPr>
            <w:r>
              <w:rPr>
                <w:rFonts w:cs="Arial"/>
                <w:sz w:val="20"/>
                <w:szCs w:val="20"/>
              </w:rPr>
            </w:r>
          </w:p>
          <w:p>
            <w:pPr>
              <w:pStyle w:val="Normal"/>
              <w:jc w:val="center"/>
              <w:rPr>
                <w:rFonts w:cs="Arial"/>
                <w:sz w:val="20"/>
                <w:szCs w:val="20"/>
              </w:rPr>
            </w:pPr>
            <w:r>
              <w:rPr>
                <w:rFonts w:cs="Arial"/>
                <w:sz w:val="20"/>
                <w:szCs w:val="20"/>
              </w:rPr>
              <w:t>23,487 (93%)</w:t>
            </w:r>
          </w:p>
          <w:p>
            <w:pPr>
              <w:pStyle w:val="Normal"/>
              <w:jc w:val="center"/>
              <w:rPr>
                <w:rFonts w:cs="Arial"/>
                <w:sz w:val="20"/>
                <w:szCs w:val="20"/>
              </w:rPr>
            </w:pPr>
            <w:r>
              <w:rPr>
                <w:rFonts w:cs="Arial"/>
                <w:sz w:val="20"/>
                <w:szCs w:val="20"/>
              </w:rPr>
              <w:t>1606 (6%)</w:t>
            </w:r>
          </w:p>
          <w:p>
            <w:pPr>
              <w:pStyle w:val="Normal"/>
              <w:jc w:val="center"/>
              <w:rPr>
                <w:rFonts w:cs="Arial"/>
                <w:sz w:val="20"/>
                <w:szCs w:val="20"/>
              </w:rPr>
            </w:pPr>
            <w:r>
              <w:rPr>
                <w:rFonts w:cs="Arial"/>
                <w:sz w:val="20"/>
                <w:szCs w:val="20"/>
              </w:rPr>
              <w:t>300 (1%)</w:t>
            </w:r>
          </w:p>
        </w:tc>
        <w:tc>
          <w:tcPr>
            <w:tcW w:w="1559" w:type="dxa"/>
            <w:tcBorders>
              <w:top w:val="single" w:sz="6" w:space="0" w:color="000000"/>
              <w:left w:val="single" w:sz="6" w:space="0" w:color="000000"/>
              <w:bottom w:val="single" w:sz="12" w:space="0" w:color="000000"/>
              <w:insideH w:val="single" w:sz="12" w:space="0" w:color="000000"/>
              <w:right w:val="single" w:sz="12" w:space="0" w:color="000000"/>
              <w:insideV w:val="single" w:sz="12" w:space="0" w:color="000000"/>
            </w:tcBorders>
            <w:shd w:fill="auto" w:val="clear"/>
            <w:tcMar>
              <w:left w:w="100" w:type="dxa"/>
            </w:tcMar>
          </w:tcPr>
          <w:p>
            <w:pPr>
              <w:pStyle w:val="Normal"/>
              <w:snapToGrid w:val="false"/>
              <w:jc w:val="center"/>
              <w:rPr>
                <w:rFonts w:cs="Arial"/>
                <w:sz w:val="20"/>
                <w:szCs w:val="20"/>
              </w:rPr>
            </w:pPr>
            <w:r>
              <w:rPr>
                <w:rFonts w:cs="Arial"/>
                <w:sz w:val="20"/>
                <w:szCs w:val="20"/>
              </w:rPr>
            </w:r>
          </w:p>
          <w:p>
            <w:pPr>
              <w:pStyle w:val="Normal"/>
              <w:jc w:val="center"/>
              <w:rPr>
                <w:rFonts w:cs="Arial"/>
                <w:sz w:val="20"/>
                <w:szCs w:val="20"/>
              </w:rPr>
            </w:pPr>
            <w:r>
              <w:rPr>
                <w:rFonts w:cs="Arial"/>
                <w:sz w:val="20"/>
                <w:szCs w:val="20"/>
              </w:rPr>
              <w:t>58,727 (91%)</w:t>
            </w:r>
          </w:p>
          <w:p>
            <w:pPr>
              <w:pStyle w:val="Normal"/>
              <w:jc w:val="center"/>
              <w:rPr>
                <w:rFonts w:cs="Arial"/>
                <w:sz w:val="20"/>
                <w:szCs w:val="20"/>
              </w:rPr>
            </w:pPr>
            <w:r>
              <w:rPr>
                <w:rFonts w:cs="Arial"/>
                <w:sz w:val="20"/>
                <w:szCs w:val="20"/>
              </w:rPr>
              <w:t>4688 (7%)</w:t>
            </w:r>
          </w:p>
          <w:p>
            <w:pPr>
              <w:pStyle w:val="Normal"/>
              <w:jc w:val="center"/>
              <w:rPr>
                <w:rFonts w:cs="Arial"/>
                <w:sz w:val="20"/>
                <w:szCs w:val="20"/>
              </w:rPr>
            </w:pPr>
            <w:r>
              <w:rPr>
                <w:rFonts w:cs="Arial"/>
                <w:sz w:val="20"/>
                <w:szCs w:val="20"/>
              </w:rPr>
              <w:t>1042 (2%)</w:t>
            </w:r>
          </w:p>
        </w:tc>
      </w:tr>
    </w:tbl>
    <w:p>
      <w:pPr>
        <w:pStyle w:val="Normal"/>
        <w:pageBreakBefore/>
        <w:spacing w:lineRule="auto" w:line="480"/>
        <w:rPr>
          <w:rFonts w:cs="Arial"/>
          <w:b/>
        </w:rPr>
      </w:pPr>
      <w:r>
        <w:rPr>
          <w:rFonts w:cs="Arial"/>
          <w:b/>
        </w:rPr>
        <w:t>Table 2:</w:t>
        <w:tab/>
        <w:t>Laboratory testing while on monotherapy, by drug class</w:t>
      </w:r>
    </w:p>
    <w:tbl>
      <w:tblPr>
        <w:jc w:val="left"/>
        <w:tblInd w:w="-15" w:type="dxa"/>
        <w:tblBorders>
          <w:top w:val="single" w:sz="12" w:space="0" w:color="000000"/>
          <w:left w:val="single" w:sz="12" w:space="0" w:color="000000"/>
          <w:bottom w:val="single" w:sz="6" w:space="0" w:color="000000"/>
          <w:insideH w:val="single" w:sz="6" w:space="0" w:color="000000"/>
          <w:right w:val="nil"/>
          <w:insideV w:val="nil"/>
        </w:tblBorders>
        <w:tblCellMar>
          <w:top w:w="0" w:type="dxa"/>
          <w:left w:w="93" w:type="dxa"/>
          <w:bottom w:w="0" w:type="dxa"/>
          <w:right w:w="108" w:type="dxa"/>
        </w:tblCellMar>
      </w:tblPr>
      <w:tblGrid>
        <w:gridCol w:w="1368"/>
        <w:gridCol w:w="1800"/>
        <w:gridCol w:w="1620"/>
        <w:gridCol w:w="1620"/>
        <w:gridCol w:w="1440"/>
        <w:gridCol w:w="1584"/>
        <w:gridCol w:w="1656"/>
        <w:gridCol w:w="1529"/>
        <w:gridCol w:w="1381"/>
      </w:tblGrid>
      <w:tr>
        <w:trPr>
          <w:trHeight w:val="255" w:hRule="atLeast"/>
          <w:cantSplit w:val="false"/>
        </w:trPr>
        <w:tc>
          <w:tcPr>
            <w:tcW w:w="1368" w:type="dxa"/>
            <w:vMerge w:val="restart"/>
            <w:tcBorders>
              <w:top w:val="single" w:sz="12"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rPr>
                <w:rFonts w:cs="Arial"/>
                <w:b/>
                <w:sz w:val="20"/>
                <w:szCs w:val="20"/>
              </w:rPr>
            </w:pPr>
            <w:r>
              <w:rPr>
                <w:rFonts w:cs="Arial"/>
                <w:b/>
                <w:sz w:val="20"/>
                <w:szCs w:val="20"/>
              </w:rPr>
              <w:t> </w:t>
            </w:r>
          </w:p>
          <w:p>
            <w:pPr>
              <w:pStyle w:val="Normal"/>
              <w:rPr>
                <w:rFonts w:cs="Arial"/>
                <w:b/>
                <w:sz w:val="20"/>
                <w:szCs w:val="20"/>
              </w:rPr>
            </w:pPr>
            <w:r>
              <w:rPr>
                <w:rFonts w:cs="Arial"/>
                <w:b/>
                <w:sz w:val="20"/>
                <w:szCs w:val="20"/>
              </w:rPr>
              <w:t> </w:t>
            </w:r>
          </w:p>
          <w:p>
            <w:pPr>
              <w:pStyle w:val="Normal"/>
              <w:jc w:val="center"/>
              <w:rPr>
                <w:rFonts w:cs="Arial"/>
                <w:b/>
                <w:sz w:val="20"/>
                <w:szCs w:val="20"/>
              </w:rPr>
            </w:pPr>
            <w:r>
              <w:rPr>
                <w:rFonts w:cs="Arial"/>
                <w:b/>
                <w:sz w:val="20"/>
                <w:szCs w:val="20"/>
              </w:rPr>
              <w:t>Test</w:t>
            </w:r>
          </w:p>
        </w:tc>
        <w:tc>
          <w:tcPr>
            <w:tcW w:w="11249" w:type="dxa"/>
            <w:gridSpan w:val="7"/>
            <w:tcBorders>
              <w:top w:val="single" w:sz="12"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b/>
                <w:sz w:val="20"/>
                <w:szCs w:val="20"/>
              </w:rPr>
            </w:pPr>
            <w:r>
              <w:rPr>
                <w:rFonts w:cs="Arial"/>
                <w:b/>
                <w:sz w:val="20"/>
                <w:szCs w:val="20"/>
              </w:rPr>
              <w:t>Test density (number of tests per 100 patients, expressed as mean and 95% CI)</w:t>
            </w:r>
          </w:p>
        </w:tc>
        <w:tc>
          <w:tcPr>
            <w:tcW w:w="1381" w:type="dxa"/>
            <w:vMerge w:val="restart"/>
            <w:tcBorders>
              <w:top w:val="single" w:sz="12"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snapToGrid w:val="false"/>
              <w:jc w:val="center"/>
              <w:rPr>
                <w:rFonts w:cs="Arial"/>
                <w:b/>
                <w:sz w:val="20"/>
                <w:szCs w:val="20"/>
              </w:rPr>
            </w:pPr>
            <w:r>
              <w:rPr>
                <w:rFonts w:cs="Arial"/>
                <w:b/>
                <w:sz w:val="20"/>
                <w:szCs w:val="20"/>
              </w:rPr>
            </w:r>
          </w:p>
          <w:p>
            <w:pPr>
              <w:pStyle w:val="Normal"/>
              <w:jc w:val="center"/>
              <w:rPr>
                <w:rFonts w:cs="Arial"/>
                <w:b/>
                <w:sz w:val="20"/>
                <w:szCs w:val="20"/>
              </w:rPr>
            </w:pPr>
            <w:r>
              <w:rPr>
                <w:rFonts w:cs="Arial"/>
                <w:b/>
                <w:sz w:val="20"/>
                <w:szCs w:val="20"/>
              </w:rPr>
              <w:t>p value</w:t>
            </w:r>
          </w:p>
        </w:tc>
      </w:tr>
      <w:tr>
        <w:trPr>
          <w:trHeight w:val="255" w:hRule="atLeast"/>
          <w:cantSplit w:val="false"/>
        </w:trPr>
        <w:tc>
          <w:tcPr>
            <w:tcW w:w="1368"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ascii="Times New Roman" w:hAnsi="Times New Roman"/>
                <w:b/>
                <w:sz w:val="20"/>
                <w:szCs w:val="20"/>
              </w:rPr>
            </w:pPr>
            <w:r>
              <w:rPr>
                <w:rFonts w:cs="Arial" w:ascii="Times New Roman" w:hAnsi="Times New Roman"/>
                <w:b/>
                <w:sz w:val="20"/>
                <w:szCs w:val="20"/>
              </w:rPr>
            </w:r>
          </w:p>
        </w:tc>
        <w:tc>
          <w:tcPr>
            <w:tcW w:w="1800" w:type="dxa"/>
            <w:vMerge w:val="restart"/>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b/>
                <w:sz w:val="20"/>
                <w:szCs w:val="20"/>
              </w:rPr>
            </w:pPr>
            <w:r>
              <w:rPr>
                <w:rFonts w:cs="Arial"/>
                <w:b/>
                <w:sz w:val="20"/>
                <w:szCs w:val="20"/>
              </w:rPr>
              <w:t>Timeframe</w:t>
            </w:r>
          </w:p>
        </w:tc>
        <w:tc>
          <w:tcPr>
            <w:tcW w:w="1620" w:type="dxa"/>
            <w:vMerge w:val="restart"/>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rPr>
                <w:rFonts w:cs="Arial"/>
                <w:b/>
                <w:sz w:val="20"/>
                <w:szCs w:val="20"/>
              </w:rPr>
            </w:pPr>
            <w:r>
              <w:rPr>
                <w:rFonts w:cs="Arial"/>
                <w:b/>
                <w:sz w:val="20"/>
                <w:szCs w:val="20"/>
              </w:rPr>
              <w:t> </w:t>
            </w:r>
          </w:p>
          <w:p>
            <w:pPr>
              <w:pStyle w:val="Normal"/>
              <w:jc w:val="center"/>
              <w:rPr>
                <w:rFonts w:cs="Arial"/>
                <w:b/>
                <w:sz w:val="20"/>
                <w:szCs w:val="20"/>
              </w:rPr>
            </w:pPr>
            <w:r>
              <w:rPr>
                <w:rFonts w:cs="Arial"/>
                <w:b/>
                <w:sz w:val="20"/>
                <w:szCs w:val="20"/>
              </w:rPr>
              <w:t>Total</w:t>
            </w:r>
          </w:p>
          <w:p>
            <w:pPr>
              <w:pStyle w:val="Normal"/>
              <w:jc w:val="center"/>
              <w:rPr>
                <w:rFonts w:cs="Arial"/>
                <w:b/>
                <w:sz w:val="20"/>
                <w:szCs w:val="20"/>
              </w:rPr>
            </w:pPr>
            <w:r>
              <w:rPr>
                <w:rFonts w:cs="Arial"/>
                <w:b/>
                <w:sz w:val="20"/>
                <w:szCs w:val="20"/>
              </w:rPr>
              <w:t>(n=164,413)</w:t>
            </w:r>
          </w:p>
        </w:tc>
        <w:tc>
          <w:tcPr>
            <w:tcW w:w="7829" w:type="dxa"/>
            <w:gridSpan w:val="5"/>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rPr>
                <w:rFonts w:cs="Arial"/>
                <w:b/>
                <w:sz w:val="20"/>
                <w:szCs w:val="20"/>
              </w:rPr>
            </w:pPr>
            <w:r>
              <w:rPr>
                <w:rFonts w:cs="Arial"/>
                <w:b/>
                <w:sz w:val="20"/>
                <w:szCs w:val="20"/>
              </w:rPr>
              <w:t> </w:t>
            </w:r>
          </w:p>
          <w:p>
            <w:pPr>
              <w:pStyle w:val="Normal"/>
              <w:jc w:val="center"/>
              <w:rPr>
                <w:rFonts w:cs="Arial"/>
                <w:b/>
                <w:sz w:val="20"/>
                <w:szCs w:val="20"/>
              </w:rPr>
            </w:pPr>
            <w:r>
              <w:rPr>
                <w:rFonts w:cs="Arial"/>
                <w:b/>
                <w:sz w:val="20"/>
                <w:szCs w:val="20"/>
              </w:rPr>
              <w:t>Initially prescribed antihypertensive class</w:t>
            </w:r>
          </w:p>
          <w:p>
            <w:pPr>
              <w:pStyle w:val="Normal"/>
              <w:rPr>
                <w:rFonts w:cs="Arial"/>
                <w:b/>
                <w:sz w:val="20"/>
                <w:szCs w:val="20"/>
              </w:rPr>
            </w:pPr>
            <w:r>
              <w:rPr>
                <w:rFonts w:cs="Arial"/>
                <w:b/>
                <w:sz w:val="20"/>
                <w:szCs w:val="20"/>
              </w:rPr>
              <w:t> </w:t>
            </w:r>
          </w:p>
        </w:tc>
        <w:tc>
          <w:tcPr>
            <w:tcW w:w="1381" w:type="dxa"/>
            <w:vMerge w:val="continue"/>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snapToGrid w:val="false"/>
              <w:jc w:val="center"/>
              <w:rPr>
                <w:rFonts w:cs="Arial"/>
                <w:b/>
                <w:sz w:val="20"/>
                <w:szCs w:val="20"/>
              </w:rPr>
            </w:pPr>
            <w:r>
              <w:rPr>
                <w:rFonts w:cs="Arial"/>
                <w:b/>
                <w:sz w:val="20"/>
                <w:szCs w:val="20"/>
              </w:rPr>
            </w:r>
          </w:p>
        </w:tc>
      </w:tr>
      <w:tr>
        <w:trPr>
          <w:trHeight w:val="255" w:hRule="atLeast"/>
          <w:cantSplit w:val="false"/>
        </w:trPr>
        <w:tc>
          <w:tcPr>
            <w:tcW w:w="1368"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ascii="Times New Roman" w:hAnsi="Times New Roman"/>
                <w:sz w:val="20"/>
                <w:szCs w:val="20"/>
              </w:rPr>
            </w:pPr>
            <w:r>
              <w:rPr>
                <w:rFonts w:cs="Arial" w:ascii="Times New Roman" w:hAnsi="Times New Roman"/>
                <w:sz w:val="20"/>
                <w:szCs w:val="20"/>
              </w:rPr>
            </w:r>
          </w:p>
        </w:tc>
        <w:tc>
          <w:tcPr>
            <w:tcW w:w="1800" w:type="dxa"/>
            <w:vMerge w:val="continue"/>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snapToGrid w:val="false"/>
              <w:jc w:val="center"/>
              <w:rPr>
                <w:rFonts w:cs="Arial"/>
                <w:sz w:val="20"/>
                <w:szCs w:val="20"/>
              </w:rPr>
            </w:pPr>
            <w:r>
              <w:rPr>
                <w:rFonts w:cs="Arial"/>
                <w:sz w:val="20"/>
                <w:szCs w:val="20"/>
              </w:rPr>
            </w:r>
          </w:p>
        </w:tc>
        <w:tc>
          <w:tcPr>
            <w:tcW w:w="1620" w:type="dxa"/>
            <w:vMerge w:val="continue"/>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snapToGrid w:val="false"/>
              <w:jc w:val="center"/>
              <w:rPr>
                <w:rFonts w:cs="Arial"/>
                <w:sz w:val="20"/>
                <w:szCs w:val="20"/>
              </w:rPr>
            </w:pPr>
            <w:r>
              <w:rPr>
                <w:rFonts w:cs="Arial"/>
                <w:sz w:val="20"/>
                <w:szCs w:val="20"/>
              </w:rPr>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b/>
                <w:sz w:val="20"/>
                <w:szCs w:val="20"/>
              </w:rPr>
            </w:pPr>
            <w:r>
              <w:rPr>
                <w:rFonts w:cs="Arial"/>
                <w:b/>
                <w:sz w:val="20"/>
                <w:szCs w:val="20"/>
              </w:rPr>
              <w:t>ACE inhibitor (n=48,810)</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b/>
                <w:sz w:val="20"/>
                <w:szCs w:val="20"/>
              </w:rPr>
            </w:pPr>
            <w:r>
              <w:rPr>
                <w:rFonts w:cs="Arial"/>
                <w:b/>
                <w:sz w:val="20"/>
                <w:szCs w:val="20"/>
              </w:rPr>
              <w:t>ARB</w:t>
            </w:r>
          </w:p>
          <w:p>
            <w:pPr>
              <w:pStyle w:val="Normal"/>
              <w:jc w:val="center"/>
              <w:rPr>
                <w:rFonts w:cs="Arial"/>
                <w:b/>
                <w:sz w:val="20"/>
                <w:szCs w:val="20"/>
              </w:rPr>
            </w:pPr>
            <w:r>
              <w:rPr>
                <w:rFonts w:cs="Arial"/>
                <w:b/>
                <w:sz w:val="20"/>
                <w:szCs w:val="20"/>
              </w:rPr>
              <w:t>(n=1,479)</w:t>
            </w:r>
          </w:p>
        </w:tc>
        <w:tc>
          <w:tcPr>
            <w:tcW w:w="158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b/>
                <w:sz w:val="20"/>
                <w:szCs w:val="20"/>
              </w:rPr>
            </w:pPr>
            <w:r>
              <w:rPr>
                <w:rFonts w:cs="Arial"/>
                <w:b/>
                <w:sz w:val="20"/>
                <w:szCs w:val="20"/>
              </w:rPr>
              <w:t>Beta Blocker</w:t>
            </w:r>
          </w:p>
          <w:p>
            <w:pPr>
              <w:pStyle w:val="Normal"/>
              <w:jc w:val="center"/>
              <w:rPr>
                <w:rFonts w:cs="Arial"/>
                <w:b/>
                <w:sz w:val="20"/>
                <w:szCs w:val="20"/>
              </w:rPr>
            </w:pPr>
            <w:r>
              <w:rPr>
                <w:rFonts w:cs="Arial"/>
                <w:b/>
                <w:sz w:val="20"/>
                <w:szCs w:val="20"/>
              </w:rPr>
              <w:t>(n=24,274)</w:t>
            </w:r>
          </w:p>
        </w:tc>
        <w:tc>
          <w:tcPr>
            <w:tcW w:w="165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b/>
                <w:sz w:val="20"/>
                <w:szCs w:val="20"/>
              </w:rPr>
            </w:pPr>
            <w:r>
              <w:rPr>
                <w:rFonts w:cs="Arial"/>
                <w:b/>
                <w:sz w:val="20"/>
                <w:szCs w:val="20"/>
              </w:rPr>
              <w:t>Calcium Channel Blocker (n=25,393)</w:t>
            </w:r>
          </w:p>
        </w:tc>
        <w:tc>
          <w:tcPr>
            <w:tcW w:w="152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b/>
                <w:sz w:val="20"/>
                <w:szCs w:val="20"/>
              </w:rPr>
            </w:pPr>
            <w:r>
              <w:rPr>
                <w:rFonts w:cs="Arial"/>
                <w:b/>
                <w:sz w:val="20"/>
                <w:szCs w:val="20"/>
              </w:rPr>
              <w:t>Thiazides</w:t>
            </w:r>
          </w:p>
          <w:p>
            <w:pPr>
              <w:pStyle w:val="Normal"/>
              <w:jc w:val="center"/>
              <w:rPr>
                <w:rFonts w:cs="Arial"/>
                <w:b/>
                <w:sz w:val="20"/>
                <w:szCs w:val="20"/>
              </w:rPr>
            </w:pPr>
            <w:r>
              <w:rPr>
                <w:rFonts w:cs="Arial"/>
                <w:b/>
                <w:sz w:val="20"/>
                <w:szCs w:val="20"/>
              </w:rPr>
              <w:t>(n=64,457)</w:t>
            </w:r>
          </w:p>
        </w:tc>
        <w:tc>
          <w:tcPr>
            <w:tcW w:w="1381" w:type="dxa"/>
            <w:vMerge w:val="continue"/>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snapToGrid w:val="false"/>
              <w:jc w:val="center"/>
              <w:rPr>
                <w:rFonts w:cs="Arial"/>
                <w:sz w:val="20"/>
                <w:szCs w:val="20"/>
              </w:rPr>
            </w:pPr>
            <w:r>
              <w:rPr>
                <w:rFonts w:cs="Arial"/>
                <w:sz w:val="20"/>
                <w:szCs w:val="20"/>
              </w:rPr>
            </w:r>
          </w:p>
        </w:tc>
      </w:tr>
      <w:tr>
        <w:trPr>
          <w:trHeight w:val="525" w:hRule="atLeast"/>
          <w:cantSplit w:val="false"/>
        </w:trPr>
        <w:tc>
          <w:tcPr>
            <w:tcW w:w="1368" w:type="dxa"/>
            <w:vMerge w:val="restart"/>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jc w:val="center"/>
              <w:rPr>
                <w:rFonts w:cs="Arial"/>
                <w:sz w:val="20"/>
                <w:szCs w:val="20"/>
              </w:rPr>
            </w:pPr>
            <w:r>
              <w:rPr>
                <w:rFonts w:cs="Arial"/>
                <w:sz w:val="20"/>
                <w:szCs w:val="20"/>
              </w:rPr>
              <w:t>Electrolytes</w:t>
            </w:r>
          </w:p>
          <w:p>
            <w:pPr>
              <w:pStyle w:val="Normal"/>
              <w:jc w:val="center"/>
              <w:rPr>
                <w:rFonts w:cs="Arial"/>
                <w:sz w:val="20"/>
                <w:szCs w:val="20"/>
              </w:rPr>
            </w:pPr>
            <w:r>
              <w:rPr>
                <w:rFonts w:cs="Arial"/>
                <w:sz w:val="20"/>
                <w:szCs w:val="20"/>
              </w:rPr>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Every 90 days</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21.3</w:t>
            </w:r>
          </w:p>
          <w:p>
            <w:pPr>
              <w:pStyle w:val="Normal"/>
              <w:jc w:val="center"/>
              <w:rPr>
                <w:rFonts w:cs="Arial"/>
                <w:sz w:val="20"/>
                <w:szCs w:val="20"/>
              </w:rPr>
            </w:pPr>
            <w:r>
              <w:rPr>
                <w:rFonts w:cs="Arial"/>
                <w:sz w:val="20"/>
                <w:szCs w:val="20"/>
              </w:rPr>
              <w:t>(21.0 - 21.6)</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20.8</w:t>
            </w:r>
          </w:p>
          <w:p>
            <w:pPr>
              <w:pStyle w:val="Normal"/>
              <w:jc w:val="center"/>
              <w:rPr>
                <w:rFonts w:cs="Arial"/>
                <w:sz w:val="20"/>
                <w:szCs w:val="20"/>
              </w:rPr>
            </w:pPr>
            <w:r>
              <w:rPr>
                <w:rFonts w:cs="Arial"/>
                <w:sz w:val="20"/>
                <w:szCs w:val="20"/>
              </w:rPr>
              <w:t>(20.4-21.3)</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12.1</w:t>
            </w:r>
          </w:p>
          <w:p>
            <w:pPr>
              <w:pStyle w:val="Normal"/>
              <w:jc w:val="center"/>
              <w:rPr>
                <w:rFonts w:cs="Arial"/>
                <w:sz w:val="20"/>
                <w:szCs w:val="20"/>
              </w:rPr>
            </w:pPr>
            <w:r>
              <w:rPr>
                <w:rFonts w:cs="Arial"/>
                <w:sz w:val="20"/>
                <w:szCs w:val="20"/>
              </w:rPr>
              <w:t>(10.3-13.9)</w:t>
            </w:r>
          </w:p>
        </w:tc>
        <w:tc>
          <w:tcPr>
            <w:tcW w:w="158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15.1</w:t>
            </w:r>
          </w:p>
          <w:p>
            <w:pPr>
              <w:pStyle w:val="Normal"/>
              <w:jc w:val="center"/>
              <w:rPr>
                <w:rFonts w:cs="Arial"/>
                <w:sz w:val="20"/>
                <w:szCs w:val="20"/>
              </w:rPr>
            </w:pPr>
            <w:r>
              <w:rPr>
                <w:rFonts w:cs="Arial"/>
                <w:sz w:val="20"/>
                <w:szCs w:val="20"/>
              </w:rPr>
              <w:t>(14.6 - 15.7)</w:t>
            </w:r>
          </w:p>
        </w:tc>
        <w:tc>
          <w:tcPr>
            <w:tcW w:w="165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15.3</w:t>
            </w:r>
          </w:p>
          <w:p>
            <w:pPr>
              <w:pStyle w:val="Normal"/>
              <w:jc w:val="center"/>
              <w:rPr>
                <w:rFonts w:cs="Arial"/>
                <w:sz w:val="20"/>
                <w:szCs w:val="20"/>
              </w:rPr>
            </w:pPr>
            <w:r>
              <w:rPr>
                <w:rFonts w:cs="Arial"/>
                <w:sz w:val="20"/>
                <w:szCs w:val="20"/>
              </w:rPr>
              <w:t>(14.8 - 15.9)</w:t>
            </w:r>
          </w:p>
        </w:tc>
        <w:tc>
          <w:tcPr>
            <w:tcW w:w="152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26.5</w:t>
            </w:r>
          </w:p>
          <w:p>
            <w:pPr>
              <w:pStyle w:val="Normal"/>
              <w:jc w:val="center"/>
              <w:rPr>
                <w:rFonts w:cs="Arial"/>
                <w:sz w:val="20"/>
                <w:szCs w:val="20"/>
              </w:rPr>
            </w:pPr>
            <w:r>
              <w:rPr>
                <w:rFonts w:cs="Arial"/>
                <w:sz w:val="20"/>
                <w:szCs w:val="20"/>
              </w:rPr>
              <w:t>(26.1 - 27.0)</w:t>
            </w:r>
          </w:p>
        </w:tc>
        <w:tc>
          <w:tcPr>
            <w:tcW w:w="1381"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&lt;0.0001</w:t>
            </w:r>
          </w:p>
        </w:tc>
      </w:tr>
      <w:tr>
        <w:trPr>
          <w:trHeight w:val="525" w:hRule="atLeast"/>
          <w:cantSplit w:val="false"/>
        </w:trPr>
        <w:tc>
          <w:tcPr>
            <w:tcW w:w="1368"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ascii="Times New Roman" w:hAnsi="Times New Roman"/>
                <w:sz w:val="20"/>
                <w:szCs w:val="20"/>
              </w:rPr>
            </w:pPr>
            <w:r>
              <w:rPr>
                <w:rFonts w:cs="Arial" w:ascii="Times New Roman" w:hAnsi="Times New Roman"/>
                <w:sz w:val="20"/>
                <w:szCs w:val="20"/>
              </w:rPr>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Every 180 days</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38.4</w:t>
            </w:r>
          </w:p>
          <w:p>
            <w:pPr>
              <w:pStyle w:val="Normal"/>
              <w:jc w:val="center"/>
              <w:rPr>
                <w:rFonts w:cs="Arial"/>
                <w:sz w:val="20"/>
                <w:szCs w:val="20"/>
              </w:rPr>
            </w:pPr>
            <w:r>
              <w:rPr>
                <w:rFonts w:cs="Arial"/>
                <w:sz w:val="20"/>
                <w:szCs w:val="20"/>
              </w:rPr>
              <w:t>(38.0 - 38.9)</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36.6</w:t>
            </w:r>
          </w:p>
          <w:p>
            <w:pPr>
              <w:pStyle w:val="Normal"/>
              <w:jc w:val="center"/>
              <w:rPr>
                <w:rFonts w:cs="Arial"/>
                <w:sz w:val="20"/>
                <w:szCs w:val="20"/>
              </w:rPr>
            </w:pPr>
            <w:r>
              <w:rPr>
                <w:rFonts w:cs="Arial"/>
                <w:sz w:val="20"/>
                <w:szCs w:val="20"/>
              </w:rPr>
              <w:t>(35.8 - 37.3)</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23.4</w:t>
            </w:r>
          </w:p>
          <w:p>
            <w:pPr>
              <w:pStyle w:val="Normal"/>
              <w:jc w:val="center"/>
              <w:rPr>
                <w:rFonts w:cs="Arial"/>
                <w:sz w:val="20"/>
                <w:szCs w:val="20"/>
              </w:rPr>
            </w:pPr>
            <w:r>
              <w:rPr>
                <w:rFonts w:cs="Arial"/>
                <w:sz w:val="20"/>
                <w:szCs w:val="20"/>
              </w:rPr>
              <w:t>(20.2-26.7)</w:t>
            </w:r>
          </w:p>
        </w:tc>
        <w:tc>
          <w:tcPr>
            <w:tcW w:w="158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26.0</w:t>
            </w:r>
          </w:p>
          <w:p>
            <w:pPr>
              <w:pStyle w:val="Normal"/>
              <w:jc w:val="center"/>
              <w:rPr>
                <w:rFonts w:cs="Arial"/>
                <w:sz w:val="20"/>
                <w:szCs w:val="20"/>
              </w:rPr>
            </w:pPr>
            <w:r>
              <w:rPr>
                <w:rFonts w:cs="Arial"/>
                <w:sz w:val="20"/>
                <w:szCs w:val="20"/>
              </w:rPr>
              <w:t>(25.2 - 26.9)</w:t>
            </w:r>
          </w:p>
        </w:tc>
        <w:tc>
          <w:tcPr>
            <w:tcW w:w="165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26.9</w:t>
            </w:r>
          </w:p>
          <w:p>
            <w:pPr>
              <w:pStyle w:val="Normal"/>
              <w:jc w:val="center"/>
              <w:rPr>
                <w:rFonts w:cs="Arial"/>
                <w:sz w:val="20"/>
                <w:szCs w:val="20"/>
              </w:rPr>
            </w:pPr>
            <w:r>
              <w:rPr>
                <w:rFonts w:cs="Arial"/>
                <w:sz w:val="20"/>
                <w:szCs w:val="20"/>
              </w:rPr>
              <w:t>(26.0 - 27.8)</w:t>
            </w:r>
          </w:p>
        </w:tc>
        <w:tc>
          <w:tcPr>
            <w:tcW w:w="152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49.4</w:t>
            </w:r>
          </w:p>
          <w:p>
            <w:pPr>
              <w:pStyle w:val="Normal"/>
              <w:jc w:val="center"/>
              <w:rPr>
                <w:rFonts w:cs="Arial"/>
                <w:sz w:val="20"/>
                <w:szCs w:val="20"/>
              </w:rPr>
            </w:pPr>
            <w:r>
              <w:rPr>
                <w:rFonts w:cs="Arial"/>
                <w:sz w:val="20"/>
                <w:szCs w:val="20"/>
              </w:rPr>
              <w:t>(48.6 - 50.2)</w:t>
            </w:r>
          </w:p>
        </w:tc>
        <w:tc>
          <w:tcPr>
            <w:tcW w:w="1381"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&lt;0.0001</w:t>
            </w:r>
          </w:p>
        </w:tc>
      </w:tr>
      <w:tr>
        <w:trPr>
          <w:trHeight w:val="588" w:hRule="atLeast"/>
          <w:cantSplit w:val="false"/>
        </w:trPr>
        <w:tc>
          <w:tcPr>
            <w:tcW w:w="1368"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ascii="Times New Roman" w:hAnsi="Times New Roman"/>
                <w:sz w:val="20"/>
                <w:szCs w:val="20"/>
              </w:rPr>
            </w:pPr>
            <w:r>
              <w:rPr>
                <w:rFonts w:cs="Arial" w:ascii="Times New Roman" w:hAnsi="Times New Roman"/>
                <w:sz w:val="20"/>
                <w:szCs w:val="20"/>
              </w:rPr>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Every 365 days</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eastAsia="Arial" w:cs="Arial"/>
                <w:sz w:val="20"/>
                <w:szCs w:val="20"/>
              </w:rPr>
              <w:t xml:space="preserve"> </w:t>
            </w:r>
            <w:r>
              <w:rPr>
                <w:rFonts w:cs="Arial"/>
                <w:sz w:val="20"/>
                <w:szCs w:val="20"/>
              </w:rPr>
              <w:t>55.6</w:t>
            </w:r>
          </w:p>
          <w:p>
            <w:pPr>
              <w:pStyle w:val="Normal"/>
              <w:jc w:val="center"/>
              <w:rPr>
                <w:rFonts w:cs="Arial"/>
                <w:sz w:val="20"/>
                <w:szCs w:val="20"/>
              </w:rPr>
            </w:pPr>
            <w:r>
              <w:rPr>
                <w:rFonts w:cs="Arial"/>
                <w:sz w:val="20"/>
                <w:szCs w:val="20"/>
              </w:rPr>
              <w:t>(55.0 - 56.2)</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eastAsia="Arial" w:cs="Arial"/>
                <w:sz w:val="20"/>
                <w:szCs w:val="20"/>
              </w:rPr>
              <w:t xml:space="preserve"> </w:t>
            </w:r>
            <w:r>
              <w:rPr>
                <w:rFonts w:cs="Arial"/>
                <w:sz w:val="20"/>
                <w:szCs w:val="20"/>
              </w:rPr>
              <w:t>53.9</w:t>
            </w:r>
          </w:p>
          <w:p>
            <w:pPr>
              <w:pStyle w:val="Normal"/>
              <w:jc w:val="center"/>
              <w:rPr>
                <w:rFonts w:cs="Arial"/>
                <w:sz w:val="20"/>
                <w:szCs w:val="20"/>
              </w:rPr>
            </w:pPr>
            <w:r>
              <w:rPr>
                <w:rFonts w:cs="Arial"/>
                <w:sz w:val="20"/>
                <w:szCs w:val="20"/>
              </w:rPr>
              <w:t>(52.8 - 54.9)</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eastAsia="Arial" w:cs="Arial"/>
                <w:sz w:val="20"/>
                <w:szCs w:val="20"/>
              </w:rPr>
              <w:t xml:space="preserve"> </w:t>
            </w:r>
            <w:r>
              <w:rPr>
                <w:rFonts w:cs="Arial"/>
                <w:sz w:val="20"/>
                <w:szCs w:val="20"/>
              </w:rPr>
              <w:t>36.6</w:t>
            </w:r>
          </w:p>
          <w:p>
            <w:pPr>
              <w:pStyle w:val="Normal"/>
              <w:jc w:val="center"/>
              <w:rPr>
                <w:rFonts w:cs="Arial"/>
                <w:sz w:val="20"/>
                <w:szCs w:val="20"/>
              </w:rPr>
            </w:pPr>
            <w:r>
              <w:rPr>
                <w:rFonts w:cs="Arial"/>
                <w:sz w:val="20"/>
                <w:szCs w:val="20"/>
              </w:rPr>
              <w:t>(31.5- 41.8)</w:t>
            </w:r>
          </w:p>
        </w:tc>
        <w:tc>
          <w:tcPr>
            <w:tcW w:w="158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eastAsia="Arial" w:cs="Arial"/>
                <w:sz w:val="20"/>
                <w:szCs w:val="20"/>
              </w:rPr>
              <w:t xml:space="preserve"> </w:t>
            </w:r>
            <w:r>
              <w:rPr>
                <w:rFonts w:cs="Arial"/>
                <w:sz w:val="20"/>
                <w:szCs w:val="20"/>
              </w:rPr>
              <w:t>36.9</w:t>
            </w:r>
          </w:p>
          <w:p>
            <w:pPr>
              <w:pStyle w:val="Normal"/>
              <w:jc w:val="center"/>
              <w:rPr>
                <w:rFonts w:cs="Arial"/>
                <w:sz w:val="20"/>
                <w:szCs w:val="20"/>
              </w:rPr>
            </w:pPr>
            <w:r>
              <w:rPr>
                <w:rFonts w:cs="Arial"/>
                <w:sz w:val="20"/>
                <w:szCs w:val="20"/>
              </w:rPr>
              <w:t>(35.8 - 38.1)</w:t>
            </w:r>
          </w:p>
        </w:tc>
        <w:tc>
          <w:tcPr>
            <w:tcW w:w="165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eastAsia="Arial" w:cs="Arial"/>
                <w:sz w:val="20"/>
                <w:szCs w:val="20"/>
              </w:rPr>
              <w:t xml:space="preserve"> </w:t>
            </w:r>
            <w:r>
              <w:rPr>
                <w:rFonts w:cs="Arial"/>
                <w:sz w:val="20"/>
                <w:szCs w:val="20"/>
              </w:rPr>
              <w:t>38.6</w:t>
            </w:r>
          </w:p>
          <w:p>
            <w:pPr>
              <w:pStyle w:val="Normal"/>
              <w:jc w:val="center"/>
              <w:rPr>
                <w:rFonts w:cs="Arial"/>
                <w:sz w:val="20"/>
                <w:szCs w:val="20"/>
              </w:rPr>
            </w:pPr>
            <w:r>
              <w:rPr>
                <w:rFonts w:cs="Arial"/>
                <w:sz w:val="20"/>
                <w:szCs w:val="20"/>
              </w:rPr>
              <w:t>(37.5 - 39.8)</w:t>
            </w:r>
          </w:p>
        </w:tc>
        <w:tc>
          <w:tcPr>
            <w:tcW w:w="152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eastAsia="Arial" w:cs="Arial"/>
                <w:sz w:val="20"/>
                <w:szCs w:val="20"/>
              </w:rPr>
              <w:t xml:space="preserve"> </w:t>
            </w:r>
            <w:r>
              <w:rPr>
                <w:rFonts w:cs="Arial"/>
                <w:sz w:val="20"/>
                <w:szCs w:val="20"/>
              </w:rPr>
              <w:t>71.1</w:t>
            </w:r>
          </w:p>
          <w:p>
            <w:pPr>
              <w:pStyle w:val="Normal"/>
              <w:jc w:val="center"/>
              <w:rPr>
                <w:rFonts w:cs="Arial"/>
                <w:sz w:val="20"/>
                <w:szCs w:val="20"/>
              </w:rPr>
            </w:pPr>
            <w:r>
              <w:rPr>
                <w:rFonts w:cs="Arial"/>
                <w:sz w:val="20"/>
                <w:szCs w:val="20"/>
              </w:rPr>
              <w:t>(70.0 - 72.2)</w:t>
            </w:r>
          </w:p>
        </w:tc>
        <w:tc>
          <w:tcPr>
            <w:tcW w:w="1381"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&lt;0.0001</w:t>
            </w:r>
          </w:p>
        </w:tc>
      </w:tr>
      <w:tr>
        <w:trPr>
          <w:trHeight w:val="525" w:hRule="atLeast"/>
          <w:cantSplit w:val="false"/>
        </w:trPr>
        <w:tc>
          <w:tcPr>
            <w:tcW w:w="1368" w:type="dxa"/>
            <w:vMerge w:val="restart"/>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ascii="Times New Roman" w:hAnsi="Times New Roman"/>
                <w:sz w:val="20"/>
                <w:szCs w:val="20"/>
              </w:rPr>
            </w:pPr>
            <w:r>
              <w:rPr>
                <w:rFonts w:cs="Arial" w:ascii="Times New Roman" w:hAnsi="Times New Roman"/>
                <w:sz w:val="20"/>
                <w:szCs w:val="20"/>
              </w:rPr>
            </w:r>
          </w:p>
          <w:p>
            <w:pPr>
              <w:pStyle w:val="Normal"/>
              <w:jc w:val="center"/>
              <w:rPr>
                <w:rFonts w:cs="Arial"/>
                <w:sz w:val="20"/>
                <w:szCs w:val="20"/>
              </w:rPr>
            </w:pPr>
            <w:r>
              <w:rPr>
                <w:rFonts w:cs="Arial"/>
                <w:sz w:val="20"/>
                <w:szCs w:val="20"/>
              </w:rPr>
              <w:t>Renal Function</w:t>
            </w:r>
          </w:p>
          <w:p>
            <w:pPr>
              <w:pStyle w:val="Normal"/>
              <w:jc w:val="center"/>
              <w:rPr>
                <w:rFonts w:cs="Arial"/>
                <w:sz w:val="20"/>
                <w:szCs w:val="20"/>
              </w:rPr>
            </w:pPr>
            <w:r>
              <w:rPr>
                <w:rFonts w:cs="Arial"/>
                <w:sz w:val="20"/>
                <w:szCs w:val="20"/>
              </w:rPr>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Every 90 days</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25.7</w:t>
            </w:r>
          </w:p>
          <w:p>
            <w:pPr>
              <w:pStyle w:val="Normal"/>
              <w:jc w:val="center"/>
              <w:rPr>
                <w:rFonts w:cs="Arial"/>
                <w:sz w:val="20"/>
                <w:szCs w:val="20"/>
              </w:rPr>
            </w:pPr>
            <w:r>
              <w:rPr>
                <w:rFonts w:cs="Arial"/>
                <w:sz w:val="20"/>
                <w:szCs w:val="20"/>
              </w:rPr>
              <w:t>(25.5 - 26.0)</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27.3</w:t>
            </w:r>
          </w:p>
          <w:p>
            <w:pPr>
              <w:pStyle w:val="Normal"/>
              <w:jc w:val="center"/>
              <w:rPr>
                <w:rFonts w:cs="Arial"/>
                <w:sz w:val="20"/>
                <w:szCs w:val="20"/>
              </w:rPr>
            </w:pPr>
            <w:r>
              <w:rPr>
                <w:rFonts w:cs="Arial"/>
                <w:sz w:val="20"/>
                <w:szCs w:val="20"/>
              </w:rPr>
              <w:t>(26.8 - 27.8)</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18.9</w:t>
            </w:r>
          </w:p>
          <w:p>
            <w:pPr>
              <w:pStyle w:val="Normal"/>
              <w:jc w:val="center"/>
              <w:rPr>
                <w:rFonts w:cs="Arial"/>
                <w:sz w:val="20"/>
                <w:szCs w:val="20"/>
              </w:rPr>
            </w:pPr>
            <w:r>
              <w:rPr>
                <w:rFonts w:cs="Arial"/>
                <w:sz w:val="20"/>
                <w:szCs w:val="20"/>
              </w:rPr>
              <w:t>(16.7- 21.2)</w:t>
            </w:r>
          </w:p>
        </w:tc>
        <w:tc>
          <w:tcPr>
            <w:tcW w:w="158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21.7</w:t>
            </w:r>
          </w:p>
          <w:p>
            <w:pPr>
              <w:pStyle w:val="Normal"/>
              <w:jc w:val="center"/>
              <w:rPr>
                <w:rFonts w:cs="Arial"/>
                <w:sz w:val="20"/>
                <w:szCs w:val="20"/>
              </w:rPr>
            </w:pPr>
            <w:r>
              <w:rPr>
                <w:rFonts w:cs="Arial"/>
                <w:sz w:val="20"/>
                <w:szCs w:val="20"/>
              </w:rPr>
              <w:t>(21.1 - 22.4)</w:t>
            </w:r>
          </w:p>
        </w:tc>
        <w:tc>
          <w:tcPr>
            <w:tcW w:w="165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22.3</w:t>
            </w:r>
          </w:p>
          <w:p>
            <w:pPr>
              <w:pStyle w:val="Normal"/>
              <w:jc w:val="center"/>
              <w:rPr>
                <w:rFonts w:cs="Arial"/>
                <w:sz w:val="20"/>
                <w:szCs w:val="20"/>
              </w:rPr>
            </w:pPr>
            <w:r>
              <w:rPr>
                <w:rFonts w:cs="Arial"/>
                <w:sz w:val="20"/>
                <w:szCs w:val="20"/>
              </w:rPr>
              <w:t>(21.6 - 22.9)</w:t>
            </w:r>
          </w:p>
        </w:tc>
        <w:tc>
          <w:tcPr>
            <w:tcW w:w="152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27.6</w:t>
            </w:r>
          </w:p>
          <w:p>
            <w:pPr>
              <w:pStyle w:val="Normal"/>
              <w:jc w:val="center"/>
              <w:rPr>
                <w:rFonts w:cs="Arial"/>
                <w:sz w:val="20"/>
                <w:szCs w:val="20"/>
              </w:rPr>
            </w:pPr>
            <w:r>
              <w:rPr>
                <w:rFonts w:cs="Arial"/>
                <w:sz w:val="20"/>
                <w:szCs w:val="20"/>
              </w:rPr>
              <w:t>(27.1 - 28.0)</w:t>
            </w:r>
          </w:p>
        </w:tc>
        <w:tc>
          <w:tcPr>
            <w:tcW w:w="1381"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&lt;0.0001</w:t>
            </w:r>
          </w:p>
        </w:tc>
      </w:tr>
      <w:tr>
        <w:trPr>
          <w:trHeight w:val="525" w:hRule="atLeast"/>
          <w:cantSplit w:val="false"/>
        </w:trPr>
        <w:tc>
          <w:tcPr>
            <w:tcW w:w="1368"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ascii="Times New Roman" w:hAnsi="Times New Roman"/>
                <w:sz w:val="20"/>
                <w:szCs w:val="20"/>
              </w:rPr>
            </w:pPr>
            <w:r>
              <w:rPr>
                <w:rFonts w:cs="Arial" w:ascii="Times New Roman" w:hAnsi="Times New Roman"/>
                <w:sz w:val="20"/>
                <w:szCs w:val="20"/>
              </w:rPr>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Every 180 days</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46.9</w:t>
            </w:r>
          </w:p>
          <w:p>
            <w:pPr>
              <w:pStyle w:val="Normal"/>
              <w:jc w:val="center"/>
              <w:rPr>
                <w:rFonts w:cs="Arial"/>
                <w:sz w:val="20"/>
                <w:szCs w:val="20"/>
              </w:rPr>
            </w:pPr>
            <w:r>
              <w:rPr>
                <w:rFonts w:cs="Arial"/>
                <w:sz w:val="20"/>
                <w:szCs w:val="20"/>
              </w:rPr>
              <w:t>(46.4 - 47.3)</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48.5</w:t>
            </w:r>
          </w:p>
          <w:p>
            <w:pPr>
              <w:pStyle w:val="Normal"/>
              <w:jc w:val="center"/>
              <w:rPr>
                <w:rFonts w:cs="Arial"/>
                <w:sz w:val="20"/>
                <w:szCs w:val="20"/>
              </w:rPr>
            </w:pPr>
            <w:r>
              <w:rPr>
                <w:rFonts w:cs="Arial"/>
                <w:sz w:val="20"/>
                <w:szCs w:val="20"/>
              </w:rPr>
              <w:t>(47.7 - 49.3)</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36.4</w:t>
            </w:r>
          </w:p>
          <w:p>
            <w:pPr>
              <w:pStyle w:val="Normal"/>
              <w:jc w:val="center"/>
              <w:rPr>
                <w:rFonts w:cs="Arial"/>
                <w:sz w:val="20"/>
                <w:szCs w:val="20"/>
              </w:rPr>
            </w:pPr>
            <w:r>
              <w:rPr>
                <w:rFonts w:cs="Arial"/>
                <w:sz w:val="20"/>
                <w:szCs w:val="20"/>
              </w:rPr>
              <w:t>(32.5- 40.4)</w:t>
            </w:r>
          </w:p>
        </w:tc>
        <w:tc>
          <w:tcPr>
            <w:tcW w:w="158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38.6</w:t>
            </w:r>
          </w:p>
          <w:p>
            <w:pPr>
              <w:pStyle w:val="Normal"/>
              <w:jc w:val="center"/>
              <w:rPr>
                <w:rFonts w:cs="Arial"/>
                <w:sz w:val="20"/>
                <w:szCs w:val="20"/>
              </w:rPr>
            </w:pPr>
            <w:r>
              <w:rPr>
                <w:rFonts w:cs="Arial"/>
                <w:sz w:val="20"/>
                <w:szCs w:val="20"/>
              </w:rPr>
              <w:t>(37.5 - 39.6)</w:t>
            </w:r>
          </w:p>
        </w:tc>
        <w:tc>
          <w:tcPr>
            <w:tcW w:w="165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39.9</w:t>
            </w:r>
          </w:p>
          <w:p>
            <w:pPr>
              <w:pStyle w:val="Normal"/>
              <w:jc w:val="center"/>
              <w:rPr>
                <w:rFonts w:cs="Arial"/>
                <w:sz w:val="20"/>
                <w:szCs w:val="20"/>
              </w:rPr>
            </w:pPr>
            <w:r>
              <w:rPr>
                <w:rFonts w:cs="Arial"/>
                <w:sz w:val="20"/>
                <w:szCs w:val="20"/>
              </w:rPr>
              <w:t>(38.8 - 40.9)</w:t>
            </w:r>
          </w:p>
        </w:tc>
        <w:tc>
          <w:tcPr>
            <w:tcW w:w="152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51.7</w:t>
            </w:r>
          </w:p>
          <w:p>
            <w:pPr>
              <w:pStyle w:val="Normal"/>
              <w:jc w:val="center"/>
              <w:rPr>
                <w:rFonts w:cs="Arial"/>
                <w:sz w:val="20"/>
                <w:szCs w:val="20"/>
              </w:rPr>
            </w:pPr>
            <w:r>
              <w:rPr>
                <w:rFonts w:cs="Arial"/>
                <w:sz w:val="20"/>
                <w:szCs w:val="20"/>
              </w:rPr>
              <w:t>(51.0 - 52.5)</w:t>
            </w:r>
          </w:p>
        </w:tc>
        <w:tc>
          <w:tcPr>
            <w:tcW w:w="1381"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&lt;0.0001</w:t>
            </w:r>
          </w:p>
        </w:tc>
      </w:tr>
      <w:tr>
        <w:trPr>
          <w:trHeight w:val="525" w:hRule="atLeast"/>
          <w:cantSplit w:val="false"/>
        </w:trPr>
        <w:tc>
          <w:tcPr>
            <w:tcW w:w="1368"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ascii="Times New Roman" w:hAnsi="Times New Roman"/>
                <w:sz w:val="20"/>
                <w:szCs w:val="20"/>
              </w:rPr>
            </w:pPr>
            <w:r>
              <w:rPr>
                <w:rFonts w:cs="Arial" w:ascii="Times New Roman" w:hAnsi="Times New Roman"/>
                <w:sz w:val="20"/>
                <w:szCs w:val="20"/>
              </w:rPr>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Every 365 days</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eastAsia="Arial" w:cs="Arial"/>
                <w:sz w:val="20"/>
                <w:szCs w:val="20"/>
              </w:rPr>
              <w:t xml:space="preserve"> </w:t>
            </w:r>
            <w:r>
              <w:rPr>
                <w:rFonts w:cs="Arial"/>
                <w:sz w:val="20"/>
                <w:szCs w:val="20"/>
              </w:rPr>
              <w:t>67.3</w:t>
            </w:r>
          </w:p>
          <w:p>
            <w:pPr>
              <w:pStyle w:val="Normal"/>
              <w:jc w:val="center"/>
              <w:rPr>
                <w:rFonts w:cs="Arial"/>
                <w:sz w:val="20"/>
                <w:szCs w:val="20"/>
              </w:rPr>
            </w:pPr>
            <w:r>
              <w:rPr>
                <w:rFonts w:cs="Arial"/>
                <w:sz w:val="20"/>
                <w:szCs w:val="20"/>
              </w:rPr>
              <w:t>(66.7 - 67.9)</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eastAsia="Arial" w:cs="Arial"/>
                <w:sz w:val="20"/>
                <w:szCs w:val="20"/>
              </w:rPr>
              <w:t xml:space="preserve"> </w:t>
            </w:r>
            <w:r>
              <w:rPr>
                <w:rFonts w:cs="Arial"/>
                <w:sz w:val="20"/>
                <w:szCs w:val="20"/>
              </w:rPr>
              <w:t>71.4</w:t>
            </w:r>
          </w:p>
          <w:p>
            <w:pPr>
              <w:pStyle w:val="Normal"/>
              <w:jc w:val="center"/>
              <w:rPr>
                <w:rFonts w:cs="Arial"/>
                <w:sz w:val="20"/>
                <w:szCs w:val="20"/>
              </w:rPr>
            </w:pPr>
            <w:r>
              <w:rPr>
                <w:rFonts w:cs="Arial"/>
                <w:sz w:val="20"/>
                <w:szCs w:val="20"/>
              </w:rPr>
              <w:t>(70.2 - 72.6)</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eastAsia="Arial" w:cs="Arial"/>
                <w:sz w:val="20"/>
                <w:szCs w:val="20"/>
              </w:rPr>
              <w:t xml:space="preserve"> </w:t>
            </w:r>
            <w:r>
              <w:rPr>
                <w:rFonts w:cs="Arial"/>
                <w:sz w:val="20"/>
                <w:szCs w:val="20"/>
              </w:rPr>
              <w:t>57.0</w:t>
            </w:r>
          </w:p>
          <w:p>
            <w:pPr>
              <w:pStyle w:val="Normal"/>
              <w:jc w:val="center"/>
              <w:rPr>
                <w:rFonts w:cs="Arial"/>
                <w:sz w:val="20"/>
                <w:szCs w:val="20"/>
              </w:rPr>
            </w:pPr>
            <w:r>
              <w:rPr>
                <w:rFonts w:cs="Arial"/>
                <w:sz w:val="20"/>
                <w:szCs w:val="20"/>
              </w:rPr>
              <w:t>(50.1- 63.8)</w:t>
            </w:r>
          </w:p>
        </w:tc>
        <w:tc>
          <w:tcPr>
            <w:tcW w:w="158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eastAsia="Arial" w:cs="Arial"/>
                <w:sz w:val="20"/>
                <w:szCs w:val="20"/>
              </w:rPr>
              <w:t xml:space="preserve"> </w:t>
            </w:r>
            <w:r>
              <w:rPr>
                <w:rFonts w:cs="Arial"/>
                <w:sz w:val="20"/>
                <w:szCs w:val="20"/>
              </w:rPr>
              <w:t>54.9</w:t>
            </w:r>
          </w:p>
          <w:p>
            <w:pPr>
              <w:pStyle w:val="Normal"/>
              <w:jc w:val="center"/>
              <w:rPr>
                <w:rFonts w:cs="Arial"/>
                <w:sz w:val="20"/>
                <w:szCs w:val="20"/>
              </w:rPr>
            </w:pPr>
            <w:r>
              <w:rPr>
                <w:rFonts w:cs="Arial"/>
                <w:sz w:val="20"/>
                <w:szCs w:val="20"/>
              </w:rPr>
              <w:t>(53.5 - 56.2)</w:t>
            </w:r>
          </w:p>
        </w:tc>
        <w:tc>
          <w:tcPr>
            <w:tcW w:w="165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eastAsia="Arial" w:cs="Arial"/>
                <w:sz w:val="20"/>
                <w:szCs w:val="20"/>
              </w:rPr>
              <w:t xml:space="preserve"> </w:t>
            </w:r>
            <w:r>
              <w:rPr>
                <w:rFonts w:cs="Arial"/>
                <w:sz w:val="20"/>
                <w:szCs w:val="20"/>
              </w:rPr>
              <w:t>58.2</w:t>
            </w:r>
          </w:p>
          <w:p>
            <w:pPr>
              <w:pStyle w:val="Normal"/>
              <w:jc w:val="center"/>
              <w:rPr>
                <w:rFonts w:cs="Arial"/>
                <w:sz w:val="20"/>
                <w:szCs w:val="20"/>
              </w:rPr>
            </w:pPr>
            <w:r>
              <w:rPr>
                <w:rFonts w:cs="Arial"/>
                <w:sz w:val="20"/>
                <w:szCs w:val="20"/>
              </w:rPr>
              <w:t>(56.7 - 59.6)</w:t>
            </w:r>
          </w:p>
        </w:tc>
        <w:tc>
          <w:tcPr>
            <w:tcW w:w="152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eastAsia="Arial" w:cs="Arial"/>
                <w:sz w:val="20"/>
                <w:szCs w:val="20"/>
              </w:rPr>
              <w:t xml:space="preserve"> </w:t>
            </w:r>
            <w:r>
              <w:rPr>
                <w:rFonts w:cs="Arial"/>
                <w:sz w:val="20"/>
                <w:szCs w:val="20"/>
              </w:rPr>
              <w:t>72.8</w:t>
            </w:r>
          </w:p>
          <w:p>
            <w:pPr>
              <w:pStyle w:val="Normal"/>
              <w:jc w:val="center"/>
              <w:rPr>
                <w:rFonts w:cs="Arial"/>
                <w:sz w:val="20"/>
                <w:szCs w:val="20"/>
              </w:rPr>
            </w:pPr>
            <w:r>
              <w:rPr>
                <w:rFonts w:cs="Arial"/>
                <w:sz w:val="20"/>
                <w:szCs w:val="20"/>
              </w:rPr>
              <w:t>(71.7 - 73.8)</w:t>
            </w:r>
          </w:p>
        </w:tc>
        <w:tc>
          <w:tcPr>
            <w:tcW w:w="1381"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&lt;0.0001</w:t>
            </w:r>
          </w:p>
          <w:p>
            <w:pPr>
              <w:pStyle w:val="Normal"/>
              <w:jc w:val="center"/>
              <w:rPr>
                <w:rFonts w:cs="MS Sans Serif;Times New Roman" w:ascii="MS Sans Serif;Times New Roman" w:hAnsi="MS Sans Serif;Times New Roman"/>
                <w:sz w:val="20"/>
                <w:szCs w:val="20"/>
              </w:rPr>
            </w:pPr>
            <w:r>
              <w:rPr>
                <w:rFonts w:cs="MS Sans Serif;Times New Roman" w:ascii="MS Sans Serif;Times New Roman" w:hAnsi="MS Sans Serif;Times New Roman"/>
                <w:sz w:val="20"/>
                <w:szCs w:val="20"/>
              </w:rPr>
            </w:r>
          </w:p>
        </w:tc>
      </w:tr>
      <w:tr>
        <w:trPr>
          <w:trHeight w:val="525" w:hRule="atLeast"/>
          <w:cantSplit w:val="false"/>
        </w:trPr>
        <w:tc>
          <w:tcPr>
            <w:tcW w:w="1368" w:type="dxa"/>
            <w:vMerge w:val="restart"/>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ascii="Times New Roman" w:hAnsi="Times New Roman"/>
                <w:sz w:val="20"/>
                <w:szCs w:val="20"/>
              </w:rPr>
            </w:pPr>
            <w:r>
              <w:rPr>
                <w:rFonts w:cs="Arial" w:ascii="Times New Roman" w:hAnsi="Times New Roman"/>
                <w:sz w:val="20"/>
                <w:szCs w:val="20"/>
              </w:rPr>
            </w:r>
          </w:p>
          <w:p>
            <w:pPr>
              <w:pStyle w:val="Normal"/>
              <w:jc w:val="center"/>
              <w:rPr>
                <w:rFonts w:cs="Arial"/>
                <w:sz w:val="20"/>
                <w:szCs w:val="20"/>
              </w:rPr>
            </w:pPr>
            <w:r>
              <w:rPr>
                <w:rFonts w:cs="Arial"/>
                <w:sz w:val="20"/>
                <w:szCs w:val="20"/>
              </w:rPr>
              <w:t>Cholesterol</w:t>
            </w:r>
          </w:p>
          <w:p>
            <w:pPr>
              <w:pStyle w:val="Normal"/>
              <w:jc w:val="center"/>
              <w:rPr>
                <w:rFonts w:cs="Arial"/>
                <w:sz w:val="20"/>
                <w:szCs w:val="20"/>
              </w:rPr>
            </w:pPr>
            <w:r>
              <w:rPr>
                <w:rFonts w:cs="Arial"/>
                <w:sz w:val="20"/>
                <w:szCs w:val="20"/>
              </w:rPr>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Every 90 days</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15.4</w:t>
            </w:r>
          </w:p>
          <w:p>
            <w:pPr>
              <w:pStyle w:val="Normal"/>
              <w:jc w:val="center"/>
              <w:rPr>
                <w:rFonts w:cs="Arial"/>
                <w:sz w:val="20"/>
                <w:szCs w:val="20"/>
              </w:rPr>
            </w:pPr>
            <w:r>
              <w:rPr>
                <w:rFonts w:cs="Arial"/>
                <w:sz w:val="20"/>
                <w:szCs w:val="20"/>
              </w:rPr>
              <w:t>(15.2 - 15.6)</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17.4</w:t>
            </w:r>
          </w:p>
          <w:p>
            <w:pPr>
              <w:pStyle w:val="Normal"/>
              <w:jc w:val="center"/>
              <w:rPr>
                <w:rFonts w:cs="Arial"/>
                <w:sz w:val="20"/>
                <w:szCs w:val="20"/>
              </w:rPr>
            </w:pPr>
            <w:r>
              <w:rPr>
                <w:rFonts w:cs="Arial"/>
                <w:sz w:val="20"/>
                <w:szCs w:val="20"/>
              </w:rPr>
              <w:t>(17.0 - 17.7)</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14.5</w:t>
            </w:r>
          </w:p>
          <w:p>
            <w:pPr>
              <w:pStyle w:val="Normal"/>
              <w:jc w:val="center"/>
              <w:rPr>
                <w:rFonts w:cs="Arial"/>
                <w:sz w:val="20"/>
                <w:szCs w:val="20"/>
              </w:rPr>
            </w:pPr>
            <w:r>
              <w:rPr>
                <w:rFonts w:cs="Arial"/>
                <w:sz w:val="20"/>
                <w:szCs w:val="20"/>
              </w:rPr>
              <w:t>(12.8- 16.2)</w:t>
            </w:r>
          </w:p>
        </w:tc>
        <w:tc>
          <w:tcPr>
            <w:tcW w:w="158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16.1</w:t>
            </w:r>
          </w:p>
          <w:p>
            <w:pPr>
              <w:pStyle w:val="Normal"/>
              <w:jc w:val="center"/>
              <w:rPr>
                <w:rFonts w:cs="Arial"/>
                <w:sz w:val="20"/>
                <w:szCs w:val="20"/>
              </w:rPr>
            </w:pPr>
            <w:r>
              <w:rPr>
                <w:rFonts w:cs="Arial"/>
                <w:sz w:val="20"/>
                <w:szCs w:val="20"/>
              </w:rPr>
              <w:t>(15.6 - 16.7)</w:t>
            </w:r>
          </w:p>
        </w:tc>
        <w:tc>
          <w:tcPr>
            <w:tcW w:w="165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16.2</w:t>
            </w:r>
          </w:p>
          <w:p>
            <w:pPr>
              <w:pStyle w:val="Normal"/>
              <w:jc w:val="center"/>
              <w:rPr>
                <w:rFonts w:cs="Arial"/>
                <w:sz w:val="20"/>
                <w:szCs w:val="20"/>
              </w:rPr>
            </w:pPr>
            <w:r>
              <w:rPr>
                <w:rFonts w:cs="Arial"/>
                <w:sz w:val="20"/>
                <w:szCs w:val="20"/>
              </w:rPr>
              <w:t>(15.7 - 16.8)</w:t>
            </w:r>
          </w:p>
        </w:tc>
        <w:tc>
          <w:tcPr>
            <w:tcW w:w="152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13.3</w:t>
            </w:r>
          </w:p>
          <w:p>
            <w:pPr>
              <w:pStyle w:val="Normal"/>
              <w:jc w:val="center"/>
              <w:rPr>
                <w:rFonts w:cs="Arial"/>
                <w:sz w:val="20"/>
                <w:szCs w:val="20"/>
              </w:rPr>
            </w:pPr>
            <w:r>
              <w:rPr>
                <w:rFonts w:cs="Arial"/>
                <w:sz w:val="20"/>
                <w:szCs w:val="20"/>
              </w:rPr>
              <w:t>(13.0 - 13.6)</w:t>
            </w:r>
          </w:p>
        </w:tc>
        <w:tc>
          <w:tcPr>
            <w:tcW w:w="1381"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&lt;0.0001</w:t>
            </w:r>
          </w:p>
          <w:p>
            <w:pPr>
              <w:pStyle w:val="Normal"/>
              <w:jc w:val="center"/>
              <w:rPr>
                <w:rFonts w:cs="Arial"/>
                <w:sz w:val="20"/>
                <w:szCs w:val="20"/>
              </w:rPr>
            </w:pPr>
            <w:r>
              <w:rPr>
                <w:rFonts w:cs="Arial"/>
                <w:sz w:val="20"/>
                <w:szCs w:val="20"/>
              </w:rPr>
            </w:r>
          </w:p>
        </w:tc>
      </w:tr>
      <w:tr>
        <w:trPr>
          <w:trHeight w:val="525" w:hRule="atLeast"/>
          <w:cantSplit w:val="false"/>
        </w:trPr>
        <w:tc>
          <w:tcPr>
            <w:tcW w:w="1368"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ascii="Times New Roman" w:hAnsi="Times New Roman"/>
                <w:sz w:val="20"/>
                <w:szCs w:val="20"/>
              </w:rPr>
            </w:pPr>
            <w:r>
              <w:rPr>
                <w:rFonts w:cs="Arial" w:ascii="Times New Roman" w:hAnsi="Times New Roman"/>
                <w:sz w:val="20"/>
                <w:szCs w:val="20"/>
              </w:rPr>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Every 180 days</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28.7</w:t>
            </w:r>
          </w:p>
          <w:p>
            <w:pPr>
              <w:pStyle w:val="Normal"/>
              <w:jc w:val="center"/>
              <w:rPr>
                <w:rFonts w:cs="Arial"/>
                <w:sz w:val="20"/>
                <w:szCs w:val="20"/>
              </w:rPr>
            </w:pPr>
            <w:r>
              <w:rPr>
                <w:rFonts w:cs="Arial"/>
                <w:sz w:val="20"/>
                <w:szCs w:val="20"/>
              </w:rPr>
              <w:t>(28.3 - 29.0)</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31.8</w:t>
            </w:r>
          </w:p>
          <w:p>
            <w:pPr>
              <w:pStyle w:val="Normal"/>
              <w:jc w:val="center"/>
              <w:rPr>
                <w:rFonts w:cs="Arial"/>
                <w:sz w:val="20"/>
                <w:szCs w:val="20"/>
              </w:rPr>
            </w:pPr>
            <w:r>
              <w:rPr>
                <w:rFonts w:cs="Arial"/>
                <w:sz w:val="20"/>
                <w:szCs w:val="20"/>
              </w:rPr>
              <w:t>(31.2 - 32.4)</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29.4</w:t>
            </w:r>
          </w:p>
          <w:p>
            <w:pPr>
              <w:pStyle w:val="Normal"/>
              <w:jc w:val="center"/>
              <w:rPr>
                <w:rFonts w:cs="Arial"/>
                <w:sz w:val="20"/>
                <w:szCs w:val="20"/>
              </w:rPr>
            </w:pPr>
            <w:r>
              <w:rPr>
                <w:rFonts w:cs="Arial"/>
                <w:sz w:val="20"/>
                <w:szCs w:val="20"/>
              </w:rPr>
              <w:t>(26.2- 32.6)</w:t>
            </w:r>
          </w:p>
        </w:tc>
        <w:tc>
          <w:tcPr>
            <w:tcW w:w="158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29.6</w:t>
            </w:r>
          </w:p>
          <w:p>
            <w:pPr>
              <w:pStyle w:val="Normal"/>
              <w:jc w:val="center"/>
              <w:rPr>
                <w:rFonts w:cs="Arial"/>
                <w:sz w:val="20"/>
                <w:szCs w:val="20"/>
              </w:rPr>
            </w:pPr>
            <w:r>
              <w:rPr>
                <w:rFonts w:cs="Arial"/>
                <w:sz w:val="20"/>
                <w:szCs w:val="20"/>
              </w:rPr>
              <w:t>(28.8 - 30.5)</w:t>
            </w:r>
          </w:p>
        </w:tc>
        <w:tc>
          <w:tcPr>
            <w:tcW w:w="165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30.0</w:t>
            </w:r>
          </w:p>
          <w:p>
            <w:pPr>
              <w:pStyle w:val="Normal"/>
              <w:jc w:val="center"/>
              <w:rPr>
                <w:rFonts w:cs="Arial"/>
                <w:sz w:val="20"/>
                <w:szCs w:val="20"/>
              </w:rPr>
            </w:pPr>
            <w:r>
              <w:rPr>
                <w:rFonts w:cs="Arial"/>
                <w:sz w:val="20"/>
                <w:szCs w:val="20"/>
              </w:rPr>
              <w:t>(29.2 - 30.8)</w:t>
            </w:r>
          </w:p>
        </w:tc>
        <w:tc>
          <w:tcPr>
            <w:tcW w:w="152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25.4</w:t>
            </w:r>
          </w:p>
          <w:p>
            <w:pPr>
              <w:pStyle w:val="Normal"/>
              <w:jc w:val="center"/>
              <w:rPr>
                <w:rFonts w:cs="Arial"/>
                <w:sz w:val="20"/>
                <w:szCs w:val="20"/>
              </w:rPr>
            </w:pPr>
            <w:r>
              <w:rPr>
                <w:rFonts w:cs="Arial"/>
                <w:sz w:val="20"/>
                <w:szCs w:val="20"/>
              </w:rPr>
              <w:t>(24.9 - 25.9)</w:t>
            </w:r>
          </w:p>
        </w:tc>
        <w:tc>
          <w:tcPr>
            <w:tcW w:w="1381"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&lt;0.0001</w:t>
            </w:r>
          </w:p>
        </w:tc>
      </w:tr>
      <w:tr>
        <w:trPr>
          <w:trHeight w:val="525" w:hRule="atLeast"/>
          <w:cantSplit w:val="false"/>
        </w:trPr>
        <w:tc>
          <w:tcPr>
            <w:tcW w:w="1368"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ascii="Times New Roman" w:hAnsi="Times New Roman"/>
                <w:sz w:val="20"/>
                <w:szCs w:val="20"/>
              </w:rPr>
            </w:pPr>
            <w:r>
              <w:rPr>
                <w:rFonts w:cs="Arial" w:ascii="Times New Roman" w:hAnsi="Times New Roman"/>
                <w:sz w:val="20"/>
                <w:szCs w:val="20"/>
              </w:rPr>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Every 365 days</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eastAsia="Arial" w:cs="Arial"/>
                <w:sz w:val="20"/>
                <w:szCs w:val="20"/>
              </w:rPr>
              <w:t xml:space="preserve"> </w:t>
            </w:r>
            <w:r>
              <w:rPr>
                <w:rFonts w:cs="Arial"/>
                <w:sz w:val="20"/>
                <w:szCs w:val="20"/>
              </w:rPr>
              <w:t>41.6</w:t>
            </w:r>
          </w:p>
          <w:p>
            <w:pPr>
              <w:pStyle w:val="Normal"/>
              <w:jc w:val="center"/>
              <w:rPr>
                <w:rFonts w:cs="Arial"/>
                <w:sz w:val="20"/>
                <w:szCs w:val="20"/>
              </w:rPr>
            </w:pPr>
            <w:r>
              <w:rPr>
                <w:rFonts w:cs="Arial"/>
                <w:sz w:val="20"/>
                <w:szCs w:val="20"/>
              </w:rPr>
              <w:t>(41.2 - 42.1)</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eastAsia="Arial" w:cs="Arial"/>
                <w:sz w:val="20"/>
                <w:szCs w:val="20"/>
              </w:rPr>
              <w:t xml:space="preserve"> </w:t>
            </w:r>
            <w:r>
              <w:rPr>
                <w:rFonts w:cs="Arial"/>
                <w:sz w:val="20"/>
                <w:szCs w:val="20"/>
              </w:rPr>
              <w:t>47.4</w:t>
            </w:r>
          </w:p>
          <w:p>
            <w:pPr>
              <w:pStyle w:val="Normal"/>
              <w:jc w:val="center"/>
              <w:rPr>
                <w:rFonts w:cs="Arial"/>
                <w:sz w:val="20"/>
                <w:szCs w:val="20"/>
              </w:rPr>
            </w:pPr>
            <w:r>
              <w:rPr>
                <w:rFonts w:cs="Arial"/>
                <w:sz w:val="20"/>
                <w:szCs w:val="20"/>
              </w:rPr>
              <w:t>(46.5 - 48.2)</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eastAsia="Arial" w:cs="Arial"/>
                <w:sz w:val="20"/>
                <w:szCs w:val="20"/>
              </w:rPr>
              <w:t xml:space="preserve"> </w:t>
            </w:r>
            <w:r>
              <w:rPr>
                <w:rFonts w:cs="Arial"/>
                <w:sz w:val="20"/>
                <w:szCs w:val="20"/>
              </w:rPr>
              <w:t>44.3</w:t>
            </w:r>
          </w:p>
          <w:p>
            <w:pPr>
              <w:pStyle w:val="Normal"/>
              <w:jc w:val="center"/>
              <w:rPr>
                <w:rFonts w:cs="Arial"/>
                <w:sz w:val="20"/>
                <w:szCs w:val="20"/>
              </w:rPr>
            </w:pPr>
            <w:r>
              <w:rPr>
                <w:rFonts w:cs="Arial"/>
                <w:sz w:val="20"/>
                <w:szCs w:val="20"/>
              </w:rPr>
              <w:t>(40.0- 48.5)</w:t>
            </w:r>
          </w:p>
        </w:tc>
        <w:tc>
          <w:tcPr>
            <w:tcW w:w="158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eastAsia="Arial" w:cs="Arial"/>
                <w:sz w:val="20"/>
                <w:szCs w:val="20"/>
              </w:rPr>
              <w:t xml:space="preserve"> </w:t>
            </w:r>
            <w:r>
              <w:rPr>
                <w:rFonts w:cs="Arial"/>
                <w:sz w:val="20"/>
                <w:szCs w:val="20"/>
              </w:rPr>
              <w:t>42.7</w:t>
            </w:r>
          </w:p>
          <w:p>
            <w:pPr>
              <w:pStyle w:val="Normal"/>
              <w:jc w:val="center"/>
              <w:rPr>
                <w:rFonts w:cs="Arial"/>
                <w:sz w:val="20"/>
                <w:szCs w:val="20"/>
              </w:rPr>
            </w:pPr>
            <w:r>
              <w:rPr>
                <w:rFonts w:cs="Arial"/>
                <w:sz w:val="20"/>
                <w:szCs w:val="20"/>
              </w:rPr>
              <w:t>(41.6 - 43.9 )</w:t>
            </w:r>
          </w:p>
        </w:tc>
        <w:tc>
          <w:tcPr>
            <w:tcW w:w="165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eastAsia="Arial" w:cs="Arial"/>
                <w:sz w:val="20"/>
                <w:szCs w:val="20"/>
              </w:rPr>
              <w:t xml:space="preserve"> </w:t>
            </w:r>
            <w:r>
              <w:rPr>
                <w:rFonts w:cs="Arial"/>
                <w:sz w:val="20"/>
                <w:szCs w:val="20"/>
              </w:rPr>
              <w:t>44.2</w:t>
            </w:r>
          </w:p>
          <w:p>
            <w:pPr>
              <w:pStyle w:val="Normal"/>
              <w:jc w:val="center"/>
              <w:rPr>
                <w:rFonts w:cs="Arial"/>
                <w:sz w:val="20"/>
                <w:szCs w:val="20"/>
              </w:rPr>
            </w:pPr>
            <w:r>
              <w:rPr>
                <w:rFonts w:cs="Arial"/>
                <w:sz w:val="20"/>
                <w:szCs w:val="20"/>
              </w:rPr>
              <w:t>(43.1 - 45.3)</w:t>
            </w:r>
          </w:p>
        </w:tc>
        <w:tc>
          <w:tcPr>
            <w:tcW w:w="152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eastAsia="Arial" w:cs="Arial"/>
                <w:sz w:val="20"/>
                <w:szCs w:val="20"/>
              </w:rPr>
              <w:t xml:space="preserve"> </w:t>
            </w:r>
            <w:r>
              <w:rPr>
                <w:rFonts w:cs="Arial"/>
                <w:sz w:val="20"/>
                <w:szCs w:val="20"/>
              </w:rPr>
              <w:t>35.8</w:t>
            </w:r>
          </w:p>
          <w:p>
            <w:pPr>
              <w:pStyle w:val="Normal"/>
              <w:jc w:val="center"/>
              <w:rPr>
                <w:rFonts w:cs="Arial"/>
                <w:sz w:val="20"/>
                <w:szCs w:val="20"/>
              </w:rPr>
            </w:pPr>
            <w:r>
              <w:rPr>
                <w:rFonts w:cs="Arial"/>
                <w:sz w:val="20"/>
                <w:szCs w:val="20"/>
              </w:rPr>
              <w:t>(35.1 - 36.4)</w:t>
            </w:r>
          </w:p>
        </w:tc>
        <w:tc>
          <w:tcPr>
            <w:tcW w:w="1381"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&lt;0.0001</w:t>
            </w:r>
          </w:p>
          <w:p>
            <w:pPr>
              <w:pStyle w:val="Normal"/>
              <w:jc w:val="center"/>
              <w:rPr>
                <w:rFonts w:cs="Arial"/>
                <w:sz w:val="20"/>
                <w:szCs w:val="20"/>
              </w:rPr>
            </w:pPr>
            <w:r>
              <w:rPr>
                <w:rFonts w:cs="Arial"/>
                <w:sz w:val="20"/>
                <w:szCs w:val="20"/>
              </w:rPr>
            </w:r>
          </w:p>
        </w:tc>
      </w:tr>
      <w:tr>
        <w:trPr>
          <w:trHeight w:val="525" w:hRule="atLeast"/>
          <w:cantSplit w:val="false"/>
        </w:trPr>
        <w:tc>
          <w:tcPr>
            <w:tcW w:w="1368" w:type="dxa"/>
            <w:vMerge w:val="restart"/>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ascii="Times New Roman" w:hAnsi="Times New Roman"/>
                <w:sz w:val="20"/>
                <w:szCs w:val="20"/>
              </w:rPr>
            </w:pPr>
            <w:r>
              <w:rPr>
                <w:rFonts w:cs="Arial" w:ascii="Times New Roman" w:hAnsi="Times New Roman"/>
                <w:sz w:val="20"/>
                <w:szCs w:val="20"/>
              </w:rPr>
            </w:r>
          </w:p>
          <w:p>
            <w:pPr>
              <w:pStyle w:val="Normal"/>
              <w:jc w:val="center"/>
              <w:rPr>
                <w:rFonts w:cs="Arial"/>
                <w:sz w:val="20"/>
                <w:szCs w:val="20"/>
              </w:rPr>
            </w:pPr>
            <w:r>
              <w:rPr>
                <w:rFonts w:cs="Arial"/>
                <w:sz w:val="20"/>
                <w:szCs w:val="20"/>
              </w:rPr>
              <w:t>Glucose</w:t>
            </w:r>
          </w:p>
          <w:p>
            <w:pPr>
              <w:pStyle w:val="Normal"/>
              <w:jc w:val="center"/>
              <w:rPr>
                <w:rFonts w:cs="Arial"/>
                <w:sz w:val="20"/>
                <w:szCs w:val="20"/>
              </w:rPr>
            </w:pPr>
            <w:r>
              <w:rPr>
                <w:rFonts w:cs="Arial"/>
                <w:sz w:val="20"/>
                <w:szCs w:val="20"/>
              </w:rPr>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Every 90 days</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22.9</w:t>
            </w:r>
          </w:p>
          <w:p>
            <w:pPr>
              <w:pStyle w:val="Normal"/>
              <w:jc w:val="center"/>
              <w:rPr>
                <w:rFonts w:cs="Arial"/>
                <w:sz w:val="20"/>
                <w:szCs w:val="20"/>
              </w:rPr>
            </w:pPr>
            <w:r>
              <w:rPr>
                <w:rFonts w:cs="Arial"/>
                <w:sz w:val="20"/>
                <w:szCs w:val="20"/>
              </w:rPr>
              <w:t>(22.6 - 23.1)</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22.9</w:t>
            </w:r>
          </w:p>
          <w:p>
            <w:pPr>
              <w:pStyle w:val="Normal"/>
              <w:jc w:val="center"/>
              <w:rPr>
                <w:rFonts w:cs="Arial"/>
                <w:sz w:val="20"/>
                <w:szCs w:val="20"/>
              </w:rPr>
            </w:pPr>
            <w:r>
              <w:rPr>
                <w:rFonts w:cs="Arial"/>
                <w:sz w:val="20"/>
                <w:szCs w:val="20"/>
              </w:rPr>
              <w:t>(22.5 - 23.4)</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17.0</w:t>
            </w:r>
          </w:p>
          <w:p>
            <w:pPr>
              <w:pStyle w:val="Normal"/>
              <w:jc w:val="center"/>
              <w:rPr>
                <w:rFonts w:cs="Arial"/>
                <w:sz w:val="20"/>
                <w:szCs w:val="20"/>
              </w:rPr>
            </w:pPr>
            <w:r>
              <w:rPr>
                <w:rFonts w:cs="Arial"/>
                <w:sz w:val="20"/>
                <w:szCs w:val="20"/>
              </w:rPr>
              <w:t>(15.0- 19.0)</w:t>
            </w:r>
          </w:p>
        </w:tc>
        <w:tc>
          <w:tcPr>
            <w:tcW w:w="158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21.9</w:t>
            </w:r>
          </w:p>
          <w:p>
            <w:pPr>
              <w:pStyle w:val="Normal"/>
              <w:jc w:val="center"/>
              <w:rPr>
                <w:rFonts w:cs="Arial"/>
                <w:sz w:val="20"/>
                <w:szCs w:val="20"/>
              </w:rPr>
            </w:pPr>
            <w:r>
              <w:rPr>
                <w:rFonts w:cs="Arial"/>
                <w:sz w:val="20"/>
                <w:szCs w:val="20"/>
              </w:rPr>
              <w:t>(21.3 - 22.6)</w:t>
            </w:r>
          </w:p>
        </w:tc>
        <w:tc>
          <w:tcPr>
            <w:tcW w:w="165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22.0</w:t>
            </w:r>
          </w:p>
          <w:p>
            <w:pPr>
              <w:pStyle w:val="Normal"/>
              <w:jc w:val="center"/>
              <w:rPr>
                <w:rFonts w:cs="Arial"/>
                <w:sz w:val="20"/>
                <w:szCs w:val="20"/>
              </w:rPr>
            </w:pPr>
            <w:r>
              <w:rPr>
                <w:rFonts w:cs="Arial"/>
                <w:sz w:val="20"/>
                <w:szCs w:val="20"/>
              </w:rPr>
              <w:t>(21.4 - 22.6)</w:t>
            </w:r>
          </w:p>
        </w:tc>
        <w:tc>
          <w:tcPr>
            <w:tcW w:w="152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23.6</w:t>
            </w:r>
          </w:p>
          <w:p>
            <w:pPr>
              <w:pStyle w:val="Normal"/>
              <w:jc w:val="center"/>
              <w:rPr>
                <w:rFonts w:cs="Arial"/>
                <w:sz w:val="20"/>
                <w:szCs w:val="20"/>
              </w:rPr>
            </w:pPr>
            <w:r>
              <w:rPr>
                <w:rFonts w:cs="Arial"/>
                <w:sz w:val="20"/>
                <w:szCs w:val="20"/>
              </w:rPr>
              <w:t>(23.2 - 24.0)</w:t>
            </w:r>
          </w:p>
        </w:tc>
        <w:tc>
          <w:tcPr>
            <w:tcW w:w="1381"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&lt;0.0001</w:t>
            </w:r>
          </w:p>
        </w:tc>
      </w:tr>
      <w:tr>
        <w:trPr>
          <w:trHeight w:val="525" w:hRule="atLeast"/>
          <w:cantSplit w:val="false"/>
        </w:trPr>
        <w:tc>
          <w:tcPr>
            <w:tcW w:w="1368"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ascii="Times New Roman" w:hAnsi="Times New Roman"/>
                <w:sz w:val="20"/>
                <w:szCs w:val="20"/>
              </w:rPr>
            </w:pPr>
            <w:r>
              <w:rPr>
                <w:rFonts w:cs="Arial" w:ascii="Times New Roman" w:hAnsi="Times New Roman"/>
                <w:sz w:val="20"/>
                <w:szCs w:val="20"/>
              </w:rPr>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Every 180 days</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42.2</w:t>
            </w:r>
          </w:p>
          <w:p>
            <w:pPr>
              <w:pStyle w:val="Normal"/>
              <w:jc w:val="center"/>
              <w:rPr>
                <w:rFonts w:cs="Arial"/>
                <w:sz w:val="20"/>
                <w:szCs w:val="20"/>
              </w:rPr>
            </w:pPr>
            <w:r>
              <w:rPr>
                <w:rFonts w:cs="Arial"/>
                <w:sz w:val="20"/>
                <w:szCs w:val="20"/>
              </w:rPr>
              <w:t>(41.8 - 42.6)</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41.5</w:t>
            </w:r>
          </w:p>
          <w:p>
            <w:pPr>
              <w:pStyle w:val="Normal"/>
              <w:jc w:val="center"/>
              <w:rPr>
                <w:rFonts w:cs="Arial"/>
                <w:sz w:val="20"/>
                <w:szCs w:val="20"/>
              </w:rPr>
            </w:pPr>
            <w:r>
              <w:rPr>
                <w:rFonts w:cs="Arial"/>
                <w:sz w:val="20"/>
                <w:szCs w:val="20"/>
              </w:rPr>
              <w:t>(40.7 - 42.2 )</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34.0</w:t>
            </w:r>
          </w:p>
          <w:p>
            <w:pPr>
              <w:pStyle w:val="Normal"/>
              <w:jc w:val="center"/>
              <w:rPr>
                <w:rFonts w:cs="Arial"/>
                <w:sz w:val="20"/>
                <w:szCs w:val="20"/>
              </w:rPr>
            </w:pPr>
            <w:r>
              <w:rPr>
                <w:rFonts w:cs="Arial"/>
                <w:sz w:val="20"/>
                <w:szCs w:val="20"/>
              </w:rPr>
              <w:t>(30.3- 37.8)</w:t>
            </w:r>
          </w:p>
        </w:tc>
        <w:tc>
          <w:tcPr>
            <w:tcW w:w="158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39.9</w:t>
            </w:r>
          </w:p>
          <w:p>
            <w:pPr>
              <w:pStyle w:val="Normal"/>
              <w:jc w:val="center"/>
              <w:rPr>
                <w:rFonts w:cs="Arial"/>
                <w:sz w:val="20"/>
                <w:szCs w:val="20"/>
              </w:rPr>
            </w:pPr>
            <w:r>
              <w:rPr>
                <w:rFonts w:cs="Arial"/>
                <w:sz w:val="20"/>
                <w:szCs w:val="20"/>
              </w:rPr>
              <w:t>(38.8 - 40.9)</w:t>
            </w:r>
          </w:p>
        </w:tc>
        <w:tc>
          <w:tcPr>
            <w:tcW w:w="165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39.9</w:t>
            </w:r>
          </w:p>
          <w:p>
            <w:pPr>
              <w:pStyle w:val="Normal"/>
              <w:jc w:val="center"/>
              <w:rPr>
                <w:rFonts w:cs="Arial"/>
                <w:sz w:val="20"/>
                <w:szCs w:val="20"/>
              </w:rPr>
            </w:pPr>
            <w:r>
              <w:rPr>
                <w:rFonts w:cs="Arial"/>
                <w:sz w:val="20"/>
                <w:szCs w:val="20"/>
              </w:rPr>
              <w:t>(38.9 - 40.9)</w:t>
            </w:r>
          </w:p>
        </w:tc>
        <w:tc>
          <w:tcPr>
            <w:tcW w:w="152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44.8</w:t>
            </w:r>
          </w:p>
          <w:p>
            <w:pPr>
              <w:pStyle w:val="Normal"/>
              <w:jc w:val="center"/>
              <w:rPr>
                <w:rFonts w:cs="Arial"/>
                <w:sz w:val="20"/>
                <w:szCs w:val="20"/>
              </w:rPr>
            </w:pPr>
            <w:r>
              <w:rPr>
                <w:rFonts w:cs="Arial"/>
                <w:sz w:val="20"/>
                <w:szCs w:val="20"/>
              </w:rPr>
              <w:t>(44.1 - 45.4)</w:t>
            </w:r>
          </w:p>
        </w:tc>
        <w:tc>
          <w:tcPr>
            <w:tcW w:w="1381"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&lt;0.0001</w:t>
            </w:r>
          </w:p>
        </w:tc>
      </w:tr>
      <w:tr>
        <w:trPr>
          <w:trHeight w:val="525" w:hRule="atLeast"/>
          <w:cantSplit w:val="false"/>
        </w:trPr>
        <w:tc>
          <w:tcPr>
            <w:tcW w:w="1368"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ascii="Times New Roman" w:hAnsi="Times New Roman"/>
                <w:sz w:val="20"/>
                <w:szCs w:val="20"/>
              </w:rPr>
            </w:pPr>
            <w:r>
              <w:rPr>
                <w:rFonts w:cs="Arial" w:ascii="Times New Roman" w:hAnsi="Times New Roman"/>
                <w:sz w:val="20"/>
                <w:szCs w:val="20"/>
              </w:rPr>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Every 365 days</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eastAsia="Arial" w:cs="Arial"/>
                <w:sz w:val="20"/>
                <w:szCs w:val="20"/>
              </w:rPr>
              <w:t xml:space="preserve"> </w:t>
            </w:r>
            <w:r>
              <w:rPr>
                <w:rFonts w:cs="Arial"/>
                <w:sz w:val="20"/>
                <w:szCs w:val="20"/>
              </w:rPr>
              <w:t>60.9</w:t>
            </w:r>
          </w:p>
          <w:p>
            <w:pPr>
              <w:pStyle w:val="Normal"/>
              <w:jc w:val="center"/>
              <w:rPr>
                <w:rFonts w:cs="Arial"/>
                <w:sz w:val="20"/>
                <w:szCs w:val="20"/>
              </w:rPr>
            </w:pPr>
            <w:r>
              <w:rPr>
                <w:rFonts w:cs="Arial"/>
                <w:sz w:val="20"/>
                <w:szCs w:val="20"/>
              </w:rPr>
              <w:t>(60.3 - 61.4)</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eastAsia="Arial" w:cs="Arial"/>
                <w:sz w:val="20"/>
                <w:szCs w:val="20"/>
              </w:rPr>
              <w:t xml:space="preserve"> </w:t>
            </w:r>
            <w:r>
              <w:rPr>
                <w:rFonts w:cs="Arial"/>
                <w:sz w:val="20"/>
                <w:szCs w:val="20"/>
              </w:rPr>
              <w:t>61.6</w:t>
            </w:r>
          </w:p>
          <w:p>
            <w:pPr>
              <w:pStyle w:val="Normal"/>
              <w:jc w:val="center"/>
              <w:rPr>
                <w:rFonts w:cs="Arial"/>
                <w:sz w:val="20"/>
                <w:szCs w:val="20"/>
              </w:rPr>
            </w:pPr>
            <w:r>
              <w:rPr>
                <w:rFonts w:cs="Arial"/>
                <w:sz w:val="20"/>
                <w:szCs w:val="20"/>
              </w:rPr>
              <w:t>(60.6 - 62.6)</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eastAsia="Arial" w:cs="Arial"/>
                <w:sz w:val="20"/>
                <w:szCs w:val="20"/>
              </w:rPr>
              <w:t xml:space="preserve"> </w:t>
            </w:r>
            <w:r>
              <w:rPr>
                <w:rFonts w:cs="Arial"/>
                <w:sz w:val="20"/>
                <w:szCs w:val="20"/>
              </w:rPr>
              <w:t>53.5</w:t>
            </w:r>
          </w:p>
          <w:p>
            <w:pPr>
              <w:pStyle w:val="Normal"/>
              <w:jc w:val="center"/>
              <w:rPr>
                <w:rFonts w:cs="Arial"/>
                <w:sz w:val="20"/>
                <w:szCs w:val="20"/>
              </w:rPr>
            </w:pPr>
            <w:r>
              <w:rPr>
                <w:rFonts w:cs="Arial"/>
                <w:sz w:val="20"/>
                <w:szCs w:val="20"/>
              </w:rPr>
              <w:t>(47.5- 59.5)</w:t>
            </w:r>
          </w:p>
        </w:tc>
        <w:tc>
          <w:tcPr>
            <w:tcW w:w="158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eastAsia="Arial" w:cs="Arial"/>
                <w:sz w:val="20"/>
                <w:szCs w:val="20"/>
              </w:rPr>
              <w:t xml:space="preserve"> </w:t>
            </w:r>
            <w:r>
              <w:rPr>
                <w:rFonts w:cs="Arial"/>
                <w:sz w:val="20"/>
                <w:szCs w:val="20"/>
              </w:rPr>
              <w:t>57.2</w:t>
            </w:r>
          </w:p>
          <w:p>
            <w:pPr>
              <w:pStyle w:val="Normal"/>
              <w:jc w:val="center"/>
              <w:rPr>
                <w:rFonts w:cs="Arial"/>
                <w:sz w:val="20"/>
                <w:szCs w:val="20"/>
              </w:rPr>
            </w:pPr>
            <w:r>
              <w:rPr>
                <w:rFonts w:cs="Arial"/>
                <w:sz w:val="20"/>
                <w:szCs w:val="20"/>
              </w:rPr>
              <w:t>(55.8 - 58.6)</w:t>
            </w:r>
          </w:p>
        </w:tc>
        <w:tc>
          <w:tcPr>
            <w:tcW w:w="165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eastAsia="Arial" w:cs="Arial"/>
                <w:sz w:val="20"/>
                <w:szCs w:val="20"/>
              </w:rPr>
              <w:t xml:space="preserve"> </w:t>
            </w:r>
            <w:r>
              <w:rPr>
                <w:rFonts w:cs="Arial"/>
                <w:sz w:val="20"/>
                <w:szCs w:val="20"/>
              </w:rPr>
              <w:t>58.6</w:t>
            </w:r>
          </w:p>
          <w:p>
            <w:pPr>
              <w:pStyle w:val="Normal"/>
              <w:jc w:val="center"/>
              <w:rPr>
                <w:rFonts w:cs="Arial"/>
                <w:sz w:val="20"/>
                <w:szCs w:val="20"/>
              </w:rPr>
            </w:pPr>
            <w:r>
              <w:rPr>
                <w:rFonts w:cs="Arial"/>
                <w:sz w:val="20"/>
                <w:szCs w:val="20"/>
              </w:rPr>
              <w:t>(57.3 - 60.0)</w:t>
            </w:r>
          </w:p>
        </w:tc>
        <w:tc>
          <w:tcPr>
            <w:tcW w:w="152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eastAsia="Arial" w:cs="Arial"/>
                <w:sz w:val="20"/>
                <w:szCs w:val="20"/>
              </w:rPr>
              <w:t xml:space="preserve"> </w:t>
            </w:r>
            <w:r>
              <w:rPr>
                <w:rFonts w:cs="Arial"/>
                <w:sz w:val="20"/>
                <w:szCs w:val="20"/>
              </w:rPr>
              <w:t>62.8</w:t>
            </w:r>
          </w:p>
          <w:p>
            <w:pPr>
              <w:pStyle w:val="Normal"/>
              <w:jc w:val="center"/>
              <w:rPr>
                <w:rFonts w:cs="Arial"/>
                <w:sz w:val="20"/>
                <w:szCs w:val="20"/>
              </w:rPr>
            </w:pPr>
            <w:r>
              <w:rPr>
                <w:rFonts w:cs="Arial"/>
                <w:sz w:val="20"/>
                <w:szCs w:val="20"/>
              </w:rPr>
              <w:t>(61.8 - 63.7)</w:t>
            </w:r>
          </w:p>
        </w:tc>
        <w:tc>
          <w:tcPr>
            <w:tcW w:w="1381"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&lt;0.0001</w:t>
            </w:r>
          </w:p>
          <w:p>
            <w:pPr>
              <w:pStyle w:val="Normal"/>
              <w:jc w:val="center"/>
              <w:rPr>
                <w:rFonts w:cs="Arial"/>
                <w:sz w:val="20"/>
                <w:szCs w:val="20"/>
              </w:rPr>
            </w:pPr>
            <w:r>
              <w:rPr>
                <w:rFonts w:cs="Arial"/>
                <w:sz w:val="20"/>
                <w:szCs w:val="20"/>
              </w:rPr>
            </w:r>
          </w:p>
        </w:tc>
      </w:tr>
      <w:tr>
        <w:trPr>
          <w:trHeight w:val="525" w:hRule="atLeast"/>
          <w:cantSplit w:val="false"/>
        </w:trPr>
        <w:tc>
          <w:tcPr>
            <w:tcW w:w="1368" w:type="dxa"/>
            <w:vMerge w:val="restart"/>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ascii="Times New Roman" w:hAnsi="Times New Roman"/>
                <w:sz w:val="20"/>
                <w:szCs w:val="20"/>
              </w:rPr>
            </w:pPr>
            <w:r>
              <w:rPr>
                <w:rFonts w:cs="Arial" w:ascii="Times New Roman" w:hAnsi="Times New Roman"/>
                <w:sz w:val="20"/>
                <w:szCs w:val="20"/>
              </w:rPr>
            </w:r>
          </w:p>
          <w:p>
            <w:pPr>
              <w:pStyle w:val="Normal"/>
              <w:jc w:val="center"/>
              <w:rPr>
                <w:rFonts w:cs="Arial"/>
                <w:sz w:val="20"/>
                <w:szCs w:val="20"/>
              </w:rPr>
            </w:pPr>
            <w:r>
              <w:rPr>
                <w:rFonts w:cs="Arial"/>
                <w:sz w:val="20"/>
                <w:szCs w:val="20"/>
              </w:rPr>
              <w:t>Any test</w:t>
            </w:r>
          </w:p>
          <w:p>
            <w:pPr>
              <w:pStyle w:val="Normal"/>
              <w:jc w:val="center"/>
              <w:rPr>
                <w:rFonts w:cs="Arial"/>
                <w:sz w:val="20"/>
                <w:szCs w:val="20"/>
              </w:rPr>
            </w:pPr>
            <w:r>
              <w:rPr>
                <w:rFonts w:cs="Arial"/>
                <w:sz w:val="20"/>
                <w:szCs w:val="20"/>
              </w:rPr>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Every 90 days</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85.3</w:t>
            </w:r>
          </w:p>
          <w:p>
            <w:pPr>
              <w:pStyle w:val="Normal"/>
              <w:jc w:val="center"/>
              <w:rPr>
                <w:rFonts w:cs="Arial"/>
                <w:sz w:val="20"/>
                <w:szCs w:val="20"/>
              </w:rPr>
            </w:pPr>
            <w:r>
              <w:rPr>
                <w:rFonts w:cs="Arial"/>
                <w:sz w:val="20"/>
                <w:szCs w:val="20"/>
              </w:rPr>
              <w:t>(84.4 - 86.1)</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88.4</w:t>
            </w:r>
          </w:p>
          <w:p>
            <w:pPr>
              <w:pStyle w:val="Normal"/>
              <w:jc w:val="center"/>
              <w:rPr>
                <w:rFonts w:cs="Arial"/>
                <w:sz w:val="20"/>
                <w:szCs w:val="20"/>
              </w:rPr>
            </w:pPr>
            <w:r>
              <w:rPr>
                <w:rFonts w:cs="Arial"/>
                <w:sz w:val="20"/>
                <w:szCs w:val="20"/>
              </w:rPr>
              <w:t>(86.9 - 90.0)</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62.5</w:t>
            </w:r>
          </w:p>
          <w:p>
            <w:pPr>
              <w:pStyle w:val="Normal"/>
              <w:jc w:val="center"/>
              <w:rPr>
                <w:rFonts w:cs="Arial"/>
                <w:sz w:val="20"/>
                <w:szCs w:val="20"/>
              </w:rPr>
            </w:pPr>
            <w:r>
              <w:rPr>
                <w:rFonts w:cs="Arial"/>
                <w:sz w:val="20"/>
                <w:szCs w:val="20"/>
              </w:rPr>
              <w:t>(56.1- 68.8)</w:t>
            </w:r>
          </w:p>
        </w:tc>
        <w:tc>
          <w:tcPr>
            <w:tcW w:w="158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74.9</w:t>
            </w:r>
          </w:p>
          <w:p>
            <w:pPr>
              <w:pStyle w:val="Normal"/>
              <w:jc w:val="center"/>
              <w:rPr>
                <w:rFonts w:cs="Arial"/>
                <w:sz w:val="20"/>
                <w:szCs w:val="20"/>
              </w:rPr>
            </w:pPr>
            <w:r>
              <w:rPr>
                <w:rFonts w:cs="Arial"/>
                <w:sz w:val="20"/>
                <w:szCs w:val="20"/>
              </w:rPr>
              <w:t>(72.9 - 77.0)</w:t>
            </w:r>
          </w:p>
        </w:tc>
        <w:tc>
          <w:tcPr>
            <w:tcW w:w="165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75.8</w:t>
            </w:r>
          </w:p>
          <w:p>
            <w:pPr>
              <w:pStyle w:val="Normal"/>
              <w:jc w:val="center"/>
              <w:rPr>
                <w:rFonts w:cs="Arial"/>
                <w:sz w:val="20"/>
                <w:szCs w:val="20"/>
              </w:rPr>
            </w:pPr>
            <w:r>
              <w:rPr>
                <w:rFonts w:cs="Arial"/>
                <w:sz w:val="20"/>
                <w:szCs w:val="20"/>
              </w:rPr>
              <w:t>(73.8 - 77.8)</w:t>
            </w:r>
          </w:p>
        </w:tc>
        <w:tc>
          <w:tcPr>
            <w:tcW w:w="152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91.0</w:t>
            </w:r>
          </w:p>
          <w:p>
            <w:pPr>
              <w:pStyle w:val="Normal"/>
              <w:jc w:val="center"/>
              <w:rPr>
                <w:rFonts w:cs="Arial"/>
                <w:sz w:val="20"/>
                <w:szCs w:val="20"/>
              </w:rPr>
            </w:pPr>
            <w:r>
              <w:rPr>
                <w:rFonts w:cs="Arial"/>
                <w:sz w:val="20"/>
                <w:szCs w:val="20"/>
              </w:rPr>
              <w:t>(89.6 - 92.4)</w:t>
            </w:r>
          </w:p>
        </w:tc>
        <w:tc>
          <w:tcPr>
            <w:tcW w:w="1381"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&lt;0.0001</w:t>
            </w:r>
          </w:p>
        </w:tc>
      </w:tr>
      <w:tr>
        <w:trPr>
          <w:trHeight w:val="690" w:hRule="atLeast"/>
          <w:cantSplit w:val="false"/>
        </w:trPr>
        <w:tc>
          <w:tcPr>
            <w:tcW w:w="1368"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ascii="Times New Roman" w:hAnsi="Times New Roman"/>
                <w:sz w:val="20"/>
                <w:szCs w:val="20"/>
              </w:rPr>
            </w:pPr>
            <w:r>
              <w:rPr>
                <w:rFonts w:cs="Arial" w:ascii="Times New Roman" w:hAnsi="Times New Roman"/>
                <w:sz w:val="20"/>
                <w:szCs w:val="20"/>
              </w:rPr>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Every 180 days</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156.2</w:t>
            </w:r>
          </w:p>
          <w:p>
            <w:pPr>
              <w:pStyle w:val="Normal"/>
              <w:jc w:val="center"/>
              <w:rPr>
                <w:rFonts w:cs="Arial"/>
                <w:sz w:val="20"/>
                <w:szCs w:val="20"/>
              </w:rPr>
            </w:pPr>
            <w:r>
              <w:rPr>
                <w:rFonts w:cs="Arial"/>
                <w:sz w:val="20"/>
                <w:szCs w:val="20"/>
              </w:rPr>
              <w:t>(154.8-157.5)</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158.3</w:t>
            </w:r>
          </w:p>
          <w:p>
            <w:pPr>
              <w:pStyle w:val="Normal"/>
              <w:jc w:val="center"/>
              <w:rPr>
                <w:rFonts w:cs="Arial"/>
                <w:sz w:val="20"/>
                <w:szCs w:val="20"/>
              </w:rPr>
            </w:pPr>
            <w:r>
              <w:rPr>
                <w:rFonts w:cs="Arial"/>
                <w:sz w:val="20"/>
                <w:szCs w:val="20"/>
              </w:rPr>
              <w:t>(155.9 - 160.7)</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123.3</w:t>
            </w:r>
          </w:p>
          <w:p>
            <w:pPr>
              <w:pStyle w:val="Normal"/>
              <w:jc w:val="center"/>
              <w:rPr>
                <w:rFonts w:cs="Arial"/>
                <w:sz w:val="20"/>
                <w:szCs w:val="20"/>
              </w:rPr>
            </w:pPr>
            <w:r>
              <w:rPr>
                <w:rFonts w:cs="Arial"/>
                <w:sz w:val="20"/>
                <w:szCs w:val="20"/>
              </w:rPr>
              <w:t>(111.3-135.3)</w:t>
            </w:r>
          </w:p>
        </w:tc>
        <w:tc>
          <w:tcPr>
            <w:tcW w:w="158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134.1</w:t>
            </w:r>
          </w:p>
          <w:p>
            <w:pPr>
              <w:pStyle w:val="Normal"/>
              <w:jc w:val="center"/>
              <w:rPr>
                <w:rFonts w:cs="Arial"/>
                <w:sz w:val="20"/>
                <w:szCs w:val="20"/>
              </w:rPr>
            </w:pPr>
            <w:r>
              <w:rPr>
                <w:rFonts w:cs="Arial"/>
                <w:sz w:val="20"/>
                <w:szCs w:val="20"/>
              </w:rPr>
              <w:t>(131.0-137.2)</w:t>
            </w:r>
          </w:p>
        </w:tc>
        <w:tc>
          <w:tcPr>
            <w:tcW w:w="165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136.7</w:t>
            </w:r>
          </w:p>
          <w:p>
            <w:pPr>
              <w:pStyle w:val="Normal"/>
              <w:jc w:val="center"/>
              <w:rPr>
                <w:rFonts w:cs="Arial"/>
                <w:sz w:val="20"/>
                <w:szCs w:val="20"/>
              </w:rPr>
            </w:pPr>
            <w:r>
              <w:rPr>
                <w:rFonts w:cs="Arial"/>
                <w:sz w:val="20"/>
                <w:szCs w:val="20"/>
              </w:rPr>
              <w:t>(133.5 - 139.8)</w:t>
            </w:r>
          </w:p>
        </w:tc>
        <w:tc>
          <w:tcPr>
            <w:tcW w:w="152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171.3</w:t>
            </w:r>
          </w:p>
          <w:p>
            <w:pPr>
              <w:pStyle w:val="Normal"/>
              <w:jc w:val="center"/>
              <w:rPr>
                <w:rFonts w:cs="Arial"/>
                <w:sz w:val="20"/>
                <w:szCs w:val="20"/>
              </w:rPr>
            </w:pPr>
            <w:r>
              <w:rPr>
                <w:rFonts w:cs="Arial"/>
                <w:sz w:val="20"/>
                <w:szCs w:val="20"/>
              </w:rPr>
              <w:t>(169.0-173.6)</w:t>
            </w:r>
          </w:p>
        </w:tc>
        <w:tc>
          <w:tcPr>
            <w:tcW w:w="1381"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&lt;0.0001</w:t>
            </w:r>
          </w:p>
        </w:tc>
      </w:tr>
      <w:tr>
        <w:trPr>
          <w:trHeight w:val="690" w:hRule="atLeast"/>
          <w:cantSplit w:val="false"/>
        </w:trPr>
        <w:tc>
          <w:tcPr>
            <w:tcW w:w="1368" w:type="dxa"/>
            <w:vMerge w:val="continue"/>
            <w:tcBorders>
              <w:top w:val="single" w:sz="6" w:space="0" w:color="000000"/>
              <w:left w:val="single" w:sz="12" w:space="0" w:color="000000"/>
              <w:bottom w:val="single" w:sz="12" w:space="0" w:color="000000"/>
              <w:insideH w:val="single" w:sz="12" w:space="0" w:color="000000"/>
              <w:right w:val="nil"/>
              <w:insideV w:val="nil"/>
            </w:tcBorders>
            <w:shd w:fill="auto" w:val="clear"/>
            <w:tcMar>
              <w:left w:w="93" w:type="dxa"/>
            </w:tcMar>
          </w:tcPr>
          <w:p>
            <w:pPr>
              <w:pStyle w:val="Normal"/>
              <w:snapToGrid w:val="false"/>
              <w:jc w:val="center"/>
              <w:rPr>
                <w:rFonts w:cs="Arial" w:ascii="Times New Roman" w:hAnsi="Times New Roman"/>
                <w:sz w:val="20"/>
                <w:szCs w:val="20"/>
              </w:rPr>
            </w:pPr>
            <w:r>
              <w:rPr>
                <w:rFonts w:cs="Arial" w:ascii="Times New Roman" w:hAnsi="Times New Roman"/>
                <w:sz w:val="20"/>
                <w:szCs w:val="20"/>
              </w:rPr>
            </w:r>
          </w:p>
        </w:tc>
        <w:tc>
          <w:tcPr>
            <w:tcW w:w="1800" w:type="dxa"/>
            <w:tcBorders>
              <w:top w:val="single" w:sz="6" w:space="0" w:color="000000"/>
              <w:left w:val="single" w:sz="6" w:space="0" w:color="000000"/>
              <w:bottom w:val="single" w:sz="12" w:space="0" w:color="000000"/>
              <w:insideH w:val="single" w:sz="12"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Every 365 days</w:t>
            </w:r>
          </w:p>
        </w:tc>
        <w:tc>
          <w:tcPr>
            <w:tcW w:w="1620" w:type="dxa"/>
            <w:tcBorders>
              <w:top w:val="single" w:sz="6" w:space="0" w:color="000000"/>
              <w:left w:val="single" w:sz="6" w:space="0" w:color="000000"/>
              <w:bottom w:val="single" w:sz="12" w:space="0" w:color="000000"/>
              <w:insideH w:val="single" w:sz="12"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225.4</w:t>
            </w:r>
          </w:p>
          <w:p>
            <w:pPr>
              <w:pStyle w:val="Normal"/>
              <w:jc w:val="center"/>
              <w:rPr>
                <w:rFonts w:cs="Arial"/>
                <w:sz w:val="20"/>
                <w:szCs w:val="20"/>
              </w:rPr>
            </w:pPr>
            <w:r>
              <w:rPr>
                <w:rFonts w:cs="Arial"/>
                <w:sz w:val="20"/>
                <w:szCs w:val="20"/>
              </w:rPr>
              <w:t>(223.7-227.2)</w:t>
            </w:r>
          </w:p>
        </w:tc>
        <w:tc>
          <w:tcPr>
            <w:tcW w:w="1620" w:type="dxa"/>
            <w:tcBorders>
              <w:top w:val="single" w:sz="6" w:space="0" w:color="000000"/>
              <w:left w:val="single" w:sz="6" w:space="0" w:color="000000"/>
              <w:bottom w:val="single" w:sz="12" w:space="0" w:color="000000"/>
              <w:insideH w:val="single" w:sz="12"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234.3</w:t>
            </w:r>
          </w:p>
          <w:p>
            <w:pPr>
              <w:pStyle w:val="Normal"/>
              <w:jc w:val="center"/>
              <w:rPr>
                <w:rFonts w:cs="Arial"/>
                <w:sz w:val="20"/>
                <w:szCs w:val="20"/>
              </w:rPr>
            </w:pPr>
            <w:r>
              <w:rPr>
                <w:rFonts w:cs="Arial"/>
                <w:sz w:val="20"/>
                <w:szCs w:val="20"/>
              </w:rPr>
              <w:t>(231.0 - 237.6)</w:t>
            </w:r>
          </w:p>
        </w:tc>
        <w:tc>
          <w:tcPr>
            <w:tcW w:w="1440" w:type="dxa"/>
            <w:tcBorders>
              <w:top w:val="single" w:sz="6" w:space="0" w:color="000000"/>
              <w:left w:val="single" w:sz="6" w:space="0" w:color="000000"/>
              <w:bottom w:val="single" w:sz="12" w:space="0" w:color="000000"/>
              <w:insideH w:val="single" w:sz="12"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191.4</w:t>
            </w:r>
          </w:p>
          <w:p>
            <w:pPr>
              <w:pStyle w:val="Normal"/>
              <w:jc w:val="center"/>
              <w:rPr>
                <w:rFonts w:cs="Arial"/>
                <w:sz w:val="20"/>
                <w:szCs w:val="20"/>
              </w:rPr>
            </w:pPr>
            <w:r>
              <w:rPr>
                <w:rFonts w:cs="Arial"/>
                <w:sz w:val="20"/>
                <w:szCs w:val="20"/>
              </w:rPr>
              <w:t>(173.1-209.8)</w:t>
            </w:r>
          </w:p>
        </w:tc>
        <w:tc>
          <w:tcPr>
            <w:tcW w:w="1584" w:type="dxa"/>
            <w:tcBorders>
              <w:top w:val="single" w:sz="6" w:space="0" w:color="000000"/>
              <w:left w:val="single" w:sz="6" w:space="0" w:color="000000"/>
              <w:bottom w:val="single" w:sz="12" w:space="0" w:color="000000"/>
              <w:insideH w:val="single" w:sz="12"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191.8</w:t>
            </w:r>
          </w:p>
          <w:p>
            <w:pPr>
              <w:pStyle w:val="Normal"/>
              <w:jc w:val="center"/>
              <w:rPr>
                <w:rFonts w:cs="Arial"/>
                <w:sz w:val="20"/>
                <w:szCs w:val="20"/>
              </w:rPr>
            </w:pPr>
            <w:r>
              <w:rPr>
                <w:rFonts w:cs="Arial"/>
                <w:sz w:val="20"/>
                <w:szCs w:val="20"/>
              </w:rPr>
              <w:t>(187.6- 195.9)</w:t>
            </w:r>
          </w:p>
        </w:tc>
        <w:tc>
          <w:tcPr>
            <w:tcW w:w="1656" w:type="dxa"/>
            <w:tcBorders>
              <w:top w:val="single" w:sz="6" w:space="0" w:color="000000"/>
              <w:left w:val="single" w:sz="6" w:space="0" w:color="000000"/>
              <w:bottom w:val="single" w:sz="12" w:space="0" w:color="000000"/>
              <w:insideH w:val="single" w:sz="12"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199.6</w:t>
            </w:r>
          </w:p>
          <w:p>
            <w:pPr>
              <w:pStyle w:val="Normal"/>
              <w:jc w:val="center"/>
              <w:rPr>
                <w:rFonts w:cs="Arial"/>
                <w:sz w:val="20"/>
                <w:szCs w:val="20"/>
              </w:rPr>
            </w:pPr>
            <w:r>
              <w:rPr>
                <w:rFonts w:cs="Arial"/>
                <w:sz w:val="20"/>
                <w:szCs w:val="20"/>
              </w:rPr>
              <w:t>(195.4 - 203.8)</w:t>
            </w:r>
          </w:p>
        </w:tc>
        <w:tc>
          <w:tcPr>
            <w:tcW w:w="1529" w:type="dxa"/>
            <w:tcBorders>
              <w:top w:val="single" w:sz="6" w:space="0" w:color="000000"/>
              <w:left w:val="single" w:sz="6" w:space="0" w:color="000000"/>
              <w:bottom w:val="single" w:sz="12" w:space="0" w:color="000000"/>
              <w:insideH w:val="single" w:sz="12"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242.4</w:t>
            </w:r>
          </w:p>
          <w:p>
            <w:pPr>
              <w:pStyle w:val="Normal"/>
              <w:jc w:val="center"/>
              <w:rPr>
                <w:rFonts w:cs="Arial"/>
                <w:sz w:val="20"/>
                <w:szCs w:val="20"/>
              </w:rPr>
            </w:pPr>
            <w:r>
              <w:rPr>
                <w:rFonts w:cs="Arial"/>
                <w:sz w:val="20"/>
                <w:szCs w:val="20"/>
              </w:rPr>
              <w:t>(239.4-245.4)</w:t>
            </w:r>
          </w:p>
        </w:tc>
        <w:tc>
          <w:tcPr>
            <w:tcW w:w="1381" w:type="dxa"/>
            <w:tcBorders>
              <w:top w:val="single" w:sz="6" w:space="0" w:color="000000"/>
              <w:left w:val="single" w:sz="6" w:space="0" w:color="000000"/>
              <w:bottom w:val="single" w:sz="12" w:space="0" w:color="000000"/>
              <w:insideH w:val="single" w:sz="12"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&lt;0.0001</w:t>
            </w:r>
          </w:p>
          <w:p>
            <w:pPr>
              <w:pStyle w:val="Normal"/>
              <w:jc w:val="center"/>
              <w:rPr>
                <w:rFonts w:cs="Arial"/>
                <w:sz w:val="20"/>
                <w:szCs w:val="20"/>
              </w:rPr>
            </w:pPr>
            <w:r>
              <w:rPr>
                <w:rFonts w:cs="Arial"/>
                <w:sz w:val="20"/>
                <w:szCs w:val="20"/>
              </w:rPr>
            </w:r>
          </w:p>
        </w:tc>
      </w:tr>
    </w:tbl>
    <w:p>
      <w:pPr>
        <w:pStyle w:val="Normal"/>
        <w:spacing w:lineRule="auto" w:line="480"/>
        <w:rPr>
          <w:rFonts w:cs="Arial"/>
          <w:sz w:val="20"/>
          <w:szCs w:val="20"/>
        </w:rPr>
      </w:pPr>
      <w:r>
        <w:rPr>
          <w:rFonts w:cs="Arial"/>
          <w:sz w:val="20"/>
          <w:szCs w:val="20"/>
        </w:rPr>
        <w:t>Note that test densities are cumulative such that tests performed in 90 days were also included in the numerator for calculation of test densities at 180 and 365 days.</w:t>
      </w:r>
    </w:p>
    <w:p>
      <w:pPr>
        <w:pStyle w:val="Normal"/>
        <w:pageBreakBefore/>
        <w:spacing w:lineRule="auto" w:line="480"/>
        <w:rPr>
          <w:rFonts w:cs="Arial"/>
          <w:b/>
        </w:rPr>
      </w:pPr>
      <w:r>
        <w:rPr>
          <w:rFonts w:cs="Arial"/>
          <w:b/>
        </w:rPr>
        <w:t>Table 3:</w:t>
        <w:tab/>
        <w:t xml:space="preserve">Crude and adjusted rate ratio (RR) of having a test performed while on monotherapy with newer drugs compared with thiazide diuretics. </w:t>
      </w:r>
    </w:p>
    <w:tbl>
      <w:tblPr>
        <w:jc w:val="left"/>
        <w:tblInd w:w="-15" w:type="dxa"/>
        <w:tblBorders>
          <w:top w:val="single" w:sz="12" w:space="0" w:color="000000"/>
          <w:left w:val="single" w:sz="12" w:space="0" w:color="000000"/>
          <w:bottom w:val="single" w:sz="6" w:space="0" w:color="000000"/>
          <w:insideH w:val="single" w:sz="6" w:space="0" w:color="000000"/>
          <w:right w:val="nil"/>
          <w:insideV w:val="nil"/>
        </w:tblBorders>
        <w:tblCellMar>
          <w:top w:w="0" w:type="dxa"/>
          <w:left w:w="93" w:type="dxa"/>
          <w:bottom w:w="0" w:type="dxa"/>
          <w:right w:w="108" w:type="dxa"/>
        </w:tblCellMar>
      </w:tblPr>
      <w:tblGrid>
        <w:gridCol w:w="1457"/>
        <w:gridCol w:w="2611"/>
        <w:gridCol w:w="1440"/>
        <w:gridCol w:w="1980"/>
        <w:gridCol w:w="1440"/>
        <w:gridCol w:w="1800"/>
        <w:gridCol w:w="1980"/>
        <w:gridCol w:w="1290"/>
      </w:tblGrid>
      <w:tr>
        <w:trPr>
          <w:trHeight w:val="255" w:hRule="atLeast"/>
          <w:cantSplit w:val="false"/>
        </w:trPr>
        <w:tc>
          <w:tcPr>
            <w:tcW w:w="1457" w:type="dxa"/>
            <w:vMerge w:val="restart"/>
            <w:tcBorders>
              <w:top w:val="single" w:sz="12"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jc w:val="center"/>
              <w:rPr>
                <w:rFonts w:cs="Arial"/>
                <w:b/>
                <w:sz w:val="20"/>
                <w:szCs w:val="20"/>
              </w:rPr>
            </w:pPr>
            <w:r>
              <w:rPr>
                <w:rFonts w:cs="Arial"/>
                <w:b/>
                <w:sz w:val="20"/>
                <w:szCs w:val="20"/>
              </w:rPr>
              <w:t> </w:t>
            </w:r>
          </w:p>
          <w:p>
            <w:pPr>
              <w:pStyle w:val="Normal"/>
              <w:jc w:val="center"/>
              <w:rPr>
                <w:rFonts w:cs="Arial"/>
                <w:b/>
                <w:sz w:val="20"/>
                <w:szCs w:val="20"/>
              </w:rPr>
            </w:pPr>
            <w:r>
              <w:rPr>
                <w:rFonts w:cs="Arial"/>
                <w:b/>
                <w:sz w:val="20"/>
                <w:szCs w:val="20"/>
              </w:rPr>
              <w:t>Test</w:t>
            </w:r>
          </w:p>
        </w:tc>
        <w:tc>
          <w:tcPr>
            <w:tcW w:w="2611" w:type="dxa"/>
            <w:vMerge w:val="restart"/>
            <w:tcBorders>
              <w:top w:val="single" w:sz="12"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b/>
                <w:sz w:val="20"/>
                <w:szCs w:val="20"/>
              </w:rPr>
            </w:pPr>
            <w:r>
              <w:rPr>
                <w:rFonts w:cs="Arial"/>
                <w:b/>
                <w:sz w:val="20"/>
                <w:szCs w:val="20"/>
              </w:rPr>
              <w:t>Drug class</w:t>
            </w:r>
          </w:p>
        </w:tc>
        <w:tc>
          <w:tcPr>
            <w:tcW w:w="4860" w:type="dxa"/>
            <w:gridSpan w:val="3"/>
            <w:tcBorders>
              <w:top w:val="single" w:sz="12"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b/>
                <w:sz w:val="20"/>
                <w:szCs w:val="20"/>
              </w:rPr>
            </w:pPr>
            <w:r>
              <w:rPr>
                <w:rFonts w:cs="Arial"/>
                <w:b/>
                <w:sz w:val="20"/>
                <w:szCs w:val="20"/>
              </w:rPr>
              <w:t>Crude estimates</w:t>
            </w:r>
          </w:p>
        </w:tc>
        <w:tc>
          <w:tcPr>
            <w:tcW w:w="5070" w:type="dxa"/>
            <w:gridSpan w:val="3"/>
            <w:tcBorders>
              <w:top w:val="single" w:sz="12"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b/>
                <w:sz w:val="20"/>
                <w:szCs w:val="20"/>
              </w:rPr>
            </w:pPr>
            <w:r>
              <w:rPr>
                <w:rFonts w:cs="Arial"/>
                <w:b/>
                <w:sz w:val="20"/>
                <w:szCs w:val="20"/>
              </w:rPr>
              <w:t>Adjusted* estimates</w:t>
            </w:r>
          </w:p>
        </w:tc>
      </w:tr>
      <w:tr>
        <w:trPr>
          <w:trHeight w:val="255" w:hRule="atLeast"/>
          <w:cantSplit w:val="false"/>
        </w:trPr>
        <w:tc>
          <w:tcPr>
            <w:tcW w:w="1457"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b/>
                <w:sz w:val="20"/>
                <w:szCs w:val="20"/>
              </w:rPr>
            </w:pPr>
            <w:r>
              <w:rPr>
                <w:rFonts w:cs="Arial"/>
                <w:b/>
                <w:sz w:val="20"/>
                <w:szCs w:val="20"/>
              </w:rPr>
            </w:r>
          </w:p>
        </w:tc>
        <w:tc>
          <w:tcPr>
            <w:tcW w:w="2611" w:type="dxa"/>
            <w:vMerge w:val="continue"/>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snapToGrid w:val="false"/>
              <w:jc w:val="center"/>
              <w:rPr>
                <w:rFonts w:cs="Arial"/>
                <w:b/>
                <w:sz w:val="20"/>
                <w:szCs w:val="20"/>
              </w:rPr>
            </w:pPr>
            <w:r>
              <w:rPr>
                <w:rFonts w:cs="Arial"/>
                <w:b/>
                <w:sz w:val="20"/>
                <w:szCs w:val="20"/>
              </w:rPr>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b/>
                <w:sz w:val="20"/>
                <w:szCs w:val="20"/>
              </w:rPr>
            </w:pPr>
            <w:r>
              <w:rPr>
                <w:rFonts w:cs="Arial"/>
                <w:b/>
                <w:sz w:val="20"/>
                <w:szCs w:val="20"/>
              </w:rPr>
              <w:t>Rate Ratio (RR)</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b/>
                <w:sz w:val="20"/>
                <w:szCs w:val="20"/>
              </w:rPr>
            </w:pPr>
            <w:r>
              <w:rPr>
                <w:rFonts w:cs="Arial"/>
                <w:b/>
                <w:sz w:val="20"/>
                <w:szCs w:val="20"/>
              </w:rPr>
              <w:t>95% C.I.</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b/>
                <w:sz w:val="20"/>
                <w:szCs w:val="20"/>
              </w:rPr>
            </w:pPr>
            <w:r>
              <w:rPr>
                <w:rFonts w:cs="Arial"/>
                <w:b/>
                <w:sz w:val="20"/>
                <w:szCs w:val="20"/>
              </w:rPr>
              <w:t>p value</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b/>
                <w:sz w:val="20"/>
                <w:szCs w:val="20"/>
              </w:rPr>
            </w:pPr>
            <w:r>
              <w:rPr>
                <w:rFonts w:cs="Arial"/>
                <w:b/>
                <w:sz w:val="20"/>
                <w:szCs w:val="20"/>
              </w:rPr>
              <w:t>Rate Ratio (RR)</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b/>
                <w:sz w:val="20"/>
                <w:szCs w:val="20"/>
              </w:rPr>
            </w:pPr>
            <w:r>
              <w:rPr>
                <w:rFonts w:cs="Arial"/>
                <w:b/>
                <w:sz w:val="20"/>
                <w:szCs w:val="20"/>
              </w:rPr>
              <w:t>95% C.I.</w:t>
            </w:r>
          </w:p>
          <w:p>
            <w:pPr>
              <w:pStyle w:val="Normal"/>
              <w:jc w:val="center"/>
              <w:rPr>
                <w:rFonts w:cs="Arial"/>
                <w:b/>
                <w:sz w:val="20"/>
                <w:szCs w:val="20"/>
              </w:rPr>
            </w:pPr>
            <w:r>
              <w:rPr>
                <w:rFonts w:cs="Arial"/>
                <w:b/>
                <w:sz w:val="20"/>
                <w:szCs w:val="20"/>
              </w:rPr>
            </w:r>
          </w:p>
        </w:tc>
        <w:tc>
          <w:tcPr>
            <w:tcW w:w="1290"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b/>
                <w:sz w:val="20"/>
                <w:szCs w:val="20"/>
              </w:rPr>
            </w:pPr>
            <w:r>
              <w:rPr>
                <w:rFonts w:cs="Arial"/>
                <w:b/>
                <w:sz w:val="20"/>
                <w:szCs w:val="20"/>
              </w:rPr>
              <w:t>p value</w:t>
            </w:r>
          </w:p>
        </w:tc>
      </w:tr>
      <w:tr>
        <w:trPr>
          <w:trHeight w:val="255" w:hRule="atLeast"/>
          <w:cantSplit w:val="false"/>
        </w:trPr>
        <w:tc>
          <w:tcPr>
            <w:tcW w:w="1457" w:type="dxa"/>
            <w:vMerge w:val="restart"/>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jc w:val="center"/>
              <w:rPr>
                <w:rFonts w:cs="Arial"/>
                <w:sz w:val="20"/>
                <w:szCs w:val="20"/>
              </w:rPr>
            </w:pPr>
            <w:r>
              <w:rPr>
                <w:rFonts w:cs="Arial"/>
                <w:sz w:val="20"/>
                <w:szCs w:val="20"/>
              </w:rPr>
              <w:t>Electrolytes</w:t>
            </w:r>
          </w:p>
          <w:p>
            <w:pPr>
              <w:pStyle w:val="Normal"/>
              <w:jc w:val="center"/>
              <w:rPr>
                <w:rFonts w:cs="Arial"/>
                <w:sz w:val="20"/>
                <w:szCs w:val="20"/>
              </w:rPr>
            </w:pPr>
            <w:r>
              <w:rPr>
                <w:rFonts w:cs="Arial"/>
                <w:sz w:val="20"/>
                <w:szCs w:val="20"/>
              </w:rPr>
              <w:t> </w:t>
            </w:r>
          </w:p>
          <w:p>
            <w:pPr>
              <w:pStyle w:val="Normal"/>
              <w:jc w:val="center"/>
              <w:rPr>
                <w:rFonts w:cs="Arial"/>
                <w:sz w:val="20"/>
                <w:szCs w:val="20"/>
              </w:rPr>
            </w:pPr>
            <w:r>
              <w:rPr>
                <w:rFonts w:cs="Arial"/>
                <w:sz w:val="20"/>
                <w:szCs w:val="20"/>
              </w:rPr>
              <w:t> </w:t>
            </w:r>
          </w:p>
          <w:p>
            <w:pPr>
              <w:pStyle w:val="Normal"/>
              <w:jc w:val="center"/>
              <w:rPr>
                <w:rFonts w:cs="Arial"/>
                <w:sz w:val="20"/>
                <w:szCs w:val="20"/>
              </w:rPr>
            </w:pPr>
            <w:r>
              <w:rPr>
                <w:rFonts w:cs="Arial"/>
                <w:sz w:val="20"/>
                <w:szCs w:val="20"/>
              </w:rPr>
              <w:t> </w:t>
            </w:r>
          </w:p>
          <w:p>
            <w:pPr>
              <w:pStyle w:val="Normal"/>
              <w:jc w:val="center"/>
              <w:rPr>
                <w:rFonts w:cs="Arial"/>
                <w:sz w:val="20"/>
                <w:szCs w:val="20"/>
              </w:rPr>
            </w:pPr>
            <w:r>
              <w:rPr>
                <w:rFonts w:cs="Arial"/>
                <w:sz w:val="20"/>
                <w:szCs w:val="20"/>
              </w:rPr>
              <w:t> </w:t>
            </w:r>
          </w:p>
        </w:tc>
        <w:tc>
          <w:tcPr>
            <w:tcW w:w="261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ACE inhibitor</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0.72</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0.70 - 0.73</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&lt; 0.0001</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0.73</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0.72 – 0.74</w:t>
            </w:r>
          </w:p>
        </w:tc>
        <w:tc>
          <w:tcPr>
            <w:tcW w:w="1290"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 0.0001</w:t>
            </w:r>
          </w:p>
        </w:tc>
      </w:tr>
      <w:tr>
        <w:trPr>
          <w:trHeight w:val="255" w:hRule="atLeast"/>
          <w:cantSplit w:val="false"/>
        </w:trPr>
        <w:tc>
          <w:tcPr>
            <w:tcW w:w="1457"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sz w:val="20"/>
                <w:szCs w:val="20"/>
              </w:rPr>
            </w:pPr>
            <w:r>
              <w:rPr>
                <w:rFonts w:cs="Arial"/>
                <w:sz w:val="20"/>
                <w:szCs w:val="20"/>
              </w:rPr>
            </w:r>
          </w:p>
        </w:tc>
        <w:tc>
          <w:tcPr>
            <w:tcW w:w="261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ARB</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0.49</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0.45 - 0.53</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&lt; 0.0001</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0.50</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0.46 – 0.55</w:t>
            </w:r>
          </w:p>
        </w:tc>
        <w:tc>
          <w:tcPr>
            <w:tcW w:w="1290"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 0.0001</w:t>
            </w:r>
          </w:p>
        </w:tc>
      </w:tr>
      <w:tr>
        <w:trPr>
          <w:trHeight w:val="255" w:hRule="atLeast"/>
          <w:cantSplit w:val="false"/>
        </w:trPr>
        <w:tc>
          <w:tcPr>
            <w:tcW w:w="1457"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sz w:val="20"/>
                <w:szCs w:val="20"/>
              </w:rPr>
            </w:pPr>
            <w:r>
              <w:rPr>
                <w:rFonts w:cs="Arial"/>
                <w:sz w:val="20"/>
                <w:szCs w:val="20"/>
              </w:rPr>
            </w:r>
          </w:p>
        </w:tc>
        <w:tc>
          <w:tcPr>
            <w:tcW w:w="261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CCB</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0.50</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0.49 - 0.51</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&lt; 0.0001</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0.51</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0.50 – 0.52</w:t>
            </w:r>
          </w:p>
        </w:tc>
        <w:tc>
          <w:tcPr>
            <w:tcW w:w="1290"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 0.0001</w:t>
            </w:r>
          </w:p>
        </w:tc>
      </w:tr>
      <w:tr>
        <w:trPr>
          <w:trHeight w:val="255" w:hRule="atLeast"/>
          <w:cantSplit w:val="false"/>
        </w:trPr>
        <w:tc>
          <w:tcPr>
            <w:tcW w:w="1457"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sz w:val="20"/>
                <w:szCs w:val="20"/>
              </w:rPr>
            </w:pPr>
            <w:r>
              <w:rPr>
                <w:rFonts w:cs="Arial"/>
                <w:sz w:val="20"/>
                <w:szCs w:val="20"/>
              </w:rPr>
            </w:r>
          </w:p>
        </w:tc>
        <w:tc>
          <w:tcPr>
            <w:tcW w:w="261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Thiazide</w:t>
            </w:r>
          </w:p>
        </w:tc>
        <w:tc>
          <w:tcPr>
            <w:tcW w:w="486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Referent</w:t>
            </w:r>
          </w:p>
        </w:tc>
        <w:tc>
          <w:tcPr>
            <w:tcW w:w="5070" w:type="dxa"/>
            <w:gridSpan w:val="3"/>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vAlign w:val="bottom"/>
          </w:tcPr>
          <w:p>
            <w:pPr>
              <w:pStyle w:val="Normal"/>
              <w:jc w:val="center"/>
              <w:rPr>
                <w:rFonts w:cs="Arial"/>
                <w:sz w:val="20"/>
                <w:szCs w:val="20"/>
              </w:rPr>
            </w:pPr>
            <w:r>
              <w:rPr>
                <w:rFonts w:cs="Arial"/>
                <w:sz w:val="20"/>
                <w:szCs w:val="20"/>
              </w:rPr>
              <w:t>Referent</w:t>
            </w:r>
          </w:p>
        </w:tc>
      </w:tr>
      <w:tr>
        <w:trPr>
          <w:trHeight w:val="255" w:hRule="atLeast"/>
          <w:cantSplit w:val="false"/>
        </w:trPr>
        <w:tc>
          <w:tcPr>
            <w:tcW w:w="1457" w:type="dxa"/>
            <w:vMerge w:val="restart"/>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jc w:val="center"/>
              <w:rPr>
                <w:rFonts w:cs="Arial"/>
                <w:sz w:val="20"/>
                <w:szCs w:val="20"/>
              </w:rPr>
            </w:pPr>
            <w:r>
              <w:rPr>
                <w:rFonts w:cs="Arial"/>
                <w:sz w:val="20"/>
                <w:szCs w:val="20"/>
              </w:rPr>
              <w:t>Renal function</w:t>
            </w:r>
          </w:p>
          <w:p>
            <w:pPr>
              <w:pStyle w:val="Normal"/>
              <w:jc w:val="center"/>
              <w:rPr>
                <w:rFonts w:cs="Arial"/>
                <w:sz w:val="20"/>
                <w:szCs w:val="20"/>
              </w:rPr>
            </w:pPr>
            <w:r>
              <w:rPr>
                <w:rFonts w:cs="Arial"/>
                <w:sz w:val="20"/>
                <w:szCs w:val="20"/>
              </w:rPr>
              <w:t> </w:t>
            </w:r>
          </w:p>
          <w:p>
            <w:pPr>
              <w:pStyle w:val="Normal"/>
              <w:jc w:val="center"/>
              <w:rPr>
                <w:rFonts w:cs="Arial"/>
                <w:sz w:val="20"/>
                <w:szCs w:val="20"/>
              </w:rPr>
            </w:pPr>
            <w:r>
              <w:rPr>
                <w:rFonts w:cs="Arial"/>
                <w:sz w:val="20"/>
                <w:szCs w:val="20"/>
              </w:rPr>
              <w:t> </w:t>
            </w:r>
          </w:p>
          <w:p>
            <w:pPr>
              <w:pStyle w:val="Normal"/>
              <w:jc w:val="center"/>
              <w:rPr>
                <w:rFonts w:cs="Arial"/>
                <w:sz w:val="20"/>
                <w:szCs w:val="20"/>
              </w:rPr>
            </w:pPr>
            <w:r>
              <w:rPr>
                <w:rFonts w:cs="Arial"/>
                <w:sz w:val="20"/>
                <w:szCs w:val="20"/>
              </w:rPr>
              <w:t> </w:t>
            </w:r>
          </w:p>
          <w:p>
            <w:pPr>
              <w:pStyle w:val="Normal"/>
              <w:jc w:val="center"/>
              <w:rPr>
                <w:rFonts w:cs="Arial"/>
                <w:sz w:val="20"/>
                <w:szCs w:val="20"/>
              </w:rPr>
            </w:pPr>
            <w:r>
              <w:rPr>
                <w:rFonts w:cs="Arial"/>
                <w:sz w:val="20"/>
                <w:szCs w:val="20"/>
              </w:rPr>
              <w:t> </w:t>
            </w:r>
          </w:p>
        </w:tc>
        <w:tc>
          <w:tcPr>
            <w:tcW w:w="261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ACE inhibitor</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0.96</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0.94 - 0.98</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&lt; 0.0001</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0.97</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0.95 - 0.98</w:t>
            </w:r>
          </w:p>
        </w:tc>
        <w:tc>
          <w:tcPr>
            <w:tcW w:w="1290"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 0.0001</w:t>
            </w:r>
          </w:p>
        </w:tc>
      </w:tr>
      <w:tr>
        <w:trPr>
          <w:trHeight w:val="255" w:hRule="atLeast"/>
          <w:cantSplit w:val="false"/>
        </w:trPr>
        <w:tc>
          <w:tcPr>
            <w:tcW w:w="1457"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sz w:val="20"/>
                <w:szCs w:val="20"/>
              </w:rPr>
            </w:pPr>
            <w:r>
              <w:rPr>
                <w:rFonts w:cs="Arial"/>
                <w:sz w:val="20"/>
                <w:szCs w:val="20"/>
              </w:rPr>
            </w:r>
          </w:p>
        </w:tc>
        <w:tc>
          <w:tcPr>
            <w:tcW w:w="261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ARB</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0.80</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0.74 - 0.85</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&lt; 0.0001</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0.81</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0.76 - 0.87</w:t>
            </w:r>
          </w:p>
        </w:tc>
        <w:tc>
          <w:tcPr>
            <w:tcW w:w="1290"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 0.0001</w:t>
            </w:r>
          </w:p>
        </w:tc>
      </w:tr>
      <w:tr>
        <w:trPr>
          <w:trHeight w:val="255" w:hRule="atLeast"/>
          <w:cantSplit w:val="false"/>
        </w:trPr>
        <w:tc>
          <w:tcPr>
            <w:tcW w:w="1457"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sz w:val="20"/>
                <w:szCs w:val="20"/>
              </w:rPr>
            </w:pPr>
            <w:r>
              <w:rPr>
                <w:rFonts w:cs="Arial"/>
                <w:sz w:val="20"/>
                <w:szCs w:val="20"/>
              </w:rPr>
            </w:r>
          </w:p>
        </w:tc>
        <w:tc>
          <w:tcPr>
            <w:tcW w:w="261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CCB</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0.78</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0.76 - 0.80</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&lt; 0.0001</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0.78</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0.77 – 0.80</w:t>
            </w:r>
          </w:p>
        </w:tc>
        <w:tc>
          <w:tcPr>
            <w:tcW w:w="1290"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 0.0001</w:t>
            </w:r>
          </w:p>
        </w:tc>
      </w:tr>
      <w:tr>
        <w:trPr>
          <w:trHeight w:val="255" w:hRule="atLeast"/>
          <w:cantSplit w:val="false"/>
        </w:trPr>
        <w:tc>
          <w:tcPr>
            <w:tcW w:w="1457"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sz w:val="20"/>
                <w:szCs w:val="20"/>
              </w:rPr>
            </w:pPr>
            <w:r>
              <w:rPr>
                <w:rFonts w:cs="Arial"/>
                <w:sz w:val="20"/>
                <w:szCs w:val="20"/>
              </w:rPr>
            </w:r>
          </w:p>
        </w:tc>
        <w:tc>
          <w:tcPr>
            <w:tcW w:w="261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Thiazide</w:t>
            </w:r>
          </w:p>
        </w:tc>
        <w:tc>
          <w:tcPr>
            <w:tcW w:w="486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Referent</w:t>
            </w:r>
          </w:p>
        </w:tc>
        <w:tc>
          <w:tcPr>
            <w:tcW w:w="5070" w:type="dxa"/>
            <w:gridSpan w:val="3"/>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vAlign w:val="bottom"/>
          </w:tcPr>
          <w:p>
            <w:pPr>
              <w:pStyle w:val="Normal"/>
              <w:jc w:val="center"/>
              <w:rPr>
                <w:rFonts w:cs="Arial"/>
                <w:sz w:val="20"/>
                <w:szCs w:val="20"/>
              </w:rPr>
            </w:pPr>
            <w:r>
              <w:rPr>
                <w:rFonts w:cs="Arial"/>
                <w:sz w:val="20"/>
                <w:szCs w:val="20"/>
              </w:rPr>
              <w:t>Referent</w:t>
            </w:r>
          </w:p>
        </w:tc>
      </w:tr>
      <w:tr>
        <w:trPr>
          <w:trHeight w:val="255" w:hRule="atLeast"/>
          <w:cantSplit w:val="false"/>
        </w:trPr>
        <w:tc>
          <w:tcPr>
            <w:tcW w:w="1457" w:type="dxa"/>
            <w:vMerge w:val="restart"/>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jc w:val="center"/>
              <w:rPr>
                <w:rFonts w:cs="Arial"/>
                <w:sz w:val="20"/>
                <w:szCs w:val="20"/>
              </w:rPr>
            </w:pPr>
            <w:r>
              <w:rPr>
                <w:rFonts w:cs="Arial"/>
                <w:sz w:val="20"/>
                <w:szCs w:val="20"/>
              </w:rPr>
              <w:t>Cholesterol</w:t>
            </w:r>
          </w:p>
          <w:p>
            <w:pPr>
              <w:pStyle w:val="Normal"/>
              <w:jc w:val="center"/>
              <w:rPr>
                <w:rFonts w:cs="Arial"/>
                <w:sz w:val="20"/>
                <w:szCs w:val="20"/>
              </w:rPr>
            </w:pPr>
            <w:r>
              <w:rPr>
                <w:rFonts w:cs="Arial"/>
                <w:sz w:val="20"/>
                <w:szCs w:val="20"/>
              </w:rPr>
              <w:t> </w:t>
            </w:r>
          </w:p>
          <w:p>
            <w:pPr>
              <w:pStyle w:val="Normal"/>
              <w:jc w:val="center"/>
              <w:rPr>
                <w:rFonts w:cs="Arial"/>
                <w:sz w:val="20"/>
                <w:szCs w:val="20"/>
              </w:rPr>
            </w:pPr>
            <w:r>
              <w:rPr>
                <w:rFonts w:cs="Arial"/>
                <w:sz w:val="20"/>
                <w:szCs w:val="20"/>
              </w:rPr>
              <w:t> </w:t>
            </w:r>
          </w:p>
          <w:p>
            <w:pPr>
              <w:pStyle w:val="Normal"/>
              <w:jc w:val="center"/>
              <w:rPr>
                <w:rFonts w:cs="Arial"/>
                <w:sz w:val="20"/>
                <w:szCs w:val="20"/>
              </w:rPr>
            </w:pPr>
            <w:r>
              <w:rPr>
                <w:rFonts w:cs="Arial"/>
                <w:sz w:val="20"/>
                <w:szCs w:val="20"/>
              </w:rPr>
              <w:t> </w:t>
            </w:r>
          </w:p>
          <w:p>
            <w:pPr>
              <w:pStyle w:val="Normal"/>
              <w:jc w:val="center"/>
              <w:rPr>
                <w:rFonts w:cs="Arial"/>
                <w:sz w:val="20"/>
                <w:szCs w:val="20"/>
              </w:rPr>
            </w:pPr>
            <w:r>
              <w:rPr>
                <w:rFonts w:cs="Arial"/>
                <w:sz w:val="20"/>
                <w:szCs w:val="20"/>
              </w:rPr>
              <w:t> </w:t>
            </w:r>
          </w:p>
        </w:tc>
        <w:tc>
          <w:tcPr>
            <w:tcW w:w="261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ACE inhibitor</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1.23</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1.20 - 1.25</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&lt; 0.0001</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1.18</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1.16 - 1.21</w:t>
            </w:r>
          </w:p>
        </w:tc>
        <w:tc>
          <w:tcPr>
            <w:tcW w:w="1290"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 0.0001</w:t>
            </w:r>
          </w:p>
        </w:tc>
      </w:tr>
      <w:tr>
        <w:trPr>
          <w:trHeight w:val="255" w:hRule="atLeast"/>
          <w:cantSplit w:val="false"/>
        </w:trPr>
        <w:tc>
          <w:tcPr>
            <w:tcW w:w="1457"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sz w:val="20"/>
                <w:szCs w:val="20"/>
              </w:rPr>
            </w:pPr>
            <w:r>
              <w:rPr>
                <w:rFonts w:cs="Arial"/>
                <w:sz w:val="20"/>
                <w:szCs w:val="20"/>
              </w:rPr>
            </w:r>
          </w:p>
        </w:tc>
        <w:tc>
          <w:tcPr>
            <w:tcW w:w="261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ARB</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1.22</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1.13 - 1.32</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&lt; 0.0001</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1.10</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1.02 - 1.19</w:t>
            </w:r>
          </w:p>
        </w:tc>
        <w:tc>
          <w:tcPr>
            <w:tcW w:w="1290"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0.02</w:t>
            </w:r>
          </w:p>
        </w:tc>
      </w:tr>
      <w:tr>
        <w:trPr>
          <w:trHeight w:val="255" w:hRule="atLeast"/>
          <w:cantSplit w:val="false"/>
        </w:trPr>
        <w:tc>
          <w:tcPr>
            <w:tcW w:w="1457"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sz w:val="20"/>
                <w:szCs w:val="20"/>
              </w:rPr>
            </w:pPr>
            <w:r>
              <w:rPr>
                <w:rFonts w:cs="Arial"/>
                <w:sz w:val="20"/>
                <w:szCs w:val="20"/>
              </w:rPr>
            </w:r>
          </w:p>
        </w:tc>
        <w:tc>
          <w:tcPr>
            <w:tcW w:w="261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CCB</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1.17</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1.14 - 1.19</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&lt; 0.0001</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1.12</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1.10 - 1.15</w:t>
            </w:r>
          </w:p>
        </w:tc>
        <w:tc>
          <w:tcPr>
            <w:tcW w:w="1290"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 0.0001</w:t>
            </w:r>
          </w:p>
        </w:tc>
      </w:tr>
      <w:tr>
        <w:trPr>
          <w:trHeight w:val="255" w:hRule="atLeast"/>
          <w:cantSplit w:val="false"/>
        </w:trPr>
        <w:tc>
          <w:tcPr>
            <w:tcW w:w="1457"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sz w:val="20"/>
                <w:szCs w:val="20"/>
              </w:rPr>
            </w:pPr>
            <w:r>
              <w:rPr>
                <w:rFonts w:cs="Arial"/>
                <w:sz w:val="20"/>
                <w:szCs w:val="20"/>
              </w:rPr>
            </w:r>
          </w:p>
        </w:tc>
        <w:tc>
          <w:tcPr>
            <w:tcW w:w="261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Thiazide</w:t>
            </w:r>
          </w:p>
        </w:tc>
        <w:tc>
          <w:tcPr>
            <w:tcW w:w="486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Referent</w:t>
            </w:r>
          </w:p>
        </w:tc>
        <w:tc>
          <w:tcPr>
            <w:tcW w:w="5070" w:type="dxa"/>
            <w:gridSpan w:val="3"/>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vAlign w:val="bottom"/>
          </w:tcPr>
          <w:p>
            <w:pPr>
              <w:pStyle w:val="Normal"/>
              <w:jc w:val="center"/>
              <w:rPr>
                <w:rFonts w:cs="Arial"/>
                <w:sz w:val="20"/>
                <w:szCs w:val="20"/>
              </w:rPr>
            </w:pPr>
            <w:r>
              <w:rPr>
                <w:rFonts w:cs="Arial"/>
                <w:sz w:val="20"/>
                <w:szCs w:val="20"/>
              </w:rPr>
              <w:t>Referent</w:t>
            </w:r>
          </w:p>
        </w:tc>
      </w:tr>
      <w:tr>
        <w:trPr>
          <w:trHeight w:val="255" w:hRule="atLeast"/>
          <w:cantSplit w:val="false"/>
        </w:trPr>
        <w:tc>
          <w:tcPr>
            <w:tcW w:w="1457" w:type="dxa"/>
            <w:vMerge w:val="restart"/>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jc w:val="center"/>
              <w:rPr>
                <w:rFonts w:cs="Arial"/>
                <w:sz w:val="20"/>
                <w:szCs w:val="20"/>
              </w:rPr>
            </w:pPr>
            <w:r>
              <w:rPr>
                <w:rFonts w:cs="Arial"/>
                <w:sz w:val="20"/>
                <w:szCs w:val="20"/>
              </w:rPr>
              <w:t>Glucose</w:t>
            </w:r>
          </w:p>
          <w:p>
            <w:pPr>
              <w:pStyle w:val="Normal"/>
              <w:jc w:val="center"/>
              <w:rPr>
                <w:rFonts w:cs="Arial"/>
                <w:sz w:val="20"/>
                <w:szCs w:val="20"/>
              </w:rPr>
            </w:pPr>
            <w:r>
              <w:rPr>
                <w:rFonts w:cs="Arial"/>
                <w:sz w:val="20"/>
                <w:szCs w:val="20"/>
              </w:rPr>
              <w:t> </w:t>
            </w:r>
          </w:p>
          <w:p>
            <w:pPr>
              <w:pStyle w:val="Normal"/>
              <w:jc w:val="center"/>
              <w:rPr>
                <w:rFonts w:cs="Arial"/>
                <w:sz w:val="20"/>
                <w:szCs w:val="20"/>
              </w:rPr>
            </w:pPr>
            <w:r>
              <w:rPr>
                <w:rFonts w:cs="Arial"/>
                <w:sz w:val="20"/>
                <w:szCs w:val="20"/>
              </w:rPr>
              <w:t> </w:t>
            </w:r>
          </w:p>
          <w:p>
            <w:pPr>
              <w:pStyle w:val="Normal"/>
              <w:jc w:val="center"/>
              <w:rPr>
                <w:rFonts w:cs="Arial"/>
                <w:sz w:val="20"/>
                <w:szCs w:val="20"/>
              </w:rPr>
            </w:pPr>
            <w:r>
              <w:rPr>
                <w:rFonts w:cs="Arial"/>
                <w:sz w:val="20"/>
                <w:szCs w:val="20"/>
              </w:rPr>
              <w:t> </w:t>
            </w:r>
          </w:p>
          <w:p>
            <w:pPr>
              <w:pStyle w:val="Normal"/>
              <w:jc w:val="center"/>
              <w:rPr>
                <w:rFonts w:cs="Arial"/>
                <w:sz w:val="20"/>
                <w:szCs w:val="20"/>
              </w:rPr>
            </w:pPr>
            <w:r>
              <w:rPr>
                <w:rFonts w:cs="Arial"/>
                <w:sz w:val="20"/>
                <w:szCs w:val="20"/>
              </w:rPr>
              <w:t> </w:t>
            </w:r>
          </w:p>
        </w:tc>
        <w:tc>
          <w:tcPr>
            <w:tcW w:w="261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ACE inhibitor</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0.98</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0.97 - 1.00</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0.0543</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0.99</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0.97 - 1.004</w:t>
            </w:r>
          </w:p>
        </w:tc>
        <w:tc>
          <w:tcPr>
            <w:tcW w:w="1290"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0.13</w:t>
            </w:r>
          </w:p>
        </w:tc>
      </w:tr>
      <w:tr>
        <w:trPr>
          <w:trHeight w:val="255" w:hRule="atLeast"/>
          <w:cantSplit w:val="false"/>
        </w:trPr>
        <w:tc>
          <w:tcPr>
            <w:tcW w:w="1457"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sz w:val="20"/>
                <w:szCs w:val="20"/>
              </w:rPr>
            </w:pPr>
            <w:r>
              <w:rPr>
                <w:rFonts w:cs="Arial"/>
                <w:sz w:val="20"/>
                <w:szCs w:val="20"/>
              </w:rPr>
            </w:r>
          </w:p>
        </w:tc>
        <w:tc>
          <w:tcPr>
            <w:tcW w:w="261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ARB</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0.88</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0.82 - 0.94</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0.0004</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0.88</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0.82 - 0.95</w:t>
            </w:r>
          </w:p>
        </w:tc>
        <w:tc>
          <w:tcPr>
            <w:tcW w:w="1290"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0.0007</w:t>
            </w:r>
          </w:p>
        </w:tc>
      </w:tr>
      <w:tr>
        <w:trPr>
          <w:trHeight w:val="255" w:hRule="atLeast"/>
          <w:cantSplit w:val="false"/>
        </w:trPr>
        <w:tc>
          <w:tcPr>
            <w:tcW w:w="1457"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sz w:val="20"/>
                <w:szCs w:val="20"/>
              </w:rPr>
            </w:pPr>
            <w:r>
              <w:rPr>
                <w:rFonts w:cs="Arial"/>
                <w:sz w:val="20"/>
                <w:szCs w:val="20"/>
              </w:rPr>
            </w:r>
          </w:p>
        </w:tc>
        <w:tc>
          <w:tcPr>
            <w:tcW w:w="261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CCB</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0.92</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0.91 - 0.94</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&lt; 0.0001</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0.93</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0.91 - 0.95</w:t>
            </w:r>
          </w:p>
        </w:tc>
        <w:tc>
          <w:tcPr>
            <w:tcW w:w="1290"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 0.0001</w:t>
            </w:r>
          </w:p>
        </w:tc>
      </w:tr>
      <w:tr>
        <w:trPr>
          <w:trHeight w:val="255" w:hRule="atLeast"/>
          <w:cantSplit w:val="false"/>
        </w:trPr>
        <w:tc>
          <w:tcPr>
            <w:tcW w:w="1457"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sz w:val="20"/>
                <w:szCs w:val="20"/>
              </w:rPr>
            </w:pPr>
            <w:r>
              <w:rPr>
                <w:rFonts w:cs="Arial"/>
                <w:sz w:val="20"/>
                <w:szCs w:val="20"/>
              </w:rPr>
            </w:r>
          </w:p>
        </w:tc>
        <w:tc>
          <w:tcPr>
            <w:tcW w:w="261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Thiazide</w:t>
            </w:r>
          </w:p>
        </w:tc>
        <w:tc>
          <w:tcPr>
            <w:tcW w:w="486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Referent</w:t>
            </w:r>
          </w:p>
        </w:tc>
        <w:tc>
          <w:tcPr>
            <w:tcW w:w="5070" w:type="dxa"/>
            <w:gridSpan w:val="3"/>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Referent</w:t>
            </w:r>
          </w:p>
        </w:tc>
      </w:tr>
      <w:tr>
        <w:trPr>
          <w:trHeight w:val="255" w:hRule="atLeast"/>
          <w:cantSplit w:val="false"/>
        </w:trPr>
        <w:tc>
          <w:tcPr>
            <w:tcW w:w="1457" w:type="dxa"/>
            <w:vMerge w:val="restart"/>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jc w:val="center"/>
              <w:rPr>
                <w:rFonts w:cs="Arial"/>
                <w:sz w:val="20"/>
                <w:szCs w:val="20"/>
              </w:rPr>
            </w:pPr>
            <w:r>
              <w:rPr>
                <w:rFonts w:cs="Arial"/>
                <w:sz w:val="20"/>
                <w:szCs w:val="20"/>
              </w:rPr>
              <w:t>Any test</w:t>
            </w:r>
          </w:p>
          <w:p>
            <w:pPr>
              <w:pStyle w:val="Normal"/>
              <w:jc w:val="center"/>
              <w:rPr>
                <w:rFonts w:cs="Arial"/>
                <w:sz w:val="20"/>
                <w:szCs w:val="20"/>
              </w:rPr>
            </w:pPr>
            <w:r>
              <w:rPr>
                <w:rFonts w:cs="Arial"/>
                <w:sz w:val="20"/>
                <w:szCs w:val="20"/>
              </w:rPr>
            </w:r>
          </w:p>
        </w:tc>
        <w:tc>
          <w:tcPr>
            <w:tcW w:w="261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ACE inhibitor</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0.94</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0.93 - 0.95</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&lt; 0.0001</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0.94</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0.93 - 0.95</w:t>
            </w:r>
          </w:p>
        </w:tc>
        <w:tc>
          <w:tcPr>
            <w:tcW w:w="1290"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 0.0001</w:t>
            </w:r>
          </w:p>
        </w:tc>
      </w:tr>
      <w:tr>
        <w:trPr>
          <w:trHeight w:val="255" w:hRule="atLeast"/>
          <w:cantSplit w:val="false"/>
        </w:trPr>
        <w:tc>
          <w:tcPr>
            <w:tcW w:w="1457"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sz w:val="20"/>
                <w:szCs w:val="20"/>
              </w:rPr>
            </w:pPr>
            <w:r>
              <w:rPr>
                <w:rFonts w:cs="Arial"/>
                <w:sz w:val="20"/>
                <w:szCs w:val="20"/>
              </w:rPr>
            </w:r>
          </w:p>
        </w:tc>
        <w:tc>
          <w:tcPr>
            <w:tcW w:w="261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ARB</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0.80</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0.77 - 0.83</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&lt; 0.0001</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0.79</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0.76 - 0.82</w:t>
            </w:r>
          </w:p>
        </w:tc>
        <w:tc>
          <w:tcPr>
            <w:tcW w:w="1290"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 0.0001</w:t>
            </w:r>
          </w:p>
        </w:tc>
      </w:tr>
      <w:tr>
        <w:trPr>
          <w:trHeight w:val="255" w:hRule="atLeast"/>
          <w:cantSplit w:val="false"/>
        </w:trPr>
        <w:tc>
          <w:tcPr>
            <w:tcW w:w="1457" w:type="dxa"/>
            <w:vMerge w:val="continue"/>
            <w:tcBorders>
              <w:top w:val="single" w:sz="6" w:space="0" w:color="000000"/>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jc w:val="center"/>
              <w:rPr>
                <w:rFonts w:cs="Arial"/>
                <w:sz w:val="20"/>
                <w:szCs w:val="20"/>
              </w:rPr>
            </w:pPr>
            <w:r>
              <w:rPr>
                <w:rFonts w:cs="Arial"/>
                <w:sz w:val="20"/>
                <w:szCs w:val="20"/>
              </w:rPr>
            </w:r>
          </w:p>
        </w:tc>
        <w:tc>
          <w:tcPr>
            <w:tcW w:w="261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CCB</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0.80</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0.79 - 0.81</w:t>
            </w:r>
          </w:p>
        </w:tc>
        <w:tc>
          <w:tcPr>
            <w:tcW w:w="14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&lt; 0.0001</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vAlign w:val="bottom"/>
          </w:tcPr>
          <w:p>
            <w:pPr>
              <w:pStyle w:val="Normal"/>
              <w:jc w:val="center"/>
              <w:rPr>
                <w:rFonts w:cs="Arial"/>
                <w:sz w:val="20"/>
                <w:szCs w:val="20"/>
              </w:rPr>
            </w:pPr>
            <w:r>
              <w:rPr>
                <w:rFonts w:cs="Arial"/>
                <w:sz w:val="20"/>
                <w:szCs w:val="20"/>
              </w:rPr>
              <w:t>0.80</w:t>
            </w:r>
          </w:p>
        </w:tc>
        <w:tc>
          <w:tcPr>
            <w:tcW w:w="198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0.79 - 0.81</w:t>
            </w:r>
          </w:p>
        </w:tc>
        <w:tc>
          <w:tcPr>
            <w:tcW w:w="1290"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&lt; 0.0001</w:t>
            </w:r>
          </w:p>
        </w:tc>
      </w:tr>
      <w:tr>
        <w:trPr>
          <w:trHeight w:val="255" w:hRule="atLeast"/>
          <w:cantSplit w:val="false"/>
        </w:trPr>
        <w:tc>
          <w:tcPr>
            <w:tcW w:w="1457" w:type="dxa"/>
            <w:vMerge w:val="continue"/>
            <w:tcBorders>
              <w:top w:val="single" w:sz="6" w:space="0" w:color="000000"/>
              <w:left w:val="single" w:sz="12" w:space="0" w:color="000000"/>
              <w:bottom w:val="single" w:sz="12" w:space="0" w:color="000000"/>
              <w:insideH w:val="single" w:sz="12" w:space="0" w:color="000000"/>
              <w:right w:val="nil"/>
              <w:insideV w:val="nil"/>
            </w:tcBorders>
            <w:shd w:fill="auto" w:val="clear"/>
            <w:tcMar>
              <w:left w:w="93" w:type="dxa"/>
            </w:tcMar>
          </w:tcPr>
          <w:p>
            <w:pPr>
              <w:pStyle w:val="Normal"/>
              <w:snapToGrid w:val="false"/>
              <w:jc w:val="center"/>
              <w:rPr>
                <w:rFonts w:cs="Arial"/>
                <w:sz w:val="20"/>
                <w:szCs w:val="20"/>
              </w:rPr>
            </w:pPr>
            <w:r>
              <w:rPr>
                <w:rFonts w:cs="Arial"/>
                <w:sz w:val="20"/>
                <w:szCs w:val="20"/>
              </w:rPr>
            </w:r>
          </w:p>
        </w:tc>
        <w:tc>
          <w:tcPr>
            <w:tcW w:w="2611" w:type="dxa"/>
            <w:tcBorders>
              <w:top w:val="single" w:sz="6" w:space="0" w:color="000000"/>
              <w:left w:val="single" w:sz="6" w:space="0" w:color="000000"/>
              <w:bottom w:val="single" w:sz="12" w:space="0" w:color="000000"/>
              <w:insideH w:val="single" w:sz="12"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Thiazide</w:t>
            </w:r>
          </w:p>
        </w:tc>
        <w:tc>
          <w:tcPr>
            <w:tcW w:w="4860" w:type="dxa"/>
            <w:gridSpan w:val="3"/>
            <w:tcBorders>
              <w:top w:val="single" w:sz="6" w:space="0" w:color="000000"/>
              <w:left w:val="single" w:sz="6" w:space="0" w:color="000000"/>
              <w:bottom w:val="single" w:sz="12" w:space="0" w:color="000000"/>
              <w:insideH w:val="single" w:sz="12" w:space="0" w:color="000000"/>
              <w:right w:val="nil"/>
              <w:insideV w:val="nil"/>
            </w:tcBorders>
            <w:shd w:fill="auto" w:val="clear"/>
            <w:tcMar>
              <w:left w:w="100" w:type="dxa"/>
            </w:tcMar>
          </w:tcPr>
          <w:p>
            <w:pPr>
              <w:pStyle w:val="Normal"/>
              <w:jc w:val="center"/>
              <w:rPr>
                <w:rFonts w:cs="Arial"/>
                <w:sz w:val="20"/>
                <w:szCs w:val="20"/>
              </w:rPr>
            </w:pPr>
            <w:r>
              <w:rPr>
                <w:rFonts w:cs="Arial"/>
                <w:sz w:val="20"/>
                <w:szCs w:val="20"/>
              </w:rPr>
              <w:t>Referent</w:t>
            </w:r>
          </w:p>
        </w:tc>
        <w:tc>
          <w:tcPr>
            <w:tcW w:w="5070" w:type="dxa"/>
            <w:gridSpan w:val="3"/>
            <w:tcBorders>
              <w:top w:val="single" w:sz="6" w:space="0" w:color="000000"/>
              <w:left w:val="single" w:sz="6" w:space="0" w:color="000000"/>
              <w:bottom w:val="single" w:sz="12" w:space="0" w:color="000000"/>
              <w:insideH w:val="single" w:sz="12" w:space="0" w:color="000000"/>
              <w:right w:val="single" w:sz="12" w:space="0" w:color="000000"/>
              <w:insideV w:val="single" w:sz="12" w:space="0" w:color="000000"/>
            </w:tcBorders>
            <w:shd w:fill="auto" w:val="clear"/>
            <w:tcMar>
              <w:left w:w="100" w:type="dxa"/>
            </w:tcMar>
          </w:tcPr>
          <w:p>
            <w:pPr>
              <w:pStyle w:val="Normal"/>
              <w:jc w:val="center"/>
              <w:rPr>
                <w:rFonts w:cs="Arial"/>
                <w:sz w:val="20"/>
                <w:szCs w:val="20"/>
              </w:rPr>
            </w:pPr>
            <w:r>
              <w:rPr>
                <w:rFonts w:cs="Arial"/>
                <w:sz w:val="20"/>
                <w:szCs w:val="20"/>
              </w:rPr>
              <w:t>Referent</w:t>
            </w:r>
          </w:p>
        </w:tc>
      </w:tr>
    </w:tbl>
    <w:p>
      <w:pPr>
        <w:pStyle w:val="Normal"/>
        <w:spacing w:lineRule="auto" w:line="480"/>
        <w:rPr>
          <w:rFonts w:cs="Arial"/>
          <w:sz w:val="20"/>
          <w:szCs w:val="20"/>
        </w:rPr>
      </w:pPr>
      <w:r>
        <w:rPr>
          <w:rFonts w:cs="Arial"/>
          <w:sz w:val="20"/>
          <w:szCs w:val="20"/>
        </w:rPr>
      </w:r>
    </w:p>
    <w:p>
      <w:pPr>
        <w:pStyle w:val="Normal"/>
        <w:spacing w:lineRule="auto" w:line="480"/>
        <w:rPr/>
      </w:pPr>
      <w:r>
        <w:rPr/>
        <w:t>* Adjusted for age, gender, testing profile in the 6 months before prescription, and Charlson comorbidity scores.</w:t>
      </w:r>
    </w:p>
    <w:p>
      <w:pPr>
        <w:pStyle w:val="Normal"/>
        <w:pageBreakBefore/>
        <w:spacing w:lineRule="auto" w:line="480"/>
        <w:rPr>
          <w:rFonts w:eastAsia="Arial"/>
        </w:rPr>
      </w:pPr>
      <w:r>
        <w:rPr>
          <w:b/>
          <w:drawing>
            <wp:inline distT="0" distB="0" distL="0" distR="0">
              <wp:extent cx="6856730" cy="457327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856730" cy="4573270"/>
                      </a:xfrm>
                      <a:prstGeom prst="rect">
                        <a:avLst/>
                      </a:prstGeom>
                      <a:noFill/>
                      <a:ln w="9525">
                        <a:noFill/>
                        <a:miter lim="800000"/>
                        <a:headEnd/>
                        <a:tailEnd/>
                      </a:ln>
                    </pic:spPr>
                  </pic:pic>
                </a:graphicData>
              </a:graphic>
            </wp:inline>
          </w:drawing>
        </w:rPr>
      </w:r>
      <w:r>
        <w:rPr>
          <w:rFonts w:eastAsia="Arial"/>
        </w:rPr>
        <w:t xml:space="preserve"> </w:t>
      </w:r>
    </w:p>
    <w:p>
      <w:pPr>
        <w:pStyle w:val="Normal"/>
        <w:spacing w:lineRule="auto" w:line="480"/>
        <w:rPr>
          <w:b/>
        </w:rPr>
      </w:pPr>
      <w:r>
        <w:rPr>
          <w:b/>
        </w:rPr>
      </w:r>
    </w:p>
    <w:sectPr>
      <w:footerReference w:type="default" r:id="rId4"/>
      <w:type w:val="nextPage"/>
      <w:pgSz w:orient="landscape" w:w="15840" w:h="12240"/>
      <w:pgMar w:left="1440" w:right="1440" w:header="0" w:top="1800" w:footer="720" w:bottom="180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Ecofont Vera Sans">
    <w:charset w:val="01"/>
    <w:family w:val="swiss"/>
    <w:pitch w:val="default"/>
  </w:font>
  <w:font w:name="Arial Unicode MS">
    <w:charset w:val="80"/>
    <w:family w:val="swiss"/>
    <w:pitch w:val="variable"/>
  </w:font>
  <w:font w:name="Tahoma">
    <w:charset w:val="00"/>
    <w:family w:val="swiss"/>
    <w:pitch w:val="variable"/>
  </w:font>
  <w:font w:name="Arial Bold">
    <w:altName w:val="Arial"/>
    <w:charset w:val="00"/>
    <w:family w:val="swiss"/>
    <w:pitch w:val="variable"/>
  </w:font>
  <w:font w:name="Verdana">
    <w:charset w:val="00"/>
    <w:family w:val="swiss"/>
    <w:pitch w:val="variable"/>
  </w:font>
  <w:font w:name="MS Sans Serif">
    <w:altName w:val="Times New Roman"/>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3.4pt;height:27.6pt;margin-top:0.05pt;margin-left:418.6pt">
          <v:fill opacity="0f"/>
          <v:textbox>
            <w:txbxContent>
              <w:p>
                <w:pPr>
                  <w:pStyle w:val="Footer"/>
                  <w:rPr>
                    <w:rStyle w:val="PageNumber"/>
                  </w:rPr>
                </w:pPr>
                <w:r>
                  <w:rPr>
                    <w:rStyle w:val="PageNumber"/>
                  </w:rPr>
                  <w:fldChar w:fldCharType="begin"/>
                </w:r>
                <w:r>
                  <w:instrText> PAGE </w:instrText>
                </w:r>
                <w:r>
                  <w:fldChar w:fldCharType="separate"/>
                </w:r>
                <w:r>
                  <w:t>20</w:t>
                </w:r>
                <w:r>
                  <w:fldChar w:fldCharType="end"/>
                </w:r>
              </w:p>
              <w:p>
                <w:pPr>
                  <w:pStyle w:val="Footer"/>
                  <w:rPr/>
                </w:pPr>
                <w:r>
                  <w:rPr/>
                </w:r>
              </w:p>
            </w:txbxContent>
          </v:textbox>
          <w10:wrap type="square" side="largest"/>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3.4pt;height:27.6pt;margin-top:0.05pt;margin-left:634.6pt">
          <v:fill opacity="0f"/>
          <v:textbox>
            <w:txbxContent>
              <w:p>
                <w:pPr>
                  <w:pStyle w:val="Footer"/>
                  <w:rPr>
                    <w:rStyle w:val="PageNumber"/>
                  </w:rPr>
                </w:pPr>
                <w:r>
                  <w:rPr>
                    <w:rStyle w:val="PageNumber"/>
                  </w:rPr>
                  <w:fldChar w:fldCharType="begin"/>
                </w:r>
                <w:r>
                  <w:instrText> PAGE </w:instrText>
                </w:r>
                <w:r>
                  <w:fldChar w:fldCharType="separate"/>
                </w:r>
                <w:r>
                  <w:t>25</w:t>
                </w:r>
                <w:r>
                  <w:fldChar w:fldCharType="end"/>
                </w:r>
              </w:p>
              <w:p>
                <w:pPr>
                  <w:pStyle w:val="Footer"/>
                  <w:rPr/>
                </w:pPr>
                <w:r>
                  <w:rPr/>
                </w:r>
              </w:p>
            </w:txbxContent>
          </v:textbox>
          <w10:wrap type="square" side="largest"/>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1080"/>
        </w:tabs>
        <w:ind w:left="1080" w:hanging="720"/>
      </w:pPr>
      <w:rPr>
        <w:szCs w:val="24"/>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Arial" w:hAnsi="Arial" w:eastAsia="Times New Roman" w:cs="Arial"/>
      <w:color w:val="auto"/>
      <w:sz w:val="24"/>
      <w:szCs w:val="24"/>
      <w:lang w:val="en-US" w:bidi="ar-SA" w:eastAsia="zh-CN"/>
    </w:rPr>
  </w:style>
  <w:style w:type="paragraph" w:styleId="Heading1">
    <w:name w:val="Heading 1"/>
    <w:basedOn w:val="Normal"/>
    <w:next w:val="Normal"/>
    <w:pPr>
      <w:keepNext/>
      <w:numPr>
        <w:ilvl w:val="0"/>
        <w:numId w:val="1"/>
      </w:numPr>
      <w:spacing w:lineRule="auto" w:line="480"/>
      <w:outlineLvl w:val="0"/>
      <w:outlineLvl w:val="0"/>
    </w:pPr>
    <w:rPr>
      <w:rFonts w:cs="Arial"/>
      <w:b/>
      <w:bCs/>
    </w:rPr>
  </w:style>
  <w:style w:type="paragraph" w:styleId="Heading2">
    <w:name w:val="Heading 2"/>
    <w:basedOn w:val="Normal"/>
    <w:next w:val="Normal"/>
    <w:pPr>
      <w:keepNext/>
      <w:numPr>
        <w:ilvl w:val="1"/>
        <w:numId w:val="1"/>
      </w:numPr>
      <w:spacing w:before="240" w:after="60"/>
      <w:outlineLvl w:val="1"/>
      <w:outlineLvl w:val="1"/>
    </w:pPr>
    <w:rPr>
      <w:rFonts w:cs="Arial"/>
      <w:b/>
      <w:bCs/>
      <w:i/>
      <w:iCs/>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eastAsia="Times New Roman" w:cs="Aria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2z3">
    <w:name w:val="WW8Num2z3"/>
    <w:rPr>
      <w:rFonts w:ascii="Symbol" w:hAnsi="Symbol" w:cs="Symbol"/>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style>
  <w:style w:type="character" w:styleId="WW8Num7z0">
    <w:name w:val="WW8Num7z0"/>
    <w:rPr>
      <w:rFonts w:cs="Times New Roman"/>
      <w:szCs w:val="24"/>
    </w:rPr>
  </w:style>
  <w:style w:type="character" w:styleId="WW8Num7z1">
    <w:name w:val="WW8Num7z1"/>
    <w:rPr/>
  </w:style>
  <w:style w:type="character" w:styleId="WW8Num7z2">
    <w:name w:val="WW8Num7z2"/>
    <w:rPr/>
  </w:style>
  <w:style w:type="character" w:styleId="WW8Num7z3">
    <w:name w:val="WW8Num7z3"/>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DefaultParagraphFont">
    <w:name w:val="Default Paragraph Font"/>
    <w:rPr/>
  </w:style>
  <w:style w:type="character" w:styleId="CommentReference">
    <w:name w:val="Comment Reference"/>
    <w:basedOn w:val="DefaultParagraphFont"/>
    <w:rPr>
      <w:sz w:val="16"/>
      <w:szCs w:val="16"/>
    </w:rPr>
  </w:style>
  <w:style w:type="character" w:styleId="PageNumber">
    <w:name w:val="Page Number"/>
    <w:basedOn w:val="DefaultParagraphFont"/>
    <w:rPr/>
  </w:style>
  <w:style w:type="character" w:styleId="Emphasis">
    <w:name w:val="Emphasis"/>
    <w:basedOn w:val="DefaultParagraphFont"/>
    <w:rPr>
      <w:i/>
      <w:iCs/>
    </w:rPr>
  </w:style>
  <w:style w:type="character" w:styleId="InternetLink">
    <w:name w:val="Internet Link"/>
    <w:basedOn w:val="DefaultParagraphFont"/>
    <w:rPr>
      <w:color w:val="0000FF"/>
      <w:u w:val="single"/>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Xl24">
    <w:name w:val="xl24"/>
    <w:basedOn w:val="Normal"/>
    <w:pPr>
      <w:spacing w:before="280" w:after="280"/>
    </w:pPr>
    <w:rPr>
      <w:rFonts w:ascii="Arial Unicode MS" w:hAnsi="Arial Unicode MS" w:eastAsia="Arial Unicode MS" w:cs="Arial Unicode MS"/>
    </w:rPr>
  </w:style>
  <w:style w:type="paragraph" w:styleId="BalloonText">
    <w:name w:val="Balloon Text"/>
    <w:basedOn w:val="Normal"/>
    <w:pPr/>
    <w:rPr>
      <w:rFonts w:ascii="Tahoma" w:hAnsi="Tahoma" w:cs="Tahoma"/>
      <w:sz w:val="16"/>
      <w:szCs w:val="16"/>
    </w:rPr>
  </w:style>
  <w:style w:type="paragraph" w:styleId="CommentText">
    <w:name w:val="Comment Text"/>
    <w:basedOn w:val="Normal"/>
    <w:pPr/>
    <w:rPr>
      <w:sz w:val="20"/>
      <w:szCs w:val="20"/>
    </w:rPr>
  </w:style>
  <w:style w:type="paragraph" w:styleId="CommentSubject">
    <w:name w:val="Comment Subject"/>
    <w:basedOn w:val="CommentText"/>
    <w:next w:val="CommentText"/>
    <w:pPr/>
    <w:rPr>
      <w:b/>
      <w:bCs/>
    </w:rPr>
  </w:style>
  <w:style w:type="paragraph" w:styleId="BodyText2">
    <w:name w:val="Body Text 2"/>
    <w:basedOn w:val="Normal"/>
    <w:pPr>
      <w:spacing w:lineRule="auto" w:line="480"/>
    </w:pPr>
    <w:rPr>
      <w:szCs w:val="20"/>
    </w:rPr>
  </w:style>
  <w:style w:type="paragraph" w:styleId="Footer">
    <w:name w:val="Footer"/>
    <w:basedOn w:val="Normal"/>
    <w:pPr>
      <w:tabs>
        <w:tab w:val="center" w:pos="4320" w:leader="none"/>
        <w:tab w:val="right" w:pos="8640"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3.wmf"/><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240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2007-01-08T11:39:00Z</dcterms:created>
  <dc:creator>test</dc:creator>
  <dc:language>en-CA</dc:language>
  <cp:lastModifiedBy>University of Alberta</cp:lastModifiedBy>
  <cp:lastPrinted>2006-07-06T16:38:00Z</cp:lastPrinted>
  <dcterms:modified xsi:type="dcterms:W3CDTF">2007-01-08T11:39:00Z</dcterms:modified>
  <cp:revision>2</cp:revision>
  <dc:title>Finlay A</dc:title>
</cp:coreProperties>
</file>